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349D" w:rsidRPr="00EC349D" w:rsidRDefault="006C4CCF" w:rsidP="00EC349D">
      <w:pPr>
        <w:spacing w:after="200" w:line="276" w:lineRule="auto"/>
        <w:rPr>
          <w:rFonts w:ascii="Calibri" w:hAnsi="Calibri"/>
          <w:sz w:val="22"/>
          <w:szCs w:val="22"/>
        </w:rPr>
      </w:pPr>
      <w:r>
        <w:rPr>
          <w:rFonts w:ascii="Calibri" w:hAnsi="Calibri"/>
          <w:noProof/>
          <w:sz w:val="22"/>
          <w:szCs w:val="22"/>
        </w:rPr>
        <w:pict>
          <v:group id="Group 184" o:spid="_x0000_s1026" style="position:absolute;margin-left:14.9pt;margin-top:19.25pt;width:580.75pt;height:798pt;z-index:251677184;mso-width-percent:950;mso-height-percent:950;mso-position-horizontal-relative:page;mso-position-vertical-relative:page;mso-width-percent:950;mso-height-percent:950" coordorigin="316,406" coordsize="11958,150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" o:allowincell="f">
            <v:group id="Group 185" o:spid="_x0000_s1027" style="position:absolute;left:316;top:406;width:11958;height:15028" coordorigin="321,406" coordsize="11950,150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PjhAcMAAADbAAAADwAAAGRycy9kb3ducmV2LnhtbERPy2rCQBTdC/2H4Ra6&#10;M5O0Wkp0FAlt6UIEk0Jxd8lck2DmTshM8/h7Z1Ho8nDe2/1kWjFQ7xrLCpIoBkFcWt1wpeC7+Fi+&#10;gXAeWWNrmRTM5GC/e1hsMdV25DMNua9ECGGXooLa+y6V0pU1GXSR7YgDd7W9QR9gX0nd4xjCTSuf&#10;4/hVGmw4NNTYUVZTect/jYLPEcfDS/I+HG/XbL4U69PPMSGlnh6nwwaEp8n/i//cX1rBKo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A+OEBwwAAANsAAAAP&#10;AAAAAAAAAAAAAAAAAKoCAABkcnMvZG93bnJldi54bWxQSwUGAAAAAAQABAD6AAAAmgMAAAAA&#10;">
              <v:rect id="Rectangle 186" o:spid="_x0000_s1028" alt="Zig zag" style="position:absolute;left:339;top:406;width:11582;height:1502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qZ/8QA&#10;AADbAAAADwAAAGRycy9kb3ducmV2LnhtbESPQWsCMRSE74X+h/AEL0WziljdGqUIgidpteL1uXnu&#10;bt28LEl01/56Iwg9DjPzDTNbtKYSV3K+tKxg0E9AEGdWl5wr+NmtehMQPiBrrCyTght5WMxfX2aY&#10;atvwN123IRcRwj5FBUUIdSqlzwoy6Pu2Jo7eyTqDIUqXS+2wiXBTyWGSjKXBkuNCgTUtC8rO24tR&#10;QHq52btDdhqNw/vxr3z7Ggx/G6W6nfbzA0SgNvyHn+21VjCawuNL/AFyf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qmf/EAAAA2wAAAA8AAAAAAAAAAAAAAAAAmAIAAGRycy9k&#10;b3ducmV2LnhtbFBLBQYAAAAABAAEAPUAAACJAwAAAAA=&#10;" fillcolor="#8c8c8c" strokecolor="white" strokeweight="1pt">
                <v:fill r:id="rId8" o:title="" color2="#bfbfbf" type="pattern"/>
                <v:shadow color="#d8d8d8" offset="3pt,3pt"/>
              </v:rect>
              <v:rect id="Rectangle 187" o:spid="_x0000_s1029" style="position:absolute;left:3446;top:406;width:8825;height:1502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rxacAA&#10;AADbAAAADwAAAGRycy9kb3ducmV2LnhtbERPy4rCMBTdD/gP4QpuRFMFH3RMixYEN7MYdeHy0txp&#10;OtPclCba+veTheDycN67fLCNeFDna8cKFvMEBHHpdM2VguvlONuC8AFZY+OYFDzJQ56NPnaYatfz&#10;Nz3OoRIxhH2KCkwIbSqlLw1Z9HPXEkfux3UWQ4RdJXWHfQy3jVwmyVparDk2GGypMFT+ne9Wwbr9&#10;rb7622ZvrpcVycO0mJZcKDUZD/tPEIGG8Ba/3CetYBXXxy/xB8js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XrxacAAAADbAAAADwAAAAAAAAAAAAAAAACYAgAAZHJzL2Rvd25y&#10;ZXYueG1sUEsFBgAAAAAEAAQA9QAAAIUDAAAAAA==&#10;" fillcolor="#737373" strokecolor="white" strokeweight="1pt">
                <v:shadow color="#d8d8d8" offset="3pt,3pt"/>
                <v:textbox inset="18pt,108pt,36pt">
                  <w:txbxContent>
                    <w:p w:rsidR="008A4DCE" w:rsidRPr="009B7391" w:rsidRDefault="008A4DCE" w:rsidP="00EC349D">
                      <w:pPr>
                        <w:spacing w:before="120" w:after="120"/>
                        <w:ind w:left="4248"/>
                        <w:jc w:val="right"/>
                        <w:rPr>
                          <w:rFonts w:ascii="Bookman Old Style" w:hAnsi="Bookman Old Style"/>
                          <w:color w:val="FFFFFF"/>
                          <w:sz w:val="20"/>
                          <w:szCs w:val="20"/>
                        </w:rPr>
                      </w:pPr>
                      <w:r w:rsidRPr="009B7391">
                        <w:rPr>
                          <w:rFonts w:ascii="Bookman Old Style" w:hAnsi="Bookman Old Style"/>
                          <w:color w:val="FFFFFF"/>
                          <w:sz w:val="20"/>
                          <w:szCs w:val="20"/>
                        </w:rPr>
                        <w:t>«УТВЕРЖДАЮ»</w:t>
                      </w:r>
                    </w:p>
                    <w:p w:rsidR="008A4DCE" w:rsidRPr="009B7391" w:rsidRDefault="008A4DCE" w:rsidP="00EC349D">
                      <w:pPr>
                        <w:spacing w:before="120" w:after="120"/>
                        <w:jc w:val="right"/>
                        <w:rPr>
                          <w:rFonts w:ascii="Bookman Old Style" w:hAnsi="Bookman Old Style"/>
                          <w:color w:val="FFFFFF"/>
                          <w:sz w:val="20"/>
                          <w:szCs w:val="20"/>
                        </w:rPr>
                      </w:pPr>
                      <w:r w:rsidRPr="009B7391">
                        <w:rPr>
                          <w:rFonts w:ascii="Bookman Old Style" w:hAnsi="Bookman Old Style"/>
                          <w:color w:val="FFFFFF"/>
                          <w:sz w:val="20"/>
                          <w:szCs w:val="20"/>
                        </w:rPr>
                        <w:t>Генеральный директор</w:t>
                      </w:r>
                    </w:p>
                    <w:p w:rsidR="008A4DCE" w:rsidRPr="009B7391" w:rsidRDefault="008A4DCE" w:rsidP="00EC349D">
                      <w:pPr>
                        <w:spacing w:before="120" w:after="120"/>
                        <w:jc w:val="right"/>
                        <w:rPr>
                          <w:rFonts w:ascii="Bookman Old Style" w:hAnsi="Bookman Old Style"/>
                          <w:color w:val="FFFFFF"/>
                          <w:sz w:val="20"/>
                          <w:szCs w:val="20"/>
                        </w:rPr>
                      </w:pPr>
                      <w:r w:rsidRPr="009B7391">
                        <w:rPr>
                          <w:rFonts w:ascii="Bookman Old Style" w:hAnsi="Bookman Old Style"/>
                          <w:color w:val="FFFFFF"/>
                          <w:sz w:val="20"/>
                          <w:szCs w:val="20"/>
                        </w:rPr>
                        <w:t>ООО «</w:t>
                      </w:r>
                      <w:r>
                        <w:rPr>
                          <w:rFonts w:ascii="Bookman Old Style" w:hAnsi="Bookman Old Style"/>
                          <w:color w:val="FFFFFF"/>
                          <w:sz w:val="20"/>
                          <w:szCs w:val="20"/>
                        </w:rPr>
                        <w:t>АОС «Золотое правило</w:t>
                      </w:r>
                      <w:r w:rsidRPr="009B7391">
                        <w:rPr>
                          <w:rFonts w:ascii="Bookman Old Style" w:hAnsi="Bookman Old Style"/>
                          <w:color w:val="FFFFFF"/>
                          <w:sz w:val="20"/>
                          <w:szCs w:val="20"/>
                        </w:rPr>
                        <w:t>»</w:t>
                      </w:r>
                    </w:p>
                    <w:p w:rsidR="008A4DCE" w:rsidRPr="009B7391" w:rsidRDefault="008A4DCE" w:rsidP="00EC349D">
                      <w:pPr>
                        <w:spacing w:before="120" w:after="120"/>
                        <w:jc w:val="right"/>
                        <w:rPr>
                          <w:rFonts w:ascii="Bookman Old Style" w:hAnsi="Bookman Old Style"/>
                          <w:color w:val="FFFFFF"/>
                          <w:sz w:val="20"/>
                          <w:szCs w:val="20"/>
                        </w:rPr>
                      </w:pPr>
                    </w:p>
                    <w:p w:rsidR="008A4DCE" w:rsidRPr="009B7391" w:rsidRDefault="008A4DCE" w:rsidP="00EC349D">
                      <w:pPr>
                        <w:pStyle w:val="aff7"/>
                        <w:ind w:left="4956"/>
                        <w:rPr>
                          <w:color w:val="FFFFFF"/>
                        </w:rPr>
                      </w:pPr>
                      <w:r>
                        <w:rPr>
                          <w:rFonts w:ascii="Bookman Old Style" w:hAnsi="Bookman Old Style"/>
                          <w:color w:val="FFFFFF"/>
                          <w:sz w:val="20"/>
                          <w:szCs w:val="20"/>
                        </w:rPr>
                        <w:t xml:space="preserve">          О.С. Золотарев</w:t>
                      </w:r>
                    </w:p>
                    <w:p w:rsidR="008A4DCE" w:rsidRDefault="008A4DCE" w:rsidP="00EC349D">
                      <w:pPr>
                        <w:pStyle w:val="aff7"/>
                        <w:rPr>
                          <w:rFonts w:ascii="Bookman Old Style" w:hAnsi="Bookman Old Style"/>
                          <w:color w:val="FFFFFF"/>
                          <w:sz w:val="72"/>
                          <w:szCs w:val="72"/>
                        </w:rPr>
                      </w:pPr>
                    </w:p>
                    <w:p w:rsidR="008A4DCE" w:rsidRDefault="008A4DCE" w:rsidP="00EC349D">
                      <w:pPr>
                        <w:pStyle w:val="aff7"/>
                        <w:rPr>
                          <w:rFonts w:ascii="Bookman Old Style" w:hAnsi="Bookman Old Style"/>
                          <w:color w:val="FFFFFF"/>
                        </w:rPr>
                      </w:pPr>
                    </w:p>
                    <w:p w:rsidR="008A4DCE" w:rsidRDefault="008A4DCE" w:rsidP="00EC349D">
                      <w:pPr>
                        <w:pStyle w:val="aff7"/>
                        <w:rPr>
                          <w:rFonts w:ascii="Bookman Old Style" w:hAnsi="Bookman Old Style"/>
                          <w:color w:val="FFFFFF"/>
                          <w:sz w:val="68"/>
                          <w:szCs w:val="68"/>
                        </w:rPr>
                      </w:pPr>
                    </w:p>
                    <w:p w:rsidR="008A4DCE" w:rsidRPr="00750A21" w:rsidRDefault="000A4482" w:rsidP="00EC349D">
                      <w:pPr>
                        <w:pStyle w:val="aff7"/>
                        <w:spacing w:before="120" w:after="120"/>
                        <w:rPr>
                          <w:rFonts w:ascii="Bookman Old Style" w:hAnsi="Bookman Old Style"/>
                          <w:color w:val="FFFFFF"/>
                          <w:sz w:val="68"/>
                          <w:szCs w:val="68"/>
                        </w:rPr>
                      </w:pPr>
                      <w:r>
                        <w:rPr>
                          <w:rFonts w:ascii="Bookman Old Style" w:hAnsi="Bookman Old Style"/>
                          <w:color w:val="FFFFFF"/>
                          <w:sz w:val="68"/>
                          <w:szCs w:val="68"/>
                        </w:rPr>
                        <w:t>Отчет № 31</w:t>
                      </w:r>
                      <w:r w:rsidR="008A4DCE">
                        <w:rPr>
                          <w:rFonts w:ascii="Bookman Old Style" w:hAnsi="Bookman Old Style"/>
                          <w:color w:val="FFFFFF"/>
                          <w:sz w:val="68"/>
                          <w:szCs w:val="68"/>
                        </w:rPr>
                        <w:t>1/08</w:t>
                      </w:r>
                      <w:r w:rsidR="008A4DCE" w:rsidRPr="008B0968">
                        <w:rPr>
                          <w:rFonts w:ascii="Bookman Old Style" w:hAnsi="Bookman Old Style"/>
                          <w:color w:val="FFFFFF"/>
                          <w:sz w:val="68"/>
                          <w:szCs w:val="68"/>
                        </w:rPr>
                        <w:t>-1</w:t>
                      </w:r>
                      <w:r w:rsidR="008A4DCE">
                        <w:rPr>
                          <w:rFonts w:ascii="Bookman Old Style" w:hAnsi="Bookman Old Style"/>
                          <w:color w:val="FFFFFF"/>
                          <w:sz w:val="68"/>
                          <w:szCs w:val="68"/>
                        </w:rPr>
                        <w:t>6</w:t>
                      </w:r>
                      <w:r w:rsidR="008A4DCE" w:rsidRPr="00750A21">
                        <w:rPr>
                          <w:rFonts w:ascii="Bookman Old Style" w:hAnsi="Bookman Old Style"/>
                          <w:color w:val="FFFFFF"/>
                          <w:sz w:val="68"/>
                          <w:szCs w:val="68"/>
                        </w:rPr>
                        <w:t xml:space="preserve">     </w:t>
                      </w:r>
                    </w:p>
                    <w:p w:rsidR="008A4DCE" w:rsidRDefault="008A4DCE" w:rsidP="00EC349D">
                      <w:pPr>
                        <w:pStyle w:val="aff7"/>
                        <w:spacing w:before="120" w:after="120"/>
                        <w:rPr>
                          <w:rFonts w:ascii="Bookman Old Style" w:hAnsi="Bookman Old Style"/>
                          <w:color w:val="FFFFFF"/>
                          <w:sz w:val="24"/>
                          <w:szCs w:val="24"/>
                        </w:rPr>
                      </w:pPr>
                      <w:r w:rsidRPr="006F2308">
                        <w:rPr>
                          <w:rFonts w:ascii="Bookman Old Style" w:hAnsi="Bookman Old Style"/>
                          <w:color w:val="FFFFFF"/>
                          <w:sz w:val="24"/>
                          <w:szCs w:val="24"/>
                        </w:rPr>
                        <w:t>Об оценке рыночной стоимости</w:t>
                      </w:r>
                      <w:r>
                        <w:rPr>
                          <w:rFonts w:ascii="Bookman Old Style" w:hAnsi="Bookman Old Style"/>
                          <w:color w:val="FFFFFF"/>
                          <w:sz w:val="24"/>
                          <w:szCs w:val="24"/>
                        </w:rPr>
                        <w:t xml:space="preserve"> Объекта оценки</w:t>
                      </w:r>
                    </w:p>
                    <w:p w:rsidR="000A4482" w:rsidRPr="000A4482" w:rsidRDefault="000A4482" w:rsidP="000A4482">
                      <w:pPr>
                        <w:spacing w:before="120" w:after="120"/>
                        <w:rPr>
                          <w:rFonts w:ascii="Bookman Old Style" w:hAnsi="Bookman Old Style"/>
                          <w:color w:val="FFFFFF" w:themeColor="background1"/>
                          <w:sz w:val="24"/>
                          <w:szCs w:val="24"/>
                        </w:rPr>
                      </w:pPr>
                      <w:r w:rsidRPr="000A4482">
                        <w:rPr>
                          <w:rFonts w:ascii="Bookman Old Style" w:hAnsi="Bookman Old Style"/>
                          <w:color w:val="FFFFFF" w:themeColor="background1"/>
                          <w:sz w:val="24"/>
                          <w:szCs w:val="24"/>
                        </w:rPr>
                        <w:t xml:space="preserve">Объект оценки: </w:t>
                      </w:r>
                    </w:p>
                    <w:p w:rsidR="000A4482" w:rsidRPr="000A4482" w:rsidRDefault="000A4482" w:rsidP="00303E37">
                      <w:pPr>
                        <w:numPr>
                          <w:ilvl w:val="0"/>
                          <w:numId w:val="49"/>
                        </w:numPr>
                        <w:spacing w:before="120" w:after="120"/>
                        <w:rPr>
                          <w:rFonts w:ascii="Bookman Old Style" w:hAnsi="Bookman Old Style"/>
                          <w:color w:val="FFFFFF" w:themeColor="background1"/>
                          <w:sz w:val="24"/>
                          <w:szCs w:val="24"/>
                        </w:rPr>
                      </w:pPr>
                      <w:r w:rsidRPr="000A4482">
                        <w:rPr>
                          <w:rFonts w:ascii="Bookman Old Style" w:hAnsi="Bookman Old Style"/>
                          <w:color w:val="FFFFFF" w:themeColor="background1"/>
                          <w:sz w:val="24"/>
                          <w:szCs w:val="24"/>
                        </w:rPr>
                        <w:t>Недвижимое и движимое имущество ООО «Окно», находящееся в залоге у Открытого акционерного общества Акционерный коммерческий банк «Банк Москвы», предназначенное к реализации путем проведения торгов</w:t>
                      </w:r>
                    </w:p>
                    <w:p w:rsidR="000A4482" w:rsidRPr="000A4482" w:rsidRDefault="000A4482" w:rsidP="000A4482">
                      <w:pPr>
                        <w:rPr>
                          <w:rFonts w:ascii="Bookman Old Style" w:hAnsi="Bookman Old Style"/>
                          <w:color w:val="FFFFFF"/>
                          <w:sz w:val="24"/>
                          <w:szCs w:val="24"/>
                          <w:lang w:eastAsia="en-US"/>
                        </w:rPr>
                      </w:pPr>
                      <w:r w:rsidRPr="000A4482">
                        <w:rPr>
                          <w:rFonts w:ascii="Bookman Old Style" w:hAnsi="Bookman Old Style"/>
                          <w:color w:val="FFFFFF"/>
                          <w:sz w:val="24"/>
                          <w:szCs w:val="24"/>
                          <w:lang w:eastAsia="en-US"/>
                        </w:rPr>
                        <w:t>Субъект права: Общество с ограниченной ответственностью «Окно» на праве собственности</w:t>
                      </w:r>
                    </w:p>
                    <w:p w:rsidR="000A4482" w:rsidRPr="000A4482" w:rsidRDefault="000A4482" w:rsidP="000A4482">
                      <w:pPr>
                        <w:rPr>
                          <w:rFonts w:ascii="Bookman Old Style" w:hAnsi="Bookman Old Style"/>
                          <w:color w:val="FFFFFF"/>
                          <w:sz w:val="24"/>
                          <w:szCs w:val="24"/>
                          <w:lang w:eastAsia="en-US"/>
                        </w:rPr>
                      </w:pPr>
                    </w:p>
                    <w:p w:rsidR="000A4482" w:rsidRPr="000A4482" w:rsidRDefault="000A4482" w:rsidP="000A4482">
                      <w:pPr>
                        <w:rPr>
                          <w:rFonts w:ascii="Bookman Old Style" w:hAnsi="Bookman Old Style"/>
                          <w:color w:val="FFFFFF"/>
                          <w:sz w:val="24"/>
                          <w:szCs w:val="24"/>
                          <w:lang w:eastAsia="en-US"/>
                        </w:rPr>
                      </w:pPr>
                      <w:r w:rsidRPr="000A4482">
                        <w:rPr>
                          <w:rFonts w:ascii="Bookman Old Style" w:hAnsi="Bookman Old Style"/>
                          <w:color w:val="FFFFFF"/>
                          <w:sz w:val="24"/>
                          <w:szCs w:val="24"/>
                          <w:lang w:eastAsia="en-US"/>
                        </w:rPr>
                        <w:t xml:space="preserve">Заказчик услуг: Общество с ограниченной ответственностью «Окно» </w:t>
                      </w:r>
                    </w:p>
                    <w:p w:rsidR="000A4482" w:rsidRPr="000A4482" w:rsidRDefault="000A4482" w:rsidP="000A4482">
                      <w:pPr>
                        <w:rPr>
                          <w:rFonts w:ascii="Bookman Old Style" w:hAnsi="Bookman Old Style"/>
                          <w:color w:val="FFFFFF"/>
                          <w:sz w:val="24"/>
                          <w:szCs w:val="24"/>
                          <w:lang w:eastAsia="en-US"/>
                        </w:rPr>
                      </w:pPr>
                    </w:p>
                    <w:p w:rsidR="000A4482" w:rsidRPr="000A4482" w:rsidRDefault="000A4482" w:rsidP="000A4482">
                      <w:pPr>
                        <w:spacing w:before="120" w:after="120"/>
                        <w:rPr>
                          <w:rFonts w:ascii="Bookman Old Style" w:hAnsi="Bookman Old Style"/>
                          <w:color w:val="FFFFFF"/>
                          <w:sz w:val="22"/>
                          <w:szCs w:val="22"/>
                        </w:rPr>
                      </w:pPr>
                      <w:r w:rsidRPr="000A4482">
                        <w:rPr>
                          <w:rFonts w:ascii="Bookman Old Style" w:hAnsi="Bookman Old Style"/>
                          <w:color w:val="FFFFFF"/>
                          <w:sz w:val="24"/>
                          <w:szCs w:val="24"/>
                          <w:lang w:eastAsia="en-US"/>
                        </w:rPr>
                        <w:t>Основание оценки: Договор на проведение оценки          № 09/08-16 от 09 августа 2016 года</w:t>
                      </w:r>
                    </w:p>
                    <w:p w:rsidR="000A4482" w:rsidRPr="000A4482" w:rsidRDefault="000A4482" w:rsidP="000A4482">
                      <w:pPr>
                        <w:spacing w:before="120" w:after="120"/>
                        <w:rPr>
                          <w:rFonts w:ascii="Bookman Old Style" w:hAnsi="Bookman Old Style"/>
                          <w:color w:val="FFFFFF"/>
                          <w:sz w:val="22"/>
                          <w:szCs w:val="22"/>
                        </w:rPr>
                      </w:pPr>
                    </w:p>
                    <w:p w:rsidR="000A4482" w:rsidRPr="000A4482" w:rsidRDefault="000A4482" w:rsidP="000A4482">
                      <w:pPr>
                        <w:rPr>
                          <w:rFonts w:ascii="Bookman Old Style" w:hAnsi="Bookman Old Style"/>
                          <w:color w:val="FFFFFF" w:themeColor="background1"/>
                          <w:sz w:val="22"/>
                          <w:szCs w:val="22"/>
                        </w:rPr>
                      </w:pPr>
                      <w:r w:rsidRPr="000A4482">
                        <w:rPr>
                          <w:rFonts w:ascii="Bookman Old Style" w:hAnsi="Bookman Old Style"/>
                          <w:color w:val="FFFFFF" w:themeColor="background1"/>
                          <w:sz w:val="22"/>
                          <w:szCs w:val="22"/>
                        </w:rPr>
                        <w:t>Дата оценки: 26 августа 2016 года</w:t>
                      </w:r>
                    </w:p>
                    <w:p w:rsidR="000A4482" w:rsidRPr="000A4482" w:rsidRDefault="000A4482" w:rsidP="000A4482">
                      <w:pPr>
                        <w:rPr>
                          <w:rFonts w:ascii="Bookman Old Style" w:hAnsi="Bookman Old Style"/>
                          <w:color w:val="FFFFFF" w:themeColor="background1"/>
                          <w:sz w:val="22"/>
                          <w:szCs w:val="22"/>
                        </w:rPr>
                      </w:pPr>
                    </w:p>
                    <w:p w:rsidR="008A4DCE" w:rsidRPr="00C35D86" w:rsidRDefault="000A4482" w:rsidP="000A4482">
                      <w:pPr>
                        <w:rPr>
                          <w:rFonts w:ascii="Bookman Old Style" w:hAnsi="Bookman Old Style"/>
                          <w:color w:val="FFFFFF" w:themeColor="background1"/>
                          <w:sz w:val="24"/>
                          <w:szCs w:val="24"/>
                        </w:rPr>
                      </w:pPr>
                      <w:r w:rsidRPr="000A4482">
                        <w:rPr>
                          <w:rFonts w:ascii="Bookman Old Style" w:hAnsi="Bookman Old Style"/>
                          <w:color w:val="FFFFFF" w:themeColor="background1"/>
                          <w:sz w:val="22"/>
                          <w:szCs w:val="22"/>
                        </w:rPr>
                        <w:t>Дата составления отчета: 31 августа 2016 года</w:t>
                      </w:r>
                    </w:p>
                    <w:p w:rsidR="008A4DCE" w:rsidRPr="00EC349D" w:rsidRDefault="008A4DCE" w:rsidP="00EC349D"/>
                    <w:p w:rsidR="008A4DCE" w:rsidRDefault="008A4DCE" w:rsidP="00EC349D"/>
                    <w:p w:rsidR="008A4DCE" w:rsidRDefault="008A4DCE" w:rsidP="00EC349D"/>
                    <w:p w:rsidR="008A4DCE" w:rsidRDefault="008A4DCE" w:rsidP="00EC349D"/>
                    <w:p w:rsidR="008A4DCE" w:rsidRDefault="008A4DCE" w:rsidP="00EC349D"/>
                    <w:p w:rsidR="008A4DCE" w:rsidRDefault="008A4DCE" w:rsidP="00EC349D"/>
                    <w:p w:rsidR="008A4DCE" w:rsidRDefault="008A4DCE" w:rsidP="00EC349D"/>
                  </w:txbxContent>
                </v:textbox>
              </v:rect>
              <v:group id="Group 188" o:spid="_x0000_s1030" style="position:absolute;left:321;top:3424;width:3125;height:6069" coordorigin="654,3599" coordsize="2880,57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BveQcMAAADbAAAADwAAAGRycy9kb3ducmV2LnhtbESPQYvCMBSE7wv+h/AE&#10;b2taxWWpRhFR8SDC6oJ4ezTPtti8lCa29d8bQfA4zMw3zGzRmVI0VLvCsoJ4GIEgTq0uOFPwf9p8&#10;/4JwHlljaZkUPMjBYt77mmGibct/1Bx9JgKEXYIKcu+rREqX5mTQDW1FHLyrrQ36IOtM6hrbADel&#10;HEXRjzRYcFjIsaJVTunteDcKti22y3G8bva36+pxOU0O531MSg363XIKwlPnP+F3e6cVT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UG95BwwAAANsAAAAP&#10;AAAAAAAAAAAAAAAAAKoCAABkcnMvZG93bnJldi54bWxQSwUGAAAAAAQABAD6AAAAmgMAAAAA&#10;">
                <v:rect id="Rectangle 189" o:spid="_x0000_s1031" style="position:absolute;left:2094;top:6479;width:1440;height:1440;flip:x;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kXgcIA&#10;AADbAAAADwAAAGRycy9kb3ducmV2LnhtbESPQYvCMBSE74L/ITzBm6YKXbQaRQTRgwirBa/P5tkW&#10;m5fSxFr/vVlY8DjMzDfMct2ZSrTUuNKygsk4AkGcWV1yriC97EYzEM4ja6wsk4I3OViv+r0lJtq+&#10;+Jfas89FgLBLUEHhfZ1I6bKCDLqxrYmDd7eNQR9kk0vd4CvATSWnUfQjDZYcFgqsaVtQ9jg/jYJ8&#10;r4/t/XG61ZvndXfazqMY41Sp4aDbLEB46vw3/N8+aAXxFP6+hB8gV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uReBwgAAANsAAAAPAAAAAAAAAAAAAAAAAJgCAABkcnMvZG93&#10;bnJldi54bWxQSwUGAAAAAAQABAD1AAAAhwMAAAAA&#10;" fillcolor="#a7bfde" strokecolor="white" strokeweight="1pt">
                  <v:fill opacity="52428f"/>
                  <v:shadow color="#d8d8d8" offset="3pt,3pt"/>
                </v:rect>
                <v:rect id="Rectangle 190" o:spid="_x0000_s1032" style="position:absolute;left:2094;top:5039;width:1440;height:1440;flip:x;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UrzsIA&#10;AADbAAAADwAAAGRycy9kb3ducmV2LnhtbESP0WoCMRRE3wv9h3ALfavZWpRlNUorCL6pqx9w2dxu&#10;FpObJcnq2q9vhEIfh5kzwyzXo7PiSiF2nhW8TwoQxI3XHbcKzqftWwkiJmSN1jMpuFOE9er5aYmV&#10;9jc+0rVOrcglHCtUYFLqKyljY8hhnPieOHvfPjhMWYZW6oC3XO6snBbFXDrsOC8Y7GljqLnUg1Mw&#10;S7UZhpP9uof9we6xPB9+yotSry/j5wJEojH9h//onc7cBzy+5B8gV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VSvOwgAAANsAAAAPAAAAAAAAAAAAAAAAAJgCAABkcnMvZG93&#10;bnJldi54bWxQSwUGAAAAAAQABAD1AAAAhwMAAAAA&#10;" fillcolor="#a7bfde" strokecolor="white" strokeweight="1pt">
                  <v:fill opacity="32896f"/>
                  <v:shadow color="#d8d8d8" offset="3pt,3pt"/>
                </v:rect>
                <v:rect id="Rectangle 191" o:spid="_x0000_s1033" style="position:absolute;left:654;top:5039;width:1440;height:1440;flip:x;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wqbsQA&#10;AADbAAAADwAAAGRycy9kb3ducmV2LnhtbESPQWvCQBSE70L/w/IK3nTT0hSbugkiSD1IoCr0+pp9&#10;JsHs25Bdk/jvXUHwOMzMN8wyG00jeupcbVnB2zwCQVxYXXOp4HjYzBYgnEfW2FgmBVdykKUvkyUm&#10;2g78S/3elyJA2CWooPK+TaR0RUUG3dy2xME72c6gD7Irpe5wCHDTyPco+pQGaw4LFba0rqg47y9G&#10;Qfmjd/3pnP+3q8vfJl9/RTHGR6Wmr+PqG4Sn0T/Dj/ZWK4g/4P4l/ACZ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kcKm7EAAAA2wAAAA8AAAAAAAAAAAAAAAAAmAIAAGRycy9k&#10;b3ducmV2LnhtbFBLBQYAAAAABAAEAPUAAACJAwAAAAA=&#10;" fillcolor="#a7bfde" strokecolor="white" strokeweight="1pt">
                  <v:fill opacity="52428f"/>
                  <v:shadow color="#d8d8d8" offset="3pt,3pt"/>
                </v:rect>
                <v:rect id="Rectangle 192" o:spid="_x0000_s1034" style="position:absolute;left:654;top:3599;width:1440;height:1440;flip:x;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WIcEA&#10;AADbAAAADwAAAGRycy9kb3ducmV2LnhtbESP0WoCMRRE34X+Q7iFvmnWgrKsRtFCoW/a1Q+4bK6b&#10;xeRmSbK69uubQsHHYebMMOvt6Ky4UYidZwXzWQGCuPG641bB+fQ5LUHEhKzReiYFD4qw3bxM1lhp&#10;f+dvutWpFbmEY4UKTEp9JWVsDDmMM98TZ+/ig8OUZWilDnjP5c7K96JYSocd5wWDPX0Yaq714BQs&#10;Um2G4WT3j3A42gOW5+NPeVXq7XXcrUAkGtMz/E9/6cwt4O9L/gFy8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fwFiHBAAAA2wAAAA8AAAAAAAAAAAAAAAAAmAIAAGRycy9kb3du&#10;cmV2LnhtbFBLBQYAAAAABAAEAPUAAACGAwAAAAA=&#10;" fillcolor="#a7bfde" strokecolor="white" strokeweight="1pt">
                  <v:fill opacity="32896f"/>
                  <v:shadow color="#d8d8d8" offset="3pt,3pt"/>
                </v:rect>
                <v:rect id="Rectangle 193" o:spid="_x0000_s1035" style="position:absolute;left:654;top:6479;width:1440;height:1440;flip:x;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KIVsEA&#10;AADbAAAADwAAAGRycy9kb3ducmV2LnhtbESP0WoCMRRE34X+Q7gF3zRrobKsRqmFQt/U1Q+4bG43&#10;i8nNkmR17debQsHHYebMMOvt6Ky4UoidZwWLeQGCuPG641bB+fQ1K0HEhKzReiYFd4qw3bxM1lhp&#10;f+MjXevUilzCsUIFJqW+kjI2hhzGue+Js/fjg8OUZWilDnjL5c7Kt6JYSocd5wWDPX0aai714BS8&#10;p9oMw8nu7mF/sHssz4ff8qLU9HX8WIFINKZn+J/+1plbwt+X/APk5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ciiFbBAAAA2wAAAA8AAAAAAAAAAAAAAAAAmAIAAGRycy9kb3du&#10;cmV2LnhtbFBLBQYAAAAABAAEAPUAAACGAwAAAAA=&#10;" fillcolor="#a7bfde" strokecolor="white" strokeweight="1pt">
                  <v:fill opacity="32896f"/>
                  <v:shadow color="#d8d8d8" offset="3pt,3pt"/>
                </v:rect>
                <v:rect id="Rectangle 194" o:spid="_x0000_s1036" style="position:absolute;left:2094;top:7919;width:1440;height:1440;flip:x;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4tzcIA&#10;AADbAAAADwAAAGRycy9kb3ducmV2LnhtbESP0WoCMRRE3wv9h3ALfavZCtVlNUorCL6pqx9w2dxu&#10;FpObJcnq2q9vhEIfh5kzwyzXo7PiSiF2nhW8TwoQxI3XHbcKzqftWwkiJmSN1jMpuFOE9er5aYmV&#10;9jc+0rVOrcglHCtUYFLqKyljY8hhnPieOHvfPjhMWYZW6oC3XO6snBbFTDrsOC8Y7GljqLnUg1Pw&#10;kWozDCf7dQ/7g91jeT78lBelXl/GzwWIRGP6D//RO525OTy+5B8gV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bi3NwgAAANsAAAAPAAAAAAAAAAAAAAAAAJgCAABkcnMvZG93&#10;bnJldi54bWxQSwUGAAAAAAQABAD1AAAAhwMAAAAA&#10;" fillcolor="#a7bfde" strokecolor="white" strokeweight="1pt">
                  <v:fill opacity="32896f"/>
                  <v:shadow color="#d8d8d8" offset="3pt,3pt"/>
                </v:rect>
              </v:group>
              <v:rect id="Rectangle 195" o:spid="_x0000_s1037" style="position:absolute;left:2690;top:406;width:1563;height:1518;flip:x;visibility:visibl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BT3b8A&#10;AADbAAAADwAAAGRycy9kb3ducmV2LnhtbERPzWrCQBC+F3yHZYReim4sVDS6igRKLfRQow8wZMds&#10;MDsbsqvGt3cOhR4/vv/1dvCtulEfm8AGZtMMFHEVbMO1gdPxc7IAFROyxTYwGXhQhO1m9LLG3IY7&#10;H+hWplpJCMccDbiUulzrWDnyGKehIxbuHHqPSWBfa9vjXcJ9q9+zbK49NiwNDjsqHFWX8uoNfBTf&#10;9c++soXTcf62/N0V9BVKY17Hw24FKtGQ/sV/7r0Vn4yVL/ID9OY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6kFPdvwAAANsAAAAPAAAAAAAAAAAAAAAAAJgCAABkcnMvZG93bnJl&#10;di54bWxQSwUGAAAAAAQABAD1AAAAhAMAAAAA&#10;" fillcolor="#c0504d" strokecolor="white" strokeweight="1pt">
                <v:shadow color="#d8d8d8" offset="3pt,3pt"/>
                <v:textbox>
                  <w:txbxContent>
                    <w:p w:rsidR="008A4DCE" w:rsidRPr="00EC349D" w:rsidRDefault="008A4DCE" w:rsidP="00EA6645">
                      <w:pPr>
                        <w:rPr>
                          <w:rFonts w:asciiTheme="majorHAnsi" w:hAnsiTheme="majorHAnsi"/>
                          <w:color w:val="FFFFFF"/>
                          <w:sz w:val="48"/>
                          <w:szCs w:val="52"/>
                        </w:rPr>
                      </w:pPr>
                      <w:r w:rsidRPr="00EC349D">
                        <w:rPr>
                          <w:rFonts w:asciiTheme="majorHAnsi" w:hAnsiTheme="majorHAnsi"/>
                          <w:color w:val="FFFFFF"/>
                          <w:sz w:val="52"/>
                          <w:szCs w:val="52"/>
                        </w:rPr>
                        <w:t>201</w:t>
                      </w:r>
                      <w:r>
                        <w:rPr>
                          <w:rFonts w:asciiTheme="majorHAnsi" w:hAnsiTheme="majorHAnsi"/>
                          <w:color w:val="FFFFFF"/>
                          <w:sz w:val="52"/>
                          <w:szCs w:val="52"/>
                        </w:rPr>
                        <w:t>6</w:t>
                      </w:r>
                    </w:p>
                  </w:txbxContent>
                </v:textbox>
              </v:rect>
            </v:group>
            <v:group id="Group 196" o:spid="_x0000_s1038" style="position:absolute;left:3446;top:13758;width:8169;height:1382" coordorigin="3446,13758" coordsize="8169,13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m3SR8UAAADbAAAADwAAAGRycy9kb3ducmV2LnhtbESPT2vCQBTE70K/w/IK&#10;vdVNWlJqdBWRtvQgBZOCeHtkn0kw+zZkt/nz7V2h4HGYmd8wq81oGtFT52rLCuJ5BIK4sLrmUsFv&#10;/vn8DsJ5ZI2NZVIwkYPN+mG2wlTbgQ/UZ74UAcIuRQWV920qpSsqMujmtiUO3tl2Bn2QXSl1h0OA&#10;m0a+RNGbNFhzWKiwpV1FxSX7Mwq+Bhy2r/FHv7+cd9MpT36O+5iUenoct0sQnkZ/D/+3v7WCZAG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pt0kfFAAAA2wAA&#10;AA8AAAAAAAAAAAAAAAAAqgIAAGRycy9kb3ducmV2LnhtbFBLBQYAAAAABAAEAPoAAACcAwAAAAA=&#10;">
              <v:group id="Group 197" o:spid="_x0000_s1039" style="position:absolute;left:10833;top:14380;width:782;height:760;flip:x y" coordorigin="8754,11945" coordsize="2880,28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i1SfnCAAAA2wAAAA8A&#10;AAAAAAAAAAAAAAAAqgIAAGRycy9kb3ducmV2LnhtbFBLBQYAAAAABAAEAPoAAACZAwAAAAA=&#10;">
                <v:rect id="Rectangle 198" o:spid="_x0000_s1040" style="position:absolute;left:10194;top:11945;width:1440;height:1440;flip:x;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jpO8MA&#10;AADbAAAADwAAAGRycy9kb3ducmV2LnhtbESPT2sCMRTE7wW/Q3hCL6UmFhTdGsU/FHoqVL14e2xe&#10;N0s3L8vmuW6/fSMUehxm5jfMajOERvXUpTqyhenEgCIuo6u5snA+vT0vQCVBdthEJgs/lGCzHj2s&#10;sHDxxp/UH6VSGcKpQAtepC20TqWngGkSW+LsfcUuoGTZVdp1eMvw0OgXY+Y6YM15wWNLe0/l9/Ea&#10;LBgnaXbpd34rH1of6id3bszS2sfxsH0FJTTIf/iv/e4szKdw/5J/gF7/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UjpO8MAAADbAAAADwAAAAAAAAAAAAAAAACYAgAAZHJzL2Rv&#10;d25yZXYueG1sUEsFBgAAAAAEAAQA9QAAAIgDAAAAAA==&#10;" fillcolor="#bfbfbf" strokecolor="white" strokeweight="1pt">
                  <v:fill opacity="32896f"/>
                  <v:shadow color="#d8d8d8" offset="3pt,3pt"/>
                </v:rect>
                <v:rect id="Rectangle 199" o:spid="_x0000_s1041" style="position:absolute;left:10194;top:13364;width:1440;height:1440;flip:x;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20hMIA&#10;AADbAAAADwAAAGRycy9kb3ducmV2LnhtbESPwWrDMBBE74X+g9hCbrXclJjgRgkl0OKcSpN8wNZa&#10;W6bWykiK7fx9VAj0OMzMG2azm20vRvKhc6zgJctBENdOd9wqOJ8+ntcgQkTW2DsmBVcKsNs+Pmyw&#10;1G7ibxqPsRUJwqFEBSbGoZQy1IYshswNxMlrnLcYk/St1B6nBLe9XOZ5IS12nBYMDrQ3VP8eL1YB&#10;6c+q//niots3lxVXXpvXQ1Rq8TS/v4GINMf/8L1daQXFEv6+pB8gt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rbSEwgAAANsAAAAPAAAAAAAAAAAAAAAAAJgCAABkcnMvZG93&#10;bnJldi54bWxQSwUGAAAAAAQABAD1AAAAhwMAAAAA&#10;" fillcolor="#c0504d" strokecolor="white" strokeweight="1pt">
                  <v:shadow color="#d8d8d8" offset="3pt,3pt"/>
                </v:rect>
                <v:rect id="Rectangle 200" o:spid="_x0000_s1042" style="position:absolute;left:8754;top:13364;width:1440;height:1440;flip:x;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S18MA&#10;AADbAAAADwAAAGRycy9kb3ducmV2LnhtbESPQWsCMRSE7wX/Q3hCL0UTLRW7NYq1FHoq1Hrp7bF5&#10;3SxuXpbN67r+e1MQPA4z8w2z2gyhUT11qY5sYTY1oIjL6GquLBy+3ydLUEmQHTaRycKZEmzWo7sV&#10;Fi6e+Iv6vVQqQzgVaMGLtIXWqfQUME1jS5y939gFlCy7SrsOTxkeGj03ZqED1pwXPLa081Qe93/B&#10;gnGSnn76V7+VT63f6gd3aMyztffjYfsCSmiQW/ja/nAWFo/w/yX/AL2+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bS18MAAADbAAAADwAAAAAAAAAAAAAAAACYAgAAZHJzL2Rv&#10;d25yZXYueG1sUEsFBgAAAAAEAAQA9QAAAIgDAAAAAA==&#10;" fillcolor="#bfbfbf" strokecolor="white" strokeweight="1pt">
                  <v:fill opacity="32896f"/>
                  <v:shadow color="#d8d8d8" offset="3pt,3pt"/>
                </v:rect>
              </v:group>
              <v:rect id="Rectangle 201" o:spid="_x0000_s1043" style="position:absolute;left:3446;top:13758;width:7105;height:1382;visibility:visibl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Q2IcIA&#10;AADcAAAADwAAAGRycy9kb3ducmV2LnhtbESPQYvCMBSE7wv+h/AEb2vaIrpUo4ggyN7Wetjjs3m2&#10;xealJFGz/34jCB6HmfmGWW2i6cWdnO8sK8inGQji2uqOGwWnav/5BcIHZI29ZVLwRx4269HHCktt&#10;H/xD92NoRIKwL1FBG8JQSunrlgz6qR2Ik3exzmBI0jVSO3wkuOllkWVzabDjtNDiQLuW6uvxZhTc&#10;tufDZedyjkO1+Pax7iv5mys1GcftEkSgGN7hV/ugFRTFDJ5n0hGQ6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BDYhwgAAANwAAAAPAAAAAAAAAAAAAAAAAJgCAABkcnMvZG93&#10;bnJldi54bWxQSwUGAAAAAAQABAD1AAAAhwMAAAAA&#10;" filled="f" stroked="f" strokecolor="white" strokeweight="1pt">
                <v:fill opacity="52428f"/>
                <v:textbox inset=",0,,0">
                  <w:txbxContent>
                    <w:p w:rsidR="008A4DCE" w:rsidRDefault="008A4DCE" w:rsidP="00EC349D">
                      <w:pPr>
                        <w:pStyle w:val="aff7"/>
                        <w:jc w:val="right"/>
                        <w:rPr>
                          <w:rFonts w:ascii="Bookman Old Style" w:hAnsi="Bookman Old Style"/>
                          <w:color w:val="FFFFFF"/>
                          <w:sz w:val="20"/>
                          <w:szCs w:val="20"/>
                        </w:rPr>
                      </w:pPr>
                    </w:p>
                    <w:p w:rsidR="008A4DCE" w:rsidRDefault="008A4DCE" w:rsidP="00EC349D">
                      <w:pPr>
                        <w:pStyle w:val="aff7"/>
                        <w:jc w:val="right"/>
                        <w:rPr>
                          <w:rFonts w:ascii="Bookman Old Style" w:hAnsi="Bookman Old Style"/>
                          <w:color w:val="FFFFFF"/>
                          <w:sz w:val="20"/>
                          <w:szCs w:val="20"/>
                        </w:rPr>
                      </w:pPr>
                    </w:p>
                    <w:p w:rsidR="008A4DCE" w:rsidRDefault="008A4DCE" w:rsidP="00EC349D">
                      <w:pPr>
                        <w:pStyle w:val="aff7"/>
                        <w:jc w:val="right"/>
                        <w:rPr>
                          <w:rFonts w:ascii="Bookman Old Style" w:hAnsi="Bookman Old Style"/>
                          <w:color w:val="FFFFFF"/>
                          <w:sz w:val="20"/>
                          <w:szCs w:val="20"/>
                        </w:rPr>
                      </w:pPr>
                    </w:p>
                    <w:p w:rsidR="008A4DCE" w:rsidRPr="009B7391" w:rsidRDefault="008A4DCE" w:rsidP="00EC349D">
                      <w:pPr>
                        <w:pStyle w:val="aff7"/>
                        <w:jc w:val="right"/>
                        <w:rPr>
                          <w:rFonts w:ascii="Bookman Old Style" w:hAnsi="Bookman Old Style"/>
                          <w:color w:val="FFFFFF"/>
                          <w:sz w:val="20"/>
                          <w:szCs w:val="20"/>
                        </w:rPr>
                      </w:pPr>
                      <w:r w:rsidRPr="009B7391">
                        <w:rPr>
                          <w:rFonts w:ascii="Bookman Old Style" w:hAnsi="Bookman Old Style"/>
                          <w:color w:val="FFFFFF"/>
                          <w:sz w:val="20"/>
                          <w:szCs w:val="20"/>
                        </w:rPr>
                        <w:t>ООО «</w:t>
                      </w:r>
                      <w:r>
                        <w:rPr>
                          <w:rFonts w:ascii="Bookman Old Style" w:hAnsi="Bookman Old Style"/>
                          <w:color w:val="FFFFFF"/>
                          <w:sz w:val="20"/>
                          <w:szCs w:val="20"/>
                        </w:rPr>
                        <w:t>АОС Золотое правило</w:t>
                      </w:r>
                      <w:r w:rsidRPr="009B7391">
                        <w:rPr>
                          <w:rFonts w:ascii="Bookman Old Style" w:hAnsi="Bookman Old Style"/>
                          <w:color w:val="FFFFFF"/>
                          <w:sz w:val="20"/>
                          <w:szCs w:val="20"/>
                        </w:rPr>
                        <w:t>»</w:t>
                      </w:r>
                    </w:p>
                    <w:p w:rsidR="008A4DCE" w:rsidRDefault="000A4482" w:rsidP="00EC349D">
                      <w:pPr>
                        <w:pStyle w:val="aff7"/>
                        <w:jc w:val="right"/>
                        <w:rPr>
                          <w:rFonts w:ascii="Bookman Old Style" w:hAnsi="Bookman Old Style"/>
                          <w:color w:val="FFFFFF"/>
                          <w:sz w:val="20"/>
                          <w:szCs w:val="20"/>
                        </w:rPr>
                      </w:pPr>
                      <w:r>
                        <w:rPr>
                          <w:rFonts w:ascii="Bookman Old Style" w:hAnsi="Bookman Old Style"/>
                          <w:color w:val="FFFFFF"/>
                          <w:sz w:val="20"/>
                          <w:szCs w:val="20"/>
                        </w:rPr>
                        <w:t>31</w:t>
                      </w:r>
                      <w:r w:rsidR="008A4DCE" w:rsidRPr="00117AA6">
                        <w:rPr>
                          <w:rFonts w:ascii="Bookman Old Style" w:hAnsi="Bookman Old Style"/>
                          <w:color w:val="FFFFFF"/>
                          <w:sz w:val="20"/>
                          <w:szCs w:val="20"/>
                        </w:rPr>
                        <w:t>.</w:t>
                      </w:r>
                      <w:r w:rsidR="008A4DCE">
                        <w:rPr>
                          <w:rFonts w:ascii="Bookman Old Style" w:hAnsi="Bookman Old Style"/>
                          <w:color w:val="FFFFFF"/>
                          <w:sz w:val="20"/>
                          <w:szCs w:val="20"/>
                        </w:rPr>
                        <w:t>08</w:t>
                      </w:r>
                      <w:r w:rsidR="008A4DCE" w:rsidRPr="00117AA6">
                        <w:rPr>
                          <w:rFonts w:ascii="Bookman Old Style" w:hAnsi="Bookman Old Style"/>
                          <w:color w:val="FFFFFF"/>
                          <w:sz w:val="20"/>
                          <w:szCs w:val="20"/>
                        </w:rPr>
                        <w:t>.201</w:t>
                      </w:r>
                      <w:r w:rsidR="008A4DCE">
                        <w:rPr>
                          <w:rFonts w:ascii="Bookman Old Style" w:hAnsi="Bookman Old Style"/>
                          <w:color w:val="FFFFFF"/>
                          <w:sz w:val="20"/>
                          <w:szCs w:val="20"/>
                        </w:rPr>
                        <w:t>6</w:t>
                      </w:r>
                    </w:p>
                    <w:p w:rsidR="008A4DCE" w:rsidRPr="009B7391" w:rsidRDefault="008A4DCE" w:rsidP="00EC349D">
                      <w:pPr>
                        <w:pStyle w:val="aff7"/>
                        <w:jc w:val="right"/>
                        <w:rPr>
                          <w:color w:val="FFFFFF"/>
                        </w:rPr>
                      </w:pPr>
                      <w:r>
                        <w:rPr>
                          <w:rFonts w:ascii="Bookman Old Style" w:hAnsi="Bookman Old Style"/>
                          <w:color w:val="FFFFFF"/>
                          <w:sz w:val="20"/>
                          <w:szCs w:val="20"/>
                        </w:rPr>
                        <w:t>Экз. № 1.</w:t>
                      </w:r>
                    </w:p>
                    <w:p w:rsidR="008A4DCE" w:rsidRPr="009B7391" w:rsidRDefault="008A4DCE" w:rsidP="00EC349D">
                      <w:pPr>
                        <w:pStyle w:val="aff7"/>
                        <w:jc w:val="right"/>
                        <w:rPr>
                          <w:color w:val="FFFFFF"/>
                        </w:rPr>
                      </w:pPr>
                    </w:p>
                  </w:txbxContent>
                </v:textbox>
              </v:rect>
            </v:group>
            <w10:wrap anchorx="page" anchory="page"/>
          </v:group>
        </w:pict>
      </w:r>
    </w:p>
    <w:p w:rsidR="00EC349D" w:rsidRPr="00EC349D" w:rsidRDefault="00EC349D" w:rsidP="00EC349D">
      <w:pPr>
        <w:spacing w:after="200" w:line="276" w:lineRule="auto"/>
        <w:rPr>
          <w:rFonts w:ascii="Calibri" w:hAnsi="Calibri"/>
          <w:sz w:val="22"/>
          <w:szCs w:val="22"/>
        </w:rPr>
      </w:pPr>
    </w:p>
    <w:p w:rsidR="00EC349D" w:rsidRPr="00EC349D" w:rsidRDefault="006C4CCF" w:rsidP="00EC349D">
      <w:pPr>
        <w:spacing w:after="200" w:line="276" w:lineRule="auto"/>
        <w:rPr>
          <w:rFonts w:ascii="Calibri" w:hAnsi="Calibri"/>
          <w:sz w:val="22"/>
          <w:szCs w:val="22"/>
        </w:rPr>
      </w:pPr>
      <w:r>
        <w:rPr>
          <w:rFonts w:ascii="Calibri" w:hAnsi="Calibri"/>
          <w:noProof/>
          <w:sz w:val="22"/>
          <w:szCs w:val="22"/>
        </w:rPr>
        <w:pict>
          <v:shapetype id="_x0000_t120" coordsize="21600,21600" o:spt="120" path="m10800,qx,10800,10800,21600,21600,10800,10800,xe">
            <v:path gradientshapeok="t" o:connecttype="custom" o:connectlocs="10800,0;3163,3163;0,10800;3163,18437;10800,21600;18437,18437;21600,10800;18437,3163" textboxrect="3163,3163,18437,18437"/>
          </v:shapetype>
          <v:shape id="AutoShape 202" o:spid="_x0000_s1052" type="#_x0000_t120" style="position:absolute;margin-left:298.55pt;margin-top:94.8pt;width:130.4pt;height:129.45pt;z-index:251678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" fillcolor="#d8d8d8" strokecolor="white">
            <o:lock v:ext="edit" aspectratio="t"/>
          </v:shape>
        </w:pict>
      </w:r>
      <w:r>
        <w:rPr>
          <w:rFonts w:ascii="Calibri" w:hAnsi="Calibri"/>
          <w:noProof/>
          <w:sz w:val="22"/>
          <w:szCs w:val="22"/>
        </w:rPr>
        <w:pict>
          <v:shapetype id="_x0000_t32" coordsize="21600,21600" o:spt="32" o:oned="t" path="m,l21600,21600e" filled="f">
            <v:path arrowok="t" fillok="f" o:connecttype="none"/>
            <o:lock v:ext="edit" shapetype="t"/>
          </v:shapetype>
          <v:shape id="AutoShape 203" o:spid="_x0000_s1051" type="#_x0000_t32" style="position:absolute;margin-left:303.05pt;margin-top:123.35pt;width:116.5pt;height:0;z-index:251679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" strokecolor="#a5a5a5"/>
        </w:pict>
      </w:r>
    </w:p>
    <w:p w:rsidR="00EC349D" w:rsidRDefault="00A83D6B" w:rsidP="00A83D6B">
      <w:pPr>
        <w:rPr>
          <w:rFonts w:ascii="Bookman Old Style" w:hAnsi="Bookman Old Style"/>
          <w:sz w:val="20"/>
          <w:szCs w:val="20"/>
        </w:rPr>
      </w:pPr>
      <w:r w:rsidRPr="003F0EDB">
        <w:rPr>
          <w:rFonts w:ascii="Bookman Old Style" w:hAnsi="Bookman Old Style"/>
          <w:sz w:val="20"/>
          <w:szCs w:val="20"/>
        </w:rPr>
        <w:tab/>
      </w:r>
      <w:r w:rsidRPr="003F0EDB">
        <w:rPr>
          <w:rFonts w:ascii="Bookman Old Style" w:hAnsi="Bookman Old Style"/>
          <w:sz w:val="20"/>
          <w:szCs w:val="20"/>
        </w:rPr>
        <w:tab/>
      </w:r>
      <w:r w:rsidRPr="003F0EDB">
        <w:rPr>
          <w:rFonts w:ascii="Bookman Old Style" w:hAnsi="Bookman Old Style"/>
          <w:sz w:val="20"/>
          <w:szCs w:val="20"/>
        </w:rPr>
        <w:tab/>
      </w:r>
      <w:r w:rsidRPr="003F0EDB">
        <w:rPr>
          <w:rFonts w:ascii="Bookman Old Style" w:hAnsi="Bookman Old Style"/>
          <w:sz w:val="20"/>
          <w:szCs w:val="20"/>
        </w:rPr>
        <w:tab/>
      </w:r>
      <w:r w:rsidRPr="003F0EDB">
        <w:rPr>
          <w:rFonts w:ascii="Bookman Old Style" w:hAnsi="Bookman Old Style"/>
          <w:sz w:val="20"/>
          <w:szCs w:val="20"/>
        </w:rPr>
        <w:tab/>
      </w:r>
      <w:r w:rsidRPr="003F0EDB">
        <w:rPr>
          <w:rFonts w:ascii="Bookman Old Style" w:hAnsi="Bookman Old Style"/>
          <w:sz w:val="20"/>
          <w:szCs w:val="20"/>
        </w:rPr>
        <w:tab/>
      </w:r>
      <w:r w:rsidRPr="003F0EDB">
        <w:rPr>
          <w:rFonts w:ascii="Bookman Old Style" w:hAnsi="Bookman Old Style"/>
          <w:sz w:val="20"/>
          <w:szCs w:val="20"/>
        </w:rPr>
        <w:tab/>
      </w: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EC349D" w:rsidRDefault="00EC349D" w:rsidP="00A83D6B">
      <w:pPr>
        <w:rPr>
          <w:rFonts w:ascii="Bookman Old Style" w:hAnsi="Bookman Old Style"/>
          <w:sz w:val="20"/>
          <w:szCs w:val="20"/>
        </w:rPr>
      </w:pPr>
    </w:p>
    <w:p w:rsidR="000A4482" w:rsidRPr="000A4482" w:rsidRDefault="000A4482" w:rsidP="000A4482">
      <w:pPr>
        <w:ind w:left="6372"/>
        <w:rPr>
          <w:rFonts w:ascii="Bookman Old Style" w:hAnsi="Bookman Old Style"/>
          <w:b/>
          <w:sz w:val="20"/>
          <w:szCs w:val="20"/>
        </w:rPr>
      </w:pPr>
      <w:r w:rsidRPr="000A4482">
        <w:rPr>
          <w:rFonts w:ascii="Bookman Old Style" w:hAnsi="Bookman Old Style"/>
          <w:b/>
          <w:sz w:val="20"/>
          <w:szCs w:val="20"/>
        </w:rPr>
        <w:lastRenderedPageBreak/>
        <w:t>Конкурсному управляющему</w:t>
      </w:r>
    </w:p>
    <w:p w:rsidR="000A4482" w:rsidRPr="000A4482" w:rsidRDefault="000A4482" w:rsidP="000A4482">
      <w:pPr>
        <w:ind w:left="6372"/>
        <w:rPr>
          <w:rFonts w:ascii="Bookman Old Style" w:hAnsi="Bookman Old Style"/>
          <w:b/>
          <w:sz w:val="20"/>
          <w:szCs w:val="20"/>
        </w:rPr>
      </w:pPr>
      <w:r w:rsidRPr="000A4482">
        <w:rPr>
          <w:rFonts w:ascii="Bookman Old Style" w:hAnsi="Bookman Old Style"/>
          <w:b/>
          <w:sz w:val="20"/>
          <w:szCs w:val="20"/>
        </w:rPr>
        <w:t>ООО «Окно»</w:t>
      </w:r>
    </w:p>
    <w:p w:rsidR="000A4482" w:rsidRPr="000A4482" w:rsidRDefault="000A4482" w:rsidP="000A4482">
      <w:pPr>
        <w:ind w:left="6372"/>
        <w:rPr>
          <w:rFonts w:ascii="Bookman Old Style" w:hAnsi="Bookman Old Style"/>
          <w:b/>
          <w:sz w:val="20"/>
          <w:szCs w:val="20"/>
        </w:rPr>
      </w:pPr>
      <w:r w:rsidRPr="000A4482">
        <w:rPr>
          <w:rFonts w:ascii="Bookman Old Style" w:hAnsi="Bookman Old Style"/>
          <w:b/>
          <w:sz w:val="20"/>
          <w:szCs w:val="20"/>
        </w:rPr>
        <w:t>Епифановой Л.А</w:t>
      </w:r>
    </w:p>
    <w:p w:rsidR="000A4482" w:rsidRPr="000A4482" w:rsidRDefault="000A4482" w:rsidP="000A4482">
      <w:pPr>
        <w:autoSpaceDE w:val="0"/>
        <w:autoSpaceDN w:val="0"/>
        <w:adjustRightInd w:val="0"/>
        <w:jc w:val="center"/>
        <w:rPr>
          <w:rFonts w:ascii="Bookman Old Style" w:hAnsi="Bookman Old Style"/>
          <w:b/>
          <w:bCs/>
          <w:sz w:val="20"/>
          <w:szCs w:val="20"/>
        </w:rPr>
      </w:pPr>
    </w:p>
    <w:p w:rsidR="000A4482" w:rsidRPr="000A4482" w:rsidRDefault="000A4482" w:rsidP="000A4482">
      <w:pPr>
        <w:autoSpaceDE w:val="0"/>
        <w:autoSpaceDN w:val="0"/>
        <w:adjustRightInd w:val="0"/>
        <w:jc w:val="center"/>
        <w:rPr>
          <w:rFonts w:ascii="Bookman Old Style" w:hAnsi="Bookman Old Style"/>
          <w:b/>
          <w:bCs/>
          <w:sz w:val="20"/>
          <w:szCs w:val="20"/>
        </w:rPr>
      </w:pPr>
      <w:r w:rsidRPr="000A4482">
        <w:rPr>
          <w:rFonts w:ascii="Bookman Old Style" w:hAnsi="Bookman Old Style"/>
          <w:b/>
          <w:bCs/>
          <w:sz w:val="20"/>
          <w:szCs w:val="20"/>
        </w:rPr>
        <w:t>Уважаемая Лина Алексеевна!</w:t>
      </w:r>
    </w:p>
    <w:p w:rsidR="000A4482" w:rsidRPr="000A4482" w:rsidRDefault="000A4482" w:rsidP="000A4482">
      <w:pPr>
        <w:autoSpaceDE w:val="0"/>
        <w:autoSpaceDN w:val="0"/>
        <w:adjustRightInd w:val="0"/>
        <w:spacing w:before="120" w:after="120"/>
        <w:ind w:firstLine="709"/>
        <w:jc w:val="both"/>
        <w:rPr>
          <w:rFonts w:ascii="Bookman Old Style" w:hAnsi="Bookman Old Style"/>
          <w:sz w:val="20"/>
          <w:szCs w:val="20"/>
        </w:rPr>
      </w:pPr>
      <w:r w:rsidRPr="000A4482">
        <w:rPr>
          <w:rFonts w:ascii="Bookman Old Style" w:hAnsi="Bookman Old Style"/>
          <w:sz w:val="20"/>
          <w:szCs w:val="20"/>
        </w:rPr>
        <w:t>В соответствии с договором на проведение оценки:</w:t>
      </w:r>
    </w:p>
    <w:p w:rsidR="000A4482" w:rsidRPr="000A4482" w:rsidRDefault="000A4482" w:rsidP="00303E37">
      <w:pPr>
        <w:numPr>
          <w:ilvl w:val="0"/>
          <w:numId w:val="51"/>
        </w:numPr>
        <w:spacing w:before="120" w:after="120"/>
        <w:jc w:val="both"/>
        <w:rPr>
          <w:rFonts w:ascii="Bookman Old Style" w:hAnsi="Bookman Old Style"/>
          <w:sz w:val="20"/>
          <w:szCs w:val="20"/>
        </w:rPr>
      </w:pPr>
      <w:bookmarkStart w:id="0" w:name="_Toc219279613"/>
      <w:r w:rsidRPr="000A4482">
        <w:rPr>
          <w:rFonts w:ascii="Bookman Old Style" w:hAnsi="Bookman Old Style"/>
          <w:sz w:val="20"/>
          <w:szCs w:val="20"/>
        </w:rPr>
        <w:t>№ 09/08-16 от «09» августа 2016 года</w:t>
      </w:r>
      <w:r w:rsidRPr="000A4482">
        <w:rPr>
          <w:rFonts w:ascii="Bookman Old Style" w:hAnsi="Bookman Old Style"/>
          <w:bCs/>
          <w:sz w:val="20"/>
          <w:szCs w:val="20"/>
        </w:rPr>
        <w:t>;</w:t>
      </w:r>
      <w:bookmarkEnd w:id="0"/>
      <w:r w:rsidRPr="000A4482">
        <w:rPr>
          <w:rFonts w:ascii="Bookman Old Style" w:hAnsi="Bookman Old Style"/>
          <w:bCs/>
          <w:sz w:val="20"/>
          <w:szCs w:val="20"/>
        </w:rPr>
        <w:t xml:space="preserve">  </w:t>
      </w:r>
    </w:p>
    <w:p w:rsidR="000A4482" w:rsidRPr="000A4482" w:rsidRDefault="000A4482" w:rsidP="000A4482">
      <w:pPr>
        <w:spacing w:before="120" w:after="120"/>
        <w:ind w:left="708"/>
        <w:jc w:val="both"/>
        <w:rPr>
          <w:rFonts w:ascii="Bookman Old Style" w:hAnsi="Bookman Old Style"/>
          <w:sz w:val="20"/>
          <w:szCs w:val="20"/>
        </w:rPr>
      </w:pPr>
      <w:r w:rsidRPr="000A4482">
        <w:rPr>
          <w:rFonts w:ascii="Bookman Old Style" w:hAnsi="Bookman Old Style"/>
          <w:sz w:val="20"/>
          <w:szCs w:val="20"/>
        </w:rPr>
        <w:t>и заданием на оценку:</w:t>
      </w:r>
    </w:p>
    <w:p w:rsidR="000A4482" w:rsidRPr="000A4482" w:rsidRDefault="000A4482" w:rsidP="00303E37">
      <w:pPr>
        <w:numPr>
          <w:ilvl w:val="0"/>
          <w:numId w:val="51"/>
        </w:numPr>
        <w:spacing w:before="120" w:after="120"/>
        <w:jc w:val="both"/>
        <w:rPr>
          <w:rFonts w:ascii="Bookman Old Style" w:hAnsi="Bookman Old Style"/>
          <w:bCs/>
          <w:color w:val="000000" w:themeColor="text1"/>
          <w:sz w:val="20"/>
          <w:szCs w:val="20"/>
        </w:rPr>
      </w:pPr>
      <w:bookmarkStart w:id="1" w:name="_Toc219279614"/>
      <w:r w:rsidRPr="000A4482">
        <w:rPr>
          <w:rFonts w:ascii="Bookman Old Style" w:hAnsi="Bookman Old Style"/>
          <w:bCs/>
          <w:color w:val="000000" w:themeColor="text1"/>
          <w:sz w:val="20"/>
          <w:szCs w:val="20"/>
        </w:rPr>
        <w:t>приложение № 1 к договору № 09/08-16 от «09» августа 2016 года;</w:t>
      </w:r>
      <w:bookmarkEnd w:id="1"/>
      <w:r w:rsidRPr="000A4482">
        <w:rPr>
          <w:rFonts w:ascii="Bookman Old Style" w:hAnsi="Bookman Old Style"/>
          <w:bCs/>
          <w:color w:val="000000" w:themeColor="text1"/>
          <w:sz w:val="20"/>
          <w:szCs w:val="20"/>
        </w:rPr>
        <w:t xml:space="preserve"> </w:t>
      </w:r>
    </w:p>
    <w:p w:rsidR="000A4482" w:rsidRPr="000A4482" w:rsidRDefault="000A4482" w:rsidP="000A4482">
      <w:pPr>
        <w:autoSpaceDE w:val="0"/>
        <w:autoSpaceDN w:val="0"/>
        <w:adjustRightInd w:val="0"/>
        <w:spacing w:before="120" w:after="120"/>
        <w:ind w:firstLine="708"/>
        <w:jc w:val="both"/>
        <w:rPr>
          <w:rFonts w:ascii="Bookman Old Style" w:hAnsi="Bookman Old Style"/>
          <w:color w:val="000000" w:themeColor="text1"/>
          <w:sz w:val="20"/>
          <w:szCs w:val="20"/>
        </w:rPr>
      </w:pPr>
      <w:r w:rsidRPr="000A4482">
        <w:rPr>
          <w:rFonts w:ascii="Bookman Old Style" w:hAnsi="Bookman Old Style"/>
          <w:color w:val="000000" w:themeColor="text1"/>
          <w:sz w:val="20"/>
          <w:szCs w:val="20"/>
        </w:rPr>
        <w:t>заключенным между Вами и ООО «АОС «Золотое правило», в лице генерального директора Золотарева О.С., был проведен расчет рыночной стоимости Объекта оценки.</w:t>
      </w:r>
    </w:p>
    <w:p w:rsidR="000A4482" w:rsidRPr="000A4482" w:rsidRDefault="000A4482" w:rsidP="000A4482">
      <w:pPr>
        <w:autoSpaceDE w:val="0"/>
        <w:autoSpaceDN w:val="0"/>
        <w:adjustRightInd w:val="0"/>
        <w:spacing w:before="120" w:after="120"/>
        <w:ind w:firstLine="708"/>
        <w:jc w:val="both"/>
        <w:rPr>
          <w:rFonts w:ascii="Bookman Old Style" w:hAnsi="Bookman Old Style"/>
          <w:color w:val="000000" w:themeColor="text1"/>
          <w:sz w:val="20"/>
          <w:szCs w:val="20"/>
        </w:rPr>
      </w:pPr>
      <w:r w:rsidRPr="000A4482">
        <w:rPr>
          <w:rFonts w:ascii="Bookman Old Style" w:hAnsi="Bookman Old Style"/>
          <w:color w:val="000000" w:themeColor="text1"/>
          <w:sz w:val="20"/>
          <w:szCs w:val="20"/>
        </w:rPr>
        <w:t xml:space="preserve">Объект оценки: </w:t>
      </w:r>
    </w:p>
    <w:p w:rsidR="000A4482" w:rsidRPr="000A4482" w:rsidRDefault="000A4482" w:rsidP="000A4482">
      <w:pPr>
        <w:autoSpaceDE w:val="0"/>
        <w:autoSpaceDN w:val="0"/>
        <w:adjustRightInd w:val="0"/>
        <w:spacing w:before="120" w:after="120"/>
        <w:ind w:left="720"/>
        <w:jc w:val="both"/>
        <w:rPr>
          <w:rFonts w:ascii="Bookman Old Style" w:hAnsi="Bookman Old Style"/>
          <w:color w:val="000000" w:themeColor="text1"/>
          <w:sz w:val="20"/>
          <w:szCs w:val="20"/>
        </w:rPr>
      </w:pPr>
      <w:r w:rsidRPr="000A4482">
        <w:rPr>
          <w:rFonts w:ascii="Bookman Old Style" w:hAnsi="Bookman Old Style"/>
          <w:color w:val="000000" w:themeColor="text1"/>
          <w:sz w:val="20"/>
          <w:szCs w:val="20"/>
        </w:rPr>
        <w:t>Недвижимое и движимое имущество ООО «Окно», находящееся в залоге у Открытого акционерного общества Акционерный коммерческий банк «Банк Москвы», в составе элементов:</w:t>
      </w:r>
    </w:p>
    <w:p w:rsidR="000A4482" w:rsidRPr="000A4482" w:rsidRDefault="000A4482" w:rsidP="00303E37">
      <w:pPr>
        <w:numPr>
          <w:ilvl w:val="1"/>
          <w:numId w:val="52"/>
        </w:numPr>
        <w:autoSpaceDE w:val="0"/>
        <w:autoSpaceDN w:val="0"/>
        <w:adjustRightInd w:val="0"/>
        <w:spacing w:before="120" w:after="120"/>
        <w:ind w:left="1321" w:hanging="357"/>
        <w:jc w:val="both"/>
        <w:rPr>
          <w:rFonts w:ascii="Bookman Old Style" w:hAnsi="Bookman Old Style"/>
          <w:color w:val="000000" w:themeColor="text1"/>
          <w:sz w:val="20"/>
          <w:szCs w:val="20"/>
        </w:rPr>
      </w:pPr>
      <w:r w:rsidRPr="000A4482">
        <w:rPr>
          <w:rFonts w:ascii="Bookman Old Style" w:hAnsi="Bookman Old Style"/>
          <w:color w:val="000000" w:themeColor="text1"/>
          <w:sz w:val="20"/>
          <w:szCs w:val="20"/>
        </w:rPr>
        <w:t xml:space="preserve">Нежилое здание, назначение: 2- этажный (подземных этажей -1), общая площадь 4216,7 кв. м.,  инв.№ 04:401:001:015107160:0001, лит. В3, в,в1,В2,В4,В5,В6, адрес: г. Красноярск, ул. Айвазовского, 37 «А» Кадастровый номер: 24:50:0500203:386 </w:t>
      </w:r>
    </w:p>
    <w:p w:rsidR="000A4482" w:rsidRPr="000A4482" w:rsidRDefault="000A4482" w:rsidP="00303E37">
      <w:pPr>
        <w:numPr>
          <w:ilvl w:val="1"/>
          <w:numId w:val="52"/>
        </w:numPr>
        <w:autoSpaceDE w:val="0"/>
        <w:autoSpaceDN w:val="0"/>
        <w:adjustRightInd w:val="0"/>
        <w:spacing w:before="120" w:after="120"/>
        <w:ind w:left="1321" w:hanging="357"/>
        <w:jc w:val="both"/>
        <w:rPr>
          <w:rFonts w:ascii="Bookman Old Style" w:hAnsi="Bookman Old Style"/>
          <w:color w:val="000000" w:themeColor="text1"/>
          <w:sz w:val="20"/>
          <w:szCs w:val="20"/>
        </w:rPr>
      </w:pPr>
      <w:r w:rsidRPr="000A4482">
        <w:rPr>
          <w:rFonts w:ascii="Bookman Old Style" w:hAnsi="Bookman Old Style"/>
          <w:color w:val="000000" w:themeColor="text1"/>
          <w:sz w:val="20"/>
          <w:szCs w:val="20"/>
        </w:rPr>
        <w:t>Холодный склад, назначение: нежилое, 1- этажный,  общая площадь 1002,2 кв. метра, инв. № 01:3396:013795, лит. В1, адрес: г. Красноярск, ул. Айвазовского, 37 «А», строение 3. Кадастровый номер: 24:50:0500203:398</w:t>
      </w:r>
    </w:p>
    <w:p w:rsidR="000A4482" w:rsidRPr="000A4482" w:rsidRDefault="000A4482" w:rsidP="00303E37">
      <w:pPr>
        <w:numPr>
          <w:ilvl w:val="1"/>
          <w:numId w:val="52"/>
        </w:numPr>
        <w:autoSpaceDE w:val="0"/>
        <w:autoSpaceDN w:val="0"/>
        <w:adjustRightInd w:val="0"/>
        <w:spacing w:before="120" w:after="120"/>
        <w:ind w:left="1321" w:hanging="357"/>
        <w:jc w:val="both"/>
        <w:rPr>
          <w:rFonts w:ascii="Bookman Old Style" w:hAnsi="Bookman Old Style"/>
          <w:color w:val="000000" w:themeColor="text1"/>
          <w:sz w:val="20"/>
          <w:szCs w:val="20"/>
        </w:rPr>
      </w:pPr>
      <w:r w:rsidRPr="000A4482">
        <w:rPr>
          <w:rFonts w:ascii="Bookman Old Style" w:hAnsi="Bookman Old Style"/>
          <w:color w:val="000000" w:themeColor="text1"/>
          <w:sz w:val="20"/>
          <w:szCs w:val="20"/>
        </w:rPr>
        <w:t>Склад готовой продукции, назначение: нежилое, 1-этажный, общая площадь 1497,2 кв. м.,  инв. № 01:3237:012895, лит. В3,  адрес: г. Красноярск, ул. Айвазовского,37 «А», строен. 1, Кадастровый номер 24:50:0000000:0:105432</w:t>
      </w:r>
    </w:p>
    <w:p w:rsidR="000A4482" w:rsidRPr="000A4482" w:rsidRDefault="000A4482" w:rsidP="00303E37">
      <w:pPr>
        <w:numPr>
          <w:ilvl w:val="1"/>
          <w:numId w:val="52"/>
        </w:numPr>
        <w:autoSpaceDE w:val="0"/>
        <w:autoSpaceDN w:val="0"/>
        <w:adjustRightInd w:val="0"/>
        <w:spacing w:before="120" w:after="120"/>
        <w:ind w:left="1321" w:hanging="357"/>
        <w:jc w:val="both"/>
        <w:rPr>
          <w:rFonts w:ascii="Bookman Old Style" w:hAnsi="Bookman Old Style"/>
          <w:color w:val="000000" w:themeColor="text1"/>
          <w:sz w:val="20"/>
          <w:szCs w:val="20"/>
        </w:rPr>
      </w:pPr>
      <w:r w:rsidRPr="000A4482">
        <w:rPr>
          <w:rFonts w:ascii="Bookman Old Style" w:hAnsi="Bookman Old Style"/>
          <w:color w:val="000000" w:themeColor="text1"/>
          <w:sz w:val="20"/>
          <w:szCs w:val="20"/>
        </w:rPr>
        <w:t>Земельный участок, категория земель: земли населенных пунктов, разрешенное использование: занимаемый производственной базой, общая площадь 12774 кв. м., адрес: г. Красноярск, ул. Айвазовского,37 «А». Кадастровый номер: 24:50:0500203:458</w:t>
      </w:r>
    </w:p>
    <w:p w:rsidR="000A4482" w:rsidRPr="000A4482" w:rsidRDefault="000A4482" w:rsidP="00303E37">
      <w:pPr>
        <w:numPr>
          <w:ilvl w:val="1"/>
          <w:numId w:val="52"/>
        </w:numPr>
        <w:autoSpaceDE w:val="0"/>
        <w:autoSpaceDN w:val="0"/>
        <w:adjustRightInd w:val="0"/>
        <w:spacing w:before="120" w:after="120"/>
        <w:ind w:left="1321" w:hanging="357"/>
        <w:jc w:val="both"/>
        <w:rPr>
          <w:rFonts w:ascii="Bookman Old Style" w:hAnsi="Bookman Old Style"/>
          <w:color w:val="000000" w:themeColor="text1"/>
          <w:sz w:val="20"/>
          <w:szCs w:val="20"/>
        </w:rPr>
      </w:pPr>
      <w:r w:rsidRPr="000A4482">
        <w:rPr>
          <w:rFonts w:ascii="Bookman Old Style" w:hAnsi="Bookman Old Style"/>
          <w:color w:val="000000" w:themeColor="text1"/>
          <w:sz w:val="20"/>
          <w:szCs w:val="20"/>
        </w:rPr>
        <w:t>Центр обработки и нарезания ПВХ профилей  KABAN Makina FA 1030</w:t>
      </w:r>
    </w:p>
    <w:p w:rsidR="000A4482" w:rsidRPr="000A4482" w:rsidRDefault="000A4482" w:rsidP="00303E37">
      <w:pPr>
        <w:numPr>
          <w:ilvl w:val="1"/>
          <w:numId w:val="52"/>
        </w:numPr>
        <w:autoSpaceDE w:val="0"/>
        <w:autoSpaceDN w:val="0"/>
        <w:adjustRightInd w:val="0"/>
        <w:spacing w:before="120" w:after="120"/>
        <w:ind w:left="1321" w:hanging="357"/>
        <w:jc w:val="both"/>
        <w:rPr>
          <w:rFonts w:ascii="Bookman Old Style" w:hAnsi="Bookman Old Style"/>
          <w:color w:val="000000" w:themeColor="text1"/>
          <w:sz w:val="20"/>
          <w:szCs w:val="20"/>
        </w:rPr>
      </w:pPr>
      <w:r w:rsidRPr="000A4482">
        <w:rPr>
          <w:rFonts w:ascii="Bookman Old Style" w:hAnsi="Bookman Old Style"/>
          <w:color w:val="000000" w:themeColor="text1"/>
          <w:sz w:val="20"/>
          <w:szCs w:val="20"/>
        </w:rPr>
        <w:t>Станок для рубки армирования  KABAN Makina КС1010</w:t>
      </w:r>
    </w:p>
    <w:p w:rsidR="000A4482" w:rsidRPr="000A4482" w:rsidRDefault="000A4482" w:rsidP="00303E37">
      <w:pPr>
        <w:numPr>
          <w:ilvl w:val="1"/>
          <w:numId w:val="52"/>
        </w:numPr>
        <w:autoSpaceDE w:val="0"/>
        <w:autoSpaceDN w:val="0"/>
        <w:adjustRightInd w:val="0"/>
        <w:spacing w:before="120" w:after="120"/>
        <w:ind w:left="1321" w:hanging="357"/>
        <w:jc w:val="both"/>
        <w:rPr>
          <w:rFonts w:ascii="Bookman Old Style" w:hAnsi="Bookman Old Style"/>
          <w:color w:val="000000" w:themeColor="text1"/>
          <w:sz w:val="20"/>
          <w:szCs w:val="20"/>
        </w:rPr>
      </w:pPr>
      <w:r w:rsidRPr="000A4482">
        <w:rPr>
          <w:rFonts w:ascii="Bookman Old Style" w:hAnsi="Bookman Old Style"/>
          <w:color w:val="000000" w:themeColor="text1"/>
          <w:sz w:val="20"/>
          <w:szCs w:val="20"/>
        </w:rPr>
        <w:t>Цифровая система измерения  KABAN Makina DS500</w:t>
      </w:r>
    </w:p>
    <w:p w:rsidR="000A4482" w:rsidRPr="000A4482" w:rsidRDefault="000A4482" w:rsidP="00303E37">
      <w:pPr>
        <w:numPr>
          <w:ilvl w:val="1"/>
          <w:numId w:val="52"/>
        </w:numPr>
        <w:autoSpaceDE w:val="0"/>
        <w:autoSpaceDN w:val="0"/>
        <w:adjustRightInd w:val="0"/>
        <w:spacing w:before="120" w:after="120"/>
        <w:ind w:left="1321" w:hanging="357"/>
        <w:jc w:val="both"/>
        <w:rPr>
          <w:rFonts w:ascii="Bookman Old Style" w:hAnsi="Bookman Old Style"/>
          <w:color w:val="000000" w:themeColor="text1"/>
          <w:sz w:val="20"/>
          <w:szCs w:val="20"/>
        </w:rPr>
      </w:pPr>
      <w:r w:rsidRPr="000A4482">
        <w:rPr>
          <w:rFonts w:ascii="Bookman Old Style" w:hAnsi="Bookman Old Style"/>
          <w:color w:val="000000" w:themeColor="text1"/>
          <w:sz w:val="20"/>
          <w:szCs w:val="20"/>
        </w:rPr>
        <w:t>Цифровой измерительный компас KABAN Makina DК 100</w:t>
      </w:r>
    </w:p>
    <w:p w:rsidR="000A4482" w:rsidRPr="000A4482" w:rsidRDefault="000A4482" w:rsidP="00303E37">
      <w:pPr>
        <w:numPr>
          <w:ilvl w:val="1"/>
          <w:numId w:val="52"/>
        </w:numPr>
        <w:autoSpaceDE w:val="0"/>
        <w:autoSpaceDN w:val="0"/>
        <w:adjustRightInd w:val="0"/>
        <w:spacing w:before="120" w:after="120"/>
        <w:ind w:left="1321" w:hanging="357"/>
        <w:jc w:val="both"/>
        <w:rPr>
          <w:rFonts w:ascii="Bookman Old Style" w:hAnsi="Bookman Old Style"/>
          <w:color w:val="000000" w:themeColor="text1"/>
          <w:sz w:val="20"/>
          <w:szCs w:val="20"/>
        </w:rPr>
      </w:pPr>
      <w:r w:rsidRPr="000A4482">
        <w:rPr>
          <w:rFonts w:ascii="Bookman Old Style" w:hAnsi="Bookman Old Style"/>
          <w:color w:val="000000" w:themeColor="text1"/>
          <w:sz w:val="20"/>
          <w:szCs w:val="20"/>
        </w:rPr>
        <w:t>Станок одноголовочный сварочный   KABAN Makina ВА2030</w:t>
      </w:r>
    </w:p>
    <w:p w:rsidR="000A4482" w:rsidRPr="000A4482" w:rsidRDefault="000A4482" w:rsidP="00303E37">
      <w:pPr>
        <w:numPr>
          <w:ilvl w:val="1"/>
          <w:numId w:val="52"/>
        </w:numPr>
        <w:autoSpaceDE w:val="0"/>
        <w:autoSpaceDN w:val="0"/>
        <w:adjustRightInd w:val="0"/>
        <w:spacing w:before="120" w:after="120"/>
        <w:ind w:left="1321" w:hanging="357"/>
        <w:jc w:val="both"/>
        <w:rPr>
          <w:rFonts w:ascii="Bookman Old Style" w:hAnsi="Bookman Old Style"/>
          <w:color w:val="000000" w:themeColor="text1"/>
          <w:sz w:val="20"/>
          <w:szCs w:val="20"/>
        </w:rPr>
      </w:pPr>
      <w:r w:rsidRPr="000A4482">
        <w:rPr>
          <w:rFonts w:ascii="Bookman Old Style" w:hAnsi="Bookman Old Style"/>
          <w:color w:val="000000" w:themeColor="text1"/>
          <w:sz w:val="20"/>
          <w:szCs w:val="20"/>
        </w:rPr>
        <w:t>Автоматический копировально-фрезерный станок для фрезерования отверстий  под ручку и фурнитуру KABAN Makina DE 4060</w:t>
      </w:r>
    </w:p>
    <w:p w:rsidR="000A4482" w:rsidRPr="000A4482" w:rsidRDefault="000A4482" w:rsidP="00303E37">
      <w:pPr>
        <w:numPr>
          <w:ilvl w:val="1"/>
          <w:numId w:val="52"/>
        </w:numPr>
        <w:autoSpaceDE w:val="0"/>
        <w:autoSpaceDN w:val="0"/>
        <w:adjustRightInd w:val="0"/>
        <w:spacing w:before="120" w:after="120"/>
        <w:ind w:left="1321" w:hanging="357"/>
        <w:jc w:val="both"/>
        <w:rPr>
          <w:rFonts w:ascii="Bookman Old Style" w:hAnsi="Bookman Old Style"/>
          <w:color w:val="000000" w:themeColor="text1"/>
          <w:sz w:val="20"/>
          <w:szCs w:val="20"/>
        </w:rPr>
      </w:pPr>
      <w:r w:rsidRPr="000A4482">
        <w:rPr>
          <w:rFonts w:ascii="Bookman Old Style" w:hAnsi="Bookman Old Style"/>
          <w:color w:val="000000" w:themeColor="text1"/>
          <w:sz w:val="20"/>
          <w:szCs w:val="20"/>
        </w:rPr>
        <w:t>Механический  копировально-фрезерный  станок  KABAN Makina DF4060</w:t>
      </w:r>
    </w:p>
    <w:p w:rsidR="000A4482" w:rsidRPr="000A4482" w:rsidRDefault="000A4482" w:rsidP="00303E37">
      <w:pPr>
        <w:numPr>
          <w:ilvl w:val="1"/>
          <w:numId w:val="52"/>
        </w:numPr>
        <w:autoSpaceDE w:val="0"/>
        <w:autoSpaceDN w:val="0"/>
        <w:adjustRightInd w:val="0"/>
        <w:spacing w:before="120" w:after="120"/>
        <w:ind w:left="1321" w:hanging="357"/>
        <w:jc w:val="both"/>
        <w:rPr>
          <w:rFonts w:ascii="Bookman Old Style" w:hAnsi="Bookman Old Style"/>
          <w:color w:val="000000" w:themeColor="text1"/>
          <w:sz w:val="20"/>
          <w:szCs w:val="20"/>
        </w:rPr>
      </w:pPr>
      <w:r w:rsidRPr="000A4482">
        <w:rPr>
          <w:rFonts w:ascii="Bookman Old Style" w:hAnsi="Bookman Old Style"/>
          <w:color w:val="000000" w:themeColor="text1"/>
          <w:sz w:val="20"/>
          <w:szCs w:val="20"/>
        </w:rPr>
        <w:t>Автоматический станок для обработки импоста  KABAN Makina СF3060</w:t>
      </w:r>
    </w:p>
    <w:p w:rsidR="000A4482" w:rsidRPr="000A4482" w:rsidRDefault="000A4482" w:rsidP="000A4482">
      <w:pPr>
        <w:autoSpaceDE w:val="0"/>
        <w:autoSpaceDN w:val="0"/>
        <w:adjustRightInd w:val="0"/>
        <w:spacing w:before="120" w:after="120"/>
        <w:ind w:firstLine="709"/>
        <w:jc w:val="both"/>
        <w:rPr>
          <w:rFonts w:ascii="Bookman Old Style" w:hAnsi="Bookman Old Style"/>
          <w:color w:val="000000" w:themeColor="text1"/>
          <w:sz w:val="20"/>
          <w:szCs w:val="20"/>
        </w:rPr>
      </w:pPr>
      <w:r w:rsidRPr="000A4482">
        <w:rPr>
          <w:rFonts w:ascii="Bookman Old Style" w:hAnsi="Bookman Old Style"/>
          <w:color w:val="000000" w:themeColor="text1"/>
          <w:sz w:val="20"/>
          <w:szCs w:val="20"/>
        </w:rPr>
        <w:t>Дата оценки: «26» августа 2016 года.</w:t>
      </w:r>
    </w:p>
    <w:p w:rsidR="000A4482" w:rsidRPr="000A4482" w:rsidRDefault="000A4482" w:rsidP="000A4482">
      <w:pPr>
        <w:spacing w:before="120" w:after="120"/>
        <w:ind w:firstLine="708"/>
        <w:jc w:val="both"/>
        <w:rPr>
          <w:rFonts w:ascii="Bookman Old Style" w:hAnsi="Bookman Old Style"/>
          <w:sz w:val="20"/>
          <w:szCs w:val="20"/>
        </w:rPr>
      </w:pPr>
      <w:r w:rsidRPr="000A4482">
        <w:rPr>
          <w:rFonts w:ascii="Bookman Old Style" w:hAnsi="Bookman Old Style"/>
          <w:sz w:val="20"/>
          <w:szCs w:val="20"/>
        </w:rPr>
        <w:t xml:space="preserve">Целью и задачей оценки является: Расчет рыночной стоимости Объекта оценки, для определения начальной стоимости Объекта оценки при организации торгов по продаже, в рамках процедуры конкурсного производства. </w:t>
      </w:r>
    </w:p>
    <w:p w:rsidR="000A4482" w:rsidRPr="000A4482" w:rsidRDefault="000A4482" w:rsidP="000A4482">
      <w:pPr>
        <w:spacing w:before="120" w:after="120"/>
        <w:ind w:firstLine="708"/>
        <w:jc w:val="both"/>
        <w:rPr>
          <w:rFonts w:ascii="Bookman Old Style" w:hAnsi="Bookman Old Style"/>
          <w:b/>
          <w:bCs/>
          <w:sz w:val="20"/>
          <w:szCs w:val="20"/>
        </w:rPr>
      </w:pPr>
      <w:r w:rsidRPr="000A4482">
        <w:rPr>
          <w:rFonts w:ascii="Bookman Old Style" w:hAnsi="Bookman Old Style"/>
          <w:sz w:val="20"/>
          <w:szCs w:val="20"/>
        </w:rPr>
        <w:t>Развернутая характеристика Объекта оценки представлена в Отчете об оценке. Отдельные части оценки не могут трактоваться раздельно, а только в связи с полным текстом Отчета, принимая во внимание все содержащиеся в нем допущения и ограничения. Проведенные исследования позволяют сделать вывод о величине рыночной стоимости Объекта оценки, которая составляет на Дату оценки:</w:t>
      </w:r>
      <w:r w:rsidRPr="000A4482">
        <w:rPr>
          <w:rFonts w:ascii="Bookman Old Style" w:hAnsi="Bookman Old Style"/>
          <w:b/>
          <w:bCs/>
          <w:sz w:val="20"/>
          <w:szCs w:val="20"/>
        </w:rPr>
        <w:t xml:space="preserve"> </w:t>
      </w:r>
    </w:p>
    <w:p w:rsidR="000A4482" w:rsidRPr="000A4482" w:rsidRDefault="000A4482" w:rsidP="000A4482">
      <w:pPr>
        <w:spacing w:before="120" w:after="120"/>
        <w:ind w:firstLine="708"/>
        <w:jc w:val="both"/>
        <w:rPr>
          <w:rFonts w:ascii="Bookman Old Style" w:hAnsi="Bookman Old Style"/>
          <w:b/>
          <w:bCs/>
          <w:sz w:val="20"/>
          <w:szCs w:val="20"/>
        </w:rPr>
      </w:pPr>
    </w:p>
    <w:p w:rsidR="000A4482" w:rsidRDefault="000A4482" w:rsidP="000A4482">
      <w:pPr>
        <w:spacing w:before="120" w:after="120"/>
        <w:ind w:firstLine="708"/>
        <w:jc w:val="both"/>
        <w:rPr>
          <w:rFonts w:ascii="Bookman Old Style" w:hAnsi="Bookman Old Style"/>
          <w:b/>
          <w:bCs/>
          <w:sz w:val="20"/>
          <w:szCs w:val="20"/>
        </w:rPr>
      </w:pPr>
    </w:p>
    <w:p w:rsidR="000A4482" w:rsidRPr="000A4482" w:rsidRDefault="000A4482" w:rsidP="000A4482">
      <w:pPr>
        <w:spacing w:before="120" w:after="120"/>
        <w:ind w:firstLine="708"/>
        <w:jc w:val="both"/>
        <w:rPr>
          <w:rFonts w:ascii="Bookman Old Style" w:hAnsi="Bookman Old Style"/>
          <w:b/>
          <w:bCs/>
          <w:sz w:val="20"/>
          <w:szCs w:val="20"/>
        </w:rPr>
      </w:pPr>
    </w:p>
    <w:p w:rsidR="000A4482" w:rsidRPr="000A4482" w:rsidRDefault="000A4482" w:rsidP="000A4482">
      <w:pPr>
        <w:autoSpaceDE w:val="0"/>
        <w:autoSpaceDN w:val="0"/>
        <w:adjustRightInd w:val="0"/>
        <w:spacing w:before="120" w:after="120"/>
        <w:jc w:val="center"/>
        <w:rPr>
          <w:rFonts w:ascii="Bookman Old Style" w:hAnsi="Bookman Old Style"/>
          <w:b/>
          <w:sz w:val="20"/>
          <w:szCs w:val="20"/>
        </w:rPr>
      </w:pPr>
      <w:r w:rsidRPr="000A4482">
        <w:rPr>
          <w:rFonts w:ascii="Bookman Old Style" w:hAnsi="Bookman Old Style"/>
          <w:b/>
          <w:sz w:val="20"/>
          <w:szCs w:val="20"/>
        </w:rPr>
        <w:lastRenderedPageBreak/>
        <w:t>11</w:t>
      </w:r>
      <w:r w:rsidR="00E77D0F">
        <w:rPr>
          <w:rFonts w:ascii="Bookman Old Style" w:hAnsi="Bookman Old Style"/>
          <w:b/>
          <w:sz w:val="20"/>
          <w:szCs w:val="20"/>
        </w:rPr>
        <w:t>1</w:t>
      </w:r>
      <w:r w:rsidRPr="000A4482">
        <w:rPr>
          <w:rFonts w:ascii="Bookman Old Style" w:hAnsi="Bookman Old Style"/>
          <w:b/>
          <w:sz w:val="20"/>
          <w:szCs w:val="20"/>
        </w:rPr>
        <w:t> </w:t>
      </w:r>
      <w:r w:rsidR="00E77D0F">
        <w:rPr>
          <w:rFonts w:ascii="Bookman Old Style" w:hAnsi="Bookman Old Style"/>
          <w:b/>
          <w:sz w:val="20"/>
          <w:szCs w:val="20"/>
        </w:rPr>
        <w:t>377 4</w:t>
      </w:r>
      <w:r w:rsidRPr="000A4482">
        <w:rPr>
          <w:rFonts w:ascii="Bookman Old Style" w:hAnsi="Bookman Old Style"/>
          <w:b/>
          <w:sz w:val="20"/>
          <w:szCs w:val="20"/>
        </w:rPr>
        <w:t xml:space="preserve">00, сто </w:t>
      </w:r>
      <w:r w:rsidR="00E77D0F">
        <w:rPr>
          <w:rFonts w:ascii="Bookman Old Style" w:hAnsi="Bookman Old Style"/>
          <w:b/>
          <w:sz w:val="20"/>
          <w:szCs w:val="20"/>
        </w:rPr>
        <w:t>одиннадцать</w:t>
      </w:r>
      <w:r w:rsidRPr="000A4482">
        <w:rPr>
          <w:rFonts w:ascii="Bookman Old Style" w:hAnsi="Bookman Old Style"/>
          <w:b/>
          <w:sz w:val="20"/>
          <w:szCs w:val="20"/>
        </w:rPr>
        <w:t xml:space="preserve"> миллионов триста </w:t>
      </w:r>
      <w:r w:rsidR="00E77D0F">
        <w:rPr>
          <w:rFonts w:ascii="Bookman Old Style" w:hAnsi="Bookman Old Style"/>
          <w:b/>
          <w:sz w:val="20"/>
          <w:szCs w:val="20"/>
        </w:rPr>
        <w:t>семьдесят семь тысяч</w:t>
      </w:r>
      <w:r w:rsidRPr="000A4482">
        <w:rPr>
          <w:rFonts w:ascii="Bookman Old Style" w:hAnsi="Bookman Old Style"/>
          <w:b/>
          <w:sz w:val="20"/>
          <w:szCs w:val="20"/>
        </w:rPr>
        <w:t xml:space="preserve"> </w:t>
      </w:r>
      <w:r w:rsidR="00E77D0F">
        <w:rPr>
          <w:rFonts w:ascii="Bookman Old Style" w:hAnsi="Bookman Old Style"/>
          <w:b/>
          <w:sz w:val="20"/>
          <w:szCs w:val="20"/>
        </w:rPr>
        <w:t>четыреста</w:t>
      </w:r>
      <w:r w:rsidRPr="000A4482">
        <w:rPr>
          <w:rFonts w:ascii="Bookman Old Style" w:hAnsi="Bookman Old Style"/>
          <w:b/>
          <w:sz w:val="20"/>
          <w:szCs w:val="20"/>
        </w:rPr>
        <w:t xml:space="preserve"> рублей, в том числе</w:t>
      </w:r>
      <w:r w:rsidRPr="000A4482">
        <w:rPr>
          <w:rFonts w:ascii="Bookman Old Style" w:hAnsi="Bookman Old Style"/>
          <w:b/>
          <w:bCs/>
          <w:sz w:val="20"/>
          <w:szCs w:val="20"/>
        </w:rPr>
        <w:t>:</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7229"/>
        <w:gridCol w:w="2268"/>
      </w:tblGrid>
      <w:tr w:rsidR="000A4482" w:rsidRPr="000A4482" w:rsidTr="00D70166">
        <w:trPr>
          <w:cantSplit/>
          <w:trHeight w:val="284"/>
        </w:trPr>
        <w:tc>
          <w:tcPr>
            <w:tcW w:w="534" w:type="dxa"/>
            <w:shd w:val="clear" w:color="auto" w:fill="F2F2F2" w:themeFill="background1" w:themeFillShade="F2"/>
            <w:vAlign w:val="center"/>
            <w:hideMark/>
          </w:tcPr>
          <w:p w:rsidR="000A4482" w:rsidRPr="000A4482" w:rsidRDefault="000A4482" w:rsidP="000A4482">
            <w:pPr>
              <w:jc w:val="center"/>
              <w:rPr>
                <w:rFonts w:asciiTheme="majorHAnsi" w:hAnsiTheme="majorHAnsi"/>
                <w:b/>
                <w:bCs/>
                <w:color w:val="000000"/>
                <w:sz w:val="18"/>
                <w:szCs w:val="18"/>
              </w:rPr>
            </w:pPr>
            <w:r w:rsidRPr="000A4482">
              <w:rPr>
                <w:rFonts w:asciiTheme="majorHAnsi" w:hAnsiTheme="majorHAnsi"/>
                <w:b/>
                <w:bCs/>
                <w:color w:val="000000"/>
                <w:sz w:val="18"/>
                <w:szCs w:val="18"/>
              </w:rPr>
              <w:t>№ п.п.</w:t>
            </w:r>
          </w:p>
        </w:tc>
        <w:tc>
          <w:tcPr>
            <w:tcW w:w="7229" w:type="dxa"/>
            <w:shd w:val="clear" w:color="auto" w:fill="F2F2F2" w:themeFill="background1" w:themeFillShade="F2"/>
            <w:vAlign w:val="center"/>
            <w:hideMark/>
          </w:tcPr>
          <w:p w:rsidR="000A4482" w:rsidRPr="000A4482" w:rsidRDefault="000A4482" w:rsidP="000A4482">
            <w:pPr>
              <w:jc w:val="center"/>
              <w:rPr>
                <w:rFonts w:asciiTheme="majorHAnsi" w:hAnsiTheme="majorHAnsi"/>
                <w:b/>
                <w:bCs/>
                <w:color w:val="000000"/>
                <w:sz w:val="18"/>
                <w:szCs w:val="18"/>
              </w:rPr>
            </w:pPr>
            <w:r w:rsidRPr="000A4482">
              <w:rPr>
                <w:rFonts w:asciiTheme="majorHAnsi" w:hAnsiTheme="majorHAnsi"/>
                <w:b/>
                <w:bCs/>
                <w:color w:val="000000"/>
                <w:sz w:val="18"/>
                <w:szCs w:val="18"/>
              </w:rPr>
              <w:t>Элемент Объекта оценки</w:t>
            </w:r>
          </w:p>
        </w:tc>
        <w:tc>
          <w:tcPr>
            <w:tcW w:w="2268" w:type="dxa"/>
            <w:shd w:val="clear" w:color="auto" w:fill="F2F2F2" w:themeFill="background1" w:themeFillShade="F2"/>
            <w:vAlign w:val="center"/>
          </w:tcPr>
          <w:p w:rsidR="000A4482" w:rsidRPr="000A4482" w:rsidRDefault="000A4482" w:rsidP="000A4482">
            <w:pPr>
              <w:jc w:val="center"/>
              <w:rPr>
                <w:rFonts w:asciiTheme="majorHAnsi" w:hAnsiTheme="majorHAnsi"/>
                <w:b/>
                <w:color w:val="000000"/>
                <w:sz w:val="18"/>
                <w:szCs w:val="18"/>
                <w:highlight w:val="yellow"/>
              </w:rPr>
            </w:pPr>
            <w:r w:rsidRPr="000A4482">
              <w:rPr>
                <w:rFonts w:asciiTheme="majorHAnsi" w:hAnsiTheme="majorHAnsi"/>
                <w:b/>
                <w:color w:val="000000"/>
                <w:sz w:val="18"/>
                <w:szCs w:val="18"/>
              </w:rPr>
              <w:t>Рыночная стоимость элемента Объекта оценки, руб. НДС не облагается</w:t>
            </w:r>
          </w:p>
        </w:tc>
      </w:tr>
      <w:tr w:rsidR="006568BA" w:rsidRPr="000A4482" w:rsidTr="00D70166">
        <w:trPr>
          <w:cantSplit/>
          <w:trHeight w:val="284"/>
        </w:trPr>
        <w:tc>
          <w:tcPr>
            <w:tcW w:w="534" w:type="dxa"/>
            <w:shd w:val="clear" w:color="auto" w:fill="auto"/>
            <w:noWrap/>
            <w:vAlign w:val="center"/>
          </w:tcPr>
          <w:p w:rsidR="006568BA" w:rsidRPr="000A4482" w:rsidRDefault="006568BA" w:rsidP="000A4482">
            <w:pPr>
              <w:jc w:val="center"/>
              <w:rPr>
                <w:rFonts w:asciiTheme="majorHAnsi" w:hAnsiTheme="majorHAnsi"/>
                <w:color w:val="000000"/>
                <w:sz w:val="18"/>
                <w:szCs w:val="18"/>
              </w:rPr>
            </w:pPr>
            <w:r w:rsidRPr="000A4482">
              <w:rPr>
                <w:rFonts w:asciiTheme="majorHAnsi" w:hAnsiTheme="majorHAnsi"/>
                <w:color w:val="000000"/>
                <w:sz w:val="18"/>
                <w:szCs w:val="18"/>
              </w:rPr>
              <w:t>1</w:t>
            </w:r>
          </w:p>
        </w:tc>
        <w:tc>
          <w:tcPr>
            <w:tcW w:w="7229" w:type="dxa"/>
            <w:shd w:val="clear" w:color="auto" w:fill="auto"/>
            <w:noWrap/>
          </w:tcPr>
          <w:p w:rsidR="006568BA" w:rsidRPr="000A4482" w:rsidRDefault="006568BA" w:rsidP="000A4482">
            <w:pPr>
              <w:autoSpaceDE w:val="0"/>
              <w:autoSpaceDN w:val="0"/>
              <w:adjustRightInd w:val="0"/>
              <w:jc w:val="both"/>
              <w:rPr>
                <w:rFonts w:asciiTheme="majorHAnsi" w:hAnsiTheme="majorHAnsi"/>
                <w:color w:val="000000" w:themeColor="text1"/>
                <w:sz w:val="18"/>
                <w:szCs w:val="18"/>
              </w:rPr>
            </w:pPr>
            <w:r w:rsidRPr="000A4482">
              <w:rPr>
                <w:rFonts w:asciiTheme="majorHAnsi" w:hAnsiTheme="majorHAnsi"/>
                <w:color w:val="000000" w:themeColor="text1"/>
                <w:sz w:val="18"/>
                <w:szCs w:val="18"/>
              </w:rPr>
              <w:t xml:space="preserve">Нежилое здание, назначение: 2- этажный (подземных этажей -1), общая площадь 4216,7 кв. м.,  инв.№ 04:401:001:015107160:0001, лит. В3, в,в1,В2,В4,В5,В6, адрес: г. Красноярск, ул. Айвазовского, 37 «А» Кадастровый номер: 24:50:0500203:386 </w:t>
            </w:r>
          </w:p>
        </w:tc>
        <w:tc>
          <w:tcPr>
            <w:tcW w:w="2268" w:type="dxa"/>
            <w:vAlign w:val="center"/>
          </w:tcPr>
          <w:p w:rsidR="006568BA" w:rsidRPr="00C204F1" w:rsidRDefault="006568BA" w:rsidP="00D70166">
            <w:pPr>
              <w:jc w:val="right"/>
              <w:rPr>
                <w:rFonts w:ascii="Cambria" w:hAnsi="Cambria"/>
                <w:sz w:val="18"/>
                <w:szCs w:val="18"/>
              </w:rPr>
            </w:pPr>
            <w:r w:rsidRPr="00C204F1">
              <w:rPr>
                <w:rFonts w:ascii="Cambria" w:hAnsi="Cambria"/>
                <w:sz w:val="18"/>
                <w:szCs w:val="18"/>
              </w:rPr>
              <w:t>64 578 200</w:t>
            </w:r>
          </w:p>
        </w:tc>
      </w:tr>
      <w:tr w:rsidR="006568BA" w:rsidRPr="000A4482" w:rsidTr="00D70166">
        <w:trPr>
          <w:cantSplit/>
          <w:trHeight w:val="284"/>
        </w:trPr>
        <w:tc>
          <w:tcPr>
            <w:tcW w:w="534" w:type="dxa"/>
            <w:shd w:val="clear" w:color="auto" w:fill="auto"/>
            <w:noWrap/>
            <w:vAlign w:val="center"/>
          </w:tcPr>
          <w:p w:rsidR="006568BA" w:rsidRPr="000A4482" w:rsidRDefault="006568BA" w:rsidP="000A4482">
            <w:pPr>
              <w:jc w:val="center"/>
              <w:rPr>
                <w:rFonts w:asciiTheme="majorHAnsi" w:hAnsiTheme="majorHAnsi"/>
                <w:color w:val="000000"/>
                <w:sz w:val="18"/>
                <w:szCs w:val="18"/>
              </w:rPr>
            </w:pPr>
            <w:r w:rsidRPr="000A4482">
              <w:rPr>
                <w:rFonts w:asciiTheme="majorHAnsi" w:hAnsiTheme="majorHAnsi"/>
                <w:color w:val="000000"/>
                <w:sz w:val="18"/>
                <w:szCs w:val="18"/>
              </w:rPr>
              <w:t>2</w:t>
            </w:r>
          </w:p>
        </w:tc>
        <w:tc>
          <w:tcPr>
            <w:tcW w:w="7229" w:type="dxa"/>
            <w:shd w:val="clear" w:color="auto" w:fill="auto"/>
            <w:noWrap/>
          </w:tcPr>
          <w:p w:rsidR="006568BA" w:rsidRPr="000A4482" w:rsidRDefault="006568BA" w:rsidP="000A4482">
            <w:pPr>
              <w:autoSpaceDE w:val="0"/>
              <w:autoSpaceDN w:val="0"/>
              <w:adjustRightInd w:val="0"/>
              <w:jc w:val="both"/>
              <w:rPr>
                <w:rFonts w:asciiTheme="majorHAnsi" w:hAnsiTheme="majorHAnsi"/>
                <w:color w:val="000000" w:themeColor="text1"/>
                <w:sz w:val="18"/>
                <w:szCs w:val="18"/>
              </w:rPr>
            </w:pPr>
            <w:r w:rsidRPr="000A4482">
              <w:rPr>
                <w:rFonts w:asciiTheme="majorHAnsi" w:hAnsiTheme="majorHAnsi"/>
                <w:color w:val="000000" w:themeColor="text1"/>
                <w:sz w:val="18"/>
                <w:szCs w:val="18"/>
              </w:rPr>
              <w:t>Холодный склад, назначение: нежилое, 1- этажный,  общая площадь 1002,2 кв. метра, инв. № 01:3396:013795, лит. В1, адрес: г. Красноярск, ул. Айвазовского, 37 «А», строение 3. Кадастровый номер: 24:50:0500203:398</w:t>
            </w:r>
          </w:p>
        </w:tc>
        <w:tc>
          <w:tcPr>
            <w:tcW w:w="2268" w:type="dxa"/>
            <w:vAlign w:val="center"/>
          </w:tcPr>
          <w:p w:rsidR="006568BA" w:rsidRPr="00C204F1" w:rsidRDefault="006568BA" w:rsidP="00D70166">
            <w:pPr>
              <w:jc w:val="right"/>
              <w:rPr>
                <w:rFonts w:ascii="Cambria" w:hAnsi="Cambria"/>
                <w:sz w:val="18"/>
                <w:szCs w:val="18"/>
              </w:rPr>
            </w:pPr>
            <w:r w:rsidRPr="00C204F1">
              <w:rPr>
                <w:rFonts w:ascii="Cambria" w:hAnsi="Cambria"/>
                <w:sz w:val="18"/>
                <w:szCs w:val="18"/>
              </w:rPr>
              <w:t>9 298 300</w:t>
            </w:r>
          </w:p>
        </w:tc>
      </w:tr>
      <w:tr w:rsidR="006568BA" w:rsidRPr="000A4482" w:rsidTr="00D70166">
        <w:trPr>
          <w:cantSplit/>
          <w:trHeight w:val="284"/>
        </w:trPr>
        <w:tc>
          <w:tcPr>
            <w:tcW w:w="534" w:type="dxa"/>
            <w:shd w:val="clear" w:color="auto" w:fill="auto"/>
            <w:noWrap/>
            <w:vAlign w:val="center"/>
          </w:tcPr>
          <w:p w:rsidR="006568BA" w:rsidRPr="000A4482" w:rsidRDefault="006568BA" w:rsidP="000A4482">
            <w:pPr>
              <w:jc w:val="center"/>
              <w:rPr>
                <w:rFonts w:asciiTheme="majorHAnsi" w:hAnsiTheme="majorHAnsi"/>
                <w:color w:val="000000"/>
                <w:sz w:val="18"/>
                <w:szCs w:val="18"/>
              </w:rPr>
            </w:pPr>
            <w:r w:rsidRPr="000A4482">
              <w:rPr>
                <w:rFonts w:asciiTheme="majorHAnsi" w:hAnsiTheme="majorHAnsi"/>
                <w:color w:val="000000"/>
                <w:sz w:val="18"/>
                <w:szCs w:val="18"/>
              </w:rPr>
              <w:t>3</w:t>
            </w:r>
          </w:p>
        </w:tc>
        <w:tc>
          <w:tcPr>
            <w:tcW w:w="7229" w:type="dxa"/>
            <w:shd w:val="clear" w:color="auto" w:fill="auto"/>
            <w:noWrap/>
          </w:tcPr>
          <w:p w:rsidR="006568BA" w:rsidRPr="000A4482" w:rsidRDefault="006568BA" w:rsidP="000A4482">
            <w:pPr>
              <w:autoSpaceDE w:val="0"/>
              <w:autoSpaceDN w:val="0"/>
              <w:adjustRightInd w:val="0"/>
              <w:jc w:val="both"/>
              <w:rPr>
                <w:rFonts w:asciiTheme="majorHAnsi" w:hAnsiTheme="majorHAnsi"/>
                <w:color w:val="000000" w:themeColor="text1"/>
                <w:sz w:val="18"/>
                <w:szCs w:val="18"/>
              </w:rPr>
            </w:pPr>
            <w:r w:rsidRPr="000A4482">
              <w:rPr>
                <w:rFonts w:asciiTheme="majorHAnsi" w:hAnsiTheme="majorHAnsi"/>
                <w:color w:val="000000" w:themeColor="text1"/>
                <w:sz w:val="18"/>
                <w:szCs w:val="18"/>
              </w:rPr>
              <w:t>Склад готовой продукции, назначение: нежилое, 1-этажный, общая площадь 1497,2 кв. м.,  инв. № 01:3237:012895, лит. В3,  адрес: г. Красноярск, ул. Айвазовского,37 «А», строен. 1, Кадастровый номер 24:50:0000000:0:105432</w:t>
            </w:r>
          </w:p>
        </w:tc>
        <w:tc>
          <w:tcPr>
            <w:tcW w:w="2268" w:type="dxa"/>
            <w:vAlign w:val="center"/>
          </w:tcPr>
          <w:p w:rsidR="006568BA" w:rsidRPr="00C204F1" w:rsidRDefault="006568BA" w:rsidP="00D70166">
            <w:pPr>
              <w:jc w:val="right"/>
              <w:rPr>
                <w:rFonts w:ascii="Cambria" w:hAnsi="Cambria"/>
                <w:sz w:val="18"/>
                <w:szCs w:val="18"/>
              </w:rPr>
            </w:pPr>
            <w:r w:rsidRPr="00C204F1">
              <w:rPr>
                <w:rFonts w:ascii="Cambria" w:hAnsi="Cambria"/>
                <w:sz w:val="18"/>
                <w:szCs w:val="18"/>
              </w:rPr>
              <w:t>20 024 100</w:t>
            </w:r>
          </w:p>
        </w:tc>
      </w:tr>
      <w:tr w:rsidR="006568BA" w:rsidRPr="000A4482" w:rsidTr="00D70166">
        <w:trPr>
          <w:cantSplit/>
          <w:trHeight w:val="284"/>
        </w:trPr>
        <w:tc>
          <w:tcPr>
            <w:tcW w:w="534" w:type="dxa"/>
            <w:shd w:val="clear" w:color="auto" w:fill="auto"/>
            <w:noWrap/>
            <w:vAlign w:val="center"/>
          </w:tcPr>
          <w:p w:rsidR="006568BA" w:rsidRPr="000A4482" w:rsidRDefault="006568BA" w:rsidP="000A4482">
            <w:pPr>
              <w:jc w:val="center"/>
              <w:rPr>
                <w:rFonts w:asciiTheme="majorHAnsi" w:hAnsiTheme="majorHAnsi"/>
                <w:color w:val="000000"/>
                <w:sz w:val="18"/>
                <w:szCs w:val="18"/>
              </w:rPr>
            </w:pPr>
            <w:r w:rsidRPr="000A4482">
              <w:rPr>
                <w:rFonts w:asciiTheme="majorHAnsi" w:hAnsiTheme="majorHAnsi"/>
                <w:color w:val="000000"/>
                <w:sz w:val="18"/>
                <w:szCs w:val="18"/>
              </w:rPr>
              <w:t>4</w:t>
            </w:r>
          </w:p>
        </w:tc>
        <w:tc>
          <w:tcPr>
            <w:tcW w:w="7229" w:type="dxa"/>
            <w:shd w:val="clear" w:color="auto" w:fill="auto"/>
            <w:noWrap/>
          </w:tcPr>
          <w:p w:rsidR="006568BA" w:rsidRPr="000A4482" w:rsidRDefault="006568BA" w:rsidP="000A4482">
            <w:pPr>
              <w:autoSpaceDE w:val="0"/>
              <w:autoSpaceDN w:val="0"/>
              <w:adjustRightInd w:val="0"/>
              <w:jc w:val="both"/>
              <w:rPr>
                <w:rFonts w:asciiTheme="majorHAnsi" w:hAnsiTheme="majorHAnsi"/>
                <w:color w:val="000000" w:themeColor="text1"/>
                <w:sz w:val="18"/>
                <w:szCs w:val="18"/>
              </w:rPr>
            </w:pPr>
            <w:r w:rsidRPr="000A4482">
              <w:rPr>
                <w:rFonts w:asciiTheme="majorHAnsi" w:hAnsiTheme="majorHAnsi"/>
                <w:color w:val="000000" w:themeColor="text1"/>
                <w:sz w:val="18"/>
                <w:szCs w:val="18"/>
              </w:rPr>
              <w:t>Земельный участок, категория земель: земли населенных пунктов, разрешенное использование: занимаемый производственной базой, общая площадь 12774 кв. м., адрес: г. Красноярск, ул. Айвазовского,37 «А». Кадастровый номер: 24:50:0500203:458</w:t>
            </w:r>
          </w:p>
        </w:tc>
        <w:tc>
          <w:tcPr>
            <w:tcW w:w="2268" w:type="dxa"/>
            <w:vAlign w:val="center"/>
          </w:tcPr>
          <w:p w:rsidR="006568BA" w:rsidRPr="00C204F1" w:rsidRDefault="006568BA" w:rsidP="00D70166">
            <w:pPr>
              <w:jc w:val="right"/>
              <w:rPr>
                <w:rFonts w:ascii="Cambria" w:hAnsi="Cambria"/>
                <w:sz w:val="18"/>
                <w:szCs w:val="18"/>
              </w:rPr>
            </w:pPr>
            <w:r w:rsidRPr="00C204F1">
              <w:rPr>
                <w:rFonts w:ascii="Cambria" w:hAnsi="Cambria"/>
                <w:sz w:val="18"/>
                <w:szCs w:val="18"/>
              </w:rPr>
              <w:t>2 051 700</w:t>
            </w:r>
          </w:p>
        </w:tc>
      </w:tr>
      <w:tr w:rsidR="006568BA" w:rsidRPr="000A4482" w:rsidTr="00D70166">
        <w:trPr>
          <w:cantSplit/>
          <w:trHeight w:val="284"/>
        </w:trPr>
        <w:tc>
          <w:tcPr>
            <w:tcW w:w="534" w:type="dxa"/>
            <w:shd w:val="clear" w:color="auto" w:fill="auto"/>
            <w:noWrap/>
            <w:vAlign w:val="center"/>
          </w:tcPr>
          <w:p w:rsidR="006568BA" w:rsidRPr="000A4482" w:rsidRDefault="006568BA" w:rsidP="000A4482">
            <w:pPr>
              <w:jc w:val="center"/>
              <w:rPr>
                <w:rFonts w:asciiTheme="majorHAnsi" w:hAnsiTheme="majorHAnsi"/>
                <w:color w:val="000000"/>
                <w:sz w:val="18"/>
                <w:szCs w:val="18"/>
              </w:rPr>
            </w:pPr>
            <w:r w:rsidRPr="000A4482">
              <w:rPr>
                <w:rFonts w:asciiTheme="majorHAnsi" w:hAnsiTheme="majorHAnsi"/>
                <w:color w:val="000000"/>
                <w:sz w:val="18"/>
                <w:szCs w:val="18"/>
              </w:rPr>
              <w:t>5</w:t>
            </w:r>
          </w:p>
        </w:tc>
        <w:tc>
          <w:tcPr>
            <w:tcW w:w="7229" w:type="dxa"/>
            <w:shd w:val="clear" w:color="auto" w:fill="auto"/>
            <w:noWrap/>
          </w:tcPr>
          <w:p w:rsidR="006568BA" w:rsidRPr="000A4482" w:rsidRDefault="006568BA" w:rsidP="000A4482">
            <w:pPr>
              <w:autoSpaceDE w:val="0"/>
              <w:autoSpaceDN w:val="0"/>
              <w:adjustRightInd w:val="0"/>
              <w:jc w:val="both"/>
              <w:rPr>
                <w:rFonts w:asciiTheme="majorHAnsi" w:hAnsiTheme="majorHAnsi"/>
                <w:color w:val="000000" w:themeColor="text1"/>
                <w:sz w:val="18"/>
                <w:szCs w:val="18"/>
              </w:rPr>
            </w:pPr>
            <w:r w:rsidRPr="000A4482">
              <w:rPr>
                <w:rFonts w:asciiTheme="majorHAnsi" w:hAnsiTheme="majorHAnsi"/>
                <w:color w:val="000000" w:themeColor="text1"/>
                <w:sz w:val="18"/>
                <w:szCs w:val="18"/>
              </w:rPr>
              <w:t>Центр обработки и нарезания ПВХ профилей  KABAN Makina FA 1030</w:t>
            </w:r>
          </w:p>
        </w:tc>
        <w:tc>
          <w:tcPr>
            <w:tcW w:w="2268" w:type="dxa"/>
            <w:vAlign w:val="center"/>
          </w:tcPr>
          <w:p w:rsidR="006568BA" w:rsidRPr="000A4482" w:rsidRDefault="006568BA" w:rsidP="000A4482">
            <w:pPr>
              <w:jc w:val="right"/>
              <w:rPr>
                <w:rFonts w:ascii="Cambria" w:hAnsi="Cambria"/>
                <w:color w:val="000000"/>
                <w:sz w:val="18"/>
                <w:szCs w:val="18"/>
              </w:rPr>
            </w:pPr>
            <w:r w:rsidRPr="000A4482">
              <w:rPr>
                <w:rFonts w:ascii="Cambria" w:hAnsi="Cambria"/>
                <w:color w:val="000000"/>
                <w:sz w:val="18"/>
                <w:szCs w:val="18"/>
              </w:rPr>
              <w:t>13 919 700</w:t>
            </w:r>
          </w:p>
        </w:tc>
      </w:tr>
      <w:tr w:rsidR="006568BA" w:rsidRPr="000A4482" w:rsidTr="00D70166">
        <w:trPr>
          <w:cantSplit/>
          <w:trHeight w:val="284"/>
        </w:trPr>
        <w:tc>
          <w:tcPr>
            <w:tcW w:w="534" w:type="dxa"/>
            <w:shd w:val="clear" w:color="auto" w:fill="auto"/>
            <w:noWrap/>
            <w:vAlign w:val="center"/>
          </w:tcPr>
          <w:p w:rsidR="006568BA" w:rsidRPr="000A4482" w:rsidRDefault="006568BA" w:rsidP="000A4482">
            <w:pPr>
              <w:jc w:val="center"/>
              <w:rPr>
                <w:rFonts w:asciiTheme="majorHAnsi" w:hAnsiTheme="majorHAnsi"/>
                <w:color w:val="000000"/>
                <w:sz w:val="18"/>
                <w:szCs w:val="18"/>
              </w:rPr>
            </w:pPr>
            <w:r w:rsidRPr="000A4482">
              <w:rPr>
                <w:rFonts w:asciiTheme="majorHAnsi" w:hAnsiTheme="majorHAnsi"/>
                <w:color w:val="000000"/>
                <w:sz w:val="18"/>
                <w:szCs w:val="18"/>
              </w:rPr>
              <w:t>6</w:t>
            </w:r>
          </w:p>
        </w:tc>
        <w:tc>
          <w:tcPr>
            <w:tcW w:w="7229" w:type="dxa"/>
            <w:shd w:val="clear" w:color="auto" w:fill="auto"/>
            <w:noWrap/>
          </w:tcPr>
          <w:p w:rsidR="006568BA" w:rsidRPr="000A4482" w:rsidRDefault="006568BA" w:rsidP="000A4482">
            <w:pPr>
              <w:autoSpaceDE w:val="0"/>
              <w:autoSpaceDN w:val="0"/>
              <w:adjustRightInd w:val="0"/>
              <w:jc w:val="both"/>
              <w:rPr>
                <w:rFonts w:asciiTheme="majorHAnsi" w:hAnsiTheme="majorHAnsi"/>
                <w:color w:val="000000" w:themeColor="text1"/>
                <w:sz w:val="18"/>
                <w:szCs w:val="18"/>
              </w:rPr>
            </w:pPr>
            <w:r w:rsidRPr="000A4482">
              <w:rPr>
                <w:rFonts w:asciiTheme="majorHAnsi" w:hAnsiTheme="majorHAnsi"/>
                <w:color w:val="000000" w:themeColor="text1"/>
                <w:sz w:val="18"/>
                <w:szCs w:val="18"/>
              </w:rPr>
              <w:t>Станок для рубки армирования  KABAN Makina КС1010</w:t>
            </w:r>
          </w:p>
        </w:tc>
        <w:tc>
          <w:tcPr>
            <w:tcW w:w="2268" w:type="dxa"/>
            <w:vAlign w:val="center"/>
          </w:tcPr>
          <w:p w:rsidR="006568BA" w:rsidRPr="000A4482" w:rsidRDefault="006568BA" w:rsidP="000A4482">
            <w:pPr>
              <w:jc w:val="right"/>
              <w:rPr>
                <w:rFonts w:ascii="Cambria" w:hAnsi="Cambria"/>
                <w:color w:val="000000"/>
                <w:sz w:val="18"/>
                <w:szCs w:val="18"/>
              </w:rPr>
            </w:pPr>
            <w:r w:rsidRPr="000A4482">
              <w:rPr>
                <w:rFonts w:ascii="Cambria" w:hAnsi="Cambria"/>
                <w:color w:val="000000"/>
                <w:sz w:val="18"/>
                <w:szCs w:val="18"/>
              </w:rPr>
              <w:t>502 700</w:t>
            </w:r>
          </w:p>
        </w:tc>
      </w:tr>
      <w:tr w:rsidR="006568BA" w:rsidRPr="000A4482" w:rsidTr="00D70166">
        <w:trPr>
          <w:cantSplit/>
          <w:trHeight w:val="284"/>
        </w:trPr>
        <w:tc>
          <w:tcPr>
            <w:tcW w:w="534" w:type="dxa"/>
            <w:shd w:val="clear" w:color="auto" w:fill="auto"/>
            <w:noWrap/>
            <w:vAlign w:val="center"/>
          </w:tcPr>
          <w:p w:rsidR="006568BA" w:rsidRPr="000A4482" w:rsidRDefault="006568BA" w:rsidP="000A4482">
            <w:pPr>
              <w:jc w:val="center"/>
              <w:rPr>
                <w:rFonts w:asciiTheme="majorHAnsi" w:hAnsiTheme="majorHAnsi"/>
                <w:color w:val="000000"/>
                <w:sz w:val="18"/>
                <w:szCs w:val="18"/>
              </w:rPr>
            </w:pPr>
            <w:r w:rsidRPr="000A4482">
              <w:rPr>
                <w:rFonts w:asciiTheme="majorHAnsi" w:hAnsiTheme="majorHAnsi"/>
                <w:color w:val="000000"/>
                <w:sz w:val="18"/>
                <w:szCs w:val="18"/>
              </w:rPr>
              <w:t>7</w:t>
            </w:r>
          </w:p>
        </w:tc>
        <w:tc>
          <w:tcPr>
            <w:tcW w:w="7229" w:type="dxa"/>
            <w:shd w:val="clear" w:color="auto" w:fill="auto"/>
            <w:noWrap/>
          </w:tcPr>
          <w:p w:rsidR="006568BA" w:rsidRPr="000A4482" w:rsidRDefault="006568BA" w:rsidP="000A4482">
            <w:pPr>
              <w:autoSpaceDE w:val="0"/>
              <w:autoSpaceDN w:val="0"/>
              <w:adjustRightInd w:val="0"/>
              <w:jc w:val="both"/>
              <w:rPr>
                <w:rFonts w:asciiTheme="majorHAnsi" w:hAnsiTheme="majorHAnsi"/>
                <w:color w:val="000000" w:themeColor="text1"/>
                <w:sz w:val="18"/>
                <w:szCs w:val="18"/>
              </w:rPr>
            </w:pPr>
            <w:r w:rsidRPr="000A4482">
              <w:rPr>
                <w:rFonts w:asciiTheme="majorHAnsi" w:hAnsiTheme="majorHAnsi"/>
                <w:color w:val="000000" w:themeColor="text1"/>
                <w:sz w:val="18"/>
                <w:szCs w:val="18"/>
              </w:rPr>
              <w:t>Цифровая система измерения  KABAN Makina DS500</w:t>
            </w:r>
          </w:p>
        </w:tc>
        <w:tc>
          <w:tcPr>
            <w:tcW w:w="2268" w:type="dxa"/>
            <w:vAlign w:val="center"/>
          </w:tcPr>
          <w:p w:rsidR="006568BA" w:rsidRPr="000A4482" w:rsidRDefault="006568BA" w:rsidP="000A4482">
            <w:pPr>
              <w:jc w:val="right"/>
              <w:rPr>
                <w:rFonts w:ascii="Cambria" w:hAnsi="Cambria"/>
                <w:color w:val="000000"/>
                <w:sz w:val="18"/>
                <w:szCs w:val="18"/>
              </w:rPr>
            </w:pPr>
            <w:r w:rsidRPr="000A4482">
              <w:rPr>
                <w:rFonts w:ascii="Cambria" w:hAnsi="Cambria"/>
                <w:color w:val="000000"/>
                <w:sz w:val="18"/>
                <w:szCs w:val="18"/>
              </w:rPr>
              <w:t>309 300</w:t>
            </w:r>
          </w:p>
        </w:tc>
      </w:tr>
      <w:tr w:rsidR="006568BA" w:rsidRPr="000A4482" w:rsidTr="00D70166">
        <w:trPr>
          <w:cantSplit/>
          <w:trHeight w:val="284"/>
        </w:trPr>
        <w:tc>
          <w:tcPr>
            <w:tcW w:w="534" w:type="dxa"/>
            <w:shd w:val="clear" w:color="auto" w:fill="auto"/>
            <w:noWrap/>
            <w:vAlign w:val="center"/>
          </w:tcPr>
          <w:p w:rsidR="006568BA" w:rsidRPr="000A4482" w:rsidRDefault="006568BA" w:rsidP="000A4482">
            <w:pPr>
              <w:jc w:val="center"/>
              <w:rPr>
                <w:rFonts w:asciiTheme="majorHAnsi" w:hAnsiTheme="majorHAnsi"/>
                <w:color w:val="000000"/>
                <w:sz w:val="18"/>
                <w:szCs w:val="18"/>
              </w:rPr>
            </w:pPr>
            <w:r w:rsidRPr="000A4482">
              <w:rPr>
                <w:rFonts w:asciiTheme="majorHAnsi" w:hAnsiTheme="majorHAnsi"/>
                <w:color w:val="000000"/>
                <w:sz w:val="18"/>
                <w:szCs w:val="18"/>
              </w:rPr>
              <w:t>8</w:t>
            </w:r>
          </w:p>
        </w:tc>
        <w:tc>
          <w:tcPr>
            <w:tcW w:w="7229" w:type="dxa"/>
            <w:shd w:val="clear" w:color="auto" w:fill="auto"/>
            <w:noWrap/>
          </w:tcPr>
          <w:p w:rsidR="006568BA" w:rsidRPr="000A4482" w:rsidRDefault="006568BA" w:rsidP="000A4482">
            <w:pPr>
              <w:autoSpaceDE w:val="0"/>
              <w:autoSpaceDN w:val="0"/>
              <w:adjustRightInd w:val="0"/>
              <w:jc w:val="both"/>
              <w:rPr>
                <w:rFonts w:asciiTheme="majorHAnsi" w:hAnsiTheme="majorHAnsi"/>
                <w:color w:val="000000" w:themeColor="text1"/>
                <w:sz w:val="18"/>
                <w:szCs w:val="18"/>
              </w:rPr>
            </w:pPr>
            <w:r w:rsidRPr="000A4482">
              <w:rPr>
                <w:rFonts w:asciiTheme="majorHAnsi" w:hAnsiTheme="majorHAnsi"/>
                <w:color w:val="000000" w:themeColor="text1"/>
                <w:sz w:val="18"/>
                <w:szCs w:val="18"/>
              </w:rPr>
              <w:t>Цифровой измерительный компас KABAN Makina DК 100</w:t>
            </w:r>
          </w:p>
        </w:tc>
        <w:tc>
          <w:tcPr>
            <w:tcW w:w="2268" w:type="dxa"/>
            <w:vAlign w:val="center"/>
          </w:tcPr>
          <w:p w:rsidR="006568BA" w:rsidRPr="000A4482" w:rsidRDefault="006568BA" w:rsidP="000A4482">
            <w:pPr>
              <w:jc w:val="right"/>
              <w:rPr>
                <w:rFonts w:ascii="Cambria" w:hAnsi="Cambria"/>
                <w:color w:val="000000"/>
                <w:sz w:val="18"/>
                <w:szCs w:val="18"/>
              </w:rPr>
            </w:pPr>
            <w:r w:rsidRPr="000A4482">
              <w:rPr>
                <w:rFonts w:ascii="Cambria" w:hAnsi="Cambria"/>
                <w:color w:val="000000"/>
                <w:sz w:val="18"/>
                <w:szCs w:val="18"/>
              </w:rPr>
              <w:t>108 300</w:t>
            </w:r>
          </w:p>
        </w:tc>
      </w:tr>
      <w:tr w:rsidR="006568BA" w:rsidRPr="000A4482" w:rsidTr="00D70166">
        <w:trPr>
          <w:cantSplit/>
          <w:trHeight w:val="284"/>
        </w:trPr>
        <w:tc>
          <w:tcPr>
            <w:tcW w:w="534" w:type="dxa"/>
            <w:shd w:val="clear" w:color="auto" w:fill="auto"/>
            <w:noWrap/>
            <w:vAlign w:val="center"/>
          </w:tcPr>
          <w:p w:rsidR="006568BA" w:rsidRPr="000A4482" w:rsidRDefault="006568BA" w:rsidP="000A4482">
            <w:pPr>
              <w:jc w:val="center"/>
              <w:rPr>
                <w:rFonts w:asciiTheme="majorHAnsi" w:hAnsiTheme="majorHAnsi"/>
                <w:color w:val="000000"/>
                <w:sz w:val="18"/>
                <w:szCs w:val="18"/>
              </w:rPr>
            </w:pPr>
            <w:r w:rsidRPr="000A4482">
              <w:rPr>
                <w:rFonts w:asciiTheme="majorHAnsi" w:hAnsiTheme="majorHAnsi"/>
                <w:color w:val="000000"/>
                <w:sz w:val="18"/>
                <w:szCs w:val="18"/>
              </w:rPr>
              <w:t>9</w:t>
            </w:r>
          </w:p>
        </w:tc>
        <w:tc>
          <w:tcPr>
            <w:tcW w:w="7229" w:type="dxa"/>
            <w:shd w:val="clear" w:color="auto" w:fill="auto"/>
            <w:noWrap/>
          </w:tcPr>
          <w:p w:rsidR="006568BA" w:rsidRPr="000A4482" w:rsidRDefault="006568BA" w:rsidP="000A4482">
            <w:pPr>
              <w:autoSpaceDE w:val="0"/>
              <w:autoSpaceDN w:val="0"/>
              <w:adjustRightInd w:val="0"/>
              <w:jc w:val="both"/>
              <w:rPr>
                <w:rFonts w:asciiTheme="majorHAnsi" w:hAnsiTheme="majorHAnsi"/>
                <w:color w:val="000000" w:themeColor="text1"/>
                <w:sz w:val="18"/>
                <w:szCs w:val="18"/>
              </w:rPr>
            </w:pPr>
            <w:r w:rsidRPr="000A4482">
              <w:rPr>
                <w:rFonts w:asciiTheme="majorHAnsi" w:hAnsiTheme="majorHAnsi"/>
                <w:color w:val="000000" w:themeColor="text1"/>
                <w:sz w:val="18"/>
                <w:szCs w:val="18"/>
              </w:rPr>
              <w:t>Станок одноголовочный сварочный   KABAN Makina ВА2030</w:t>
            </w:r>
          </w:p>
        </w:tc>
        <w:tc>
          <w:tcPr>
            <w:tcW w:w="2268" w:type="dxa"/>
            <w:vAlign w:val="center"/>
          </w:tcPr>
          <w:p w:rsidR="006568BA" w:rsidRPr="000A4482" w:rsidRDefault="006568BA" w:rsidP="000A4482">
            <w:pPr>
              <w:jc w:val="right"/>
              <w:rPr>
                <w:rFonts w:ascii="Cambria" w:hAnsi="Cambria"/>
                <w:color w:val="000000"/>
                <w:sz w:val="18"/>
                <w:szCs w:val="18"/>
              </w:rPr>
            </w:pPr>
            <w:r w:rsidRPr="000A4482">
              <w:rPr>
                <w:rFonts w:ascii="Cambria" w:hAnsi="Cambria"/>
                <w:color w:val="000000"/>
                <w:sz w:val="18"/>
                <w:szCs w:val="18"/>
              </w:rPr>
              <w:t>178 600</w:t>
            </w:r>
          </w:p>
        </w:tc>
      </w:tr>
      <w:tr w:rsidR="006568BA" w:rsidRPr="000A4482" w:rsidTr="00D70166">
        <w:trPr>
          <w:cantSplit/>
          <w:trHeight w:val="284"/>
        </w:trPr>
        <w:tc>
          <w:tcPr>
            <w:tcW w:w="534" w:type="dxa"/>
            <w:shd w:val="clear" w:color="auto" w:fill="auto"/>
            <w:noWrap/>
            <w:vAlign w:val="center"/>
          </w:tcPr>
          <w:p w:rsidR="006568BA" w:rsidRPr="000A4482" w:rsidRDefault="006568BA" w:rsidP="000A4482">
            <w:pPr>
              <w:jc w:val="center"/>
              <w:rPr>
                <w:rFonts w:asciiTheme="majorHAnsi" w:hAnsiTheme="majorHAnsi"/>
                <w:color w:val="000000"/>
                <w:sz w:val="18"/>
                <w:szCs w:val="18"/>
              </w:rPr>
            </w:pPr>
            <w:r w:rsidRPr="000A4482">
              <w:rPr>
                <w:rFonts w:asciiTheme="majorHAnsi" w:hAnsiTheme="majorHAnsi"/>
                <w:color w:val="000000"/>
                <w:sz w:val="18"/>
                <w:szCs w:val="18"/>
              </w:rPr>
              <w:t>10</w:t>
            </w:r>
          </w:p>
        </w:tc>
        <w:tc>
          <w:tcPr>
            <w:tcW w:w="7229" w:type="dxa"/>
            <w:shd w:val="clear" w:color="auto" w:fill="auto"/>
            <w:noWrap/>
          </w:tcPr>
          <w:p w:rsidR="006568BA" w:rsidRPr="000A4482" w:rsidRDefault="006568BA" w:rsidP="000A4482">
            <w:pPr>
              <w:autoSpaceDE w:val="0"/>
              <w:autoSpaceDN w:val="0"/>
              <w:adjustRightInd w:val="0"/>
              <w:jc w:val="both"/>
              <w:rPr>
                <w:rFonts w:asciiTheme="majorHAnsi" w:hAnsiTheme="majorHAnsi"/>
                <w:color w:val="000000" w:themeColor="text1"/>
                <w:sz w:val="18"/>
                <w:szCs w:val="18"/>
              </w:rPr>
            </w:pPr>
            <w:r w:rsidRPr="000A4482">
              <w:rPr>
                <w:rFonts w:asciiTheme="majorHAnsi" w:hAnsiTheme="majorHAnsi"/>
                <w:color w:val="000000" w:themeColor="text1"/>
                <w:sz w:val="18"/>
                <w:szCs w:val="18"/>
              </w:rPr>
              <w:t>Автоматический копировально-фрезерный станок для фрезерования отверстий  под ручку и фурнитуру KABAN Makina DE 4060</w:t>
            </w:r>
          </w:p>
        </w:tc>
        <w:tc>
          <w:tcPr>
            <w:tcW w:w="2268" w:type="dxa"/>
            <w:vAlign w:val="center"/>
          </w:tcPr>
          <w:p w:rsidR="006568BA" w:rsidRPr="000A4482" w:rsidRDefault="006568BA" w:rsidP="000A4482">
            <w:pPr>
              <w:jc w:val="right"/>
              <w:rPr>
                <w:rFonts w:ascii="Cambria" w:hAnsi="Cambria"/>
                <w:color w:val="000000"/>
                <w:sz w:val="18"/>
                <w:szCs w:val="18"/>
              </w:rPr>
            </w:pPr>
            <w:r w:rsidRPr="000A4482">
              <w:rPr>
                <w:rFonts w:ascii="Cambria" w:hAnsi="Cambria"/>
                <w:color w:val="000000"/>
                <w:sz w:val="18"/>
                <w:szCs w:val="18"/>
              </w:rPr>
              <w:t>162 400</w:t>
            </w:r>
          </w:p>
        </w:tc>
      </w:tr>
      <w:tr w:rsidR="006568BA" w:rsidRPr="000A4482" w:rsidTr="00D70166">
        <w:trPr>
          <w:cantSplit/>
          <w:trHeight w:val="284"/>
        </w:trPr>
        <w:tc>
          <w:tcPr>
            <w:tcW w:w="534" w:type="dxa"/>
            <w:shd w:val="clear" w:color="auto" w:fill="auto"/>
            <w:noWrap/>
            <w:vAlign w:val="center"/>
          </w:tcPr>
          <w:p w:rsidR="006568BA" w:rsidRPr="000A4482" w:rsidRDefault="006568BA" w:rsidP="000A4482">
            <w:pPr>
              <w:jc w:val="center"/>
              <w:rPr>
                <w:rFonts w:asciiTheme="majorHAnsi" w:hAnsiTheme="majorHAnsi"/>
                <w:color w:val="000000"/>
                <w:sz w:val="18"/>
                <w:szCs w:val="18"/>
              </w:rPr>
            </w:pPr>
            <w:r w:rsidRPr="000A4482">
              <w:rPr>
                <w:rFonts w:asciiTheme="majorHAnsi" w:hAnsiTheme="majorHAnsi"/>
                <w:color w:val="000000"/>
                <w:sz w:val="18"/>
                <w:szCs w:val="18"/>
              </w:rPr>
              <w:t>11</w:t>
            </w:r>
          </w:p>
        </w:tc>
        <w:tc>
          <w:tcPr>
            <w:tcW w:w="7229" w:type="dxa"/>
            <w:shd w:val="clear" w:color="auto" w:fill="auto"/>
            <w:noWrap/>
          </w:tcPr>
          <w:p w:rsidR="006568BA" w:rsidRPr="000A4482" w:rsidRDefault="006568BA" w:rsidP="000A4482">
            <w:pPr>
              <w:autoSpaceDE w:val="0"/>
              <w:autoSpaceDN w:val="0"/>
              <w:adjustRightInd w:val="0"/>
              <w:jc w:val="both"/>
              <w:rPr>
                <w:rFonts w:asciiTheme="majorHAnsi" w:hAnsiTheme="majorHAnsi"/>
                <w:color w:val="000000" w:themeColor="text1"/>
                <w:sz w:val="18"/>
                <w:szCs w:val="18"/>
              </w:rPr>
            </w:pPr>
            <w:r w:rsidRPr="000A4482">
              <w:rPr>
                <w:rFonts w:asciiTheme="majorHAnsi" w:hAnsiTheme="majorHAnsi"/>
                <w:color w:val="000000" w:themeColor="text1"/>
                <w:sz w:val="18"/>
                <w:szCs w:val="18"/>
              </w:rPr>
              <w:t>Механический  копировально-фрезерный  станок  KABAN Makina DF4060</w:t>
            </w:r>
          </w:p>
        </w:tc>
        <w:tc>
          <w:tcPr>
            <w:tcW w:w="2268" w:type="dxa"/>
            <w:vAlign w:val="center"/>
          </w:tcPr>
          <w:p w:rsidR="006568BA" w:rsidRPr="000A4482" w:rsidRDefault="006568BA" w:rsidP="000A4482">
            <w:pPr>
              <w:jc w:val="right"/>
              <w:rPr>
                <w:rFonts w:ascii="Cambria" w:hAnsi="Cambria"/>
                <w:color w:val="000000"/>
                <w:sz w:val="18"/>
                <w:szCs w:val="18"/>
              </w:rPr>
            </w:pPr>
            <w:r w:rsidRPr="000A4482">
              <w:rPr>
                <w:rFonts w:ascii="Cambria" w:hAnsi="Cambria"/>
                <w:color w:val="000000"/>
                <w:sz w:val="18"/>
                <w:szCs w:val="18"/>
              </w:rPr>
              <w:t>122 500</w:t>
            </w:r>
          </w:p>
        </w:tc>
      </w:tr>
      <w:tr w:rsidR="006568BA" w:rsidRPr="000A4482" w:rsidTr="00D70166">
        <w:trPr>
          <w:cantSplit/>
          <w:trHeight w:val="284"/>
        </w:trPr>
        <w:tc>
          <w:tcPr>
            <w:tcW w:w="534" w:type="dxa"/>
            <w:shd w:val="clear" w:color="auto" w:fill="auto"/>
            <w:noWrap/>
            <w:vAlign w:val="center"/>
          </w:tcPr>
          <w:p w:rsidR="006568BA" w:rsidRPr="000A4482" w:rsidRDefault="006568BA" w:rsidP="000A4482">
            <w:pPr>
              <w:jc w:val="center"/>
              <w:rPr>
                <w:rFonts w:asciiTheme="majorHAnsi" w:hAnsiTheme="majorHAnsi"/>
                <w:color w:val="000000"/>
                <w:sz w:val="18"/>
                <w:szCs w:val="18"/>
              </w:rPr>
            </w:pPr>
            <w:r w:rsidRPr="000A4482">
              <w:rPr>
                <w:rFonts w:asciiTheme="majorHAnsi" w:hAnsiTheme="majorHAnsi"/>
                <w:color w:val="000000"/>
                <w:sz w:val="18"/>
                <w:szCs w:val="18"/>
              </w:rPr>
              <w:t>12</w:t>
            </w:r>
          </w:p>
        </w:tc>
        <w:tc>
          <w:tcPr>
            <w:tcW w:w="7229" w:type="dxa"/>
            <w:shd w:val="clear" w:color="auto" w:fill="auto"/>
            <w:noWrap/>
          </w:tcPr>
          <w:p w:rsidR="006568BA" w:rsidRPr="000A4482" w:rsidRDefault="006568BA" w:rsidP="000A4482">
            <w:pPr>
              <w:rPr>
                <w:rFonts w:asciiTheme="majorHAnsi" w:hAnsiTheme="majorHAnsi"/>
                <w:sz w:val="18"/>
                <w:szCs w:val="18"/>
              </w:rPr>
            </w:pPr>
            <w:r w:rsidRPr="000A4482">
              <w:rPr>
                <w:rFonts w:asciiTheme="majorHAnsi" w:hAnsiTheme="majorHAnsi"/>
                <w:color w:val="000000" w:themeColor="text1"/>
                <w:sz w:val="18"/>
                <w:szCs w:val="18"/>
              </w:rPr>
              <w:t>Автоматический станок для обработки импоста  KABAN Makina СF3060</w:t>
            </w:r>
          </w:p>
        </w:tc>
        <w:tc>
          <w:tcPr>
            <w:tcW w:w="2268" w:type="dxa"/>
            <w:vAlign w:val="center"/>
          </w:tcPr>
          <w:p w:rsidR="006568BA" w:rsidRPr="000A4482" w:rsidRDefault="006568BA" w:rsidP="000A4482">
            <w:pPr>
              <w:jc w:val="right"/>
              <w:rPr>
                <w:rFonts w:ascii="Cambria" w:hAnsi="Cambria"/>
                <w:color w:val="000000"/>
                <w:sz w:val="18"/>
                <w:szCs w:val="18"/>
              </w:rPr>
            </w:pPr>
            <w:r w:rsidRPr="000A4482">
              <w:rPr>
                <w:rFonts w:ascii="Cambria" w:hAnsi="Cambria"/>
                <w:color w:val="000000"/>
                <w:sz w:val="18"/>
                <w:szCs w:val="18"/>
              </w:rPr>
              <w:t>121 600</w:t>
            </w:r>
          </w:p>
        </w:tc>
      </w:tr>
    </w:tbl>
    <w:p w:rsidR="000A4482" w:rsidRPr="000A4482" w:rsidRDefault="000A4482" w:rsidP="000A4482">
      <w:pPr>
        <w:autoSpaceDE w:val="0"/>
        <w:autoSpaceDN w:val="0"/>
        <w:adjustRightInd w:val="0"/>
        <w:spacing w:before="120" w:after="120"/>
        <w:ind w:firstLine="709"/>
        <w:jc w:val="both"/>
        <w:rPr>
          <w:rFonts w:ascii="Bookman Old Style" w:hAnsi="Bookman Old Style"/>
          <w:sz w:val="20"/>
          <w:szCs w:val="20"/>
        </w:rPr>
      </w:pPr>
      <w:r w:rsidRPr="000A4482">
        <w:rPr>
          <w:rFonts w:ascii="Bookman Old Style" w:hAnsi="Bookman Old Style"/>
          <w:sz w:val="20"/>
          <w:szCs w:val="20"/>
        </w:rPr>
        <w:t xml:space="preserve">Расчет стоимости Объекта оценки проведен на основании исследований рынка, на личном опыте и профессиональных знаниях Оценщика. Источники информации и методики расчетов приведены в соответствующих разделах Отчета об оценке. </w:t>
      </w:r>
    </w:p>
    <w:p w:rsidR="000A4482" w:rsidRPr="000A4482" w:rsidRDefault="000A4482" w:rsidP="000A4482">
      <w:pPr>
        <w:autoSpaceDE w:val="0"/>
        <w:autoSpaceDN w:val="0"/>
        <w:adjustRightInd w:val="0"/>
        <w:spacing w:before="120" w:after="120"/>
        <w:ind w:firstLine="709"/>
        <w:jc w:val="both"/>
        <w:rPr>
          <w:rFonts w:ascii="Bookman Old Style" w:hAnsi="Bookman Old Style"/>
          <w:sz w:val="20"/>
          <w:szCs w:val="20"/>
        </w:rPr>
      </w:pPr>
      <w:r w:rsidRPr="000A4482">
        <w:rPr>
          <w:rFonts w:ascii="Bookman Old Style" w:hAnsi="Bookman Old Style"/>
          <w:sz w:val="20"/>
          <w:szCs w:val="20"/>
        </w:rPr>
        <w:t>Настоящая оценка проводилась в соответствии с требованиями:</w:t>
      </w:r>
    </w:p>
    <w:p w:rsidR="000A4482" w:rsidRPr="000A4482" w:rsidRDefault="000A4482" w:rsidP="00303E37">
      <w:pPr>
        <w:numPr>
          <w:ilvl w:val="0"/>
          <w:numId w:val="50"/>
        </w:numPr>
        <w:autoSpaceDE w:val="0"/>
        <w:autoSpaceDN w:val="0"/>
        <w:adjustRightInd w:val="0"/>
        <w:spacing w:before="120" w:after="120"/>
        <w:rPr>
          <w:rFonts w:ascii="Bookman Old Style" w:hAnsi="Bookman Old Style"/>
          <w:sz w:val="20"/>
          <w:szCs w:val="20"/>
        </w:rPr>
      </w:pPr>
      <w:r w:rsidRPr="000A4482">
        <w:rPr>
          <w:rFonts w:ascii="Bookman Old Style" w:hAnsi="Bookman Old Style"/>
          <w:sz w:val="20"/>
          <w:szCs w:val="20"/>
        </w:rPr>
        <w:t>Федерального закона «Об оценочной деятельности в Российской Федерации» № 135-ФЗ от 29 июля 1998 года;</w:t>
      </w:r>
    </w:p>
    <w:p w:rsidR="000A4482" w:rsidRPr="000A4482" w:rsidRDefault="000A4482" w:rsidP="00303E37">
      <w:pPr>
        <w:numPr>
          <w:ilvl w:val="0"/>
          <w:numId w:val="50"/>
        </w:numPr>
        <w:autoSpaceDE w:val="0"/>
        <w:autoSpaceDN w:val="0"/>
        <w:adjustRightInd w:val="0"/>
        <w:spacing w:before="120" w:after="120"/>
        <w:rPr>
          <w:rFonts w:ascii="Bookman Old Style" w:hAnsi="Bookman Old Style"/>
          <w:sz w:val="20"/>
          <w:szCs w:val="20"/>
        </w:rPr>
      </w:pPr>
      <w:r w:rsidRPr="000A4482">
        <w:rPr>
          <w:rFonts w:ascii="Bookman Old Style" w:hAnsi="Bookman Old Style"/>
          <w:sz w:val="20"/>
          <w:szCs w:val="20"/>
        </w:rPr>
        <w:t>Федерального стандарта «</w:t>
      </w:r>
      <w:r w:rsidRPr="000A4482">
        <w:rPr>
          <w:rFonts w:ascii="Bookman Old Style" w:hAnsi="Bookman Old Style" w:cs="Bookman Old Style"/>
          <w:sz w:val="20"/>
          <w:szCs w:val="20"/>
        </w:rPr>
        <w:t>Общие понятия оценки, подходы к оценке и требования к проведению оценки» (ФСО № 1) утв. Приказом Минэкономразвития России № 297 от 20 мая 2015 года;</w:t>
      </w:r>
    </w:p>
    <w:p w:rsidR="000A4482" w:rsidRPr="000A4482" w:rsidRDefault="000A4482" w:rsidP="00303E37">
      <w:pPr>
        <w:numPr>
          <w:ilvl w:val="0"/>
          <w:numId w:val="50"/>
        </w:numPr>
        <w:autoSpaceDE w:val="0"/>
        <w:autoSpaceDN w:val="0"/>
        <w:adjustRightInd w:val="0"/>
        <w:spacing w:before="120" w:after="120"/>
        <w:rPr>
          <w:rFonts w:ascii="Bookman Old Style" w:hAnsi="Bookman Old Style"/>
          <w:sz w:val="20"/>
          <w:szCs w:val="20"/>
        </w:rPr>
      </w:pPr>
      <w:r w:rsidRPr="000A4482">
        <w:rPr>
          <w:rFonts w:ascii="Bookman Old Style" w:hAnsi="Bookman Old Style"/>
          <w:sz w:val="20"/>
          <w:szCs w:val="20"/>
        </w:rPr>
        <w:t xml:space="preserve">Федерального стандарта </w:t>
      </w:r>
      <w:r w:rsidRPr="000A4482">
        <w:rPr>
          <w:rFonts w:ascii="Bookman Old Style" w:hAnsi="Bookman Old Style" w:cs="Bookman Old Style"/>
          <w:sz w:val="20"/>
          <w:szCs w:val="20"/>
        </w:rPr>
        <w:t>«Цель оценки и виды стоимости» (ФСО № 2) утв. Приказом Минэкономразвития России № 298 от 20 мая 2015 года;</w:t>
      </w:r>
    </w:p>
    <w:p w:rsidR="000A4482" w:rsidRPr="000A4482" w:rsidRDefault="000A4482" w:rsidP="00303E37">
      <w:pPr>
        <w:numPr>
          <w:ilvl w:val="0"/>
          <w:numId w:val="50"/>
        </w:numPr>
        <w:autoSpaceDE w:val="0"/>
        <w:autoSpaceDN w:val="0"/>
        <w:adjustRightInd w:val="0"/>
        <w:spacing w:before="120" w:after="120"/>
        <w:rPr>
          <w:rFonts w:ascii="Bookman Old Style" w:hAnsi="Bookman Old Style"/>
          <w:sz w:val="20"/>
          <w:szCs w:val="20"/>
        </w:rPr>
      </w:pPr>
      <w:r w:rsidRPr="000A4482">
        <w:rPr>
          <w:rFonts w:ascii="Bookman Old Style" w:hAnsi="Bookman Old Style"/>
          <w:sz w:val="20"/>
          <w:szCs w:val="20"/>
        </w:rPr>
        <w:t>Федерального стандарта «Т</w:t>
      </w:r>
      <w:r w:rsidRPr="000A4482">
        <w:rPr>
          <w:rFonts w:ascii="Bookman Old Style" w:hAnsi="Bookman Old Style" w:cs="Bookman Old Style"/>
          <w:sz w:val="20"/>
          <w:szCs w:val="20"/>
        </w:rPr>
        <w:t>ребования к отчету об оценке» (ФСО № 3) утв. Приказом Минэкономразвития России № 299 от 20 мая 2015 года;</w:t>
      </w:r>
    </w:p>
    <w:p w:rsidR="000A4482" w:rsidRPr="000A4482" w:rsidRDefault="000A4482" w:rsidP="00303E37">
      <w:pPr>
        <w:numPr>
          <w:ilvl w:val="0"/>
          <w:numId w:val="50"/>
        </w:numPr>
        <w:autoSpaceDE w:val="0"/>
        <w:autoSpaceDN w:val="0"/>
        <w:adjustRightInd w:val="0"/>
        <w:spacing w:before="120" w:after="120"/>
        <w:rPr>
          <w:rFonts w:ascii="Bookman Old Style" w:hAnsi="Bookman Old Style"/>
          <w:sz w:val="20"/>
          <w:szCs w:val="20"/>
        </w:rPr>
      </w:pPr>
      <w:r w:rsidRPr="000A4482">
        <w:rPr>
          <w:rFonts w:ascii="Bookman Old Style" w:hAnsi="Bookman Old Style"/>
          <w:sz w:val="20"/>
          <w:szCs w:val="20"/>
        </w:rPr>
        <w:t>Федерального стандарта «Оценка недвижимости</w:t>
      </w:r>
      <w:r w:rsidRPr="000A4482">
        <w:rPr>
          <w:rFonts w:ascii="Bookman Old Style" w:hAnsi="Bookman Old Style" w:cs="Bookman Old Style"/>
          <w:sz w:val="20"/>
          <w:szCs w:val="20"/>
        </w:rPr>
        <w:t>» (ФСО № 7) утв. Приказом Минэкономразвития России № 611 от 25.09.2014 года</w:t>
      </w:r>
      <w:r w:rsidRPr="000A4482">
        <w:rPr>
          <w:rFonts w:ascii="Bookman Old Style" w:hAnsi="Bookman Old Style"/>
          <w:sz w:val="20"/>
          <w:szCs w:val="20"/>
        </w:rPr>
        <w:t xml:space="preserve">; </w:t>
      </w:r>
    </w:p>
    <w:p w:rsidR="000A4482" w:rsidRPr="000A4482" w:rsidRDefault="000A4482" w:rsidP="00303E37">
      <w:pPr>
        <w:numPr>
          <w:ilvl w:val="0"/>
          <w:numId w:val="50"/>
        </w:numPr>
        <w:autoSpaceDE w:val="0"/>
        <w:autoSpaceDN w:val="0"/>
        <w:adjustRightInd w:val="0"/>
        <w:spacing w:before="120" w:after="120"/>
        <w:rPr>
          <w:rFonts w:ascii="Bookman Old Style" w:hAnsi="Bookman Old Style"/>
          <w:sz w:val="20"/>
          <w:szCs w:val="20"/>
        </w:rPr>
      </w:pPr>
      <w:r w:rsidRPr="000A4482">
        <w:rPr>
          <w:rFonts w:ascii="Bookman Old Style" w:hAnsi="Bookman Old Style"/>
          <w:sz w:val="20"/>
          <w:szCs w:val="20"/>
        </w:rPr>
        <w:t>Федерального стандарта «Оценка стоимости машин и оборудования» (ФСО № 10) утв. Приказом Минэкономразвития России № 328 от 01.06.2015 года</w:t>
      </w:r>
    </w:p>
    <w:p w:rsidR="000A4482" w:rsidRPr="000A4482" w:rsidRDefault="000A4482" w:rsidP="00303E37">
      <w:pPr>
        <w:numPr>
          <w:ilvl w:val="0"/>
          <w:numId w:val="50"/>
        </w:numPr>
        <w:autoSpaceDE w:val="0"/>
        <w:autoSpaceDN w:val="0"/>
        <w:adjustRightInd w:val="0"/>
        <w:spacing w:before="120" w:after="120"/>
        <w:ind w:left="714" w:hanging="357"/>
        <w:rPr>
          <w:rFonts w:ascii="Calibri" w:hAnsi="Calibri"/>
          <w:sz w:val="20"/>
          <w:szCs w:val="20"/>
        </w:rPr>
      </w:pPr>
      <w:r w:rsidRPr="000A4482">
        <w:rPr>
          <w:rFonts w:ascii="Bookman Old Style" w:hAnsi="Bookman Old Style"/>
          <w:sz w:val="20"/>
          <w:szCs w:val="20"/>
        </w:rPr>
        <w:t>Стандартами и правилами оценочной деятельности установленными НП СРО «НКСО».</w:t>
      </w:r>
    </w:p>
    <w:p w:rsidR="000A4482" w:rsidRPr="000A4482" w:rsidRDefault="000A4482" w:rsidP="000A4482">
      <w:pPr>
        <w:autoSpaceDE w:val="0"/>
        <w:autoSpaceDN w:val="0"/>
        <w:adjustRightInd w:val="0"/>
        <w:spacing w:before="120" w:after="120"/>
        <w:ind w:firstLine="708"/>
        <w:jc w:val="both"/>
        <w:rPr>
          <w:rFonts w:ascii="Bookman Old Style" w:hAnsi="Bookman Old Style"/>
          <w:sz w:val="20"/>
          <w:szCs w:val="20"/>
        </w:rPr>
      </w:pPr>
      <w:r w:rsidRPr="000A4482">
        <w:rPr>
          <w:rFonts w:ascii="Bookman Old Style" w:hAnsi="Bookman Old Style"/>
          <w:sz w:val="20"/>
          <w:szCs w:val="20"/>
        </w:rPr>
        <w:t>Если у Вас возникнут какие-либо вопросы по оценке или по нашим рассуждениям, пожалуйста, обращайтесь непосредственно к нам. Благодарим, за возможность оказать услуги для Вашей организации.</w:t>
      </w:r>
    </w:p>
    <w:p w:rsidR="00B452F3" w:rsidRDefault="00B452F3" w:rsidP="00A83D6B">
      <w:pPr>
        <w:autoSpaceDE w:val="0"/>
        <w:autoSpaceDN w:val="0"/>
        <w:adjustRightInd w:val="0"/>
        <w:rPr>
          <w:rFonts w:ascii="Bookman Old Style" w:hAnsi="Bookman Old Style"/>
          <w:bCs/>
          <w:sz w:val="20"/>
          <w:szCs w:val="20"/>
        </w:rPr>
      </w:pPr>
    </w:p>
    <w:p w:rsidR="00A83D6B" w:rsidRPr="00BE6191" w:rsidRDefault="00A83D6B" w:rsidP="00A83D6B">
      <w:pPr>
        <w:autoSpaceDE w:val="0"/>
        <w:autoSpaceDN w:val="0"/>
        <w:adjustRightInd w:val="0"/>
        <w:rPr>
          <w:rFonts w:ascii="Bookman Old Style" w:hAnsi="Bookman Old Style"/>
          <w:bCs/>
          <w:sz w:val="20"/>
          <w:szCs w:val="20"/>
        </w:rPr>
      </w:pPr>
      <w:r w:rsidRPr="00BE6191">
        <w:rPr>
          <w:rFonts w:ascii="Bookman Old Style" w:hAnsi="Bookman Old Style"/>
          <w:bCs/>
          <w:sz w:val="20"/>
          <w:szCs w:val="20"/>
        </w:rPr>
        <w:t xml:space="preserve">Генеральный директор </w:t>
      </w:r>
    </w:p>
    <w:p w:rsidR="00A12CC0" w:rsidRDefault="00A83D6B" w:rsidP="00A83D6B">
      <w:pPr>
        <w:autoSpaceDE w:val="0"/>
        <w:autoSpaceDN w:val="0"/>
        <w:adjustRightInd w:val="0"/>
        <w:rPr>
          <w:rFonts w:ascii="Bookman Old Style" w:hAnsi="Bookman Old Style"/>
          <w:bCs/>
          <w:sz w:val="20"/>
          <w:szCs w:val="20"/>
        </w:rPr>
      </w:pPr>
      <w:r w:rsidRPr="00BE6191">
        <w:rPr>
          <w:rFonts w:ascii="Bookman Old Style" w:hAnsi="Bookman Old Style"/>
          <w:bCs/>
          <w:sz w:val="20"/>
          <w:szCs w:val="20"/>
        </w:rPr>
        <w:t>ООО «А</w:t>
      </w:r>
      <w:r w:rsidR="00A12CC0">
        <w:rPr>
          <w:rFonts w:ascii="Bookman Old Style" w:hAnsi="Bookman Old Style"/>
          <w:bCs/>
          <w:sz w:val="20"/>
          <w:szCs w:val="20"/>
        </w:rPr>
        <w:t>гентство оценки собственности</w:t>
      </w:r>
    </w:p>
    <w:p w:rsidR="007961BA" w:rsidRDefault="00A83D6B" w:rsidP="00A97B04">
      <w:pPr>
        <w:autoSpaceDE w:val="0"/>
        <w:autoSpaceDN w:val="0"/>
        <w:adjustRightInd w:val="0"/>
        <w:rPr>
          <w:rFonts w:ascii="Bookman Old Style" w:hAnsi="Bookman Old Style"/>
          <w:bCs/>
          <w:sz w:val="20"/>
          <w:szCs w:val="20"/>
        </w:rPr>
      </w:pPr>
      <w:r w:rsidRPr="00BE6191">
        <w:rPr>
          <w:rFonts w:ascii="Bookman Old Style" w:hAnsi="Bookman Old Style"/>
          <w:bCs/>
          <w:sz w:val="20"/>
          <w:szCs w:val="20"/>
        </w:rPr>
        <w:t>«Золотое правило»</w:t>
      </w:r>
    </w:p>
    <w:p w:rsidR="00A83D6B" w:rsidRPr="00BE6191" w:rsidRDefault="00A97B04" w:rsidP="00A97B04">
      <w:pPr>
        <w:autoSpaceDE w:val="0"/>
        <w:autoSpaceDN w:val="0"/>
        <w:adjustRightInd w:val="0"/>
        <w:rPr>
          <w:rFonts w:ascii="Bookman Old Style" w:hAnsi="Bookman Old Style"/>
          <w:bCs/>
          <w:sz w:val="20"/>
          <w:szCs w:val="20"/>
        </w:rPr>
      </w:pPr>
      <w:r>
        <w:rPr>
          <w:rFonts w:ascii="Bookman Old Style" w:hAnsi="Bookman Old Style"/>
          <w:bCs/>
          <w:sz w:val="20"/>
          <w:szCs w:val="20"/>
        </w:rPr>
        <w:tab/>
      </w:r>
      <w:r>
        <w:rPr>
          <w:rFonts w:ascii="Bookman Old Style" w:hAnsi="Bookman Old Style"/>
          <w:bCs/>
          <w:sz w:val="20"/>
          <w:szCs w:val="20"/>
        </w:rPr>
        <w:tab/>
      </w:r>
      <w:r>
        <w:rPr>
          <w:rFonts w:ascii="Bookman Old Style" w:hAnsi="Bookman Old Style"/>
          <w:bCs/>
          <w:sz w:val="20"/>
          <w:szCs w:val="20"/>
        </w:rPr>
        <w:tab/>
      </w:r>
      <w:r>
        <w:rPr>
          <w:rFonts w:ascii="Bookman Old Style" w:hAnsi="Bookman Old Style"/>
          <w:bCs/>
          <w:sz w:val="20"/>
          <w:szCs w:val="20"/>
        </w:rPr>
        <w:tab/>
      </w:r>
      <w:r>
        <w:rPr>
          <w:rFonts w:ascii="Bookman Old Style" w:hAnsi="Bookman Old Style"/>
          <w:bCs/>
          <w:sz w:val="20"/>
          <w:szCs w:val="20"/>
        </w:rPr>
        <w:tab/>
      </w:r>
      <w:r>
        <w:rPr>
          <w:rFonts w:ascii="Bookman Old Style" w:hAnsi="Bookman Old Style"/>
          <w:bCs/>
          <w:sz w:val="20"/>
          <w:szCs w:val="20"/>
        </w:rPr>
        <w:tab/>
      </w:r>
      <w:r>
        <w:rPr>
          <w:rFonts w:ascii="Bookman Old Style" w:hAnsi="Bookman Old Style"/>
          <w:bCs/>
          <w:sz w:val="20"/>
          <w:szCs w:val="20"/>
        </w:rPr>
        <w:tab/>
      </w:r>
      <w:r>
        <w:rPr>
          <w:rFonts w:ascii="Bookman Old Style" w:hAnsi="Bookman Old Style"/>
          <w:bCs/>
          <w:sz w:val="20"/>
          <w:szCs w:val="20"/>
        </w:rPr>
        <w:tab/>
      </w:r>
      <w:r>
        <w:rPr>
          <w:rFonts w:ascii="Bookman Old Style" w:hAnsi="Bookman Old Style"/>
          <w:bCs/>
          <w:sz w:val="20"/>
          <w:szCs w:val="20"/>
        </w:rPr>
        <w:tab/>
      </w:r>
      <w:r w:rsidR="00A83D6B" w:rsidRPr="00BE6191">
        <w:rPr>
          <w:rFonts w:ascii="Bookman Old Style" w:hAnsi="Bookman Old Style"/>
          <w:bCs/>
          <w:sz w:val="20"/>
          <w:szCs w:val="20"/>
        </w:rPr>
        <w:t xml:space="preserve"> </w:t>
      </w:r>
      <w:r w:rsidR="00A83D6B" w:rsidRPr="00BE6191">
        <w:rPr>
          <w:rFonts w:ascii="Bookman Old Style" w:hAnsi="Bookman Old Style"/>
          <w:bCs/>
          <w:sz w:val="20"/>
          <w:szCs w:val="20"/>
        </w:rPr>
        <w:tab/>
        <w:t xml:space="preserve">     </w:t>
      </w:r>
      <w:r w:rsidR="00610EC4">
        <w:rPr>
          <w:rFonts w:ascii="Bookman Old Style" w:hAnsi="Bookman Old Style"/>
          <w:bCs/>
          <w:sz w:val="20"/>
          <w:szCs w:val="20"/>
        </w:rPr>
        <w:t xml:space="preserve">  </w:t>
      </w:r>
      <w:r w:rsidR="007961BA">
        <w:rPr>
          <w:rFonts w:ascii="Bookman Old Style" w:hAnsi="Bookman Old Style"/>
          <w:bCs/>
          <w:sz w:val="20"/>
          <w:szCs w:val="20"/>
        </w:rPr>
        <w:tab/>
      </w:r>
      <w:r w:rsidR="007961BA">
        <w:rPr>
          <w:rFonts w:ascii="Bookman Old Style" w:hAnsi="Bookman Old Style"/>
          <w:bCs/>
          <w:sz w:val="20"/>
          <w:szCs w:val="20"/>
        </w:rPr>
        <w:tab/>
      </w:r>
      <w:r w:rsidR="00B00070">
        <w:rPr>
          <w:rFonts w:ascii="Bookman Old Style" w:hAnsi="Bookman Old Style"/>
          <w:bCs/>
          <w:sz w:val="20"/>
          <w:szCs w:val="20"/>
        </w:rPr>
        <w:t xml:space="preserve">  </w:t>
      </w:r>
      <w:r w:rsidR="00A83D6B" w:rsidRPr="00BE6191">
        <w:rPr>
          <w:rFonts w:ascii="Bookman Old Style" w:hAnsi="Bookman Old Style"/>
          <w:bCs/>
          <w:sz w:val="20"/>
          <w:szCs w:val="20"/>
        </w:rPr>
        <w:t>О.С.</w:t>
      </w:r>
      <w:r w:rsidR="002C2830">
        <w:rPr>
          <w:rFonts w:ascii="Bookman Old Style" w:hAnsi="Bookman Old Style"/>
          <w:bCs/>
          <w:sz w:val="20"/>
          <w:szCs w:val="20"/>
        </w:rPr>
        <w:t xml:space="preserve"> </w:t>
      </w:r>
      <w:r w:rsidR="00A83D6B" w:rsidRPr="00BE6191">
        <w:rPr>
          <w:rFonts w:ascii="Bookman Old Style" w:hAnsi="Bookman Old Style"/>
          <w:bCs/>
          <w:sz w:val="20"/>
          <w:szCs w:val="20"/>
        </w:rPr>
        <w:t>Золотарев</w:t>
      </w:r>
    </w:p>
    <w:p w:rsidR="00B00070" w:rsidRDefault="006C4CCF">
      <w:pPr>
        <w:rPr>
          <w:rFonts w:ascii="Bookman Old Style" w:hAnsi="Bookman Old Style"/>
          <w:b/>
          <w:sz w:val="24"/>
          <w:szCs w:val="24"/>
        </w:rPr>
      </w:pPr>
      <w:bookmarkStart w:id="2" w:name="_Toc319329965"/>
      <w:bookmarkStart w:id="3" w:name="_Toc320884723"/>
      <w:bookmarkStart w:id="4" w:name="_Toc320786943"/>
      <w:bookmarkStart w:id="5" w:name="_Toc320698897"/>
      <w:bookmarkStart w:id="6" w:name="_Toc320801273"/>
      <w:bookmarkStart w:id="7" w:name="_Toc320801344"/>
      <w:bookmarkStart w:id="8" w:name="_Toc320767085"/>
      <w:bookmarkStart w:id="9" w:name="_Toc374967834"/>
      <w:r w:rsidRPr="006C4CCF">
        <w:rPr>
          <w:bCs/>
          <w:noProof/>
          <w:sz w:val="24"/>
          <w:szCs w:val="24"/>
        </w:rPr>
        <w:pict>
          <v:line id="Line 136" o:spid="_x0000_s1050" style="position:absolute;z-index:251663872;visibility:visible" from="293pt,2.85pt" to="508.3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C1tFQIAACs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"/>
        </w:pict>
      </w:r>
      <w:r w:rsidR="00B00070">
        <w:rPr>
          <w:rFonts w:ascii="Bookman Old Style" w:hAnsi="Bookman Old Style"/>
          <w:bCs/>
        </w:rPr>
        <w:br w:type="page"/>
      </w:r>
    </w:p>
    <w:p w:rsidR="00326350" w:rsidRDefault="00B328F5" w:rsidP="006674DB">
      <w:pPr>
        <w:pStyle w:val="1"/>
        <w:spacing w:before="60" w:after="60"/>
        <w:jc w:val="center"/>
        <w:rPr>
          <w:rFonts w:ascii="Bookman Old Style" w:hAnsi="Bookman Old Style"/>
          <w:bCs w:val="0"/>
        </w:rPr>
      </w:pPr>
      <w:bookmarkStart w:id="10" w:name="_Toc380680686"/>
      <w:bookmarkStart w:id="11" w:name="_Toc380681331"/>
      <w:bookmarkStart w:id="12" w:name="_Toc380681594"/>
      <w:bookmarkStart w:id="13" w:name="_Toc416113476"/>
      <w:bookmarkStart w:id="14" w:name="_Toc416115310"/>
      <w:bookmarkStart w:id="15" w:name="_Toc417649051"/>
      <w:bookmarkStart w:id="16" w:name="_Toc417649683"/>
      <w:bookmarkStart w:id="17" w:name="_Toc461206343"/>
      <w:r w:rsidRPr="00F25ABC">
        <w:rPr>
          <w:rFonts w:ascii="Bookman Old Style" w:hAnsi="Bookman Old Style"/>
          <w:bCs w:val="0"/>
        </w:rPr>
        <w:lastRenderedPageBreak/>
        <w:t>СОДЕРЖАНИЕ</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rsidR="00DB0AEE" w:rsidRPr="00DB0AEE" w:rsidRDefault="006C4CCF" w:rsidP="00DB0AEE">
      <w:pPr>
        <w:pStyle w:val="11"/>
        <w:tabs>
          <w:tab w:val="clear" w:pos="10490"/>
          <w:tab w:val="right" w:leader="dot" w:pos="10206"/>
        </w:tabs>
        <w:spacing w:beforeLines="0" w:afterLines="0"/>
        <w:rPr>
          <w:rFonts w:eastAsiaTheme="minorEastAsia" w:cstheme="minorBidi"/>
        </w:rPr>
      </w:pPr>
      <w:r w:rsidRPr="006C4CCF">
        <w:rPr>
          <w:bCs/>
          <w:highlight w:val="yellow"/>
        </w:rPr>
        <w:fldChar w:fldCharType="begin"/>
      </w:r>
      <w:r w:rsidR="006013AB" w:rsidRPr="00DB0AEE">
        <w:rPr>
          <w:bCs/>
          <w:highlight w:val="yellow"/>
        </w:rPr>
        <w:instrText xml:space="preserve"> TOC \o "1-3" \h \z \u </w:instrText>
      </w:r>
      <w:r w:rsidRPr="006C4CCF">
        <w:rPr>
          <w:bCs/>
          <w:highlight w:val="yellow"/>
        </w:rPr>
        <w:fldChar w:fldCharType="separate"/>
      </w:r>
      <w:hyperlink w:anchor="_Toc461206343" w:history="1">
        <w:r w:rsidR="00DB0AEE" w:rsidRPr="00DB0AEE">
          <w:rPr>
            <w:rStyle w:val="aa"/>
          </w:rPr>
          <w:t>СОДЕРЖАНИЕ</w:t>
        </w:r>
        <w:r w:rsidR="00DB0AEE" w:rsidRPr="00DB0AEE">
          <w:rPr>
            <w:webHidden/>
          </w:rPr>
          <w:tab/>
        </w:r>
        <w:r w:rsidRPr="00DB0AEE">
          <w:rPr>
            <w:webHidden/>
          </w:rPr>
          <w:fldChar w:fldCharType="begin"/>
        </w:r>
        <w:r w:rsidR="00DB0AEE" w:rsidRPr="00DB0AEE">
          <w:rPr>
            <w:webHidden/>
          </w:rPr>
          <w:instrText xml:space="preserve"> PAGEREF _Toc461206343 \h </w:instrText>
        </w:r>
        <w:r w:rsidRPr="00DB0AEE">
          <w:rPr>
            <w:webHidden/>
          </w:rPr>
        </w:r>
        <w:r w:rsidRPr="00DB0AEE">
          <w:rPr>
            <w:webHidden/>
          </w:rPr>
          <w:fldChar w:fldCharType="separate"/>
        </w:r>
        <w:r w:rsidR="00D70166">
          <w:rPr>
            <w:webHidden/>
          </w:rPr>
          <w:t>4</w:t>
        </w:r>
        <w:r w:rsidRPr="00DB0AEE">
          <w:rPr>
            <w:webHidden/>
          </w:rPr>
          <w:fldChar w:fldCharType="end"/>
        </w:r>
      </w:hyperlink>
    </w:p>
    <w:p w:rsidR="00DB0AEE" w:rsidRPr="00DB0AEE" w:rsidRDefault="006C4CCF" w:rsidP="00DB0AEE">
      <w:pPr>
        <w:pStyle w:val="11"/>
        <w:tabs>
          <w:tab w:val="clear" w:pos="10490"/>
          <w:tab w:val="right" w:leader="dot" w:pos="10206"/>
        </w:tabs>
        <w:spacing w:beforeLines="0" w:afterLines="0"/>
        <w:rPr>
          <w:rFonts w:eastAsiaTheme="minorEastAsia" w:cstheme="minorBidi"/>
        </w:rPr>
      </w:pPr>
      <w:hyperlink w:anchor="_Toc461206344" w:history="1">
        <w:r w:rsidR="00DB0AEE" w:rsidRPr="00DB0AEE">
          <w:rPr>
            <w:rStyle w:val="aa"/>
          </w:rPr>
          <w:t>1. ОБЩИЕ СВЕДЕНИЯ</w:t>
        </w:r>
        <w:r w:rsidR="00DB0AEE" w:rsidRPr="00DB0AEE">
          <w:rPr>
            <w:webHidden/>
          </w:rPr>
          <w:tab/>
        </w:r>
        <w:r w:rsidRPr="00DB0AEE">
          <w:rPr>
            <w:webHidden/>
          </w:rPr>
          <w:fldChar w:fldCharType="begin"/>
        </w:r>
        <w:r w:rsidR="00DB0AEE" w:rsidRPr="00DB0AEE">
          <w:rPr>
            <w:webHidden/>
          </w:rPr>
          <w:instrText xml:space="preserve"> PAGEREF _Toc461206344 \h </w:instrText>
        </w:r>
        <w:r w:rsidRPr="00DB0AEE">
          <w:rPr>
            <w:webHidden/>
          </w:rPr>
        </w:r>
        <w:r w:rsidRPr="00DB0AEE">
          <w:rPr>
            <w:webHidden/>
          </w:rPr>
          <w:fldChar w:fldCharType="separate"/>
        </w:r>
        <w:r w:rsidR="00D70166">
          <w:rPr>
            <w:webHidden/>
          </w:rPr>
          <w:t>7</w:t>
        </w:r>
        <w:r w:rsidRPr="00DB0AEE">
          <w:rPr>
            <w:webHidden/>
          </w:rPr>
          <w:fldChar w:fldCharType="end"/>
        </w:r>
      </w:hyperlink>
    </w:p>
    <w:p w:rsidR="00DB0AEE" w:rsidRPr="00DB0AEE" w:rsidRDefault="006C4CCF" w:rsidP="00DB0AEE">
      <w:pPr>
        <w:pStyle w:val="28"/>
        <w:tabs>
          <w:tab w:val="clear" w:pos="10479"/>
          <w:tab w:val="right" w:leader="dot" w:pos="10206"/>
        </w:tabs>
        <w:spacing w:before="80" w:after="80"/>
        <w:ind w:left="0"/>
        <w:rPr>
          <w:rFonts w:eastAsiaTheme="minorEastAsia" w:cstheme="minorBidi"/>
        </w:rPr>
      </w:pPr>
      <w:hyperlink w:anchor="_Toc461206345" w:history="1">
        <w:r w:rsidR="00DB0AEE" w:rsidRPr="00DB0AEE">
          <w:rPr>
            <w:rStyle w:val="aa"/>
          </w:rPr>
          <w:t>1.1. ОСНОВНЫЕ ФАКТЫ И ВЫВОДЫ</w:t>
        </w:r>
        <w:r w:rsidR="00DB0AEE" w:rsidRPr="00DB0AEE">
          <w:rPr>
            <w:webHidden/>
          </w:rPr>
          <w:tab/>
        </w:r>
        <w:r w:rsidRPr="00DB0AEE">
          <w:rPr>
            <w:webHidden/>
          </w:rPr>
          <w:fldChar w:fldCharType="begin"/>
        </w:r>
        <w:r w:rsidR="00DB0AEE" w:rsidRPr="00DB0AEE">
          <w:rPr>
            <w:webHidden/>
          </w:rPr>
          <w:instrText xml:space="preserve"> PAGEREF _Toc461206345 \h </w:instrText>
        </w:r>
        <w:r w:rsidRPr="00DB0AEE">
          <w:rPr>
            <w:webHidden/>
          </w:rPr>
        </w:r>
        <w:r w:rsidRPr="00DB0AEE">
          <w:rPr>
            <w:webHidden/>
          </w:rPr>
          <w:fldChar w:fldCharType="separate"/>
        </w:r>
        <w:r w:rsidR="00D70166">
          <w:rPr>
            <w:webHidden/>
          </w:rPr>
          <w:t>7</w:t>
        </w:r>
        <w:r w:rsidRPr="00DB0AEE">
          <w:rPr>
            <w:webHidden/>
          </w:rPr>
          <w:fldChar w:fldCharType="end"/>
        </w:r>
      </w:hyperlink>
    </w:p>
    <w:p w:rsidR="00DB0AEE" w:rsidRPr="00DB0AEE" w:rsidRDefault="006C4CCF" w:rsidP="00DB0AEE">
      <w:pPr>
        <w:pStyle w:val="28"/>
        <w:tabs>
          <w:tab w:val="clear" w:pos="10479"/>
          <w:tab w:val="right" w:leader="dot" w:pos="10206"/>
        </w:tabs>
        <w:spacing w:before="80" w:after="80"/>
        <w:ind w:left="0"/>
        <w:rPr>
          <w:rFonts w:eastAsiaTheme="minorEastAsia" w:cstheme="minorBidi"/>
        </w:rPr>
      </w:pPr>
      <w:hyperlink w:anchor="_Toc461206346" w:history="1">
        <w:r w:rsidR="00DB0AEE" w:rsidRPr="00DB0AEE">
          <w:rPr>
            <w:rStyle w:val="aa"/>
          </w:rPr>
          <w:t>1.2. СВЕДЕНИЯ О ЗАДАНИИ НА ОЦЕНКУ</w:t>
        </w:r>
        <w:r w:rsidR="00DB0AEE" w:rsidRPr="00DB0AEE">
          <w:rPr>
            <w:webHidden/>
          </w:rPr>
          <w:tab/>
        </w:r>
        <w:r w:rsidRPr="00DB0AEE">
          <w:rPr>
            <w:webHidden/>
          </w:rPr>
          <w:fldChar w:fldCharType="begin"/>
        </w:r>
        <w:r w:rsidR="00DB0AEE" w:rsidRPr="00DB0AEE">
          <w:rPr>
            <w:webHidden/>
          </w:rPr>
          <w:instrText xml:space="preserve"> PAGEREF _Toc461206346 \h </w:instrText>
        </w:r>
        <w:r w:rsidRPr="00DB0AEE">
          <w:rPr>
            <w:webHidden/>
          </w:rPr>
        </w:r>
        <w:r w:rsidRPr="00DB0AEE">
          <w:rPr>
            <w:webHidden/>
          </w:rPr>
          <w:fldChar w:fldCharType="separate"/>
        </w:r>
        <w:r w:rsidR="00D70166">
          <w:rPr>
            <w:webHidden/>
          </w:rPr>
          <w:t>7</w:t>
        </w:r>
        <w:r w:rsidRPr="00DB0AEE">
          <w:rPr>
            <w:webHidden/>
          </w:rPr>
          <w:fldChar w:fldCharType="end"/>
        </w:r>
      </w:hyperlink>
    </w:p>
    <w:p w:rsidR="00DB0AEE" w:rsidRPr="00DB0AEE" w:rsidRDefault="006C4CCF" w:rsidP="00DB0AEE">
      <w:pPr>
        <w:pStyle w:val="28"/>
        <w:tabs>
          <w:tab w:val="clear" w:pos="10479"/>
          <w:tab w:val="right" w:leader="dot" w:pos="10206"/>
        </w:tabs>
        <w:spacing w:before="80" w:after="80"/>
        <w:ind w:left="0"/>
        <w:rPr>
          <w:rFonts w:eastAsiaTheme="minorEastAsia" w:cstheme="minorBidi"/>
        </w:rPr>
      </w:pPr>
      <w:hyperlink w:anchor="_Toc461206347" w:history="1">
        <w:r w:rsidR="00DB0AEE" w:rsidRPr="00DB0AEE">
          <w:rPr>
            <w:rStyle w:val="aa"/>
          </w:rPr>
          <w:t>1.3. СВЕДЕНИЯ О ЗАКАЗЧИКЕ ОЦЕНКИ И ОБ ОЦЕНЩИКЕ</w:t>
        </w:r>
        <w:r w:rsidR="00DB0AEE" w:rsidRPr="00DB0AEE">
          <w:rPr>
            <w:webHidden/>
          </w:rPr>
          <w:tab/>
        </w:r>
        <w:r w:rsidRPr="00DB0AEE">
          <w:rPr>
            <w:webHidden/>
          </w:rPr>
          <w:fldChar w:fldCharType="begin"/>
        </w:r>
        <w:r w:rsidR="00DB0AEE" w:rsidRPr="00DB0AEE">
          <w:rPr>
            <w:webHidden/>
          </w:rPr>
          <w:instrText xml:space="preserve"> PAGEREF _Toc461206347 \h </w:instrText>
        </w:r>
        <w:r w:rsidRPr="00DB0AEE">
          <w:rPr>
            <w:webHidden/>
          </w:rPr>
        </w:r>
        <w:r w:rsidRPr="00DB0AEE">
          <w:rPr>
            <w:webHidden/>
          </w:rPr>
          <w:fldChar w:fldCharType="separate"/>
        </w:r>
        <w:r w:rsidR="00D70166">
          <w:rPr>
            <w:webHidden/>
          </w:rPr>
          <w:t>9</w:t>
        </w:r>
        <w:r w:rsidRPr="00DB0AEE">
          <w:rPr>
            <w:webHidden/>
          </w:rPr>
          <w:fldChar w:fldCharType="end"/>
        </w:r>
      </w:hyperlink>
    </w:p>
    <w:p w:rsidR="00DB0AEE" w:rsidRPr="00DB0AEE" w:rsidRDefault="006C4CCF" w:rsidP="00DB0AEE">
      <w:pPr>
        <w:pStyle w:val="35"/>
        <w:rPr>
          <w:rFonts w:ascii="Bookman Old Style" w:eastAsiaTheme="minorEastAsia" w:hAnsi="Bookman Old Style" w:cstheme="minorBidi"/>
          <w:noProof/>
          <w:sz w:val="20"/>
          <w:szCs w:val="20"/>
        </w:rPr>
      </w:pPr>
      <w:hyperlink w:anchor="_Toc461206348" w:history="1">
        <w:r w:rsidR="00DB0AEE" w:rsidRPr="00DB0AEE">
          <w:rPr>
            <w:rStyle w:val="aa"/>
            <w:rFonts w:ascii="Bookman Old Style" w:hAnsi="Bookman Old Style"/>
            <w:noProof/>
            <w:sz w:val="20"/>
            <w:szCs w:val="20"/>
          </w:rPr>
          <w:t>1.3.1. Сведения о заказчике оценки</w:t>
        </w:r>
        <w:r w:rsidR="00DB0AEE" w:rsidRPr="00DB0AEE">
          <w:rPr>
            <w:rFonts w:ascii="Bookman Old Style" w:hAnsi="Bookman Old Style"/>
            <w:noProof/>
            <w:webHidden/>
            <w:sz w:val="20"/>
            <w:szCs w:val="20"/>
          </w:rPr>
          <w:tab/>
        </w:r>
        <w:r w:rsidRPr="00DB0AEE">
          <w:rPr>
            <w:rFonts w:ascii="Bookman Old Style" w:hAnsi="Bookman Old Style"/>
            <w:noProof/>
            <w:webHidden/>
            <w:sz w:val="20"/>
            <w:szCs w:val="20"/>
          </w:rPr>
          <w:fldChar w:fldCharType="begin"/>
        </w:r>
        <w:r w:rsidR="00DB0AEE" w:rsidRPr="00DB0AEE">
          <w:rPr>
            <w:rFonts w:ascii="Bookman Old Style" w:hAnsi="Bookman Old Style"/>
            <w:noProof/>
            <w:webHidden/>
            <w:sz w:val="20"/>
            <w:szCs w:val="20"/>
          </w:rPr>
          <w:instrText xml:space="preserve"> PAGEREF _Toc461206348 \h </w:instrText>
        </w:r>
        <w:r w:rsidRPr="00DB0AEE">
          <w:rPr>
            <w:rFonts w:ascii="Bookman Old Style" w:hAnsi="Bookman Old Style"/>
            <w:noProof/>
            <w:webHidden/>
            <w:sz w:val="20"/>
            <w:szCs w:val="20"/>
          </w:rPr>
        </w:r>
        <w:r w:rsidRPr="00DB0AEE">
          <w:rPr>
            <w:rFonts w:ascii="Bookman Old Style" w:hAnsi="Bookman Old Style"/>
            <w:noProof/>
            <w:webHidden/>
            <w:sz w:val="20"/>
            <w:szCs w:val="20"/>
          </w:rPr>
          <w:fldChar w:fldCharType="separate"/>
        </w:r>
        <w:r w:rsidR="00D70166">
          <w:rPr>
            <w:rFonts w:ascii="Bookman Old Style" w:hAnsi="Bookman Old Style"/>
            <w:noProof/>
            <w:webHidden/>
            <w:sz w:val="20"/>
            <w:szCs w:val="20"/>
          </w:rPr>
          <w:t>9</w:t>
        </w:r>
        <w:r w:rsidRPr="00DB0AEE">
          <w:rPr>
            <w:rFonts w:ascii="Bookman Old Style" w:hAnsi="Bookman Old Style"/>
            <w:noProof/>
            <w:webHidden/>
            <w:sz w:val="20"/>
            <w:szCs w:val="20"/>
          </w:rPr>
          <w:fldChar w:fldCharType="end"/>
        </w:r>
      </w:hyperlink>
    </w:p>
    <w:p w:rsidR="00DB0AEE" w:rsidRPr="00DB0AEE" w:rsidRDefault="006C4CCF" w:rsidP="00DB0AEE">
      <w:pPr>
        <w:pStyle w:val="35"/>
        <w:rPr>
          <w:rFonts w:ascii="Bookman Old Style" w:eastAsiaTheme="minorEastAsia" w:hAnsi="Bookman Old Style" w:cstheme="minorBidi"/>
          <w:noProof/>
          <w:sz w:val="20"/>
          <w:szCs w:val="20"/>
        </w:rPr>
      </w:pPr>
      <w:hyperlink w:anchor="_Toc461206349" w:history="1">
        <w:r w:rsidR="00DB0AEE" w:rsidRPr="00DB0AEE">
          <w:rPr>
            <w:rStyle w:val="aa"/>
            <w:rFonts w:ascii="Bookman Old Style" w:hAnsi="Bookman Old Style"/>
            <w:noProof/>
            <w:sz w:val="20"/>
            <w:szCs w:val="20"/>
          </w:rPr>
          <w:t>1.3.2. Сведения о юридическом лице оценщика</w:t>
        </w:r>
        <w:r w:rsidR="00DB0AEE" w:rsidRPr="00DB0AEE">
          <w:rPr>
            <w:rFonts w:ascii="Bookman Old Style" w:hAnsi="Bookman Old Style"/>
            <w:noProof/>
            <w:webHidden/>
            <w:sz w:val="20"/>
            <w:szCs w:val="20"/>
          </w:rPr>
          <w:tab/>
        </w:r>
        <w:r w:rsidRPr="00DB0AEE">
          <w:rPr>
            <w:rFonts w:ascii="Bookman Old Style" w:hAnsi="Bookman Old Style"/>
            <w:noProof/>
            <w:webHidden/>
            <w:sz w:val="20"/>
            <w:szCs w:val="20"/>
          </w:rPr>
          <w:fldChar w:fldCharType="begin"/>
        </w:r>
        <w:r w:rsidR="00DB0AEE" w:rsidRPr="00DB0AEE">
          <w:rPr>
            <w:rFonts w:ascii="Bookman Old Style" w:hAnsi="Bookman Old Style"/>
            <w:noProof/>
            <w:webHidden/>
            <w:sz w:val="20"/>
            <w:szCs w:val="20"/>
          </w:rPr>
          <w:instrText xml:space="preserve"> PAGEREF _Toc461206349 \h </w:instrText>
        </w:r>
        <w:r w:rsidRPr="00DB0AEE">
          <w:rPr>
            <w:rFonts w:ascii="Bookman Old Style" w:hAnsi="Bookman Old Style"/>
            <w:noProof/>
            <w:webHidden/>
            <w:sz w:val="20"/>
            <w:szCs w:val="20"/>
          </w:rPr>
        </w:r>
        <w:r w:rsidRPr="00DB0AEE">
          <w:rPr>
            <w:rFonts w:ascii="Bookman Old Style" w:hAnsi="Bookman Old Style"/>
            <w:noProof/>
            <w:webHidden/>
            <w:sz w:val="20"/>
            <w:szCs w:val="20"/>
          </w:rPr>
          <w:fldChar w:fldCharType="separate"/>
        </w:r>
        <w:r w:rsidR="00D70166">
          <w:rPr>
            <w:rFonts w:ascii="Bookman Old Style" w:hAnsi="Bookman Old Style"/>
            <w:noProof/>
            <w:webHidden/>
            <w:sz w:val="20"/>
            <w:szCs w:val="20"/>
          </w:rPr>
          <w:t>9</w:t>
        </w:r>
        <w:r w:rsidRPr="00DB0AEE">
          <w:rPr>
            <w:rFonts w:ascii="Bookman Old Style" w:hAnsi="Bookman Old Style"/>
            <w:noProof/>
            <w:webHidden/>
            <w:sz w:val="20"/>
            <w:szCs w:val="20"/>
          </w:rPr>
          <w:fldChar w:fldCharType="end"/>
        </w:r>
      </w:hyperlink>
    </w:p>
    <w:p w:rsidR="00DB0AEE" w:rsidRPr="00DB0AEE" w:rsidRDefault="006C4CCF" w:rsidP="00DB0AEE">
      <w:pPr>
        <w:pStyle w:val="35"/>
        <w:rPr>
          <w:rFonts w:ascii="Bookman Old Style" w:eastAsiaTheme="minorEastAsia" w:hAnsi="Bookman Old Style" w:cstheme="minorBidi"/>
          <w:noProof/>
          <w:sz w:val="20"/>
          <w:szCs w:val="20"/>
        </w:rPr>
      </w:pPr>
      <w:hyperlink w:anchor="_Toc461206350" w:history="1">
        <w:r w:rsidR="00DB0AEE" w:rsidRPr="00DB0AEE">
          <w:rPr>
            <w:rStyle w:val="aa"/>
            <w:rFonts w:ascii="Bookman Old Style" w:hAnsi="Bookman Old Style"/>
            <w:noProof/>
            <w:sz w:val="20"/>
            <w:szCs w:val="20"/>
          </w:rPr>
          <w:t>1.3.3. Сведения о специалистах-оценщиках</w:t>
        </w:r>
        <w:r w:rsidR="00DB0AEE" w:rsidRPr="00DB0AEE">
          <w:rPr>
            <w:rFonts w:ascii="Bookman Old Style" w:hAnsi="Bookman Old Style"/>
            <w:noProof/>
            <w:webHidden/>
            <w:sz w:val="20"/>
            <w:szCs w:val="20"/>
          </w:rPr>
          <w:tab/>
        </w:r>
        <w:r w:rsidRPr="00DB0AEE">
          <w:rPr>
            <w:rFonts w:ascii="Bookman Old Style" w:hAnsi="Bookman Old Style"/>
            <w:noProof/>
            <w:webHidden/>
            <w:sz w:val="20"/>
            <w:szCs w:val="20"/>
          </w:rPr>
          <w:fldChar w:fldCharType="begin"/>
        </w:r>
        <w:r w:rsidR="00DB0AEE" w:rsidRPr="00DB0AEE">
          <w:rPr>
            <w:rFonts w:ascii="Bookman Old Style" w:hAnsi="Bookman Old Style"/>
            <w:noProof/>
            <w:webHidden/>
            <w:sz w:val="20"/>
            <w:szCs w:val="20"/>
          </w:rPr>
          <w:instrText xml:space="preserve"> PAGEREF _Toc461206350 \h </w:instrText>
        </w:r>
        <w:r w:rsidRPr="00DB0AEE">
          <w:rPr>
            <w:rFonts w:ascii="Bookman Old Style" w:hAnsi="Bookman Old Style"/>
            <w:noProof/>
            <w:webHidden/>
            <w:sz w:val="20"/>
            <w:szCs w:val="20"/>
          </w:rPr>
        </w:r>
        <w:r w:rsidRPr="00DB0AEE">
          <w:rPr>
            <w:rFonts w:ascii="Bookman Old Style" w:hAnsi="Bookman Old Style"/>
            <w:noProof/>
            <w:webHidden/>
            <w:sz w:val="20"/>
            <w:szCs w:val="20"/>
          </w:rPr>
          <w:fldChar w:fldCharType="separate"/>
        </w:r>
        <w:r w:rsidR="00D70166">
          <w:rPr>
            <w:rFonts w:ascii="Bookman Old Style" w:hAnsi="Bookman Old Style"/>
            <w:noProof/>
            <w:webHidden/>
            <w:sz w:val="20"/>
            <w:szCs w:val="20"/>
          </w:rPr>
          <w:t>10</w:t>
        </w:r>
        <w:r w:rsidRPr="00DB0AEE">
          <w:rPr>
            <w:rFonts w:ascii="Bookman Old Style" w:hAnsi="Bookman Old Style"/>
            <w:noProof/>
            <w:webHidden/>
            <w:sz w:val="20"/>
            <w:szCs w:val="20"/>
          </w:rPr>
          <w:fldChar w:fldCharType="end"/>
        </w:r>
      </w:hyperlink>
    </w:p>
    <w:p w:rsidR="00DB0AEE" w:rsidRPr="00DB0AEE" w:rsidRDefault="006C4CCF" w:rsidP="00DB0AEE">
      <w:pPr>
        <w:pStyle w:val="35"/>
        <w:rPr>
          <w:rFonts w:ascii="Bookman Old Style" w:eastAsiaTheme="minorEastAsia" w:hAnsi="Bookman Old Style" w:cstheme="minorBidi"/>
          <w:noProof/>
          <w:sz w:val="20"/>
          <w:szCs w:val="20"/>
        </w:rPr>
      </w:pPr>
      <w:hyperlink w:anchor="_Toc461206351" w:history="1">
        <w:r w:rsidR="00DB0AEE" w:rsidRPr="00DB0AEE">
          <w:rPr>
            <w:rStyle w:val="aa"/>
            <w:rFonts w:ascii="Bookman Old Style" w:hAnsi="Bookman Old Style"/>
            <w:noProof/>
            <w:sz w:val="20"/>
            <w:szCs w:val="20"/>
          </w:rPr>
          <w:t>1.3.4. Сведения о привлекаемых специалистах</w:t>
        </w:r>
        <w:r w:rsidR="00DB0AEE" w:rsidRPr="00DB0AEE">
          <w:rPr>
            <w:rFonts w:ascii="Bookman Old Style" w:hAnsi="Bookman Old Style"/>
            <w:noProof/>
            <w:webHidden/>
            <w:sz w:val="20"/>
            <w:szCs w:val="20"/>
          </w:rPr>
          <w:tab/>
        </w:r>
        <w:r w:rsidRPr="00DB0AEE">
          <w:rPr>
            <w:rFonts w:ascii="Bookman Old Style" w:hAnsi="Bookman Old Style"/>
            <w:noProof/>
            <w:webHidden/>
            <w:sz w:val="20"/>
            <w:szCs w:val="20"/>
          </w:rPr>
          <w:fldChar w:fldCharType="begin"/>
        </w:r>
        <w:r w:rsidR="00DB0AEE" w:rsidRPr="00DB0AEE">
          <w:rPr>
            <w:rFonts w:ascii="Bookman Old Style" w:hAnsi="Bookman Old Style"/>
            <w:noProof/>
            <w:webHidden/>
            <w:sz w:val="20"/>
            <w:szCs w:val="20"/>
          </w:rPr>
          <w:instrText xml:space="preserve"> PAGEREF _Toc461206351 \h </w:instrText>
        </w:r>
        <w:r w:rsidRPr="00DB0AEE">
          <w:rPr>
            <w:rFonts w:ascii="Bookman Old Style" w:hAnsi="Bookman Old Style"/>
            <w:noProof/>
            <w:webHidden/>
            <w:sz w:val="20"/>
            <w:szCs w:val="20"/>
          </w:rPr>
        </w:r>
        <w:r w:rsidRPr="00DB0AEE">
          <w:rPr>
            <w:rFonts w:ascii="Bookman Old Style" w:hAnsi="Bookman Old Style"/>
            <w:noProof/>
            <w:webHidden/>
            <w:sz w:val="20"/>
            <w:szCs w:val="20"/>
          </w:rPr>
          <w:fldChar w:fldCharType="separate"/>
        </w:r>
        <w:r w:rsidR="00D70166">
          <w:rPr>
            <w:rFonts w:ascii="Bookman Old Style" w:hAnsi="Bookman Old Style"/>
            <w:noProof/>
            <w:webHidden/>
            <w:sz w:val="20"/>
            <w:szCs w:val="20"/>
          </w:rPr>
          <w:t>10</w:t>
        </w:r>
        <w:r w:rsidRPr="00DB0AEE">
          <w:rPr>
            <w:rFonts w:ascii="Bookman Old Style" w:hAnsi="Bookman Old Style"/>
            <w:noProof/>
            <w:webHidden/>
            <w:sz w:val="20"/>
            <w:szCs w:val="20"/>
          </w:rPr>
          <w:fldChar w:fldCharType="end"/>
        </w:r>
      </w:hyperlink>
    </w:p>
    <w:p w:rsidR="00DB0AEE" w:rsidRPr="00DB0AEE" w:rsidRDefault="006C4CCF" w:rsidP="00DB0AEE">
      <w:pPr>
        <w:pStyle w:val="28"/>
        <w:tabs>
          <w:tab w:val="clear" w:pos="10479"/>
          <w:tab w:val="right" w:leader="dot" w:pos="10206"/>
        </w:tabs>
        <w:spacing w:before="80" w:after="80"/>
        <w:ind w:left="0"/>
        <w:rPr>
          <w:rFonts w:eastAsiaTheme="minorEastAsia" w:cstheme="minorBidi"/>
        </w:rPr>
      </w:pPr>
      <w:hyperlink w:anchor="_Toc461206352" w:history="1">
        <w:r w:rsidR="00DB0AEE" w:rsidRPr="00DB0AEE">
          <w:rPr>
            <w:rStyle w:val="aa"/>
          </w:rPr>
          <w:t>1.4. ДОПУЩЕНИЯ И ОГРАНИЧИТЕЛЬНЫЕ УСЛОВИЯ</w:t>
        </w:r>
        <w:r w:rsidR="00DB0AEE" w:rsidRPr="00DB0AEE">
          <w:rPr>
            <w:webHidden/>
          </w:rPr>
          <w:tab/>
        </w:r>
        <w:r w:rsidRPr="00DB0AEE">
          <w:rPr>
            <w:webHidden/>
          </w:rPr>
          <w:fldChar w:fldCharType="begin"/>
        </w:r>
        <w:r w:rsidR="00DB0AEE" w:rsidRPr="00DB0AEE">
          <w:rPr>
            <w:webHidden/>
          </w:rPr>
          <w:instrText xml:space="preserve"> PAGEREF _Toc461206352 \h </w:instrText>
        </w:r>
        <w:r w:rsidRPr="00DB0AEE">
          <w:rPr>
            <w:webHidden/>
          </w:rPr>
        </w:r>
        <w:r w:rsidRPr="00DB0AEE">
          <w:rPr>
            <w:webHidden/>
          </w:rPr>
          <w:fldChar w:fldCharType="separate"/>
        </w:r>
        <w:r w:rsidR="00D70166">
          <w:rPr>
            <w:webHidden/>
          </w:rPr>
          <w:t>11</w:t>
        </w:r>
        <w:r w:rsidRPr="00DB0AEE">
          <w:rPr>
            <w:webHidden/>
          </w:rPr>
          <w:fldChar w:fldCharType="end"/>
        </w:r>
      </w:hyperlink>
    </w:p>
    <w:p w:rsidR="00DB0AEE" w:rsidRPr="00DB0AEE" w:rsidRDefault="006C4CCF" w:rsidP="00DB0AEE">
      <w:pPr>
        <w:pStyle w:val="28"/>
        <w:tabs>
          <w:tab w:val="clear" w:pos="10479"/>
          <w:tab w:val="right" w:leader="dot" w:pos="10206"/>
        </w:tabs>
        <w:spacing w:before="80" w:after="80"/>
        <w:ind w:left="0"/>
        <w:rPr>
          <w:rFonts w:eastAsiaTheme="minorEastAsia" w:cstheme="minorBidi"/>
        </w:rPr>
      </w:pPr>
      <w:hyperlink w:anchor="_Toc461206353" w:history="1">
        <w:r w:rsidR="00DB0AEE" w:rsidRPr="00DB0AEE">
          <w:rPr>
            <w:rStyle w:val="aa"/>
          </w:rPr>
          <w:t>1.5. ПРИМЕНЯЕМЫЕ СТАНДАРТЫ ОЦЕНОЧНОЙ ДЕЯТЕЛЬНОСТИ</w:t>
        </w:r>
        <w:r w:rsidR="00DB0AEE" w:rsidRPr="00DB0AEE">
          <w:rPr>
            <w:webHidden/>
          </w:rPr>
          <w:tab/>
        </w:r>
        <w:r w:rsidRPr="00DB0AEE">
          <w:rPr>
            <w:webHidden/>
          </w:rPr>
          <w:fldChar w:fldCharType="begin"/>
        </w:r>
        <w:r w:rsidR="00DB0AEE" w:rsidRPr="00DB0AEE">
          <w:rPr>
            <w:webHidden/>
          </w:rPr>
          <w:instrText xml:space="preserve"> PAGEREF _Toc461206353 \h </w:instrText>
        </w:r>
        <w:r w:rsidRPr="00DB0AEE">
          <w:rPr>
            <w:webHidden/>
          </w:rPr>
        </w:r>
        <w:r w:rsidRPr="00DB0AEE">
          <w:rPr>
            <w:webHidden/>
          </w:rPr>
          <w:fldChar w:fldCharType="separate"/>
        </w:r>
        <w:r w:rsidR="00D70166">
          <w:rPr>
            <w:webHidden/>
          </w:rPr>
          <w:t>11</w:t>
        </w:r>
        <w:r w:rsidRPr="00DB0AEE">
          <w:rPr>
            <w:webHidden/>
          </w:rPr>
          <w:fldChar w:fldCharType="end"/>
        </w:r>
      </w:hyperlink>
    </w:p>
    <w:p w:rsidR="00DB0AEE" w:rsidRPr="00DB0AEE" w:rsidRDefault="006C4CCF" w:rsidP="00DB0AEE">
      <w:pPr>
        <w:pStyle w:val="28"/>
        <w:tabs>
          <w:tab w:val="clear" w:pos="10479"/>
          <w:tab w:val="right" w:leader="dot" w:pos="10206"/>
        </w:tabs>
        <w:spacing w:before="80" w:after="80"/>
        <w:ind w:left="0"/>
        <w:rPr>
          <w:rFonts w:eastAsiaTheme="minorEastAsia" w:cstheme="minorBidi"/>
        </w:rPr>
      </w:pPr>
      <w:hyperlink w:anchor="_Toc461206354" w:history="1">
        <w:r w:rsidR="00DB0AEE" w:rsidRPr="00DB0AEE">
          <w:rPr>
            <w:rStyle w:val="aa"/>
          </w:rPr>
          <w:t>1.6. ПЕРЕЧЕНЬ ИСПОЛЬЗОВАННЫХ ПРИ ПРОВЕДЕНИИ ОЦЕНКИ ОБЪЕКТА ОЦЕНКИ ДАННЫХ С УКАЗАНИЕМ ИСТОЧНИКОВ ИХ ПОЛУЧЕНИЯ</w:t>
        </w:r>
        <w:r w:rsidR="00DB0AEE" w:rsidRPr="00DB0AEE">
          <w:rPr>
            <w:webHidden/>
          </w:rPr>
          <w:tab/>
        </w:r>
        <w:r w:rsidRPr="00DB0AEE">
          <w:rPr>
            <w:webHidden/>
          </w:rPr>
          <w:fldChar w:fldCharType="begin"/>
        </w:r>
        <w:r w:rsidR="00DB0AEE" w:rsidRPr="00DB0AEE">
          <w:rPr>
            <w:webHidden/>
          </w:rPr>
          <w:instrText xml:space="preserve"> PAGEREF _Toc461206354 \h </w:instrText>
        </w:r>
        <w:r w:rsidRPr="00DB0AEE">
          <w:rPr>
            <w:webHidden/>
          </w:rPr>
        </w:r>
        <w:r w:rsidRPr="00DB0AEE">
          <w:rPr>
            <w:webHidden/>
          </w:rPr>
          <w:fldChar w:fldCharType="separate"/>
        </w:r>
        <w:r w:rsidR="00D70166">
          <w:rPr>
            <w:webHidden/>
          </w:rPr>
          <w:t>12</w:t>
        </w:r>
        <w:r w:rsidRPr="00DB0AEE">
          <w:rPr>
            <w:webHidden/>
          </w:rPr>
          <w:fldChar w:fldCharType="end"/>
        </w:r>
      </w:hyperlink>
    </w:p>
    <w:p w:rsidR="00DB0AEE" w:rsidRPr="00DB0AEE" w:rsidRDefault="006C4CCF" w:rsidP="00DB0AEE">
      <w:pPr>
        <w:pStyle w:val="28"/>
        <w:tabs>
          <w:tab w:val="clear" w:pos="10479"/>
          <w:tab w:val="right" w:leader="dot" w:pos="10206"/>
        </w:tabs>
        <w:spacing w:before="80" w:after="80"/>
        <w:ind w:left="0"/>
        <w:rPr>
          <w:rFonts w:eastAsiaTheme="minorEastAsia" w:cstheme="minorBidi"/>
        </w:rPr>
      </w:pPr>
      <w:hyperlink w:anchor="_Toc461206355" w:history="1">
        <w:r w:rsidR="00DB0AEE" w:rsidRPr="00DB0AEE">
          <w:rPr>
            <w:rStyle w:val="aa"/>
          </w:rPr>
          <w:t>1.7. ЗАЯВЛЕНИЕ ОЦЕНЩИКА</w:t>
        </w:r>
        <w:r w:rsidR="00DB0AEE" w:rsidRPr="00DB0AEE">
          <w:rPr>
            <w:webHidden/>
          </w:rPr>
          <w:tab/>
        </w:r>
        <w:r w:rsidRPr="00DB0AEE">
          <w:rPr>
            <w:webHidden/>
          </w:rPr>
          <w:fldChar w:fldCharType="begin"/>
        </w:r>
        <w:r w:rsidR="00DB0AEE" w:rsidRPr="00DB0AEE">
          <w:rPr>
            <w:webHidden/>
          </w:rPr>
          <w:instrText xml:space="preserve"> PAGEREF _Toc461206355 \h </w:instrText>
        </w:r>
        <w:r w:rsidRPr="00DB0AEE">
          <w:rPr>
            <w:webHidden/>
          </w:rPr>
        </w:r>
        <w:r w:rsidRPr="00DB0AEE">
          <w:rPr>
            <w:webHidden/>
          </w:rPr>
          <w:fldChar w:fldCharType="separate"/>
        </w:r>
        <w:r w:rsidR="00D70166">
          <w:rPr>
            <w:webHidden/>
          </w:rPr>
          <w:t>13</w:t>
        </w:r>
        <w:r w:rsidRPr="00DB0AEE">
          <w:rPr>
            <w:webHidden/>
          </w:rPr>
          <w:fldChar w:fldCharType="end"/>
        </w:r>
      </w:hyperlink>
    </w:p>
    <w:p w:rsidR="00DB0AEE" w:rsidRPr="00DB0AEE" w:rsidRDefault="006C4CCF" w:rsidP="00DB0AEE">
      <w:pPr>
        <w:pStyle w:val="11"/>
        <w:tabs>
          <w:tab w:val="clear" w:pos="10490"/>
          <w:tab w:val="right" w:leader="dot" w:pos="10206"/>
        </w:tabs>
        <w:spacing w:beforeLines="0" w:afterLines="0"/>
        <w:rPr>
          <w:rFonts w:eastAsiaTheme="minorEastAsia" w:cstheme="minorBidi"/>
        </w:rPr>
      </w:pPr>
      <w:hyperlink w:anchor="_Toc461206356" w:history="1">
        <w:r w:rsidR="00DB0AEE" w:rsidRPr="00DB0AEE">
          <w:rPr>
            <w:rStyle w:val="aa"/>
          </w:rPr>
          <w:t>2. ПОСЛЕДОВАТЕЛЬНОСТЬ ОПРЕДЕЛЕНИЯ СТОИМОСТИ</w:t>
        </w:r>
        <w:r w:rsidR="00DB0AEE" w:rsidRPr="00DB0AEE">
          <w:rPr>
            <w:webHidden/>
          </w:rPr>
          <w:tab/>
        </w:r>
        <w:r w:rsidRPr="00DB0AEE">
          <w:rPr>
            <w:webHidden/>
          </w:rPr>
          <w:fldChar w:fldCharType="begin"/>
        </w:r>
        <w:r w:rsidR="00DB0AEE" w:rsidRPr="00DB0AEE">
          <w:rPr>
            <w:webHidden/>
          </w:rPr>
          <w:instrText xml:space="preserve"> PAGEREF _Toc461206356 \h </w:instrText>
        </w:r>
        <w:r w:rsidRPr="00DB0AEE">
          <w:rPr>
            <w:webHidden/>
          </w:rPr>
        </w:r>
        <w:r w:rsidRPr="00DB0AEE">
          <w:rPr>
            <w:webHidden/>
          </w:rPr>
          <w:fldChar w:fldCharType="separate"/>
        </w:r>
        <w:r w:rsidR="00D70166">
          <w:rPr>
            <w:webHidden/>
          </w:rPr>
          <w:t>14</w:t>
        </w:r>
        <w:r w:rsidRPr="00DB0AEE">
          <w:rPr>
            <w:webHidden/>
          </w:rPr>
          <w:fldChar w:fldCharType="end"/>
        </w:r>
      </w:hyperlink>
    </w:p>
    <w:p w:rsidR="00DB0AEE" w:rsidRPr="00DB0AEE" w:rsidRDefault="006C4CCF" w:rsidP="00DB0AEE">
      <w:pPr>
        <w:pStyle w:val="28"/>
        <w:tabs>
          <w:tab w:val="clear" w:pos="10479"/>
          <w:tab w:val="right" w:leader="dot" w:pos="10206"/>
        </w:tabs>
        <w:spacing w:before="80" w:after="80"/>
        <w:ind w:left="0"/>
        <w:rPr>
          <w:rFonts w:eastAsiaTheme="minorEastAsia" w:cstheme="minorBidi"/>
        </w:rPr>
      </w:pPr>
      <w:hyperlink w:anchor="_Toc461206357" w:history="1">
        <w:r w:rsidR="00DB0AEE" w:rsidRPr="00DB0AEE">
          <w:rPr>
            <w:rStyle w:val="aa"/>
          </w:rPr>
          <w:t>2.1. ОБЪЕМ И ЭТАПЫ ИССЛЕДОВАНИЯ</w:t>
        </w:r>
        <w:r w:rsidR="00DB0AEE" w:rsidRPr="00DB0AEE">
          <w:rPr>
            <w:webHidden/>
          </w:rPr>
          <w:tab/>
        </w:r>
        <w:r w:rsidRPr="00DB0AEE">
          <w:rPr>
            <w:webHidden/>
          </w:rPr>
          <w:fldChar w:fldCharType="begin"/>
        </w:r>
        <w:r w:rsidR="00DB0AEE" w:rsidRPr="00DB0AEE">
          <w:rPr>
            <w:webHidden/>
          </w:rPr>
          <w:instrText xml:space="preserve"> PAGEREF _Toc461206357 \h </w:instrText>
        </w:r>
        <w:r w:rsidRPr="00DB0AEE">
          <w:rPr>
            <w:webHidden/>
          </w:rPr>
        </w:r>
        <w:r w:rsidRPr="00DB0AEE">
          <w:rPr>
            <w:webHidden/>
          </w:rPr>
          <w:fldChar w:fldCharType="separate"/>
        </w:r>
        <w:r w:rsidR="00D70166">
          <w:rPr>
            <w:webHidden/>
          </w:rPr>
          <w:t>14</w:t>
        </w:r>
        <w:r w:rsidRPr="00DB0AEE">
          <w:rPr>
            <w:webHidden/>
          </w:rPr>
          <w:fldChar w:fldCharType="end"/>
        </w:r>
      </w:hyperlink>
    </w:p>
    <w:p w:rsidR="00DB0AEE" w:rsidRPr="00DB0AEE" w:rsidRDefault="006C4CCF" w:rsidP="00DB0AEE">
      <w:pPr>
        <w:pStyle w:val="28"/>
        <w:tabs>
          <w:tab w:val="clear" w:pos="10479"/>
          <w:tab w:val="right" w:leader="dot" w:pos="10206"/>
        </w:tabs>
        <w:spacing w:before="80" w:after="80"/>
        <w:ind w:left="0"/>
        <w:rPr>
          <w:rFonts w:eastAsiaTheme="minorEastAsia" w:cstheme="minorBidi"/>
        </w:rPr>
      </w:pPr>
      <w:hyperlink w:anchor="_Toc461206358" w:history="1">
        <w:r w:rsidR="00DB0AEE" w:rsidRPr="00DB0AEE">
          <w:rPr>
            <w:rStyle w:val="aa"/>
          </w:rPr>
          <w:t>2.2. ВИД ОПРЕДЕЛЯЕМОЙ СТОИМОСТИ</w:t>
        </w:r>
        <w:r w:rsidR="00DB0AEE" w:rsidRPr="00DB0AEE">
          <w:rPr>
            <w:webHidden/>
          </w:rPr>
          <w:tab/>
        </w:r>
        <w:r w:rsidRPr="00DB0AEE">
          <w:rPr>
            <w:webHidden/>
          </w:rPr>
          <w:fldChar w:fldCharType="begin"/>
        </w:r>
        <w:r w:rsidR="00DB0AEE" w:rsidRPr="00DB0AEE">
          <w:rPr>
            <w:webHidden/>
          </w:rPr>
          <w:instrText xml:space="preserve"> PAGEREF _Toc461206358 \h </w:instrText>
        </w:r>
        <w:r w:rsidRPr="00DB0AEE">
          <w:rPr>
            <w:webHidden/>
          </w:rPr>
        </w:r>
        <w:r w:rsidRPr="00DB0AEE">
          <w:rPr>
            <w:webHidden/>
          </w:rPr>
          <w:fldChar w:fldCharType="separate"/>
        </w:r>
        <w:r w:rsidR="00D70166">
          <w:rPr>
            <w:webHidden/>
          </w:rPr>
          <w:t>14</w:t>
        </w:r>
        <w:r w:rsidRPr="00DB0AEE">
          <w:rPr>
            <w:webHidden/>
          </w:rPr>
          <w:fldChar w:fldCharType="end"/>
        </w:r>
      </w:hyperlink>
    </w:p>
    <w:p w:rsidR="00DB0AEE" w:rsidRPr="00DB0AEE" w:rsidRDefault="006C4CCF" w:rsidP="00DB0AEE">
      <w:pPr>
        <w:pStyle w:val="11"/>
        <w:tabs>
          <w:tab w:val="clear" w:pos="10490"/>
          <w:tab w:val="right" w:leader="dot" w:pos="10206"/>
        </w:tabs>
        <w:spacing w:beforeLines="0" w:afterLines="0"/>
        <w:rPr>
          <w:rFonts w:eastAsiaTheme="minorEastAsia" w:cstheme="minorBidi"/>
        </w:rPr>
      </w:pPr>
      <w:hyperlink w:anchor="_Toc461206359" w:history="1">
        <w:r w:rsidR="00DB0AEE" w:rsidRPr="00DB0AEE">
          <w:rPr>
            <w:rStyle w:val="aa"/>
          </w:rPr>
          <w:t>3. ОПИСАНИЕ ОБЪЕКТА ОЦЕНКИ С ПРИВЕДЕНИЕМ ССЫЛОК НА ДОКУМЕНТЫ, УСТАНАВЛИВАЮЩИЕ КОЛИЧЕСТВЕННЫЕ И КАЧЕСТВЕННЫЕ ХАРАКТЕРИСТИКИ ОБЪЕКТА ОЦЕНКИ</w:t>
        </w:r>
        <w:r w:rsidR="00DB0AEE" w:rsidRPr="00DB0AEE">
          <w:rPr>
            <w:webHidden/>
          </w:rPr>
          <w:tab/>
        </w:r>
        <w:r w:rsidRPr="00DB0AEE">
          <w:rPr>
            <w:webHidden/>
          </w:rPr>
          <w:fldChar w:fldCharType="begin"/>
        </w:r>
        <w:r w:rsidR="00DB0AEE" w:rsidRPr="00DB0AEE">
          <w:rPr>
            <w:webHidden/>
          </w:rPr>
          <w:instrText xml:space="preserve"> PAGEREF _Toc461206359 \h </w:instrText>
        </w:r>
        <w:r w:rsidRPr="00DB0AEE">
          <w:rPr>
            <w:webHidden/>
          </w:rPr>
        </w:r>
        <w:r w:rsidRPr="00DB0AEE">
          <w:rPr>
            <w:webHidden/>
          </w:rPr>
          <w:fldChar w:fldCharType="separate"/>
        </w:r>
        <w:r w:rsidR="00D70166">
          <w:rPr>
            <w:webHidden/>
          </w:rPr>
          <w:t>15</w:t>
        </w:r>
        <w:r w:rsidRPr="00DB0AEE">
          <w:rPr>
            <w:webHidden/>
          </w:rPr>
          <w:fldChar w:fldCharType="end"/>
        </w:r>
      </w:hyperlink>
    </w:p>
    <w:p w:rsidR="00DB0AEE" w:rsidRPr="00DB0AEE" w:rsidRDefault="006C4CCF" w:rsidP="00DB0AEE">
      <w:pPr>
        <w:pStyle w:val="28"/>
        <w:tabs>
          <w:tab w:val="clear" w:pos="10479"/>
          <w:tab w:val="right" w:leader="dot" w:pos="10206"/>
        </w:tabs>
        <w:spacing w:before="80" w:after="80"/>
        <w:ind w:left="0"/>
        <w:rPr>
          <w:rFonts w:eastAsiaTheme="minorEastAsia" w:cstheme="minorBidi"/>
        </w:rPr>
      </w:pPr>
      <w:hyperlink w:anchor="_Toc461206360" w:history="1">
        <w:r w:rsidR="00DB0AEE" w:rsidRPr="00DB0AEE">
          <w:rPr>
            <w:rStyle w:val="aa"/>
          </w:rPr>
          <w:t>3.1. СВЕДЕНИЯ О ИМУЩЕСТВЕННЫХ ПРАВАХ И ОБРЕМЕНЕНИЯХ</w:t>
        </w:r>
        <w:r w:rsidR="00DB0AEE" w:rsidRPr="00DB0AEE">
          <w:rPr>
            <w:webHidden/>
          </w:rPr>
          <w:tab/>
        </w:r>
        <w:r w:rsidRPr="00DB0AEE">
          <w:rPr>
            <w:webHidden/>
          </w:rPr>
          <w:fldChar w:fldCharType="begin"/>
        </w:r>
        <w:r w:rsidR="00DB0AEE" w:rsidRPr="00DB0AEE">
          <w:rPr>
            <w:webHidden/>
          </w:rPr>
          <w:instrText xml:space="preserve"> PAGEREF _Toc461206360 \h </w:instrText>
        </w:r>
        <w:r w:rsidRPr="00DB0AEE">
          <w:rPr>
            <w:webHidden/>
          </w:rPr>
        </w:r>
        <w:r w:rsidRPr="00DB0AEE">
          <w:rPr>
            <w:webHidden/>
          </w:rPr>
          <w:fldChar w:fldCharType="separate"/>
        </w:r>
        <w:r w:rsidR="00D70166">
          <w:rPr>
            <w:webHidden/>
          </w:rPr>
          <w:t>15</w:t>
        </w:r>
        <w:r w:rsidRPr="00DB0AEE">
          <w:rPr>
            <w:webHidden/>
          </w:rPr>
          <w:fldChar w:fldCharType="end"/>
        </w:r>
      </w:hyperlink>
    </w:p>
    <w:p w:rsidR="00DB0AEE" w:rsidRPr="00DB0AEE" w:rsidRDefault="006C4CCF" w:rsidP="00DB0AEE">
      <w:pPr>
        <w:pStyle w:val="35"/>
        <w:rPr>
          <w:rFonts w:ascii="Bookman Old Style" w:eastAsiaTheme="minorEastAsia" w:hAnsi="Bookman Old Style" w:cstheme="minorBidi"/>
          <w:noProof/>
          <w:sz w:val="20"/>
          <w:szCs w:val="20"/>
        </w:rPr>
      </w:pPr>
      <w:hyperlink w:anchor="_Toc461206361" w:history="1">
        <w:r w:rsidR="00DB0AEE" w:rsidRPr="00DB0AEE">
          <w:rPr>
            <w:rStyle w:val="aa"/>
            <w:rFonts w:ascii="Bookman Old Style" w:hAnsi="Bookman Old Style"/>
            <w:noProof/>
            <w:sz w:val="20"/>
            <w:szCs w:val="20"/>
          </w:rPr>
          <w:t>3.1.1. Сведения об имущественных правах</w:t>
        </w:r>
        <w:r w:rsidR="00DB0AEE" w:rsidRPr="00DB0AEE">
          <w:rPr>
            <w:rFonts w:ascii="Bookman Old Style" w:hAnsi="Bookman Old Style"/>
            <w:noProof/>
            <w:webHidden/>
            <w:sz w:val="20"/>
            <w:szCs w:val="20"/>
          </w:rPr>
          <w:tab/>
        </w:r>
        <w:r w:rsidRPr="00DB0AEE">
          <w:rPr>
            <w:rFonts w:ascii="Bookman Old Style" w:hAnsi="Bookman Old Style"/>
            <w:noProof/>
            <w:webHidden/>
            <w:sz w:val="20"/>
            <w:szCs w:val="20"/>
          </w:rPr>
          <w:fldChar w:fldCharType="begin"/>
        </w:r>
        <w:r w:rsidR="00DB0AEE" w:rsidRPr="00DB0AEE">
          <w:rPr>
            <w:rFonts w:ascii="Bookman Old Style" w:hAnsi="Bookman Old Style"/>
            <w:noProof/>
            <w:webHidden/>
            <w:sz w:val="20"/>
            <w:szCs w:val="20"/>
          </w:rPr>
          <w:instrText xml:space="preserve"> PAGEREF _Toc461206361 \h </w:instrText>
        </w:r>
        <w:r w:rsidRPr="00DB0AEE">
          <w:rPr>
            <w:rFonts w:ascii="Bookman Old Style" w:hAnsi="Bookman Old Style"/>
            <w:noProof/>
            <w:webHidden/>
            <w:sz w:val="20"/>
            <w:szCs w:val="20"/>
          </w:rPr>
        </w:r>
        <w:r w:rsidRPr="00DB0AEE">
          <w:rPr>
            <w:rFonts w:ascii="Bookman Old Style" w:hAnsi="Bookman Old Style"/>
            <w:noProof/>
            <w:webHidden/>
            <w:sz w:val="20"/>
            <w:szCs w:val="20"/>
          </w:rPr>
          <w:fldChar w:fldCharType="separate"/>
        </w:r>
        <w:r w:rsidR="00D70166">
          <w:rPr>
            <w:rFonts w:ascii="Bookman Old Style" w:hAnsi="Bookman Old Style"/>
            <w:noProof/>
            <w:webHidden/>
            <w:sz w:val="20"/>
            <w:szCs w:val="20"/>
          </w:rPr>
          <w:t>15</w:t>
        </w:r>
        <w:r w:rsidRPr="00DB0AEE">
          <w:rPr>
            <w:rFonts w:ascii="Bookman Old Style" w:hAnsi="Bookman Old Style"/>
            <w:noProof/>
            <w:webHidden/>
            <w:sz w:val="20"/>
            <w:szCs w:val="20"/>
          </w:rPr>
          <w:fldChar w:fldCharType="end"/>
        </w:r>
      </w:hyperlink>
    </w:p>
    <w:p w:rsidR="00DB0AEE" w:rsidRPr="00DB0AEE" w:rsidRDefault="006C4CCF" w:rsidP="00DB0AEE">
      <w:pPr>
        <w:pStyle w:val="35"/>
        <w:rPr>
          <w:rFonts w:ascii="Bookman Old Style" w:eastAsiaTheme="minorEastAsia" w:hAnsi="Bookman Old Style" w:cstheme="minorBidi"/>
          <w:noProof/>
          <w:sz w:val="20"/>
          <w:szCs w:val="20"/>
        </w:rPr>
      </w:pPr>
      <w:hyperlink w:anchor="_Toc461206362" w:history="1">
        <w:r w:rsidR="00DB0AEE" w:rsidRPr="00DB0AEE">
          <w:rPr>
            <w:rStyle w:val="aa"/>
            <w:rFonts w:ascii="Bookman Old Style" w:hAnsi="Bookman Old Style"/>
            <w:noProof/>
            <w:sz w:val="20"/>
            <w:szCs w:val="20"/>
          </w:rPr>
          <w:t>3.1.2. Сведения об обременениях</w:t>
        </w:r>
        <w:r w:rsidR="00DB0AEE" w:rsidRPr="00DB0AEE">
          <w:rPr>
            <w:rFonts w:ascii="Bookman Old Style" w:hAnsi="Bookman Old Style"/>
            <w:noProof/>
            <w:webHidden/>
            <w:sz w:val="20"/>
            <w:szCs w:val="20"/>
          </w:rPr>
          <w:tab/>
        </w:r>
        <w:r w:rsidRPr="00DB0AEE">
          <w:rPr>
            <w:rFonts w:ascii="Bookman Old Style" w:hAnsi="Bookman Old Style"/>
            <w:noProof/>
            <w:webHidden/>
            <w:sz w:val="20"/>
            <w:szCs w:val="20"/>
          </w:rPr>
          <w:fldChar w:fldCharType="begin"/>
        </w:r>
        <w:r w:rsidR="00DB0AEE" w:rsidRPr="00DB0AEE">
          <w:rPr>
            <w:rFonts w:ascii="Bookman Old Style" w:hAnsi="Bookman Old Style"/>
            <w:noProof/>
            <w:webHidden/>
            <w:sz w:val="20"/>
            <w:szCs w:val="20"/>
          </w:rPr>
          <w:instrText xml:space="preserve"> PAGEREF _Toc461206362 \h </w:instrText>
        </w:r>
        <w:r w:rsidRPr="00DB0AEE">
          <w:rPr>
            <w:rFonts w:ascii="Bookman Old Style" w:hAnsi="Bookman Old Style"/>
            <w:noProof/>
            <w:webHidden/>
            <w:sz w:val="20"/>
            <w:szCs w:val="20"/>
          </w:rPr>
        </w:r>
        <w:r w:rsidRPr="00DB0AEE">
          <w:rPr>
            <w:rFonts w:ascii="Bookman Old Style" w:hAnsi="Bookman Old Style"/>
            <w:noProof/>
            <w:webHidden/>
            <w:sz w:val="20"/>
            <w:szCs w:val="20"/>
          </w:rPr>
          <w:fldChar w:fldCharType="separate"/>
        </w:r>
        <w:r w:rsidR="00D70166">
          <w:rPr>
            <w:rFonts w:ascii="Bookman Old Style" w:hAnsi="Bookman Old Style"/>
            <w:noProof/>
            <w:webHidden/>
            <w:sz w:val="20"/>
            <w:szCs w:val="20"/>
          </w:rPr>
          <w:t>16</w:t>
        </w:r>
        <w:r w:rsidRPr="00DB0AEE">
          <w:rPr>
            <w:rFonts w:ascii="Bookman Old Style" w:hAnsi="Bookman Old Style"/>
            <w:noProof/>
            <w:webHidden/>
            <w:sz w:val="20"/>
            <w:szCs w:val="20"/>
          </w:rPr>
          <w:fldChar w:fldCharType="end"/>
        </w:r>
      </w:hyperlink>
    </w:p>
    <w:p w:rsidR="00DB0AEE" w:rsidRPr="00DB0AEE" w:rsidRDefault="006C4CCF" w:rsidP="00DB0AEE">
      <w:pPr>
        <w:pStyle w:val="35"/>
        <w:rPr>
          <w:rFonts w:ascii="Bookman Old Style" w:eastAsiaTheme="minorEastAsia" w:hAnsi="Bookman Old Style" w:cstheme="minorBidi"/>
          <w:noProof/>
          <w:sz w:val="20"/>
          <w:szCs w:val="20"/>
        </w:rPr>
      </w:pPr>
      <w:hyperlink w:anchor="_Toc461206363" w:history="1">
        <w:r w:rsidR="00DB0AEE" w:rsidRPr="00DB0AEE">
          <w:rPr>
            <w:rStyle w:val="aa"/>
            <w:rFonts w:ascii="Bookman Old Style" w:hAnsi="Bookman Old Style"/>
            <w:noProof/>
            <w:sz w:val="20"/>
            <w:szCs w:val="20"/>
          </w:rPr>
          <w:t>3.1.3. Сведения о балансовой стоимости Объекта оценки</w:t>
        </w:r>
        <w:r w:rsidR="00DB0AEE" w:rsidRPr="00DB0AEE">
          <w:rPr>
            <w:rFonts w:ascii="Bookman Old Style" w:hAnsi="Bookman Old Style"/>
            <w:noProof/>
            <w:webHidden/>
            <w:sz w:val="20"/>
            <w:szCs w:val="20"/>
          </w:rPr>
          <w:tab/>
        </w:r>
        <w:r w:rsidRPr="00DB0AEE">
          <w:rPr>
            <w:rFonts w:ascii="Bookman Old Style" w:hAnsi="Bookman Old Style"/>
            <w:noProof/>
            <w:webHidden/>
            <w:sz w:val="20"/>
            <w:szCs w:val="20"/>
          </w:rPr>
          <w:fldChar w:fldCharType="begin"/>
        </w:r>
        <w:r w:rsidR="00DB0AEE" w:rsidRPr="00DB0AEE">
          <w:rPr>
            <w:rFonts w:ascii="Bookman Old Style" w:hAnsi="Bookman Old Style"/>
            <w:noProof/>
            <w:webHidden/>
            <w:sz w:val="20"/>
            <w:szCs w:val="20"/>
          </w:rPr>
          <w:instrText xml:space="preserve"> PAGEREF _Toc461206363 \h </w:instrText>
        </w:r>
        <w:r w:rsidRPr="00DB0AEE">
          <w:rPr>
            <w:rFonts w:ascii="Bookman Old Style" w:hAnsi="Bookman Old Style"/>
            <w:noProof/>
            <w:webHidden/>
            <w:sz w:val="20"/>
            <w:szCs w:val="20"/>
          </w:rPr>
        </w:r>
        <w:r w:rsidRPr="00DB0AEE">
          <w:rPr>
            <w:rFonts w:ascii="Bookman Old Style" w:hAnsi="Bookman Old Style"/>
            <w:noProof/>
            <w:webHidden/>
            <w:sz w:val="20"/>
            <w:szCs w:val="20"/>
          </w:rPr>
          <w:fldChar w:fldCharType="separate"/>
        </w:r>
        <w:r w:rsidR="00D70166">
          <w:rPr>
            <w:rFonts w:ascii="Bookman Old Style" w:hAnsi="Bookman Old Style"/>
            <w:noProof/>
            <w:webHidden/>
            <w:sz w:val="20"/>
            <w:szCs w:val="20"/>
          </w:rPr>
          <w:t>16</w:t>
        </w:r>
        <w:r w:rsidRPr="00DB0AEE">
          <w:rPr>
            <w:rFonts w:ascii="Bookman Old Style" w:hAnsi="Bookman Old Style"/>
            <w:noProof/>
            <w:webHidden/>
            <w:sz w:val="20"/>
            <w:szCs w:val="20"/>
          </w:rPr>
          <w:fldChar w:fldCharType="end"/>
        </w:r>
      </w:hyperlink>
    </w:p>
    <w:p w:rsidR="00DB0AEE" w:rsidRPr="00DB0AEE" w:rsidRDefault="006C4CCF" w:rsidP="00DB0AEE">
      <w:pPr>
        <w:pStyle w:val="28"/>
        <w:tabs>
          <w:tab w:val="clear" w:pos="10479"/>
          <w:tab w:val="right" w:leader="dot" w:pos="10206"/>
        </w:tabs>
        <w:spacing w:before="80" w:after="80"/>
        <w:ind w:left="0"/>
        <w:rPr>
          <w:rFonts w:eastAsiaTheme="minorEastAsia" w:cstheme="minorBidi"/>
        </w:rPr>
      </w:pPr>
      <w:hyperlink w:anchor="_Toc461206364" w:history="1">
        <w:r w:rsidR="00DB0AEE" w:rsidRPr="00DB0AEE">
          <w:rPr>
            <w:rStyle w:val="aa"/>
          </w:rPr>
          <w:t>3.2. КОЛИЧЕСТВЕННЫЕ И КАЧЕСТВЕННЫЕ ХАРАКТЕРИСТИКИ ОБЪЕКТА ОЦЕНКИ</w:t>
        </w:r>
        <w:r w:rsidR="00DB0AEE" w:rsidRPr="00DB0AEE">
          <w:rPr>
            <w:webHidden/>
          </w:rPr>
          <w:tab/>
        </w:r>
        <w:r w:rsidRPr="00DB0AEE">
          <w:rPr>
            <w:webHidden/>
          </w:rPr>
          <w:fldChar w:fldCharType="begin"/>
        </w:r>
        <w:r w:rsidR="00DB0AEE" w:rsidRPr="00DB0AEE">
          <w:rPr>
            <w:webHidden/>
          </w:rPr>
          <w:instrText xml:space="preserve"> PAGEREF _Toc461206364 \h </w:instrText>
        </w:r>
        <w:r w:rsidRPr="00DB0AEE">
          <w:rPr>
            <w:webHidden/>
          </w:rPr>
        </w:r>
        <w:r w:rsidRPr="00DB0AEE">
          <w:rPr>
            <w:webHidden/>
          </w:rPr>
          <w:fldChar w:fldCharType="separate"/>
        </w:r>
        <w:r w:rsidR="00D70166">
          <w:rPr>
            <w:webHidden/>
          </w:rPr>
          <w:t>16</w:t>
        </w:r>
        <w:r w:rsidRPr="00DB0AEE">
          <w:rPr>
            <w:webHidden/>
          </w:rPr>
          <w:fldChar w:fldCharType="end"/>
        </w:r>
      </w:hyperlink>
    </w:p>
    <w:p w:rsidR="00DB0AEE" w:rsidRPr="00DB0AEE" w:rsidRDefault="006C4CCF" w:rsidP="00DB0AEE">
      <w:pPr>
        <w:pStyle w:val="35"/>
        <w:rPr>
          <w:rFonts w:ascii="Bookman Old Style" w:eastAsiaTheme="minorEastAsia" w:hAnsi="Bookman Old Style" w:cstheme="minorBidi"/>
          <w:noProof/>
          <w:sz w:val="20"/>
          <w:szCs w:val="20"/>
        </w:rPr>
      </w:pPr>
      <w:hyperlink w:anchor="_Toc461206365" w:history="1">
        <w:r w:rsidR="00DB0AEE" w:rsidRPr="00DB0AEE">
          <w:rPr>
            <w:rStyle w:val="aa"/>
            <w:rFonts w:ascii="Bookman Old Style" w:hAnsi="Bookman Old Style"/>
            <w:noProof/>
            <w:sz w:val="20"/>
            <w:szCs w:val="20"/>
          </w:rPr>
          <w:t>3.2.1. Ссылки на документы, используемые при установлении характеристик</w:t>
        </w:r>
        <w:r w:rsidR="00DB0AEE" w:rsidRPr="00DB0AEE">
          <w:rPr>
            <w:rFonts w:ascii="Bookman Old Style" w:hAnsi="Bookman Old Style"/>
            <w:noProof/>
            <w:webHidden/>
            <w:sz w:val="20"/>
            <w:szCs w:val="20"/>
          </w:rPr>
          <w:tab/>
        </w:r>
        <w:r w:rsidRPr="00DB0AEE">
          <w:rPr>
            <w:rFonts w:ascii="Bookman Old Style" w:hAnsi="Bookman Old Style"/>
            <w:noProof/>
            <w:webHidden/>
            <w:sz w:val="20"/>
            <w:szCs w:val="20"/>
          </w:rPr>
          <w:fldChar w:fldCharType="begin"/>
        </w:r>
        <w:r w:rsidR="00DB0AEE" w:rsidRPr="00DB0AEE">
          <w:rPr>
            <w:rFonts w:ascii="Bookman Old Style" w:hAnsi="Bookman Old Style"/>
            <w:noProof/>
            <w:webHidden/>
            <w:sz w:val="20"/>
            <w:szCs w:val="20"/>
          </w:rPr>
          <w:instrText xml:space="preserve"> PAGEREF _Toc461206365 \h </w:instrText>
        </w:r>
        <w:r w:rsidRPr="00DB0AEE">
          <w:rPr>
            <w:rFonts w:ascii="Bookman Old Style" w:hAnsi="Bookman Old Style"/>
            <w:noProof/>
            <w:webHidden/>
            <w:sz w:val="20"/>
            <w:szCs w:val="20"/>
          </w:rPr>
        </w:r>
        <w:r w:rsidRPr="00DB0AEE">
          <w:rPr>
            <w:rFonts w:ascii="Bookman Old Style" w:hAnsi="Bookman Old Style"/>
            <w:noProof/>
            <w:webHidden/>
            <w:sz w:val="20"/>
            <w:szCs w:val="20"/>
          </w:rPr>
          <w:fldChar w:fldCharType="separate"/>
        </w:r>
        <w:r w:rsidR="00D70166">
          <w:rPr>
            <w:rFonts w:ascii="Bookman Old Style" w:hAnsi="Bookman Old Style"/>
            <w:noProof/>
            <w:webHidden/>
            <w:sz w:val="20"/>
            <w:szCs w:val="20"/>
          </w:rPr>
          <w:t>16</w:t>
        </w:r>
        <w:r w:rsidRPr="00DB0AEE">
          <w:rPr>
            <w:rFonts w:ascii="Bookman Old Style" w:hAnsi="Bookman Old Style"/>
            <w:noProof/>
            <w:webHidden/>
            <w:sz w:val="20"/>
            <w:szCs w:val="20"/>
          </w:rPr>
          <w:fldChar w:fldCharType="end"/>
        </w:r>
      </w:hyperlink>
    </w:p>
    <w:p w:rsidR="00DB0AEE" w:rsidRPr="00DB0AEE" w:rsidRDefault="006C4CCF" w:rsidP="00DB0AEE">
      <w:pPr>
        <w:pStyle w:val="35"/>
        <w:rPr>
          <w:rFonts w:ascii="Bookman Old Style" w:eastAsiaTheme="minorEastAsia" w:hAnsi="Bookman Old Style" w:cstheme="minorBidi"/>
          <w:noProof/>
          <w:sz w:val="20"/>
          <w:szCs w:val="20"/>
        </w:rPr>
      </w:pPr>
      <w:hyperlink w:anchor="_Toc461206366" w:history="1">
        <w:r w:rsidR="00DB0AEE" w:rsidRPr="00DB0AEE">
          <w:rPr>
            <w:rStyle w:val="aa"/>
            <w:rFonts w:ascii="Bookman Old Style" w:hAnsi="Bookman Old Style"/>
            <w:noProof/>
            <w:sz w:val="20"/>
            <w:szCs w:val="20"/>
          </w:rPr>
          <w:t>3.2.2. Информация о местоположении имущества</w:t>
        </w:r>
        <w:r w:rsidR="00DB0AEE" w:rsidRPr="00DB0AEE">
          <w:rPr>
            <w:rStyle w:val="aa"/>
            <w:rFonts w:ascii="Bookman Old Style" w:hAnsi="Bookman Old Style"/>
            <w:noProof/>
            <w:sz w:val="20"/>
            <w:szCs w:val="20"/>
            <w:vertAlign w:val="superscript"/>
          </w:rPr>
          <w:t xml:space="preserve"> </w:t>
        </w:r>
        <w:r w:rsidR="00DB0AEE" w:rsidRPr="00DB0AEE">
          <w:rPr>
            <w:rFonts w:ascii="Bookman Old Style" w:hAnsi="Bookman Old Style"/>
            <w:noProof/>
            <w:webHidden/>
            <w:sz w:val="20"/>
            <w:szCs w:val="20"/>
          </w:rPr>
          <w:tab/>
        </w:r>
        <w:r w:rsidRPr="00DB0AEE">
          <w:rPr>
            <w:rFonts w:ascii="Bookman Old Style" w:hAnsi="Bookman Old Style"/>
            <w:noProof/>
            <w:webHidden/>
            <w:sz w:val="20"/>
            <w:szCs w:val="20"/>
          </w:rPr>
          <w:fldChar w:fldCharType="begin"/>
        </w:r>
        <w:r w:rsidR="00DB0AEE" w:rsidRPr="00DB0AEE">
          <w:rPr>
            <w:rFonts w:ascii="Bookman Old Style" w:hAnsi="Bookman Old Style"/>
            <w:noProof/>
            <w:webHidden/>
            <w:sz w:val="20"/>
            <w:szCs w:val="20"/>
          </w:rPr>
          <w:instrText xml:space="preserve"> PAGEREF _Toc461206366 \h </w:instrText>
        </w:r>
        <w:r w:rsidRPr="00DB0AEE">
          <w:rPr>
            <w:rFonts w:ascii="Bookman Old Style" w:hAnsi="Bookman Old Style"/>
            <w:noProof/>
            <w:webHidden/>
            <w:sz w:val="20"/>
            <w:szCs w:val="20"/>
          </w:rPr>
        </w:r>
        <w:r w:rsidRPr="00DB0AEE">
          <w:rPr>
            <w:rFonts w:ascii="Bookman Old Style" w:hAnsi="Bookman Old Style"/>
            <w:noProof/>
            <w:webHidden/>
            <w:sz w:val="20"/>
            <w:szCs w:val="20"/>
          </w:rPr>
          <w:fldChar w:fldCharType="separate"/>
        </w:r>
        <w:r w:rsidR="00D70166">
          <w:rPr>
            <w:rFonts w:ascii="Bookman Old Style" w:hAnsi="Bookman Old Style"/>
            <w:noProof/>
            <w:webHidden/>
            <w:sz w:val="20"/>
            <w:szCs w:val="20"/>
          </w:rPr>
          <w:t>16</w:t>
        </w:r>
        <w:r w:rsidRPr="00DB0AEE">
          <w:rPr>
            <w:rFonts w:ascii="Bookman Old Style" w:hAnsi="Bookman Old Style"/>
            <w:noProof/>
            <w:webHidden/>
            <w:sz w:val="20"/>
            <w:szCs w:val="20"/>
          </w:rPr>
          <w:fldChar w:fldCharType="end"/>
        </w:r>
      </w:hyperlink>
    </w:p>
    <w:p w:rsidR="00DB0AEE" w:rsidRPr="00DB0AEE" w:rsidRDefault="006C4CCF" w:rsidP="00DB0AEE">
      <w:pPr>
        <w:pStyle w:val="35"/>
        <w:rPr>
          <w:rFonts w:ascii="Bookman Old Style" w:eastAsiaTheme="minorEastAsia" w:hAnsi="Bookman Old Style" w:cstheme="minorBidi"/>
          <w:noProof/>
          <w:sz w:val="20"/>
          <w:szCs w:val="20"/>
        </w:rPr>
      </w:pPr>
      <w:hyperlink w:anchor="_Toc461206367" w:history="1">
        <w:r w:rsidR="00DB0AEE" w:rsidRPr="00DB0AEE">
          <w:rPr>
            <w:rStyle w:val="aa"/>
            <w:rFonts w:ascii="Bookman Old Style" w:hAnsi="Bookman Old Style"/>
            <w:noProof/>
            <w:sz w:val="20"/>
            <w:szCs w:val="20"/>
          </w:rPr>
          <w:t>3.2.3. Количественные и качественные характеристики элементов Объекта оценки</w:t>
        </w:r>
        <w:r w:rsidR="00DB0AEE" w:rsidRPr="00DB0AEE">
          <w:rPr>
            <w:rFonts w:ascii="Bookman Old Style" w:hAnsi="Bookman Old Style"/>
            <w:noProof/>
            <w:webHidden/>
            <w:sz w:val="20"/>
            <w:szCs w:val="20"/>
          </w:rPr>
          <w:tab/>
        </w:r>
        <w:r w:rsidRPr="00DB0AEE">
          <w:rPr>
            <w:rFonts w:ascii="Bookman Old Style" w:hAnsi="Bookman Old Style"/>
            <w:noProof/>
            <w:webHidden/>
            <w:sz w:val="20"/>
            <w:szCs w:val="20"/>
          </w:rPr>
          <w:fldChar w:fldCharType="begin"/>
        </w:r>
        <w:r w:rsidR="00DB0AEE" w:rsidRPr="00DB0AEE">
          <w:rPr>
            <w:rFonts w:ascii="Bookman Old Style" w:hAnsi="Bookman Old Style"/>
            <w:noProof/>
            <w:webHidden/>
            <w:sz w:val="20"/>
            <w:szCs w:val="20"/>
          </w:rPr>
          <w:instrText xml:space="preserve"> PAGEREF _Toc461206367 \h </w:instrText>
        </w:r>
        <w:r w:rsidRPr="00DB0AEE">
          <w:rPr>
            <w:rFonts w:ascii="Bookman Old Style" w:hAnsi="Bookman Old Style"/>
            <w:noProof/>
            <w:webHidden/>
            <w:sz w:val="20"/>
            <w:szCs w:val="20"/>
          </w:rPr>
        </w:r>
        <w:r w:rsidRPr="00DB0AEE">
          <w:rPr>
            <w:rFonts w:ascii="Bookman Old Style" w:hAnsi="Bookman Old Style"/>
            <w:noProof/>
            <w:webHidden/>
            <w:sz w:val="20"/>
            <w:szCs w:val="20"/>
          </w:rPr>
          <w:fldChar w:fldCharType="separate"/>
        </w:r>
        <w:r w:rsidR="00D70166">
          <w:rPr>
            <w:rFonts w:ascii="Bookman Old Style" w:hAnsi="Bookman Old Style"/>
            <w:noProof/>
            <w:webHidden/>
            <w:sz w:val="20"/>
            <w:szCs w:val="20"/>
          </w:rPr>
          <w:t>17</w:t>
        </w:r>
        <w:r w:rsidRPr="00DB0AEE">
          <w:rPr>
            <w:rFonts w:ascii="Bookman Old Style" w:hAnsi="Bookman Old Style"/>
            <w:noProof/>
            <w:webHidden/>
            <w:sz w:val="20"/>
            <w:szCs w:val="20"/>
          </w:rPr>
          <w:fldChar w:fldCharType="end"/>
        </w:r>
      </w:hyperlink>
    </w:p>
    <w:p w:rsidR="00DB0AEE" w:rsidRPr="00DB0AEE" w:rsidRDefault="006C4CCF" w:rsidP="00DB0AEE">
      <w:pPr>
        <w:pStyle w:val="35"/>
        <w:rPr>
          <w:rFonts w:ascii="Bookman Old Style" w:eastAsiaTheme="minorEastAsia" w:hAnsi="Bookman Old Style" w:cstheme="minorBidi"/>
          <w:noProof/>
          <w:sz w:val="20"/>
          <w:szCs w:val="20"/>
        </w:rPr>
      </w:pPr>
      <w:hyperlink w:anchor="_Toc461206368" w:history="1">
        <w:r w:rsidR="00DB0AEE" w:rsidRPr="00DB0AEE">
          <w:rPr>
            <w:rStyle w:val="aa"/>
            <w:rFonts w:ascii="Bookman Old Style" w:hAnsi="Bookman Old Style"/>
            <w:noProof/>
            <w:sz w:val="20"/>
            <w:szCs w:val="20"/>
          </w:rPr>
          <w:t>3.2.3.1. Количественные и качественные характеристики недвижимого имущества</w:t>
        </w:r>
        <w:r w:rsidR="00DB0AEE" w:rsidRPr="00DB0AEE">
          <w:rPr>
            <w:rFonts w:ascii="Bookman Old Style" w:hAnsi="Bookman Old Style"/>
            <w:noProof/>
            <w:webHidden/>
            <w:sz w:val="20"/>
            <w:szCs w:val="20"/>
          </w:rPr>
          <w:tab/>
        </w:r>
        <w:r w:rsidRPr="00DB0AEE">
          <w:rPr>
            <w:rFonts w:ascii="Bookman Old Style" w:hAnsi="Bookman Old Style"/>
            <w:noProof/>
            <w:webHidden/>
            <w:sz w:val="20"/>
            <w:szCs w:val="20"/>
          </w:rPr>
          <w:fldChar w:fldCharType="begin"/>
        </w:r>
        <w:r w:rsidR="00DB0AEE" w:rsidRPr="00DB0AEE">
          <w:rPr>
            <w:rFonts w:ascii="Bookman Old Style" w:hAnsi="Bookman Old Style"/>
            <w:noProof/>
            <w:webHidden/>
            <w:sz w:val="20"/>
            <w:szCs w:val="20"/>
          </w:rPr>
          <w:instrText xml:space="preserve"> PAGEREF _Toc461206368 \h </w:instrText>
        </w:r>
        <w:r w:rsidRPr="00DB0AEE">
          <w:rPr>
            <w:rFonts w:ascii="Bookman Old Style" w:hAnsi="Bookman Old Style"/>
            <w:noProof/>
            <w:webHidden/>
            <w:sz w:val="20"/>
            <w:szCs w:val="20"/>
          </w:rPr>
        </w:r>
        <w:r w:rsidRPr="00DB0AEE">
          <w:rPr>
            <w:rFonts w:ascii="Bookman Old Style" w:hAnsi="Bookman Old Style"/>
            <w:noProof/>
            <w:webHidden/>
            <w:sz w:val="20"/>
            <w:szCs w:val="20"/>
          </w:rPr>
          <w:fldChar w:fldCharType="separate"/>
        </w:r>
        <w:r w:rsidR="00D70166">
          <w:rPr>
            <w:rFonts w:ascii="Bookman Old Style" w:hAnsi="Bookman Old Style"/>
            <w:noProof/>
            <w:webHidden/>
            <w:sz w:val="20"/>
            <w:szCs w:val="20"/>
          </w:rPr>
          <w:t>17</w:t>
        </w:r>
        <w:r w:rsidRPr="00DB0AEE">
          <w:rPr>
            <w:rFonts w:ascii="Bookman Old Style" w:hAnsi="Bookman Old Style"/>
            <w:noProof/>
            <w:webHidden/>
            <w:sz w:val="20"/>
            <w:szCs w:val="20"/>
          </w:rPr>
          <w:fldChar w:fldCharType="end"/>
        </w:r>
      </w:hyperlink>
    </w:p>
    <w:p w:rsidR="00DB0AEE" w:rsidRPr="00DB0AEE" w:rsidRDefault="006C4CCF" w:rsidP="00DB0AEE">
      <w:pPr>
        <w:pStyle w:val="35"/>
        <w:rPr>
          <w:rFonts w:ascii="Bookman Old Style" w:eastAsiaTheme="minorEastAsia" w:hAnsi="Bookman Old Style" w:cstheme="minorBidi"/>
          <w:noProof/>
          <w:sz w:val="20"/>
          <w:szCs w:val="20"/>
        </w:rPr>
      </w:pPr>
      <w:hyperlink w:anchor="_Toc461206369" w:history="1">
        <w:r w:rsidR="00DB0AEE" w:rsidRPr="00DB0AEE">
          <w:rPr>
            <w:rStyle w:val="aa"/>
            <w:rFonts w:ascii="Bookman Old Style" w:hAnsi="Bookman Old Style"/>
            <w:noProof/>
            <w:sz w:val="20"/>
            <w:szCs w:val="20"/>
          </w:rPr>
          <w:t>3.2.3.2. Количественные и качественные характеристики движимого имущества</w:t>
        </w:r>
        <w:r w:rsidR="00DB0AEE" w:rsidRPr="00DB0AEE">
          <w:rPr>
            <w:rFonts w:ascii="Bookman Old Style" w:hAnsi="Bookman Old Style"/>
            <w:noProof/>
            <w:webHidden/>
            <w:sz w:val="20"/>
            <w:szCs w:val="20"/>
          </w:rPr>
          <w:tab/>
        </w:r>
        <w:r w:rsidRPr="00DB0AEE">
          <w:rPr>
            <w:rFonts w:ascii="Bookman Old Style" w:hAnsi="Bookman Old Style"/>
            <w:noProof/>
            <w:webHidden/>
            <w:sz w:val="20"/>
            <w:szCs w:val="20"/>
          </w:rPr>
          <w:fldChar w:fldCharType="begin"/>
        </w:r>
        <w:r w:rsidR="00DB0AEE" w:rsidRPr="00DB0AEE">
          <w:rPr>
            <w:rFonts w:ascii="Bookman Old Style" w:hAnsi="Bookman Old Style"/>
            <w:noProof/>
            <w:webHidden/>
            <w:sz w:val="20"/>
            <w:szCs w:val="20"/>
          </w:rPr>
          <w:instrText xml:space="preserve"> PAGEREF _Toc461206369 \h </w:instrText>
        </w:r>
        <w:r w:rsidRPr="00DB0AEE">
          <w:rPr>
            <w:rFonts w:ascii="Bookman Old Style" w:hAnsi="Bookman Old Style"/>
            <w:noProof/>
            <w:webHidden/>
            <w:sz w:val="20"/>
            <w:szCs w:val="20"/>
          </w:rPr>
        </w:r>
        <w:r w:rsidRPr="00DB0AEE">
          <w:rPr>
            <w:rFonts w:ascii="Bookman Old Style" w:hAnsi="Bookman Old Style"/>
            <w:noProof/>
            <w:webHidden/>
            <w:sz w:val="20"/>
            <w:szCs w:val="20"/>
          </w:rPr>
          <w:fldChar w:fldCharType="separate"/>
        </w:r>
        <w:r w:rsidR="00D70166">
          <w:rPr>
            <w:rFonts w:ascii="Bookman Old Style" w:hAnsi="Bookman Old Style"/>
            <w:noProof/>
            <w:webHidden/>
            <w:sz w:val="20"/>
            <w:szCs w:val="20"/>
          </w:rPr>
          <w:t>23</w:t>
        </w:r>
        <w:r w:rsidRPr="00DB0AEE">
          <w:rPr>
            <w:rFonts w:ascii="Bookman Old Style" w:hAnsi="Bookman Old Style"/>
            <w:noProof/>
            <w:webHidden/>
            <w:sz w:val="20"/>
            <w:szCs w:val="20"/>
          </w:rPr>
          <w:fldChar w:fldCharType="end"/>
        </w:r>
      </w:hyperlink>
    </w:p>
    <w:p w:rsidR="00DB0AEE" w:rsidRPr="00DB0AEE" w:rsidRDefault="006C4CCF" w:rsidP="00DB0AEE">
      <w:pPr>
        <w:pStyle w:val="11"/>
        <w:tabs>
          <w:tab w:val="clear" w:pos="10490"/>
          <w:tab w:val="right" w:leader="dot" w:pos="10206"/>
        </w:tabs>
        <w:spacing w:beforeLines="0" w:afterLines="0"/>
        <w:rPr>
          <w:rFonts w:eastAsiaTheme="minorEastAsia" w:cstheme="minorBidi"/>
        </w:rPr>
      </w:pPr>
      <w:hyperlink w:anchor="_Toc461206370" w:history="1">
        <w:r w:rsidR="00DB0AEE" w:rsidRPr="00DB0AEE">
          <w:rPr>
            <w:rStyle w:val="aa"/>
          </w:rPr>
          <w:t>4. АНАЛИЗ РЫНКА ОБЪЕКТА ОЦЕНКИ</w:t>
        </w:r>
        <w:r w:rsidR="00DB0AEE" w:rsidRPr="00DB0AEE">
          <w:rPr>
            <w:webHidden/>
          </w:rPr>
          <w:tab/>
        </w:r>
        <w:r w:rsidRPr="00DB0AEE">
          <w:rPr>
            <w:webHidden/>
          </w:rPr>
          <w:fldChar w:fldCharType="begin"/>
        </w:r>
        <w:r w:rsidR="00DB0AEE" w:rsidRPr="00DB0AEE">
          <w:rPr>
            <w:webHidden/>
          </w:rPr>
          <w:instrText xml:space="preserve"> PAGEREF _Toc461206370 \h </w:instrText>
        </w:r>
        <w:r w:rsidRPr="00DB0AEE">
          <w:rPr>
            <w:webHidden/>
          </w:rPr>
        </w:r>
        <w:r w:rsidRPr="00DB0AEE">
          <w:rPr>
            <w:webHidden/>
          </w:rPr>
          <w:fldChar w:fldCharType="separate"/>
        </w:r>
        <w:r w:rsidR="00D70166">
          <w:rPr>
            <w:webHidden/>
          </w:rPr>
          <w:t>26</w:t>
        </w:r>
        <w:r w:rsidRPr="00DB0AEE">
          <w:rPr>
            <w:webHidden/>
          </w:rPr>
          <w:fldChar w:fldCharType="end"/>
        </w:r>
      </w:hyperlink>
    </w:p>
    <w:p w:rsidR="00DB0AEE" w:rsidRPr="00DB0AEE" w:rsidRDefault="006C4CCF" w:rsidP="00DB0AEE">
      <w:pPr>
        <w:pStyle w:val="28"/>
        <w:tabs>
          <w:tab w:val="clear" w:pos="10479"/>
          <w:tab w:val="right" w:leader="dot" w:pos="10206"/>
        </w:tabs>
        <w:spacing w:before="80" w:after="80"/>
        <w:ind w:left="0"/>
        <w:rPr>
          <w:rFonts w:eastAsiaTheme="minorEastAsia" w:cstheme="minorBidi"/>
        </w:rPr>
      </w:pPr>
      <w:hyperlink w:anchor="_Toc461206371" w:history="1">
        <w:r w:rsidR="00DB0AEE" w:rsidRPr="00DB0AEE">
          <w:rPr>
            <w:rStyle w:val="aa"/>
          </w:rPr>
          <w:t>4.1. ИСТОЧНИКИ ИНФОРМАЦИИ, ИСПОЛЬЗУЕМЫЕ ПРИ АНАЛИЗЕ</w:t>
        </w:r>
        <w:r w:rsidR="00DB0AEE" w:rsidRPr="00DB0AEE">
          <w:rPr>
            <w:webHidden/>
          </w:rPr>
          <w:tab/>
        </w:r>
        <w:r w:rsidRPr="00DB0AEE">
          <w:rPr>
            <w:webHidden/>
          </w:rPr>
          <w:fldChar w:fldCharType="begin"/>
        </w:r>
        <w:r w:rsidR="00DB0AEE" w:rsidRPr="00DB0AEE">
          <w:rPr>
            <w:webHidden/>
          </w:rPr>
          <w:instrText xml:space="preserve"> PAGEREF _Toc461206371 \h </w:instrText>
        </w:r>
        <w:r w:rsidRPr="00DB0AEE">
          <w:rPr>
            <w:webHidden/>
          </w:rPr>
        </w:r>
        <w:r w:rsidRPr="00DB0AEE">
          <w:rPr>
            <w:webHidden/>
          </w:rPr>
          <w:fldChar w:fldCharType="separate"/>
        </w:r>
        <w:r w:rsidR="00D70166">
          <w:rPr>
            <w:webHidden/>
          </w:rPr>
          <w:t>26</w:t>
        </w:r>
        <w:r w:rsidRPr="00DB0AEE">
          <w:rPr>
            <w:webHidden/>
          </w:rPr>
          <w:fldChar w:fldCharType="end"/>
        </w:r>
      </w:hyperlink>
    </w:p>
    <w:p w:rsidR="00DB0AEE" w:rsidRPr="00DB0AEE" w:rsidRDefault="006C4CCF" w:rsidP="00DB0AEE">
      <w:pPr>
        <w:pStyle w:val="28"/>
        <w:tabs>
          <w:tab w:val="clear" w:pos="10479"/>
          <w:tab w:val="right" w:leader="dot" w:pos="10206"/>
        </w:tabs>
        <w:spacing w:before="80" w:after="80"/>
        <w:ind w:left="0"/>
        <w:rPr>
          <w:rFonts w:eastAsiaTheme="minorEastAsia" w:cstheme="minorBidi"/>
        </w:rPr>
      </w:pPr>
      <w:hyperlink w:anchor="_Toc461206372" w:history="1">
        <w:r w:rsidR="00DB0AEE" w:rsidRPr="00DB0AEE">
          <w:rPr>
            <w:rStyle w:val="aa"/>
          </w:rPr>
          <w:t>4.2. АНАЛИЗ ВЛИЯНИЯ ОБЩЕЙ ПОЛИТИЧЕСКОЙ И СОЦИАЛЬНО-ЭКОНОМИЧЕСКОЙ ОБСТАНОВКИ</w:t>
        </w:r>
        <w:r w:rsidR="00DB0AEE" w:rsidRPr="00DB0AEE">
          <w:rPr>
            <w:webHidden/>
          </w:rPr>
          <w:tab/>
        </w:r>
        <w:r w:rsidRPr="00DB0AEE">
          <w:rPr>
            <w:webHidden/>
          </w:rPr>
          <w:fldChar w:fldCharType="begin"/>
        </w:r>
        <w:r w:rsidR="00DB0AEE" w:rsidRPr="00DB0AEE">
          <w:rPr>
            <w:webHidden/>
          </w:rPr>
          <w:instrText xml:space="preserve"> PAGEREF _Toc461206372 \h </w:instrText>
        </w:r>
        <w:r w:rsidRPr="00DB0AEE">
          <w:rPr>
            <w:webHidden/>
          </w:rPr>
        </w:r>
        <w:r w:rsidRPr="00DB0AEE">
          <w:rPr>
            <w:webHidden/>
          </w:rPr>
          <w:fldChar w:fldCharType="separate"/>
        </w:r>
        <w:r w:rsidR="00D70166">
          <w:rPr>
            <w:webHidden/>
          </w:rPr>
          <w:t>27</w:t>
        </w:r>
        <w:r w:rsidRPr="00DB0AEE">
          <w:rPr>
            <w:webHidden/>
          </w:rPr>
          <w:fldChar w:fldCharType="end"/>
        </w:r>
      </w:hyperlink>
    </w:p>
    <w:p w:rsidR="00DB0AEE" w:rsidRPr="00DB0AEE" w:rsidRDefault="006C4CCF" w:rsidP="00DB0AEE">
      <w:pPr>
        <w:pStyle w:val="35"/>
        <w:rPr>
          <w:rFonts w:ascii="Bookman Old Style" w:eastAsiaTheme="minorEastAsia" w:hAnsi="Bookman Old Style" w:cstheme="minorBidi"/>
          <w:noProof/>
          <w:sz w:val="20"/>
          <w:szCs w:val="20"/>
        </w:rPr>
      </w:pPr>
      <w:hyperlink w:anchor="_Toc461206373" w:history="1">
        <w:r w:rsidR="00DB0AEE" w:rsidRPr="00DB0AEE">
          <w:rPr>
            <w:rStyle w:val="aa"/>
            <w:rFonts w:ascii="Bookman Old Style" w:hAnsi="Bookman Old Style"/>
            <w:noProof/>
            <w:sz w:val="20"/>
            <w:szCs w:val="20"/>
          </w:rPr>
          <w:t>4.2.1. Анализ влияния общей политической и социально-экономической обстановки в России</w:t>
        </w:r>
        <w:r w:rsidR="00DB0AEE" w:rsidRPr="00DB0AEE">
          <w:rPr>
            <w:rFonts w:ascii="Bookman Old Style" w:hAnsi="Bookman Old Style"/>
            <w:noProof/>
            <w:webHidden/>
            <w:sz w:val="20"/>
            <w:szCs w:val="20"/>
          </w:rPr>
          <w:tab/>
        </w:r>
        <w:r w:rsidRPr="00DB0AEE">
          <w:rPr>
            <w:rFonts w:ascii="Bookman Old Style" w:hAnsi="Bookman Old Style"/>
            <w:noProof/>
            <w:webHidden/>
            <w:sz w:val="20"/>
            <w:szCs w:val="20"/>
          </w:rPr>
          <w:fldChar w:fldCharType="begin"/>
        </w:r>
        <w:r w:rsidR="00DB0AEE" w:rsidRPr="00DB0AEE">
          <w:rPr>
            <w:rFonts w:ascii="Bookman Old Style" w:hAnsi="Bookman Old Style"/>
            <w:noProof/>
            <w:webHidden/>
            <w:sz w:val="20"/>
            <w:szCs w:val="20"/>
          </w:rPr>
          <w:instrText xml:space="preserve"> PAGEREF _Toc461206373 \h </w:instrText>
        </w:r>
        <w:r w:rsidRPr="00DB0AEE">
          <w:rPr>
            <w:rFonts w:ascii="Bookman Old Style" w:hAnsi="Bookman Old Style"/>
            <w:noProof/>
            <w:webHidden/>
            <w:sz w:val="20"/>
            <w:szCs w:val="20"/>
          </w:rPr>
        </w:r>
        <w:r w:rsidRPr="00DB0AEE">
          <w:rPr>
            <w:rFonts w:ascii="Bookman Old Style" w:hAnsi="Bookman Old Style"/>
            <w:noProof/>
            <w:webHidden/>
            <w:sz w:val="20"/>
            <w:szCs w:val="20"/>
          </w:rPr>
          <w:fldChar w:fldCharType="separate"/>
        </w:r>
        <w:r w:rsidR="00D70166">
          <w:rPr>
            <w:rFonts w:ascii="Bookman Old Style" w:hAnsi="Bookman Old Style"/>
            <w:noProof/>
            <w:webHidden/>
            <w:sz w:val="20"/>
            <w:szCs w:val="20"/>
          </w:rPr>
          <w:t>27</w:t>
        </w:r>
        <w:r w:rsidRPr="00DB0AEE">
          <w:rPr>
            <w:rFonts w:ascii="Bookman Old Style" w:hAnsi="Bookman Old Style"/>
            <w:noProof/>
            <w:webHidden/>
            <w:sz w:val="20"/>
            <w:szCs w:val="20"/>
          </w:rPr>
          <w:fldChar w:fldCharType="end"/>
        </w:r>
      </w:hyperlink>
    </w:p>
    <w:p w:rsidR="00DB0AEE" w:rsidRPr="00DB0AEE" w:rsidRDefault="006C4CCF" w:rsidP="00DB0AEE">
      <w:pPr>
        <w:pStyle w:val="35"/>
        <w:rPr>
          <w:rFonts w:ascii="Bookman Old Style" w:eastAsiaTheme="minorEastAsia" w:hAnsi="Bookman Old Style" w:cstheme="minorBidi"/>
          <w:noProof/>
          <w:sz w:val="20"/>
          <w:szCs w:val="20"/>
        </w:rPr>
      </w:pPr>
      <w:hyperlink w:anchor="_Toc461206374" w:history="1">
        <w:r w:rsidR="00DB0AEE" w:rsidRPr="00DB0AEE">
          <w:rPr>
            <w:rStyle w:val="aa"/>
            <w:rFonts w:ascii="Bookman Old Style" w:hAnsi="Bookman Old Style"/>
            <w:noProof/>
            <w:sz w:val="20"/>
            <w:szCs w:val="20"/>
          </w:rPr>
          <w:t>4.2.2. Анализ влияния общей политической и социально-экономической обстановки в Красноярском крае</w:t>
        </w:r>
        <w:r w:rsidR="00DB0AEE" w:rsidRPr="00DB0AEE">
          <w:rPr>
            <w:rFonts w:ascii="Bookman Old Style" w:hAnsi="Bookman Old Style"/>
            <w:noProof/>
            <w:webHidden/>
            <w:sz w:val="20"/>
            <w:szCs w:val="20"/>
          </w:rPr>
          <w:tab/>
        </w:r>
        <w:r w:rsidRPr="00DB0AEE">
          <w:rPr>
            <w:rFonts w:ascii="Bookman Old Style" w:hAnsi="Bookman Old Style"/>
            <w:noProof/>
            <w:webHidden/>
            <w:sz w:val="20"/>
            <w:szCs w:val="20"/>
          </w:rPr>
          <w:fldChar w:fldCharType="begin"/>
        </w:r>
        <w:r w:rsidR="00DB0AEE" w:rsidRPr="00DB0AEE">
          <w:rPr>
            <w:rFonts w:ascii="Bookman Old Style" w:hAnsi="Bookman Old Style"/>
            <w:noProof/>
            <w:webHidden/>
            <w:sz w:val="20"/>
            <w:szCs w:val="20"/>
          </w:rPr>
          <w:instrText xml:space="preserve"> PAGEREF _Toc461206374 \h </w:instrText>
        </w:r>
        <w:r w:rsidRPr="00DB0AEE">
          <w:rPr>
            <w:rFonts w:ascii="Bookman Old Style" w:hAnsi="Bookman Old Style"/>
            <w:noProof/>
            <w:webHidden/>
            <w:sz w:val="20"/>
            <w:szCs w:val="20"/>
          </w:rPr>
        </w:r>
        <w:r w:rsidRPr="00DB0AEE">
          <w:rPr>
            <w:rFonts w:ascii="Bookman Old Style" w:hAnsi="Bookman Old Style"/>
            <w:noProof/>
            <w:webHidden/>
            <w:sz w:val="20"/>
            <w:szCs w:val="20"/>
          </w:rPr>
          <w:fldChar w:fldCharType="separate"/>
        </w:r>
        <w:r w:rsidR="00D70166">
          <w:rPr>
            <w:rFonts w:ascii="Bookman Old Style" w:hAnsi="Bookman Old Style"/>
            <w:noProof/>
            <w:webHidden/>
            <w:sz w:val="20"/>
            <w:szCs w:val="20"/>
          </w:rPr>
          <w:t>29</w:t>
        </w:r>
        <w:r w:rsidRPr="00DB0AEE">
          <w:rPr>
            <w:rFonts w:ascii="Bookman Old Style" w:hAnsi="Bookman Old Style"/>
            <w:noProof/>
            <w:webHidden/>
            <w:sz w:val="20"/>
            <w:szCs w:val="20"/>
          </w:rPr>
          <w:fldChar w:fldCharType="end"/>
        </w:r>
      </w:hyperlink>
    </w:p>
    <w:p w:rsidR="00DB0AEE" w:rsidRPr="00DB0AEE" w:rsidRDefault="006C4CCF" w:rsidP="00DB0AEE">
      <w:pPr>
        <w:pStyle w:val="35"/>
        <w:rPr>
          <w:rFonts w:ascii="Bookman Old Style" w:eastAsiaTheme="minorEastAsia" w:hAnsi="Bookman Old Style" w:cstheme="minorBidi"/>
          <w:noProof/>
          <w:sz w:val="20"/>
          <w:szCs w:val="20"/>
        </w:rPr>
      </w:pPr>
      <w:hyperlink w:anchor="_Toc461206375" w:history="1">
        <w:r w:rsidR="00DB0AEE" w:rsidRPr="00DB0AEE">
          <w:rPr>
            <w:rStyle w:val="aa"/>
            <w:rFonts w:ascii="Bookman Old Style" w:hAnsi="Bookman Old Style"/>
            <w:noProof/>
            <w:sz w:val="20"/>
            <w:szCs w:val="20"/>
          </w:rPr>
          <w:t>Июнь</w:t>
        </w:r>
        <w:r w:rsidR="00DB0AEE" w:rsidRPr="00DB0AEE">
          <w:rPr>
            <w:rFonts w:ascii="Bookman Old Style" w:hAnsi="Bookman Old Style"/>
            <w:noProof/>
            <w:webHidden/>
            <w:sz w:val="20"/>
            <w:szCs w:val="20"/>
          </w:rPr>
          <w:tab/>
        </w:r>
        <w:r w:rsidRPr="00DB0AEE">
          <w:rPr>
            <w:rFonts w:ascii="Bookman Old Style" w:hAnsi="Bookman Old Style"/>
            <w:noProof/>
            <w:webHidden/>
            <w:sz w:val="20"/>
            <w:szCs w:val="20"/>
          </w:rPr>
          <w:fldChar w:fldCharType="begin"/>
        </w:r>
        <w:r w:rsidR="00DB0AEE" w:rsidRPr="00DB0AEE">
          <w:rPr>
            <w:rFonts w:ascii="Bookman Old Style" w:hAnsi="Bookman Old Style"/>
            <w:noProof/>
            <w:webHidden/>
            <w:sz w:val="20"/>
            <w:szCs w:val="20"/>
          </w:rPr>
          <w:instrText xml:space="preserve"> PAGEREF _Toc461206375 \h </w:instrText>
        </w:r>
        <w:r w:rsidRPr="00DB0AEE">
          <w:rPr>
            <w:rFonts w:ascii="Bookman Old Style" w:hAnsi="Bookman Old Style"/>
            <w:noProof/>
            <w:webHidden/>
            <w:sz w:val="20"/>
            <w:szCs w:val="20"/>
          </w:rPr>
        </w:r>
        <w:r w:rsidRPr="00DB0AEE">
          <w:rPr>
            <w:rFonts w:ascii="Bookman Old Style" w:hAnsi="Bookman Old Style"/>
            <w:noProof/>
            <w:webHidden/>
            <w:sz w:val="20"/>
            <w:szCs w:val="20"/>
          </w:rPr>
          <w:fldChar w:fldCharType="separate"/>
        </w:r>
        <w:r w:rsidR="00D70166">
          <w:rPr>
            <w:rFonts w:ascii="Bookman Old Style" w:hAnsi="Bookman Old Style"/>
            <w:noProof/>
            <w:webHidden/>
            <w:sz w:val="20"/>
            <w:szCs w:val="20"/>
          </w:rPr>
          <w:t>29</w:t>
        </w:r>
        <w:r w:rsidRPr="00DB0AEE">
          <w:rPr>
            <w:rFonts w:ascii="Bookman Old Style" w:hAnsi="Bookman Old Style"/>
            <w:noProof/>
            <w:webHidden/>
            <w:sz w:val="20"/>
            <w:szCs w:val="20"/>
          </w:rPr>
          <w:fldChar w:fldCharType="end"/>
        </w:r>
      </w:hyperlink>
    </w:p>
    <w:p w:rsidR="00DB0AEE" w:rsidRPr="00DB0AEE" w:rsidRDefault="006C4CCF" w:rsidP="00DB0AEE">
      <w:pPr>
        <w:pStyle w:val="35"/>
        <w:rPr>
          <w:rFonts w:ascii="Bookman Old Style" w:eastAsiaTheme="minorEastAsia" w:hAnsi="Bookman Old Style" w:cstheme="minorBidi"/>
          <w:noProof/>
          <w:sz w:val="20"/>
          <w:szCs w:val="20"/>
        </w:rPr>
      </w:pPr>
      <w:hyperlink w:anchor="_Toc461206376" w:history="1">
        <w:r w:rsidR="00DB0AEE" w:rsidRPr="00DB0AEE">
          <w:rPr>
            <w:rStyle w:val="aa"/>
            <w:rFonts w:ascii="Bookman Old Style" w:hAnsi="Bookman Old Style"/>
            <w:noProof/>
            <w:sz w:val="20"/>
            <w:szCs w:val="20"/>
          </w:rPr>
          <w:t>4.2.3. Выводы</w:t>
        </w:r>
        <w:r w:rsidR="00DB0AEE" w:rsidRPr="00DB0AEE">
          <w:rPr>
            <w:rFonts w:ascii="Bookman Old Style" w:hAnsi="Bookman Old Style"/>
            <w:noProof/>
            <w:webHidden/>
            <w:sz w:val="20"/>
            <w:szCs w:val="20"/>
          </w:rPr>
          <w:tab/>
        </w:r>
        <w:r w:rsidRPr="00DB0AEE">
          <w:rPr>
            <w:rFonts w:ascii="Bookman Old Style" w:hAnsi="Bookman Old Style"/>
            <w:noProof/>
            <w:webHidden/>
            <w:sz w:val="20"/>
            <w:szCs w:val="20"/>
          </w:rPr>
          <w:fldChar w:fldCharType="begin"/>
        </w:r>
        <w:r w:rsidR="00DB0AEE" w:rsidRPr="00DB0AEE">
          <w:rPr>
            <w:rFonts w:ascii="Bookman Old Style" w:hAnsi="Bookman Old Style"/>
            <w:noProof/>
            <w:webHidden/>
            <w:sz w:val="20"/>
            <w:szCs w:val="20"/>
          </w:rPr>
          <w:instrText xml:space="preserve"> PAGEREF _Toc461206376 \h </w:instrText>
        </w:r>
        <w:r w:rsidRPr="00DB0AEE">
          <w:rPr>
            <w:rFonts w:ascii="Bookman Old Style" w:hAnsi="Bookman Old Style"/>
            <w:noProof/>
            <w:webHidden/>
            <w:sz w:val="20"/>
            <w:szCs w:val="20"/>
          </w:rPr>
        </w:r>
        <w:r w:rsidRPr="00DB0AEE">
          <w:rPr>
            <w:rFonts w:ascii="Bookman Old Style" w:hAnsi="Bookman Old Style"/>
            <w:noProof/>
            <w:webHidden/>
            <w:sz w:val="20"/>
            <w:szCs w:val="20"/>
          </w:rPr>
          <w:fldChar w:fldCharType="separate"/>
        </w:r>
        <w:r w:rsidR="00D70166">
          <w:rPr>
            <w:rFonts w:ascii="Bookman Old Style" w:hAnsi="Bookman Old Style"/>
            <w:noProof/>
            <w:webHidden/>
            <w:sz w:val="20"/>
            <w:szCs w:val="20"/>
          </w:rPr>
          <w:t>30</w:t>
        </w:r>
        <w:r w:rsidRPr="00DB0AEE">
          <w:rPr>
            <w:rFonts w:ascii="Bookman Old Style" w:hAnsi="Bookman Old Style"/>
            <w:noProof/>
            <w:webHidden/>
            <w:sz w:val="20"/>
            <w:szCs w:val="20"/>
          </w:rPr>
          <w:fldChar w:fldCharType="end"/>
        </w:r>
      </w:hyperlink>
    </w:p>
    <w:p w:rsidR="00DB0AEE" w:rsidRPr="00DB0AEE" w:rsidRDefault="006C4CCF" w:rsidP="00DB0AEE">
      <w:pPr>
        <w:pStyle w:val="28"/>
        <w:tabs>
          <w:tab w:val="clear" w:pos="10479"/>
          <w:tab w:val="right" w:leader="dot" w:pos="10206"/>
        </w:tabs>
        <w:spacing w:before="80" w:after="80"/>
        <w:ind w:left="0"/>
        <w:rPr>
          <w:rFonts w:eastAsiaTheme="minorEastAsia" w:cstheme="minorBidi"/>
        </w:rPr>
      </w:pPr>
      <w:hyperlink w:anchor="_Toc461206377" w:history="1">
        <w:r w:rsidR="00DB0AEE" w:rsidRPr="00DB0AEE">
          <w:rPr>
            <w:rStyle w:val="aa"/>
          </w:rPr>
          <w:t>4.3. ОПРЕДЕЛЕНИЕ СЕГМЕНТА РЫНКА</w:t>
        </w:r>
        <w:r w:rsidR="00DB0AEE" w:rsidRPr="00DB0AEE">
          <w:rPr>
            <w:webHidden/>
          </w:rPr>
          <w:tab/>
        </w:r>
        <w:r w:rsidRPr="00DB0AEE">
          <w:rPr>
            <w:webHidden/>
          </w:rPr>
          <w:fldChar w:fldCharType="begin"/>
        </w:r>
        <w:r w:rsidR="00DB0AEE" w:rsidRPr="00DB0AEE">
          <w:rPr>
            <w:webHidden/>
          </w:rPr>
          <w:instrText xml:space="preserve"> PAGEREF _Toc461206377 \h </w:instrText>
        </w:r>
        <w:r w:rsidRPr="00DB0AEE">
          <w:rPr>
            <w:webHidden/>
          </w:rPr>
        </w:r>
        <w:r w:rsidRPr="00DB0AEE">
          <w:rPr>
            <w:webHidden/>
          </w:rPr>
          <w:fldChar w:fldCharType="separate"/>
        </w:r>
        <w:r w:rsidR="00D70166">
          <w:rPr>
            <w:webHidden/>
          </w:rPr>
          <w:t>31</w:t>
        </w:r>
        <w:r w:rsidRPr="00DB0AEE">
          <w:rPr>
            <w:webHidden/>
          </w:rPr>
          <w:fldChar w:fldCharType="end"/>
        </w:r>
      </w:hyperlink>
    </w:p>
    <w:p w:rsidR="00DB0AEE" w:rsidRPr="00DB0AEE" w:rsidRDefault="006C4CCF" w:rsidP="00DB0AEE">
      <w:pPr>
        <w:pStyle w:val="28"/>
        <w:tabs>
          <w:tab w:val="clear" w:pos="10479"/>
          <w:tab w:val="right" w:leader="dot" w:pos="10206"/>
        </w:tabs>
        <w:spacing w:before="80" w:after="80"/>
        <w:ind w:left="0"/>
        <w:rPr>
          <w:rFonts w:eastAsiaTheme="minorEastAsia" w:cstheme="minorBidi"/>
        </w:rPr>
      </w:pPr>
      <w:hyperlink w:anchor="_Toc461206378" w:history="1">
        <w:r w:rsidR="00DB0AEE" w:rsidRPr="00DB0AEE">
          <w:rPr>
            <w:rStyle w:val="aa"/>
          </w:rPr>
          <w:t>4.4. АНАЛИЗ ФАКТИЧЕСКИХ ДАННЫХ О ЦЕНАХ СДЕЛОК И ПРЕДЛОЖЕНИЙ С ЭЛЕМЕНТАМИ ОБЪЕКТА ОЦЕНКИ, С УКАЗАНИЕМ ИНТЕРВАЛА ЗНАЧЕНИЙ ЦЕН КРАСНОЯРСКА</w:t>
        </w:r>
        <w:r w:rsidR="00DB0AEE" w:rsidRPr="00DB0AEE">
          <w:rPr>
            <w:webHidden/>
          </w:rPr>
          <w:tab/>
        </w:r>
        <w:r w:rsidRPr="00DB0AEE">
          <w:rPr>
            <w:webHidden/>
          </w:rPr>
          <w:fldChar w:fldCharType="begin"/>
        </w:r>
        <w:r w:rsidR="00DB0AEE" w:rsidRPr="00DB0AEE">
          <w:rPr>
            <w:webHidden/>
          </w:rPr>
          <w:instrText xml:space="preserve"> PAGEREF _Toc461206378 \h </w:instrText>
        </w:r>
        <w:r w:rsidRPr="00DB0AEE">
          <w:rPr>
            <w:webHidden/>
          </w:rPr>
        </w:r>
        <w:r w:rsidRPr="00DB0AEE">
          <w:rPr>
            <w:webHidden/>
          </w:rPr>
          <w:fldChar w:fldCharType="separate"/>
        </w:r>
        <w:r w:rsidR="00D70166">
          <w:rPr>
            <w:webHidden/>
          </w:rPr>
          <w:t>32</w:t>
        </w:r>
        <w:r w:rsidRPr="00DB0AEE">
          <w:rPr>
            <w:webHidden/>
          </w:rPr>
          <w:fldChar w:fldCharType="end"/>
        </w:r>
      </w:hyperlink>
    </w:p>
    <w:p w:rsidR="00DB0AEE" w:rsidRPr="00DB0AEE" w:rsidRDefault="006C4CCF" w:rsidP="00DB0AEE">
      <w:pPr>
        <w:pStyle w:val="35"/>
        <w:rPr>
          <w:rFonts w:ascii="Bookman Old Style" w:eastAsiaTheme="minorEastAsia" w:hAnsi="Bookman Old Style" w:cstheme="minorBidi"/>
          <w:noProof/>
          <w:sz w:val="20"/>
          <w:szCs w:val="20"/>
        </w:rPr>
      </w:pPr>
      <w:hyperlink w:anchor="_Toc461206379" w:history="1">
        <w:r w:rsidR="00DB0AEE" w:rsidRPr="00DB0AEE">
          <w:rPr>
            <w:rStyle w:val="aa"/>
            <w:rFonts w:ascii="Bookman Old Style" w:hAnsi="Bookman Old Style"/>
            <w:noProof/>
            <w:sz w:val="20"/>
            <w:szCs w:val="20"/>
          </w:rPr>
          <w:t>4.4.1. Анализ вторичного рынка коммерческой недвижимости</w:t>
        </w:r>
        <w:r w:rsidR="00DB0AEE" w:rsidRPr="00DB0AEE">
          <w:rPr>
            <w:rStyle w:val="aa"/>
            <w:rFonts w:ascii="Bookman Old Style" w:hAnsi="Bookman Old Style"/>
            <w:noProof/>
            <w:sz w:val="20"/>
            <w:szCs w:val="20"/>
            <w:vertAlign w:val="superscript"/>
          </w:rPr>
          <w:t xml:space="preserve"> </w:t>
        </w:r>
        <w:r w:rsidR="00DB0AEE" w:rsidRPr="00DB0AEE">
          <w:rPr>
            <w:rFonts w:ascii="Bookman Old Style" w:hAnsi="Bookman Old Style"/>
            <w:noProof/>
            <w:webHidden/>
            <w:sz w:val="20"/>
            <w:szCs w:val="20"/>
          </w:rPr>
          <w:tab/>
        </w:r>
        <w:r w:rsidRPr="00DB0AEE">
          <w:rPr>
            <w:rFonts w:ascii="Bookman Old Style" w:hAnsi="Bookman Old Style"/>
            <w:noProof/>
            <w:webHidden/>
            <w:sz w:val="20"/>
            <w:szCs w:val="20"/>
          </w:rPr>
          <w:fldChar w:fldCharType="begin"/>
        </w:r>
        <w:r w:rsidR="00DB0AEE" w:rsidRPr="00DB0AEE">
          <w:rPr>
            <w:rFonts w:ascii="Bookman Old Style" w:hAnsi="Bookman Old Style"/>
            <w:noProof/>
            <w:webHidden/>
            <w:sz w:val="20"/>
            <w:szCs w:val="20"/>
          </w:rPr>
          <w:instrText xml:space="preserve"> PAGEREF _Toc461206379 \h </w:instrText>
        </w:r>
        <w:r w:rsidRPr="00DB0AEE">
          <w:rPr>
            <w:rFonts w:ascii="Bookman Old Style" w:hAnsi="Bookman Old Style"/>
            <w:noProof/>
            <w:webHidden/>
            <w:sz w:val="20"/>
            <w:szCs w:val="20"/>
          </w:rPr>
        </w:r>
        <w:r w:rsidRPr="00DB0AEE">
          <w:rPr>
            <w:rFonts w:ascii="Bookman Old Style" w:hAnsi="Bookman Old Style"/>
            <w:noProof/>
            <w:webHidden/>
            <w:sz w:val="20"/>
            <w:szCs w:val="20"/>
          </w:rPr>
          <w:fldChar w:fldCharType="separate"/>
        </w:r>
        <w:r w:rsidR="00D70166">
          <w:rPr>
            <w:rFonts w:ascii="Bookman Old Style" w:hAnsi="Bookman Old Style"/>
            <w:noProof/>
            <w:webHidden/>
            <w:sz w:val="20"/>
            <w:szCs w:val="20"/>
          </w:rPr>
          <w:t>32</w:t>
        </w:r>
        <w:r w:rsidRPr="00DB0AEE">
          <w:rPr>
            <w:rFonts w:ascii="Bookman Old Style" w:hAnsi="Bookman Old Style"/>
            <w:noProof/>
            <w:webHidden/>
            <w:sz w:val="20"/>
            <w:szCs w:val="20"/>
          </w:rPr>
          <w:fldChar w:fldCharType="end"/>
        </w:r>
      </w:hyperlink>
    </w:p>
    <w:p w:rsidR="00DB0AEE" w:rsidRPr="00DB0AEE" w:rsidRDefault="006C4CCF" w:rsidP="00DB0AEE">
      <w:pPr>
        <w:pStyle w:val="35"/>
        <w:rPr>
          <w:rFonts w:ascii="Bookman Old Style" w:eastAsiaTheme="minorEastAsia" w:hAnsi="Bookman Old Style" w:cstheme="minorBidi"/>
          <w:noProof/>
          <w:sz w:val="20"/>
          <w:szCs w:val="20"/>
        </w:rPr>
      </w:pPr>
      <w:hyperlink w:anchor="_Toc461206380" w:history="1">
        <w:r w:rsidR="00DB0AEE" w:rsidRPr="00DB0AEE">
          <w:rPr>
            <w:rStyle w:val="aa"/>
            <w:rFonts w:ascii="Bookman Old Style" w:hAnsi="Bookman Old Style"/>
            <w:noProof/>
            <w:sz w:val="20"/>
            <w:szCs w:val="20"/>
          </w:rPr>
          <w:t>4.4.2. Анализ основных факторов, влияющих на спрос, предложение и цены</w:t>
        </w:r>
        <w:r w:rsidR="00DB0AEE" w:rsidRPr="00DB0AEE">
          <w:rPr>
            <w:rFonts w:ascii="Bookman Old Style" w:hAnsi="Bookman Old Style"/>
            <w:noProof/>
            <w:webHidden/>
            <w:sz w:val="20"/>
            <w:szCs w:val="20"/>
          </w:rPr>
          <w:tab/>
        </w:r>
        <w:r w:rsidRPr="00DB0AEE">
          <w:rPr>
            <w:rFonts w:ascii="Bookman Old Style" w:hAnsi="Bookman Old Style"/>
            <w:noProof/>
            <w:webHidden/>
            <w:sz w:val="20"/>
            <w:szCs w:val="20"/>
          </w:rPr>
          <w:fldChar w:fldCharType="begin"/>
        </w:r>
        <w:r w:rsidR="00DB0AEE" w:rsidRPr="00DB0AEE">
          <w:rPr>
            <w:rFonts w:ascii="Bookman Old Style" w:hAnsi="Bookman Old Style"/>
            <w:noProof/>
            <w:webHidden/>
            <w:sz w:val="20"/>
            <w:szCs w:val="20"/>
          </w:rPr>
          <w:instrText xml:space="preserve"> PAGEREF _Toc461206380 \h </w:instrText>
        </w:r>
        <w:r w:rsidRPr="00DB0AEE">
          <w:rPr>
            <w:rFonts w:ascii="Bookman Old Style" w:hAnsi="Bookman Old Style"/>
            <w:noProof/>
            <w:webHidden/>
            <w:sz w:val="20"/>
            <w:szCs w:val="20"/>
          </w:rPr>
        </w:r>
        <w:r w:rsidRPr="00DB0AEE">
          <w:rPr>
            <w:rFonts w:ascii="Bookman Old Style" w:hAnsi="Bookman Old Style"/>
            <w:noProof/>
            <w:webHidden/>
            <w:sz w:val="20"/>
            <w:szCs w:val="20"/>
          </w:rPr>
          <w:fldChar w:fldCharType="separate"/>
        </w:r>
        <w:r w:rsidR="00D70166">
          <w:rPr>
            <w:rFonts w:ascii="Bookman Old Style" w:hAnsi="Bookman Old Style"/>
            <w:noProof/>
            <w:webHidden/>
            <w:sz w:val="20"/>
            <w:szCs w:val="20"/>
          </w:rPr>
          <w:t>33</w:t>
        </w:r>
        <w:r w:rsidRPr="00DB0AEE">
          <w:rPr>
            <w:rFonts w:ascii="Bookman Old Style" w:hAnsi="Bookman Old Style"/>
            <w:noProof/>
            <w:webHidden/>
            <w:sz w:val="20"/>
            <w:szCs w:val="20"/>
          </w:rPr>
          <w:fldChar w:fldCharType="end"/>
        </w:r>
      </w:hyperlink>
    </w:p>
    <w:p w:rsidR="00DB0AEE" w:rsidRPr="00DB0AEE" w:rsidRDefault="006C4CCF" w:rsidP="00DB0AEE">
      <w:pPr>
        <w:pStyle w:val="35"/>
        <w:rPr>
          <w:rFonts w:ascii="Bookman Old Style" w:eastAsiaTheme="minorEastAsia" w:hAnsi="Bookman Old Style" w:cstheme="minorBidi"/>
          <w:noProof/>
          <w:sz w:val="20"/>
          <w:szCs w:val="20"/>
        </w:rPr>
      </w:pPr>
      <w:hyperlink w:anchor="_Toc461206381" w:history="1">
        <w:r w:rsidR="00DB0AEE" w:rsidRPr="00DB0AEE">
          <w:rPr>
            <w:rStyle w:val="aa"/>
            <w:rFonts w:ascii="Bookman Old Style" w:hAnsi="Bookman Old Style"/>
            <w:noProof/>
            <w:sz w:val="20"/>
            <w:szCs w:val="20"/>
          </w:rPr>
          <w:t>4.4.3. Рынок земельных участков. Ценообразующие факторы, использовавшиеся при определении стоимости, и обоснование значений диапазонов значений ценообразующих факторов</w:t>
        </w:r>
        <w:r w:rsidR="00DB0AEE" w:rsidRPr="00DB0AEE">
          <w:rPr>
            <w:rFonts w:ascii="Bookman Old Style" w:hAnsi="Bookman Old Style"/>
            <w:noProof/>
            <w:webHidden/>
            <w:sz w:val="20"/>
            <w:szCs w:val="20"/>
          </w:rPr>
          <w:tab/>
        </w:r>
        <w:r w:rsidRPr="00DB0AEE">
          <w:rPr>
            <w:rFonts w:ascii="Bookman Old Style" w:hAnsi="Bookman Old Style"/>
            <w:noProof/>
            <w:webHidden/>
            <w:sz w:val="20"/>
            <w:szCs w:val="20"/>
          </w:rPr>
          <w:fldChar w:fldCharType="begin"/>
        </w:r>
        <w:r w:rsidR="00DB0AEE" w:rsidRPr="00DB0AEE">
          <w:rPr>
            <w:rFonts w:ascii="Bookman Old Style" w:hAnsi="Bookman Old Style"/>
            <w:noProof/>
            <w:webHidden/>
            <w:sz w:val="20"/>
            <w:szCs w:val="20"/>
          </w:rPr>
          <w:instrText xml:space="preserve"> PAGEREF _Toc461206381 \h </w:instrText>
        </w:r>
        <w:r w:rsidRPr="00DB0AEE">
          <w:rPr>
            <w:rFonts w:ascii="Bookman Old Style" w:hAnsi="Bookman Old Style"/>
            <w:noProof/>
            <w:webHidden/>
            <w:sz w:val="20"/>
            <w:szCs w:val="20"/>
          </w:rPr>
        </w:r>
        <w:r w:rsidRPr="00DB0AEE">
          <w:rPr>
            <w:rFonts w:ascii="Bookman Old Style" w:hAnsi="Bookman Old Style"/>
            <w:noProof/>
            <w:webHidden/>
            <w:sz w:val="20"/>
            <w:szCs w:val="20"/>
          </w:rPr>
          <w:fldChar w:fldCharType="separate"/>
        </w:r>
        <w:r w:rsidR="00D70166">
          <w:rPr>
            <w:rFonts w:ascii="Bookman Old Style" w:hAnsi="Bookman Old Style"/>
            <w:noProof/>
            <w:webHidden/>
            <w:sz w:val="20"/>
            <w:szCs w:val="20"/>
          </w:rPr>
          <w:t>35</w:t>
        </w:r>
        <w:r w:rsidRPr="00DB0AEE">
          <w:rPr>
            <w:rFonts w:ascii="Bookman Old Style" w:hAnsi="Bookman Old Style"/>
            <w:noProof/>
            <w:webHidden/>
            <w:sz w:val="20"/>
            <w:szCs w:val="20"/>
          </w:rPr>
          <w:fldChar w:fldCharType="end"/>
        </w:r>
      </w:hyperlink>
    </w:p>
    <w:p w:rsidR="00DB0AEE" w:rsidRPr="00DB0AEE" w:rsidRDefault="006C4CCF" w:rsidP="00DB0AEE">
      <w:pPr>
        <w:pStyle w:val="35"/>
        <w:rPr>
          <w:rFonts w:ascii="Bookman Old Style" w:eastAsiaTheme="minorEastAsia" w:hAnsi="Bookman Old Style" w:cstheme="minorBidi"/>
          <w:noProof/>
          <w:sz w:val="20"/>
          <w:szCs w:val="20"/>
        </w:rPr>
      </w:pPr>
      <w:hyperlink w:anchor="_Toc461206382" w:history="1">
        <w:r w:rsidR="00DB0AEE" w:rsidRPr="00DB0AEE">
          <w:rPr>
            <w:rStyle w:val="aa"/>
            <w:rFonts w:ascii="Bookman Old Style" w:hAnsi="Bookman Old Style"/>
            <w:noProof/>
            <w:sz w:val="20"/>
            <w:szCs w:val="20"/>
          </w:rPr>
          <w:t>4.4.4. Рынок оборудования. Ценообразующие факторы, использовавшиеся при определении стоимости, и обоснование значений диапазонов значений ценообразующих факторов</w:t>
        </w:r>
        <w:r w:rsidR="00DB0AEE" w:rsidRPr="00DB0AEE">
          <w:rPr>
            <w:rFonts w:ascii="Bookman Old Style" w:hAnsi="Bookman Old Style"/>
            <w:noProof/>
            <w:webHidden/>
            <w:sz w:val="20"/>
            <w:szCs w:val="20"/>
          </w:rPr>
          <w:tab/>
        </w:r>
        <w:r w:rsidRPr="00DB0AEE">
          <w:rPr>
            <w:rFonts w:ascii="Bookman Old Style" w:hAnsi="Bookman Old Style"/>
            <w:noProof/>
            <w:webHidden/>
            <w:sz w:val="20"/>
            <w:szCs w:val="20"/>
          </w:rPr>
          <w:fldChar w:fldCharType="begin"/>
        </w:r>
        <w:r w:rsidR="00DB0AEE" w:rsidRPr="00DB0AEE">
          <w:rPr>
            <w:rFonts w:ascii="Bookman Old Style" w:hAnsi="Bookman Old Style"/>
            <w:noProof/>
            <w:webHidden/>
            <w:sz w:val="20"/>
            <w:szCs w:val="20"/>
          </w:rPr>
          <w:instrText xml:space="preserve"> PAGEREF _Toc461206382 \h </w:instrText>
        </w:r>
        <w:r w:rsidRPr="00DB0AEE">
          <w:rPr>
            <w:rFonts w:ascii="Bookman Old Style" w:hAnsi="Bookman Old Style"/>
            <w:noProof/>
            <w:webHidden/>
            <w:sz w:val="20"/>
            <w:szCs w:val="20"/>
          </w:rPr>
        </w:r>
        <w:r w:rsidRPr="00DB0AEE">
          <w:rPr>
            <w:rFonts w:ascii="Bookman Old Style" w:hAnsi="Bookman Old Style"/>
            <w:noProof/>
            <w:webHidden/>
            <w:sz w:val="20"/>
            <w:szCs w:val="20"/>
          </w:rPr>
          <w:fldChar w:fldCharType="separate"/>
        </w:r>
        <w:r w:rsidR="00D70166">
          <w:rPr>
            <w:rFonts w:ascii="Bookman Old Style" w:hAnsi="Bookman Old Style"/>
            <w:noProof/>
            <w:webHidden/>
            <w:sz w:val="20"/>
            <w:szCs w:val="20"/>
          </w:rPr>
          <w:t>37</w:t>
        </w:r>
        <w:r w:rsidRPr="00DB0AEE">
          <w:rPr>
            <w:rFonts w:ascii="Bookman Old Style" w:hAnsi="Bookman Old Style"/>
            <w:noProof/>
            <w:webHidden/>
            <w:sz w:val="20"/>
            <w:szCs w:val="20"/>
          </w:rPr>
          <w:fldChar w:fldCharType="end"/>
        </w:r>
      </w:hyperlink>
    </w:p>
    <w:p w:rsidR="00DB0AEE" w:rsidRPr="00DB0AEE" w:rsidRDefault="006C4CCF" w:rsidP="00DB0AEE">
      <w:pPr>
        <w:pStyle w:val="11"/>
        <w:tabs>
          <w:tab w:val="clear" w:pos="10490"/>
          <w:tab w:val="right" w:leader="dot" w:pos="10206"/>
        </w:tabs>
        <w:spacing w:beforeLines="0" w:afterLines="0"/>
        <w:rPr>
          <w:rFonts w:eastAsiaTheme="minorEastAsia" w:cstheme="minorBidi"/>
        </w:rPr>
      </w:pPr>
      <w:hyperlink w:anchor="_Toc461206383" w:history="1">
        <w:r w:rsidR="00DB0AEE" w:rsidRPr="00DB0AEE">
          <w:rPr>
            <w:rStyle w:val="aa"/>
          </w:rPr>
          <w:t>5. ОПИСАНИЕ ПРОЦЕССА ОЦЕНКИ</w:t>
        </w:r>
        <w:r w:rsidR="00DB0AEE" w:rsidRPr="00DB0AEE">
          <w:rPr>
            <w:webHidden/>
          </w:rPr>
          <w:tab/>
        </w:r>
        <w:r w:rsidRPr="00DB0AEE">
          <w:rPr>
            <w:webHidden/>
          </w:rPr>
          <w:fldChar w:fldCharType="begin"/>
        </w:r>
        <w:r w:rsidR="00DB0AEE" w:rsidRPr="00DB0AEE">
          <w:rPr>
            <w:webHidden/>
          </w:rPr>
          <w:instrText xml:space="preserve"> PAGEREF _Toc461206383 \h </w:instrText>
        </w:r>
        <w:r w:rsidRPr="00DB0AEE">
          <w:rPr>
            <w:webHidden/>
          </w:rPr>
        </w:r>
        <w:r w:rsidRPr="00DB0AEE">
          <w:rPr>
            <w:webHidden/>
          </w:rPr>
          <w:fldChar w:fldCharType="separate"/>
        </w:r>
        <w:r w:rsidR="00D70166">
          <w:rPr>
            <w:webHidden/>
          </w:rPr>
          <w:t>39</w:t>
        </w:r>
        <w:r w:rsidRPr="00DB0AEE">
          <w:rPr>
            <w:webHidden/>
          </w:rPr>
          <w:fldChar w:fldCharType="end"/>
        </w:r>
      </w:hyperlink>
    </w:p>
    <w:p w:rsidR="00DB0AEE" w:rsidRPr="00DB0AEE" w:rsidRDefault="006C4CCF" w:rsidP="00DB0AEE">
      <w:pPr>
        <w:pStyle w:val="28"/>
        <w:tabs>
          <w:tab w:val="clear" w:pos="10479"/>
          <w:tab w:val="right" w:leader="dot" w:pos="10206"/>
        </w:tabs>
        <w:spacing w:before="80" w:after="80"/>
        <w:ind w:left="0"/>
        <w:rPr>
          <w:rFonts w:eastAsiaTheme="minorEastAsia" w:cstheme="minorBidi"/>
        </w:rPr>
      </w:pPr>
      <w:hyperlink w:anchor="_Toc461206384" w:history="1">
        <w:r w:rsidR="00DB0AEE" w:rsidRPr="00DB0AEE">
          <w:rPr>
            <w:rStyle w:val="aa"/>
          </w:rPr>
          <w:t>5.1. ОБЗОР ПОДХОДОВ</w:t>
        </w:r>
        <w:r w:rsidR="00DB0AEE" w:rsidRPr="00DB0AEE">
          <w:rPr>
            <w:webHidden/>
          </w:rPr>
          <w:tab/>
        </w:r>
        <w:r w:rsidRPr="00DB0AEE">
          <w:rPr>
            <w:webHidden/>
          </w:rPr>
          <w:fldChar w:fldCharType="begin"/>
        </w:r>
        <w:r w:rsidR="00DB0AEE" w:rsidRPr="00DB0AEE">
          <w:rPr>
            <w:webHidden/>
          </w:rPr>
          <w:instrText xml:space="preserve"> PAGEREF _Toc461206384 \h </w:instrText>
        </w:r>
        <w:r w:rsidRPr="00DB0AEE">
          <w:rPr>
            <w:webHidden/>
          </w:rPr>
        </w:r>
        <w:r w:rsidRPr="00DB0AEE">
          <w:rPr>
            <w:webHidden/>
          </w:rPr>
          <w:fldChar w:fldCharType="separate"/>
        </w:r>
        <w:r w:rsidR="00D70166">
          <w:rPr>
            <w:webHidden/>
          </w:rPr>
          <w:t>39</w:t>
        </w:r>
        <w:r w:rsidRPr="00DB0AEE">
          <w:rPr>
            <w:webHidden/>
          </w:rPr>
          <w:fldChar w:fldCharType="end"/>
        </w:r>
      </w:hyperlink>
    </w:p>
    <w:p w:rsidR="00DB0AEE" w:rsidRPr="00DB0AEE" w:rsidRDefault="006C4CCF" w:rsidP="00DB0AEE">
      <w:pPr>
        <w:pStyle w:val="35"/>
        <w:rPr>
          <w:rFonts w:ascii="Bookman Old Style" w:eastAsiaTheme="minorEastAsia" w:hAnsi="Bookman Old Style" w:cstheme="minorBidi"/>
          <w:noProof/>
          <w:sz w:val="20"/>
          <w:szCs w:val="20"/>
        </w:rPr>
      </w:pPr>
      <w:hyperlink w:anchor="_Toc461206385" w:history="1">
        <w:r w:rsidR="00DB0AEE" w:rsidRPr="00DB0AEE">
          <w:rPr>
            <w:rStyle w:val="aa"/>
            <w:rFonts w:ascii="Bookman Old Style" w:hAnsi="Bookman Old Style"/>
            <w:noProof/>
            <w:sz w:val="20"/>
            <w:szCs w:val="20"/>
          </w:rPr>
          <w:t>5.1.1. Доходный подход при оценке недвижимости</w:t>
        </w:r>
        <w:r w:rsidR="00DB0AEE" w:rsidRPr="00DB0AEE">
          <w:rPr>
            <w:rFonts w:ascii="Bookman Old Style" w:hAnsi="Bookman Old Style"/>
            <w:noProof/>
            <w:webHidden/>
            <w:sz w:val="20"/>
            <w:szCs w:val="20"/>
          </w:rPr>
          <w:tab/>
        </w:r>
        <w:r w:rsidRPr="00DB0AEE">
          <w:rPr>
            <w:rFonts w:ascii="Bookman Old Style" w:hAnsi="Bookman Old Style"/>
            <w:noProof/>
            <w:webHidden/>
            <w:sz w:val="20"/>
            <w:szCs w:val="20"/>
          </w:rPr>
          <w:fldChar w:fldCharType="begin"/>
        </w:r>
        <w:r w:rsidR="00DB0AEE" w:rsidRPr="00DB0AEE">
          <w:rPr>
            <w:rFonts w:ascii="Bookman Old Style" w:hAnsi="Bookman Old Style"/>
            <w:noProof/>
            <w:webHidden/>
            <w:sz w:val="20"/>
            <w:szCs w:val="20"/>
          </w:rPr>
          <w:instrText xml:space="preserve"> PAGEREF _Toc461206385 \h </w:instrText>
        </w:r>
        <w:r w:rsidRPr="00DB0AEE">
          <w:rPr>
            <w:rFonts w:ascii="Bookman Old Style" w:hAnsi="Bookman Old Style"/>
            <w:noProof/>
            <w:webHidden/>
            <w:sz w:val="20"/>
            <w:szCs w:val="20"/>
          </w:rPr>
        </w:r>
        <w:r w:rsidRPr="00DB0AEE">
          <w:rPr>
            <w:rFonts w:ascii="Bookman Old Style" w:hAnsi="Bookman Old Style"/>
            <w:noProof/>
            <w:webHidden/>
            <w:sz w:val="20"/>
            <w:szCs w:val="20"/>
          </w:rPr>
          <w:fldChar w:fldCharType="separate"/>
        </w:r>
        <w:r w:rsidR="00D70166">
          <w:rPr>
            <w:rFonts w:ascii="Bookman Old Style" w:hAnsi="Bookman Old Style"/>
            <w:noProof/>
            <w:webHidden/>
            <w:sz w:val="20"/>
            <w:szCs w:val="20"/>
          </w:rPr>
          <w:t>39</w:t>
        </w:r>
        <w:r w:rsidRPr="00DB0AEE">
          <w:rPr>
            <w:rFonts w:ascii="Bookman Old Style" w:hAnsi="Bookman Old Style"/>
            <w:noProof/>
            <w:webHidden/>
            <w:sz w:val="20"/>
            <w:szCs w:val="20"/>
          </w:rPr>
          <w:fldChar w:fldCharType="end"/>
        </w:r>
      </w:hyperlink>
    </w:p>
    <w:p w:rsidR="00DB0AEE" w:rsidRPr="00DB0AEE" w:rsidRDefault="006C4CCF" w:rsidP="00DB0AEE">
      <w:pPr>
        <w:pStyle w:val="35"/>
        <w:rPr>
          <w:rFonts w:ascii="Bookman Old Style" w:eastAsiaTheme="minorEastAsia" w:hAnsi="Bookman Old Style" w:cstheme="minorBidi"/>
          <w:noProof/>
          <w:sz w:val="20"/>
          <w:szCs w:val="20"/>
        </w:rPr>
      </w:pPr>
      <w:hyperlink w:anchor="_Toc461206386" w:history="1">
        <w:r w:rsidR="00DB0AEE" w:rsidRPr="00DB0AEE">
          <w:rPr>
            <w:rStyle w:val="aa"/>
            <w:rFonts w:ascii="Bookman Old Style" w:hAnsi="Bookman Old Style"/>
            <w:noProof/>
            <w:sz w:val="20"/>
            <w:szCs w:val="20"/>
          </w:rPr>
          <w:t>5.1.2. Сравнительный подход при оценке недвижимости</w:t>
        </w:r>
        <w:r w:rsidR="00DB0AEE" w:rsidRPr="00DB0AEE">
          <w:rPr>
            <w:rFonts w:ascii="Bookman Old Style" w:hAnsi="Bookman Old Style"/>
            <w:noProof/>
            <w:webHidden/>
            <w:sz w:val="20"/>
            <w:szCs w:val="20"/>
          </w:rPr>
          <w:tab/>
        </w:r>
        <w:r w:rsidRPr="00DB0AEE">
          <w:rPr>
            <w:rFonts w:ascii="Bookman Old Style" w:hAnsi="Bookman Old Style"/>
            <w:noProof/>
            <w:webHidden/>
            <w:sz w:val="20"/>
            <w:szCs w:val="20"/>
          </w:rPr>
          <w:fldChar w:fldCharType="begin"/>
        </w:r>
        <w:r w:rsidR="00DB0AEE" w:rsidRPr="00DB0AEE">
          <w:rPr>
            <w:rFonts w:ascii="Bookman Old Style" w:hAnsi="Bookman Old Style"/>
            <w:noProof/>
            <w:webHidden/>
            <w:sz w:val="20"/>
            <w:szCs w:val="20"/>
          </w:rPr>
          <w:instrText xml:space="preserve"> PAGEREF _Toc461206386 \h </w:instrText>
        </w:r>
        <w:r w:rsidRPr="00DB0AEE">
          <w:rPr>
            <w:rFonts w:ascii="Bookman Old Style" w:hAnsi="Bookman Old Style"/>
            <w:noProof/>
            <w:webHidden/>
            <w:sz w:val="20"/>
            <w:szCs w:val="20"/>
          </w:rPr>
        </w:r>
        <w:r w:rsidRPr="00DB0AEE">
          <w:rPr>
            <w:rFonts w:ascii="Bookman Old Style" w:hAnsi="Bookman Old Style"/>
            <w:noProof/>
            <w:webHidden/>
            <w:sz w:val="20"/>
            <w:szCs w:val="20"/>
          </w:rPr>
          <w:fldChar w:fldCharType="separate"/>
        </w:r>
        <w:r w:rsidR="00D70166">
          <w:rPr>
            <w:rFonts w:ascii="Bookman Old Style" w:hAnsi="Bookman Old Style"/>
            <w:noProof/>
            <w:webHidden/>
            <w:sz w:val="20"/>
            <w:szCs w:val="20"/>
          </w:rPr>
          <w:t>40</w:t>
        </w:r>
        <w:r w:rsidRPr="00DB0AEE">
          <w:rPr>
            <w:rFonts w:ascii="Bookman Old Style" w:hAnsi="Bookman Old Style"/>
            <w:noProof/>
            <w:webHidden/>
            <w:sz w:val="20"/>
            <w:szCs w:val="20"/>
          </w:rPr>
          <w:fldChar w:fldCharType="end"/>
        </w:r>
      </w:hyperlink>
    </w:p>
    <w:p w:rsidR="00DB0AEE" w:rsidRPr="00DB0AEE" w:rsidRDefault="006C4CCF" w:rsidP="00DB0AEE">
      <w:pPr>
        <w:pStyle w:val="35"/>
        <w:rPr>
          <w:rFonts w:ascii="Bookman Old Style" w:eastAsiaTheme="minorEastAsia" w:hAnsi="Bookman Old Style" w:cstheme="minorBidi"/>
          <w:noProof/>
          <w:sz w:val="20"/>
          <w:szCs w:val="20"/>
        </w:rPr>
      </w:pPr>
      <w:hyperlink w:anchor="_Toc461206387" w:history="1">
        <w:r w:rsidR="00DB0AEE" w:rsidRPr="00DB0AEE">
          <w:rPr>
            <w:rStyle w:val="aa"/>
            <w:rFonts w:ascii="Bookman Old Style" w:hAnsi="Bookman Old Style"/>
            <w:noProof/>
            <w:sz w:val="20"/>
            <w:szCs w:val="20"/>
          </w:rPr>
          <w:t>5.1.3. Затратный подход при оценке недвижимости</w:t>
        </w:r>
        <w:r w:rsidR="00DB0AEE" w:rsidRPr="00DB0AEE">
          <w:rPr>
            <w:rFonts w:ascii="Bookman Old Style" w:hAnsi="Bookman Old Style"/>
            <w:noProof/>
            <w:webHidden/>
            <w:sz w:val="20"/>
            <w:szCs w:val="20"/>
          </w:rPr>
          <w:tab/>
        </w:r>
        <w:r w:rsidRPr="00DB0AEE">
          <w:rPr>
            <w:rFonts w:ascii="Bookman Old Style" w:hAnsi="Bookman Old Style"/>
            <w:noProof/>
            <w:webHidden/>
            <w:sz w:val="20"/>
            <w:szCs w:val="20"/>
          </w:rPr>
          <w:fldChar w:fldCharType="begin"/>
        </w:r>
        <w:r w:rsidR="00DB0AEE" w:rsidRPr="00DB0AEE">
          <w:rPr>
            <w:rFonts w:ascii="Bookman Old Style" w:hAnsi="Bookman Old Style"/>
            <w:noProof/>
            <w:webHidden/>
            <w:sz w:val="20"/>
            <w:szCs w:val="20"/>
          </w:rPr>
          <w:instrText xml:space="preserve"> PAGEREF _Toc461206387 \h </w:instrText>
        </w:r>
        <w:r w:rsidRPr="00DB0AEE">
          <w:rPr>
            <w:rFonts w:ascii="Bookman Old Style" w:hAnsi="Bookman Old Style"/>
            <w:noProof/>
            <w:webHidden/>
            <w:sz w:val="20"/>
            <w:szCs w:val="20"/>
          </w:rPr>
        </w:r>
        <w:r w:rsidRPr="00DB0AEE">
          <w:rPr>
            <w:rFonts w:ascii="Bookman Old Style" w:hAnsi="Bookman Old Style"/>
            <w:noProof/>
            <w:webHidden/>
            <w:sz w:val="20"/>
            <w:szCs w:val="20"/>
          </w:rPr>
          <w:fldChar w:fldCharType="separate"/>
        </w:r>
        <w:r w:rsidR="00D70166">
          <w:rPr>
            <w:rFonts w:ascii="Bookman Old Style" w:hAnsi="Bookman Old Style"/>
            <w:noProof/>
            <w:webHidden/>
            <w:sz w:val="20"/>
            <w:szCs w:val="20"/>
          </w:rPr>
          <w:t>42</w:t>
        </w:r>
        <w:r w:rsidRPr="00DB0AEE">
          <w:rPr>
            <w:rFonts w:ascii="Bookman Old Style" w:hAnsi="Bookman Old Style"/>
            <w:noProof/>
            <w:webHidden/>
            <w:sz w:val="20"/>
            <w:szCs w:val="20"/>
          </w:rPr>
          <w:fldChar w:fldCharType="end"/>
        </w:r>
      </w:hyperlink>
    </w:p>
    <w:p w:rsidR="00DB0AEE" w:rsidRPr="00DB0AEE" w:rsidRDefault="006C4CCF" w:rsidP="00DB0AEE">
      <w:pPr>
        <w:pStyle w:val="28"/>
        <w:tabs>
          <w:tab w:val="clear" w:pos="10479"/>
          <w:tab w:val="right" w:leader="dot" w:pos="10206"/>
        </w:tabs>
        <w:spacing w:before="80" w:after="80"/>
        <w:ind w:left="0"/>
        <w:rPr>
          <w:rFonts w:eastAsiaTheme="minorEastAsia" w:cstheme="minorBidi"/>
        </w:rPr>
      </w:pPr>
      <w:hyperlink w:anchor="_Toc461206388" w:history="1">
        <w:r w:rsidR="00DB0AEE" w:rsidRPr="00DB0AEE">
          <w:rPr>
            <w:rStyle w:val="aa"/>
          </w:rPr>
          <w:t>5.2. ОБОСНОВАНИЕ ВЫБОРА ПОДХОДОВ И МЕТОДОВ</w:t>
        </w:r>
        <w:r w:rsidR="00DB0AEE" w:rsidRPr="00DB0AEE">
          <w:rPr>
            <w:webHidden/>
          </w:rPr>
          <w:tab/>
        </w:r>
        <w:r w:rsidRPr="00DB0AEE">
          <w:rPr>
            <w:webHidden/>
          </w:rPr>
          <w:fldChar w:fldCharType="begin"/>
        </w:r>
        <w:r w:rsidR="00DB0AEE" w:rsidRPr="00DB0AEE">
          <w:rPr>
            <w:webHidden/>
          </w:rPr>
          <w:instrText xml:space="preserve"> PAGEREF _Toc461206388 \h </w:instrText>
        </w:r>
        <w:r w:rsidRPr="00DB0AEE">
          <w:rPr>
            <w:webHidden/>
          </w:rPr>
        </w:r>
        <w:r w:rsidRPr="00DB0AEE">
          <w:rPr>
            <w:webHidden/>
          </w:rPr>
          <w:fldChar w:fldCharType="separate"/>
        </w:r>
        <w:r w:rsidR="00D70166">
          <w:rPr>
            <w:webHidden/>
          </w:rPr>
          <w:t>43</w:t>
        </w:r>
        <w:r w:rsidRPr="00DB0AEE">
          <w:rPr>
            <w:webHidden/>
          </w:rPr>
          <w:fldChar w:fldCharType="end"/>
        </w:r>
      </w:hyperlink>
    </w:p>
    <w:p w:rsidR="00DB0AEE" w:rsidRPr="00DB0AEE" w:rsidRDefault="006C4CCF" w:rsidP="00DB0AEE">
      <w:pPr>
        <w:pStyle w:val="35"/>
        <w:rPr>
          <w:rFonts w:ascii="Bookman Old Style" w:eastAsiaTheme="minorEastAsia" w:hAnsi="Bookman Old Style" w:cstheme="minorBidi"/>
          <w:noProof/>
          <w:sz w:val="20"/>
          <w:szCs w:val="20"/>
        </w:rPr>
      </w:pPr>
      <w:hyperlink w:anchor="_Toc461206389" w:history="1">
        <w:r w:rsidR="00DB0AEE" w:rsidRPr="00DB0AEE">
          <w:rPr>
            <w:rStyle w:val="aa"/>
            <w:rFonts w:ascii="Bookman Old Style" w:hAnsi="Bookman Old Style"/>
            <w:noProof/>
            <w:sz w:val="20"/>
            <w:szCs w:val="20"/>
          </w:rPr>
          <w:t>5.2.1. Обоснование выбора подхода и методов затратного подхода</w:t>
        </w:r>
        <w:r w:rsidR="00DB0AEE" w:rsidRPr="00DB0AEE">
          <w:rPr>
            <w:rFonts w:ascii="Bookman Old Style" w:hAnsi="Bookman Old Style"/>
            <w:noProof/>
            <w:webHidden/>
            <w:sz w:val="20"/>
            <w:szCs w:val="20"/>
          </w:rPr>
          <w:tab/>
        </w:r>
        <w:r w:rsidRPr="00DB0AEE">
          <w:rPr>
            <w:rFonts w:ascii="Bookman Old Style" w:hAnsi="Bookman Old Style"/>
            <w:noProof/>
            <w:webHidden/>
            <w:sz w:val="20"/>
            <w:szCs w:val="20"/>
          </w:rPr>
          <w:fldChar w:fldCharType="begin"/>
        </w:r>
        <w:r w:rsidR="00DB0AEE" w:rsidRPr="00DB0AEE">
          <w:rPr>
            <w:rFonts w:ascii="Bookman Old Style" w:hAnsi="Bookman Old Style"/>
            <w:noProof/>
            <w:webHidden/>
            <w:sz w:val="20"/>
            <w:szCs w:val="20"/>
          </w:rPr>
          <w:instrText xml:space="preserve"> PAGEREF _Toc461206389 \h </w:instrText>
        </w:r>
        <w:r w:rsidRPr="00DB0AEE">
          <w:rPr>
            <w:rFonts w:ascii="Bookman Old Style" w:hAnsi="Bookman Old Style"/>
            <w:noProof/>
            <w:webHidden/>
            <w:sz w:val="20"/>
            <w:szCs w:val="20"/>
          </w:rPr>
        </w:r>
        <w:r w:rsidRPr="00DB0AEE">
          <w:rPr>
            <w:rFonts w:ascii="Bookman Old Style" w:hAnsi="Bookman Old Style"/>
            <w:noProof/>
            <w:webHidden/>
            <w:sz w:val="20"/>
            <w:szCs w:val="20"/>
          </w:rPr>
          <w:fldChar w:fldCharType="separate"/>
        </w:r>
        <w:r w:rsidR="00D70166">
          <w:rPr>
            <w:rFonts w:ascii="Bookman Old Style" w:hAnsi="Bookman Old Style"/>
            <w:noProof/>
            <w:webHidden/>
            <w:sz w:val="20"/>
            <w:szCs w:val="20"/>
          </w:rPr>
          <w:t>43</w:t>
        </w:r>
        <w:r w:rsidRPr="00DB0AEE">
          <w:rPr>
            <w:rFonts w:ascii="Bookman Old Style" w:hAnsi="Bookman Old Style"/>
            <w:noProof/>
            <w:webHidden/>
            <w:sz w:val="20"/>
            <w:szCs w:val="20"/>
          </w:rPr>
          <w:fldChar w:fldCharType="end"/>
        </w:r>
      </w:hyperlink>
    </w:p>
    <w:p w:rsidR="00DB0AEE" w:rsidRPr="00DB0AEE" w:rsidRDefault="006C4CCF" w:rsidP="00DB0AEE">
      <w:pPr>
        <w:pStyle w:val="35"/>
        <w:rPr>
          <w:rFonts w:ascii="Bookman Old Style" w:eastAsiaTheme="minorEastAsia" w:hAnsi="Bookman Old Style" w:cstheme="minorBidi"/>
          <w:noProof/>
          <w:sz w:val="20"/>
          <w:szCs w:val="20"/>
        </w:rPr>
      </w:pPr>
      <w:hyperlink w:anchor="_Toc461206390" w:history="1">
        <w:r w:rsidR="00DB0AEE" w:rsidRPr="00DB0AEE">
          <w:rPr>
            <w:rStyle w:val="aa"/>
            <w:rFonts w:ascii="Bookman Old Style" w:hAnsi="Bookman Old Style"/>
            <w:noProof/>
            <w:sz w:val="20"/>
            <w:szCs w:val="20"/>
          </w:rPr>
          <w:t>5.2.1.1. Обоснование применения, отказа от применения подхода</w:t>
        </w:r>
        <w:r w:rsidR="00DB0AEE" w:rsidRPr="00DB0AEE">
          <w:rPr>
            <w:rFonts w:ascii="Bookman Old Style" w:hAnsi="Bookman Old Style"/>
            <w:noProof/>
            <w:webHidden/>
            <w:sz w:val="20"/>
            <w:szCs w:val="20"/>
          </w:rPr>
          <w:tab/>
        </w:r>
        <w:r w:rsidRPr="00DB0AEE">
          <w:rPr>
            <w:rFonts w:ascii="Bookman Old Style" w:hAnsi="Bookman Old Style"/>
            <w:noProof/>
            <w:webHidden/>
            <w:sz w:val="20"/>
            <w:szCs w:val="20"/>
          </w:rPr>
          <w:fldChar w:fldCharType="begin"/>
        </w:r>
        <w:r w:rsidR="00DB0AEE" w:rsidRPr="00DB0AEE">
          <w:rPr>
            <w:rFonts w:ascii="Bookman Old Style" w:hAnsi="Bookman Old Style"/>
            <w:noProof/>
            <w:webHidden/>
            <w:sz w:val="20"/>
            <w:szCs w:val="20"/>
          </w:rPr>
          <w:instrText xml:space="preserve"> PAGEREF _Toc461206390 \h </w:instrText>
        </w:r>
        <w:r w:rsidRPr="00DB0AEE">
          <w:rPr>
            <w:rFonts w:ascii="Bookman Old Style" w:hAnsi="Bookman Old Style"/>
            <w:noProof/>
            <w:webHidden/>
            <w:sz w:val="20"/>
            <w:szCs w:val="20"/>
          </w:rPr>
        </w:r>
        <w:r w:rsidRPr="00DB0AEE">
          <w:rPr>
            <w:rFonts w:ascii="Bookman Old Style" w:hAnsi="Bookman Old Style"/>
            <w:noProof/>
            <w:webHidden/>
            <w:sz w:val="20"/>
            <w:szCs w:val="20"/>
          </w:rPr>
          <w:fldChar w:fldCharType="separate"/>
        </w:r>
        <w:r w:rsidR="00D70166">
          <w:rPr>
            <w:rFonts w:ascii="Bookman Old Style" w:hAnsi="Bookman Old Style"/>
            <w:noProof/>
            <w:webHidden/>
            <w:sz w:val="20"/>
            <w:szCs w:val="20"/>
          </w:rPr>
          <w:t>43</w:t>
        </w:r>
        <w:r w:rsidRPr="00DB0AEE">
          <w:rPr>
            <w:rFonts w:ascii="Bookman Old Style" w:hAnsi="Bookman Old Style"/>
            <w:noProof/>
            <w:webHidden/>
            <w:sz w:val="20"/>
            <w:szCs w:val="20"/>
          </w:rPr>
          <w:fldChar w:fldCharType="end"/>
        </w:r>
      </w:hyperlink>
    </w:p>
    <w:p w:rsidR="00DB0AEE" w:rsidRPr="00DB0AEE" w:rsidRDefault="006C4CCF" w:rsidP="00DB0AEE">
      <w:pPr>
        <w:pStyle w:val="35"/>
        <w:rPr>
          <w:rFonts w:ascii="Bookman Old Style" w:eastAsiaTheme="minorEastAsia" w:hAnsi="Bookman Old Style" w:cstheme="minorBidi"/>
          <w:noProof/>
          <w:sz w:val="20"/>
          <w:szCs w:val="20"/>
        </w:rPr>
      </w:pPr>
      <w:hyperlink w:anchor="_Toc461206391" w:history="1">
        <w:r w:rsidR="00DB0AEE" w:rsidRPr="00DB0AEE">
          <w:rPr>
            <w:rStyle w:val="aa"/>
            <w:rFonts w:ascii="Bookman Old Style" w:hAnsi="Bookman Old Style"/>
            <w:noProof/>
            <w:sz w:val="20"/>
            <w:szCs w:val="20"/>
          </w:rPr>
          <w:t>5.2.1.2. Обоснование выбора методов затратного подхода</w:t>
        </w:r>
        <w:r w:rsidR="00DB0AEE" w:rsidRPr="00DB0AEE">
          <w:rPr>
            <w:rFonts w:ascii="Bookman Old Style" w:hAnsi="Bookman Old Style"/>
            <w:noProof/>
            <w:webHidden/>
            <w:sz w:val="20"/>
            <w:szCs w:val="20"/>
          </w:rPr>
          <w:tab/>
        </w:r>
        <w:r w:rsidRPr="00DB0AEE">
          <w:rPr>
            <w:rFonts w:ascii="Bookman Old Style" w:hAnsi="Bookman Old Style"/>
            <w:noProof/>
            <w:webHidden/>
            <w:sz w:val="20"/>
            <w:szCs w:val="20"/>
          </w:rPr>
          <w:fldChar w:fldCharType="begin"/>
        </w:r>
        <w:r w:rsidR="00DB0AEE" w:rsidRPr="00DB0AEE">
          <w:rPr>
            <w:rFonts w:ascii="Bookman Old Style" w:hAnsi="Bookman Old Style"/>
            <w:noProof/>
            <w:webHidden/>
            <w:sz w:val="20"/>
            <w:szCs w:val="20"/>
          </w:rPr>
          <w:instrText xml:space="preserve"> PAGEREF _Toc461206391 \h </w:instrText>
        </w:r>
        <w:r w:rsidRPr="00DB0AEE">
          <w:rPr>
            <w:rFonts w:ascii="Bookman Old Style" w:hAnsi="Bookman Old Style"/>
            <w:noProof/>
            <w:webHidden/>
            <w:sz w:val="20"/>
            <w:szCs w:val="20"/>
          </w:rPr>
        </w:r>
        <w:r w:rsidRPr="00DB0AEE">
          <w:rPr>
            <w:rFonts w:ascii="Bookman Old Style" w:hAnsi="Bookman Old Style"/>
            <w:noProof/>
            <w:webHidden/>
            <w:sz w:val="20"/>
            <w:szCs w:val="20"/>
          </w:rPr>
          <w:fldChar w:fldCharType="separate"/>
        </w:r>
        <w:r w:rsidR="00D70166">
          <w:rPr>
            <w:rFonts w:ascii="Bookman Old Style" w:hAnsi="Bookman Old Style"/>
            <w:noProof/>
            <w:webHidden/>
            <w:sz w:val="20"/>
            <w:szCs w:val="20"/>
          </w:rPr>
          <w:t>44</w:t>
        </w:r>
        <w:r w:rsidRPr="00DB0AEE">
          <w:rPr>
            <w:rFonts w:ascii="Bookman Old Style" w:hAnsi="Bookman Old Style"/>
            <w:noProof/>
            <w:webHidden/>
            <w:sz w:val="20"/>
            <w:szCs w:val="20"/>
          </w:rPr>
          <w:fldChar w:fldCharType="end"/>
        </w:r>
      </w:hyperlink>
    </w:p>
    <w:p w:rsidR="00DB0AEE" w:rsidRPr="00DB0AEE" w:rsidRDefault="006C4CCF" w:rsidP="00DB0AEE">
      <w:pPr>
        <w:pStyle w:val="35"/>
        <w:rPr>
          <w:rFonts w:ascii="Bookman Old Style" w:eastAsiaTheme="minorEastAsia" w:hAnsi="Bookman Old Style" w:cstheme="minorBidi"/>
          <w:noProof/>
          <w:sz w:val="20"/>
          <w:szCs w:val="20"/>
        </w:rPr>
      </w:pPr>
      <w:hyperlink w:anchor="_Toc461206392" w:history="1">
        <w:r w:rsidR="00DB0AEE" w:rsidRPr="00DB0AEE">
          <w:rPr>
            <w:rStyle w:val="aa"/>
            <w:rFonts w:ascii="Bookman Old Style" w:hAnsi="Bookman Old Style"/>
            <w:noProof/>
            <w:sz w:val="20"/>
            <w:szCs w:val="20"/>
          </w:rPr>
          <w:t>5.2.2. Обоснование выбора подхода и методов сравнительного подхода</w:t>
        </w:r>
        <w:r w:rsidR="00DB0AEE" w:rsidRPr="00DB0AEE">
          <w:rPr>
            <w:rFonts w:ascii="Bookman Old Style" w:hAnsi="Bookman Old Style"/>
            <w:noProof/>
            <w:webHidden/>
            <w:sz w:val="20"/>
            <w:szCs w:val="20"/>
          </w:rPr>
          <w:tab/>
        </w:r>
        <w:r w:rsidRPr="00DB0AEE">
          <w:rPr>
            <w:rFonts w:ascii="Bookman Old Style" w:hAnsi="Bookman Old Style"/>
            <w:noProof/>
            <w:webHidden/>
            <w:sz w:val="20"/>
            <w:szCs w:val="20"/>
          </w:rPr>
          <w:fldChar w:fldCharType="begin"/>
        </w:r>
        <w:r w:rsidR="00DB0AEE" w:rsidRPr="00DB0AEE">
          <w:rPr>
            <w:rFonts w:ascii="Bookman Old Style" w:hAnsi="Bookman Old Style"/>
            <w:noProof/>
            <w:webHidden/>
            <w:sz w:val="20"/>
            <w:szCs w:val="20"/>
          </w:rPr>
          <w:instrText xml:space="preserve"> PAGEREF _Toc461206392 \h </w:instrText>
        </w:r>
        <w:r w:rsidRPr="00DB0AEE">
          <w:rPr>
            <w:rFonts w:ascii="Bookman Old Style" w:hAnsi="Bookman Old Style"/>
            <w:noProof/>
            <w:webHidden/>
            <w:sz w:val="20"/>
            <w:szCs w:val="20"/>
          </w:rPr>
        </w:r>
        <w:r w:rsidRPr="00DB0AEE">
          <w:rPr>
            <w:rFonts w:ascii="Bookman Old Style" w:hAnsi="Bookman Old Style"/>
            <w:noProof/>
            <w:webHidden/>
            <w:sz w:val="20"/>
            <w:szCs w:val="20"/>
          </w:rPr>
          <w:fldChar w:fldCharType="separate"/>
        </w:r>
        <w:r w:rsidR="00D70166">
          <w:rPr>
            <w:rFonts w:ascii="Bookman Old Style" w:hAnsi="Bookman Old Style"/>
            <w:noProof/>
            <w:webHidden/>
            <w:sz w:val="20"/>
            <w:szCs w:val="20"/>
          </w:rPr>
          <w:t>44</w:t>
        </w:r>
        <w:r w:rsidRPr="00DB0AEE">
          <w:rPr>
            <w:rFonts w:ascii="Bookman Old Style" w:hAnsi="Bookman Old Style"/>
            <w:noProof/>
            <w:webHidden/>
            <w:sz w:val="20"/>
            <w:szCs w:val="20"/>
          </w:rPr>
          <w:fldChar w:fldCharType="end"/>
        </w:r>
      </w:hyperlink>
    </w:p>
    <w:p w:rsidR="00DB0AEE" w:rsidRPr="00DB0AEE" w:rsidRDefault="006C4CCF" w:rsidP="00DB0AEE">
      <w:pPr>
        <w:pStyle w:val="35"/>
        <w:rPr>
          <w:rFonts w:ascii="Bookman Old Style" w:eastAsiaTheme="minorEastAsia" w:hAnsi="Bookman Old Style" w:cstheme="minorBidi"/>
          <w:noProof/>
          <w:sz w:val="20"/>
          <w:szCs w:val="20"/>
        </w:rPr>
      </w:pPr>
      <w:hyperlink w:anchor="_Toc461206393" w:history="1">
        <w:r w:rsidR="00DB0AEE" w:rsidRPr="00DB0AEE">
          <w:rPr>
            <w:rStyle w:val="aa"/>
            <w:rFonts w:ascii="Bookman Old Style" w:hAnsi="Bookman Old Style"/>
            <w:noProof/>
            <w:sz w:val="20"/>
            <w:szCs w:val="20"/>
          </w:rPr>
          <w:t>5.2.2.1. Обоснование применения, отказа от применения подхода</w:t>
        </w:r>
        <w:r w:rsidR="00DB0AEE" w:rsidRPr="00DB0AEE">
          <w:rPr>
            <w:rFonts w:ascii="Bookman Old Style" w:hAnsi="Bookman Old Style"/>
            <w:noProof/>
            <w:webHidden/>
            <w:sz w:val="20"/>
            <w:szCs w:val="20"/>
          </w:rPr>
          <w:tab/>
        </w:r>
        <w:r w:rsidRPr="00DB0AEE">
          <w:rPr>
            <w:rFonts w:ascii="Bookman Old Style" w:hAnsi="Bookman Old Style"/>
            <w:noProof/>
            <w:webHidden/>
            <w:sz w:val="20"/>
            <w:szCs w:val="20"/>
          </w:rPr>
          <w:fldChar w:fldCharType="begin"/>
        </w:r>
        <w:r w:rsidR="00DB0AEE" w:rsidRPr="00DB0AEE">
          <w:rPr>
            <w:rFonts w:ascii="Bookman Old Style" w:hAnsi="Bookman Old Style"/>
            <w:noProof/>
            <w:webHidden/>
            <w:sz w:val="20"/>
            <w:szCs w:val="20"/>
          </w:rPr>
          <w:instrText xml:space="preserve"> PAGEREF _Toc461206393 \h </w:instrText>
        </w:r>
        <w:r w:rsidRPr="00DB0AEE">
          <w:rPr>
            <w:rFonts w:ascii="Bookman Old Style" w:hAnsi="Bookman Old Style"/>
            <w:noProof/>
            <w:webHidden/>
            <w:sz w:val="20"/>
            <w:szCs w:val="20"/>
          </w:rPr>
        </w:r>
        <w:r w:rsidRPr="00DB0AEE">
          <w:rPr>
            <w:rFonts w:ascii="Bookman Old Style" w:hAnsi="Bookman Old Style"/>
            <w:noProof/>
            <w:webHidden/>
            <w:sz w:val="20"/>
            <w:szCs w:val="20"/>
          </w:rPr>
          <w:fldChar w:fldCharType="separate"/>
        </w:r>
        <w:r w:rsidR="00D70166">
          <w:rPr>
            <w:rFonts w:ascii="Bookman Old Style" w:hAnsi="Bookman Old Style"/>
            <w:noProof/>
            <w:webHidden/>
            <w:sz w:val="20"/>
            <w:szCs w:val="20"/>
          </w:rPr>
          <w:t>44</w:t>
        </w:r>
        <w:r w:rsidRPr="00DB0AEE">
          <w:rPr>
            <w:rFonts w:ascii="Bookman Old Style" w:hAnsi="Bookman Old Style"/>
            <w:noProof/>
            <w:webHidden/>
            <w:sz w:val="20"/>
            <w:szCs w:val="20"/>
          </w:rPr>
          <w:fldChar w:fldCharType="end"/>
        </w:r>
      </w:hyperlink>
    </w:p>
    <w:p w:rsidR="00DB0AEE" w:rsidRPr="00DB0AEE" w:rsidRDefault="006C4CCF" w:rsidP="00DB0AEE">
      <w:pPr>
        <w:pStyle w:val="35"/>
        <w:rPr>
          <w:rFonts w:ascii="Bookman Old Style" w:eastAsiaTheme="minorEastAsia" w:hAnsi="Bookman Old Style" w:cstheme="minorBidi"/>
          <w:noProof/>
          <w:sz w:val="20"/>
          <w:szCs w:val="20"/>
        </w:rPr>
      </w:pPr>
      <w:hyperlink w:anchor="_Toc461206394" w:history="1">
        <w:r w:rsidR="00DB0AEE" w:rsidRPr="00DB0AEE">
          <w:rPr>
            <w:rStyle w:val="aa"/>
            <w:rFonts w:ascii="Bookman Old Style" w:hAnsi="Bookman Old Style"/>
            <w:noProof/>
            <w:sz w:val="20"/>
            <w:szCs w:val="20"/>
          </w:rPr>
          <w:t>5.2.2.2. Обоснование выбора методов сравнительного подхода</w:t>
        </w:r>
        <w:r w:rsidR="00DB0AEE" w:rsidRPr="00DB0AEE">
          <w:rPr>
            <w:rFonts w:ascii="Bookman Old Style" w:hAnsi="Bookman Old Style"/>
            <w:noProof/>
            <w:webHidden/>
            <w:sz w:val="20"/>
            <w:szCs w:val="20"/>
          </w:rPr>
          <w:tab/>
        </w:r>
        <w:r w:rsidRPr="00DB0AEE">
          <w:rPr>
            <w:rFonts w:ascii="Bookman Old Style" w:hAnsi="Bookman Old Style"/>
            <w:noProof/>
            <w:webHidden/>
            <w:sz w:val="20"/>
            <w:szCs w:val="20"/>
          </w:rPr>
          <w:fldChar w:fldCharType="begin"/>
        </w:r>
        <w:r w:rsidR="00DB0AEE" w:rsidRPr="00DB0AEE">
          <w:rPr>
            <w:rFonts w:ascii="Bookman Old Style" w:hAnsi="Bookman Old Style"/>
            <w:noProof/>
            <w:webHidden/>
            <w:sz w:val="20"/>
            <w:szCs w:val="20"/>
          </w:rPr>
          <w:instrText xml:space="preserve"> PAGEREF _Toc461206394 \h </w:instrText>
        </w:r>
        <w:r w:rsidRPr="00DB0AEE">
          <w:rPr>
            <w:rFonts w:ascii="Bookman Old Style" w:hAnsi="Bookman Old Style"/>
            <w:noProof/>
            <w:webHidden/>
            <w:sz w:val="20"/>
            <w:szCs w:val="20"/>
          </w:rPr>
        </w:r>
        <w:r w:rsidRPr="00DB0AEE">
          <w:rPr>
            <w:rFonts w:ascii="Bookman Old Style" w:hAnsi="Bookman Old Style"/>
            <w:noProof/>
            <w:webHidden/>
            <w:sz w:val="20"/>
            <w:szCs w:val="20"/>
          </w:rPr>
          <w:fldChar w:fldCharType="separate"/>
        </w:r>
        <w:r w:rsidR="00D70166">
          <w:rPr>
            <w:rFonts w:ascii="Bookman Old Style" w:hAnsi="Bookman Old Style"/>
            <w:noProof/>
            <w:webHidden/>
            <w:sz w:val="20"/>
            <w:szCs w:val="20"/>
          </w:rPr>
          <w:t>45</w:t>
        </w:r>
        <w:r w:rsidRPr="00DB0AEE">
          <w:rPr>
            <w:rFonts w:ascii="Bookman Old Style" w:hAnsi="Bookman Old Style"/>
            <w:noProof/>
            <w:webHidden/>
            <w:sz w:val="20"/>
            <w:szCs w:val="20"/>
          </w:rPr>
          <w:fldChar w:fldCharType="end"/>
        </w:r>
      </w:hyperlink>
    </w:p>
    <w:p w:rsidR="00DB0AEE" w:rsidRPr="00DB0AEE" w:rsidRDefault="006C4CCF" w:rsidP="00DB0AEE">
      <w:pPr>
        <w:pStyle w:val="35"/>
        <w:rPr>
          <w:rFonts w:ascii="Bookman Old Style" w:eastAsiaTheme="minorEastAsia" w:hAnsi="Bookman Old Style" w:cstheme="minorBidi"/>
          <w:noProof/>
          <w:sz w:val="20"/>
          <w:szCs w:val="20"/>
        </w:rPr>
      </w:pPr>
      <w:hyperlink w:anchor="_Toc461206395" w:history="1">
        <w:r w:rsidR="00DB0AEE" w:rsidRPr="00DB0AEE">
          <w:rPr>
            <w:rStyle w:val="aa"/>
            <w:rFonts w:ascii="Bookman Old Style" w:hAnsi="Bookman Old Style"/>
            <w:noProof/>
            <w:sz w:val="20"/>
            <w:szCs w:val="20"/>
          </w:rPr>
          <w:t>5.2.3. Обоснование выбора подхода и методов доходного подхода</w:t>
        </w:r>
        <w:r w:rsidR="00DB0AEE" w:rsidRPr="00DB0AEE">
          <w:rPr>
            <w:rFonts w:ascii="Bookman Old Style" w:hAnsi="Bookman Old Style"/>
            <w:noProof/>
            <w:webHidden/>
            <w:sz w:val="20"/>
            <w:szCs w:val="20"/>
          </w:rPr>
          <w:tab/>
        </w:r>
        <w:r w:rsidRPr="00DB0AEE">
          <w:rPr>
            <w:rFonts w:ascii="Bookman Old Style" w:hAnsi="Bookman Old Style"/>
            <w:noProof/>
            <w:webHidden/>
            <w:sz w:val="20"/>
            <w:szCs w:val="20"/>
          </w:rPr>
          <w:fldChar w:fldCharType="begin"/>
        </w:r>
        <w:r w:rsidR="00DB0AEE" w:rsidRPr="00DB0AEE">
          <w:rPr>
            <w:rFonts w:ascii="Bookman Old Style" w:hAnsi="Bookman Old Style"/>
            <w:noProof/>
            <w:webHidden/>
            <w:sz w:val="20"/>
            <w:szCs w:val="20"/>
          </w:rPr>
          <w:instrText xml:space="preserve"> PAGEREF _Toc461206395 \h </w:instrText>
        </w:r>
        <w:r w:rsidRPr="00DB0AEE">
          <w:rPr>
            <w:rFonts w:ascii="Bookman Old Style" w:hAnsi="Bookman Old Style"/>
            <w:noProof/>
            <w:webHidden/>
            <w:sz w:val="20"/>
            <w:szCs w:val="20"/>
          </w:rPr>
        </w:r>
        <w:r w:rsidRPr="00DB0AEE">
          <w:rPr>
            <w:rFonts w:ascii="Bookman Old Style" w:hAnsi="Bookman Old Style"/>
            <w:noProof/>
            <w:webHidden/>
            <w:sz w:val="20"/>
            <w:szCs w:val="20"/>
          </w:rPr>
          <w:fldChar w:fldCharType="separate"/>
        </w:r>
        <w:r w:rsidR="00D70166">
          <w:rPr>
            <w:rFonts w:ascii="Bookman Old Style" w:hAnsi="Bookman Old Style"/>
            <w:noProof/>
            <w:webHidden/>
            <w:sz w:val="20"/>
            <w:szCs w:val="20"/>
          </w:rPr>
          <w:t>46</w:t>
        </w:r>
        <w:r w:rsidRPr="00DB0AEE">
          <w:rPr>
            <w:rFonts w:ascii="Bookman Old Style" w:hAnsi="Bookman Old Style"/>
            <w:noProof/>
            <w:webHidden/>
            <w:sz w:val="20"/>
            <w:szCs w:val="20"/>
          </w:rPr>
          <w:fldChar w:fldCharType="end"/>
        </w:r>
      </w:hyperlink>
    </w:p>
    <w:p w:rsidR="00DB0AEE" w:rsidRPr="00DB0AEE" w:rsidRDefault="006C4CCF" w:rsidP="00DB0AEE">
      <w:pPr>
        <w:pStyle w:val="35"/>
        <w:rPr>
          <w:rFonts w:ascii="Bookman Old Style" w:eastAsiaTheme="minorEastAsia" w:hAnsi="Bookman Old Style" w:cstheme="minorBidi"/>
          <w:noProof/>
          <w:sz w:val="20"/>
          <w:szCs w:val="20"/>
        </w:rPr>
      </w:pPr>
      <w:hyperlink w:anchor="_Toc461206396" w:history="1">
        <w:r w:rsidR="00DB0AEE" w:rsidRPr="00DB0AEE">
          <w:rPr>
            <w:rStyle w:val="aa"/>
            <w:rFonts w:ascii="Bookman Old Style" w:hAnsi="Bookman Old Style"/>
            <w:noProof/>
            <w:sz w:val="20"/>
            <w:szCs w:val="20"/>
          </w:rPr>
          <w:t>5.2.3.1. Обоснование применения, отказа от применения подхода</w:t>
        </w:r>
        <w:r w:rsidR="00DB0AEE" w:rsidRPr="00DB0AEE">
          <w:rPr>
            <w:rFonts w:ascii="Bookman Old Style" w:hAnsi="Bookman Old Style"/>
            <w:noProof/>
            <w:webHidden/>
            <w:sz w:val="20"/>
            <w:szCs w:val="20"/>
          </w:rPr>
          <w:tab/>
        </w:r>
        <w:r w:rsidRPr="00DB0AEE">
          <w:rPr>
            <w:rFonts w:ascii="Bookman Old Style" w:hAnsi="Bookman Old Style"/>
            <w:noProof/>
            <w:webHidden/>
            <w:sz w:val="20"/>
            <w:szCs w:val="20"/>
          </w:rPr>
          <w:fldChar w:fldCharType="begin"/>
        </w:r>
        <w:r w:rsidR="00DB0AEE" w:rsidRPr="00DB0AEE">
          <w:rPr>
            <w:rFonts w:ascii="Bookman Old Style" w:hAnsi="Bookman Old Style"/>
            <w:noProof/>
            <w:webHidden/>
            <w:sz w:val="20"/>
            <w:szCs w:val="20"/>
          </w:rPr>
          <w:instrText xml:space="preserve"> PAGEREF _Toc461206396 \h </w:instrText>
        </w:r>
        <w:r w:rsidRPr="00DB0AEE">
          <w:rPr>
            <w:rFonts w:ascii="Bookman Old Style" w:hAnsi="Bookman Old Style"/>
            <w:noProof/>
            <w:webHidden/>
            <w:sz w:val="20"/>
            <w:szCs w:val="20"/>
          </w:rPr>
        </w:r>
        <w:r w:rsidRPr="00DB0AEE">
          <w:rPr>
            <w:rFonts w:ascii="Bookman Old Style" w:hAnsi="Bookman Old Style"/>
            <w:noProof/>
            <w:webHidden/>
            <w:sz w:val="20"/>
            <w:szCs w:val="20"/>
          </w:rPr>
          <w:fldChar w:fldCharType="separate"/>
        </w:r>
        <w:r w:rsidR="00D70166">
          <w:rPr>
            <w:rFonts w:ascii="Bookman Old Style" w:hAnsi="Bookman Old Style"/>
            <w:noProof/>
            <w:webHidden/>
            <w:sz w:val="20"/>
            <w:szCs w:val="20"/>
          </w:rPr>
          <w:t>46</w:t>
        </w:r>
        <w:r w:rsidRPr="00DB0AEE">
          <w:rPr>
            <w:rFonts w:ascii="Bookman Old Style" w:hAnsi="Bookman Old Style"/>
            <w:noProof/>
            <w:webHidden/>
            <w:sz w:val="20"/>
            <w:szCs w:val="20"/>
          </w:rPr>
          <w:fldChar w:fldCharType="end"/>
        </w:r>
      </w:hyperlink>
    </w:p>
    <w:p w:rsidR="00DB0AEE" w:rsidRPr="00DB0AEE" w:rsidRDefault="006C4CCF" w:rsidP="00DB0AEE">
      <w:pPr>
        <w:pStyle w:val="35"/>
        <w:rPr>
          <w:rFonts w:ascii="Bookman Old Style" w:eastAsiaTheme="minorEastAsia" w:hAnsi="Bookman Old Style" w:cstheme="minorBidi"/>
          <w:noProof/>
          <w:sz w:val="20"/>
          <w:szCs w:val="20"/>
        </w:rPr>
      </w:pPr>
      <w:hyperlink w:anchor="_Toc461206397" w:history="1">
        <w:r w:rsidR="00DB0AEE" w:rsidRPr="00DB0AEE">
          <w:rPr>
            <w:rStyle w:val="aa"/>
            <w:rFonts w:ascii="Bookman Old Style" w:hAnsi="Bookman Old Style"/>
            <w:noProof/>
            <w:sz w:val="20"/>
            <w:szCs w:val="20"/>
          </w:rPr>
          <w:t>5.2.3.2. Обоснование выбора методов доходного подхода</w:t>
        </w:r>
        <w:r w:rsidR="00DB0AEE" w:rsidRPr="00DB0AEE">
          <w:rPr>
            <w:rFonts w:ascii="Bookman Old Style" w:hAnsi="Bookman Old Style"/>
            <w:noProof/>
            <w:webHidden/>
            <w:sz w:val="20"/>
            <w:szCs w:val="20"/>
          </w:rPr>
          <w:tab/>
        </w:r>
        <w:r w:rsidRPr="00DB0AEE">
          <w:rPr>
            <w:rFonts w:ascii="Bookman Old Style" w:hAnsi="Bookman Old Style"/>
            <w:noProof/>
            <w:webHidden/>
            <w:sz w:val="20"/>
            <w:szCs w:val="20"/>
          </w:rPr>
          <w:fldChar w:fldCharType="begin"/>
        </w:r>
        <w:r w:rsidR="00DB0AEE" w:rsidRPr="00DB0AEE">
          <w:rPr>
            <w:rFonts w:ascii="Bookman Old Style" w:hAnsi="Bookman Old Style"/>
            <w:noProof/>
            <w:webHidden/>
            <w:sz w:val="20"/>
            <w:szCs w:val="20"/>
          </w:rPr>
          <w:instrText xml:space="preserve"> PAGEREF _Toc461206397 \h </w:instrText>
        </w:r>
        <w:r w:rsidRPr="00DB0AEE">
          <w:rPr>
            <w:rFonts w:ascii="Bookman Old Style" w:hAnsi="Bookman Old Style"/>
            <w:noProof/>
            <w:webHidden/>
            <w:sz w:val="20"/>
            <w:szCs w:val="20"/>
          </w:rPr>
        </w:r>
        <w:r w:rsidRPr="00DB0AEE">
          <w:rPr>
            <w:rFonts w:ascii="Bookman Old Style" w:hAnsi="Bookman Old Style"/>
            <w:noProof/>
            <w:webHidden/>
            <w:sz w:val="20"/>
            <w:szCs w:val="20"/>
          </w:rPr>
          <w:fldChar w:fldCharType="separate"/>
        </w:r>
        <w:r w:rsidR="00D70166">
          <w:rPr>
            <w:rFonts w:ascii="Bookman Old Style" w:hAnsi="Bookman Old Style"/>
            <w:noProof/>
            <w:webHidden/>
            <w:sz w:val="20"/>
            <w:szCs w:val="20"/>
          </w:rPr>
          <w:t>46</w:t>
        </w:r>
        <w:r w:rsidRPr="00DB0AEE">
          <w:rPr>
            <w:rFonts w:ascii="Bookman Old Style" w:hAnsi="Bookman Old Style"/>
            <w:noProof/>
            <w:webHidden/>
            <w:sz w:val="20"/>
            <w:szCs w:val="20"/>
          </w:rPr>
          <w:fldChar w:fldCharType="end"/>
        </w:r>
      </w:hyperlink>
    </w:p>
    <w:p w:rsidR="00DB0AEE" w:rsidRPr="00DB0AEE" w:rsidRDefault="006C4CCF" w:rsidP="00DB0AEE">
      <w:pPr>
        <w:pStyle w:val="28"/>
        <w:tabs>
          <w:tab w:val="clear" w:pos="10479"/>
          <w:tab w:val="right" w:leader="dot" w:pos="10206"/>
        </w:tabs>
        <w:spacing w:before="80" w:after="80"/>
        <w:ind w:left="0"/>
        <w:rPr>
          <w:rFonts w:eastAsiaTheme="minorEastAsia" w:cstheme="minorBidi"/>
        </w:rPr>
      </w:pPr>
      <w:hyperlink w:anchor="_Toc461206398" w:history="1">
        <w:r w:rsidR="00DB0AEE" w:rsidRPr="00DB0AEE">
          <w:rPr>
            <w:rStyle w:val="aa"/>
          </w:rPr>
          <w:t>5.3. АНАЛИЗ НАИБОЛЕЕ ЭФФЕКТИВНОГО ИСПОЛЬЗОВАНИЯ</w:t>
        </w:r>
        <w:r w:rsidR="00DB0AEE" w:rsidRPr="00DB0AEE">
          <w:rPr>
            <w:webHidden/>
          </w:rPr>
          <w:tab/>
        </w:r>
        <w:r w:rsidRPr="00DB0AEE">
          <w:rPr>
            <w:webHidden/>
          </w:rPr>
          <w:fldChar w:fldCharType="begin"/>
        </w:r>
        <w:r w:rsidR="00DB0AEE" w:rsidRPr="00DB0AEE">
          <w:rPr>
            <w:webHidden/>
          </w:rPr>
          <w:instrText xml:space="preserve"> PAGEREF _Toc461206398 \h </w:instrText>
        </w:r>
        <w:r w:rsidRPr="00DB0AEE">
          <w:rPr>
            <w:webHidden/>
          </w:rPr>
        </w:r>
        <w:r w:rsidRPr="00DB0AEE">
          <w:rPr>
            <w:webHidden/>
          </w:rPr>
          <w:fldChar w:fldCharType="separate"/>
        </w:r>
        <w:r w:rsidR="00D70166">
          <w:rPr>
            <w:webHidden/>
          </w:rPr>
          <w:t>47</w:t>
        </w:r>
        <w:r w:rsidRPr="00DB0AEE">
          <w:rPr>
            <w:webHidden/>
          </w:rPr>
          <w:fldChar w:fldCharType="end"/>
        </w:r>
      </w:hyperlink>
    </w:p>
    <w:p w:rsidR="00DB0AEE" w:rsidRPr="00DB0AEE" w:rsidRDefault="006C4CCF" w:rsidP="00DB0AEE">
      <w:pPr>
        <w:pStyle w:val="35"/>
        <w:rPr>
          <w:rFonts w:ascii="Bookman Old Style" w:eastAsiaTheme="minorEastAsia" w:hAnsi="Bookman Old Style" w:cstheme="minorBidi"/>
          <w:noProof/>
          <w:sz w:val="20"/>
          <w:szCs w:val="20"/>
        </w:rPr>
      </w:pPr>
      <w:hyperlink w:anchor="_Toc461206399" w:history="1">
        <w:r w:rsidR="00DB0AEE" w:rsidRPr="00DB0AEE">
          <w:rPr>
            <w:rStyle w:val="aa"/>
            <w:rFonts w:ascii="Bookman Old Style" w:hAnsi="Bookman Old Style"/>
            <w:noProof/>
            <w:sz w:val="20"/>
            <w:szCs w:val="20"/>
          </w:rPr>
          <w:t>5.3.1. Анализ НЭИ</w:t>
        </w:r>
        <w:r w:rsidR="00DB0AEE" w:rsidRPr="00DB0AEE">
          <w:rPr>
            <w:rFonts w:ascii="Bookman Old Style" w:hAnsi="Bookman Old Style"/>
            <w:noProof/>
            <w:webHidden/>
            <w:sz w:val="20"/>
            <w:szCs w:val="20"/>
          </w:rPr>
          <w:tab/>
        </w:r>
        <w:r w:rsidRPr="00DB0AEE">
          <w:rPr>
            <w:rFonts w:ascii="Bookman Old Style" w:hAnsi="Bookman Old Style"/>
            <w:noProof/>
            <w:webHidden/>
            <w:sz w:val="20"/>
            <w:szCs w:val="20"/>
          </w:rPr>
          <w:fldChar w:fldCharType="begin"/>
        </w:r>
        <w:r w:rsidR="00DB0AEE" w:rsidRPr="00DB0AEE">
          <w:rPr>
            <w:rFonts w:ascii="Bookman Old Style" w:hAnsi="Bookman Old Style"/>
            <w:noProof/>
            <w:webHidden/>
            <w:sz w:val="20"/>
            <w:szCs w:val="20"/>
          </w:rPr>
          <w:instrText xml:space="preserve"> PAGEREF _Toc461206399 \h </w:instrText>
        </w:r>
        <w:r w:rsidRPr="00DB0AEE">
          <w:rPr>
            <w:rFonts w:ascii="Bookman Old Style" w:hAnsi="Bookman Old Style"/>
            <w:noProof/>
            <w:webHidden/>
            <w:sz w:val="20"/>
            <w:szCs w:val="20"/>
          </w:rPr>
        </w:r>
        <w:r w:rsidRPr="00DB0AEE">
          <w:rPr>
            <w:rFonts w:ascii="Bookman Old Style" w:hAnsi="Bookman Old Style"/>
            <w:noProof/>
            <w:webHidden/>
            <w:sz w:val="20"/>
            <w:szCs w:val="20"/>
          </w:rPr>
          <w:fldChar w:fldCharType="separate"/>
        </w:r>
        <w:r w:rsidR="00D70166">
          <w:rPr>
            <w:rFonts w:ascii="Bookman Old Style" w:hAnsi="Bookman Old Style"/>
            <w:noProof/>
            <w:webHidden/>
            <w:sz w:val="20"/>
            <w:szCs w:val="20"/>
          </w:rPr>
          <w:t>47</w:t>
        </w:r>
        <w:r w:rsidRPr="00DB0AEE">
          <w:rPr>
            <w:rFonts w:ascii="Bookman Old Style" w:hAnsi="Bookman Old Style"/>
            <w:noProof/>
            <w:webHidden/>
            <w:sz w:val="20"/>
            <w:szCs w:val="20"/>
          </w:rPr>
          <w:fldChar w:fldCharType="end"/>
        </w:r>
      </w:hyperlink>
    </w:p>
    <w:p w:rsidR="00DB0AEE" w:rsidRPr="00DB0AEE" w:rsidRDefault="006C4CCF" w:rsidP="00DB0AEE">
      <w:pPr>
        <w:pStyle w:val="35"/>
        <w:rPr>
          <w:rFonts w:ascii="Bookman Old Style" w:eastAsiaTheme="minorEastAsia" w:hAnsi="Bookman Old Style" w:cstheme="minorBidi"/>
          <w:noProof/>
          <w:sz w:val="20"/>
          <w:szCs w:val="20"/>
        </w:rPr>
      </w:pPr>
      <w:hyperlink w:anchor="_Toc461206400" w:history="1">
        <w:r w:rsidR="00DB0AEE" w:rsidRPr="00DB0AEE">
          <w:rPr>
            <w:rStyle w:val="aa"/>
            <w:rFonts w:ascii="Bookman Old Style" w:hAnsi="Bookman Old Style"/>
            <w:noProof/>
            <w:sz w:val="20"/>
            <w:szCs w:val="20"/>
          </w:rPr>
          <w:t>5.3.2. Выводы по анализу НЭИ</w:t>
        </w:r>
        <w:r w:rsidR="00DB0AEE" w:rsidRPr="00DB0AEE">
          <w:rPr>
            <w:rFonts w:ascii="Bookman Old Style" w:hAnsi="Bookman Old Style"/>
            <w:noProof/>
            <w:webHidden/>
            <w:sz w:val="20"/>
            <w:szCs w:val="20"/>
          </w:rPr>
          <w:tab/>
        </w:r>
        <w:r w:rsidRPr="00DB0AEE">
          <w:rPr>
            <w:rFonts w:ascii="Bookman Old Style" w:hAnsi="Bookman Old Style"/>
            <w:noProof/>
            <w:webHidden/>
            <w:sz w:val="20"/>
            <w:szCs w:val="20"/>
          </w:rPr>
          <w:fldChar w:fldCharType="begin"/>
        </w:r>
        <w:r w:rsidR="00DB0AEE" w:rsidRPr="00DB0AEE">
          <w:rPr>
            <w:rFonts w:ascii="Bookman Old Style" w:hAnsi="Bookman Old Style"/>
            <w:noProof/>
            <w:webHidden/>
            <w:sz w:val="20"/>
            <w:szCs w:val="20"/>
          </w:rPr>
          <w:instrText xml:space="preserve"> PAGEREF _Toc461206400 \h </w:instrText>
        </w:r>
        <w:r w:rsidRPr="00DB0AEE">
          <w:rPr>
            <w:rFonts w:ascii="Bookman Old Style" w:hAnsi="Bookman Old Style"/>
            <w:noProof/>
            <w:webHidden/>
            <w:sz w:val="20"/>
            <w:szCs w:val="20"/>
          </w:rPr>
        </w:r>
        <w:r w:rsidRPr="00DB0AEE">
          <w:rPr>
            <w:rFonts w:ascii="Bookman Old Style" w:hAnsi="Bookman Old Style"/>
            <w:noProof/>
            <w:webHidden/>
            <w:sz w:val="20"/>
            <w:szCs w:val="20"/>
          </w:rPr>
          <w:fldChar w:fldCharType="separate"/>
        </w:r>
        <w:r w:rsidR="00D70166">
          <w:rPr>
            <w:rFonts w:ascii="Bookman Old Style" w:hAnsi="Bookman Old Style"/>
            <w:noProof/>
            <w:webHidden/>
            <w:sz w:val="20"/>
            <w:szCs w:val="20"/>
          </w:rPr>
          <w:t>48</w:t>
        </w:r>
        <w:r w:rsidRPr="00DB0AEE">
          <w:rPr>
            <w:rFonts w:ascii="Bookman Old Style" w:hAnsi="Bookman Old Style"/>
            <w:noProof/>
            <w:webHidden/>
            <w:sz w:val="20"/>
            <w:szCs w:val="20"/>
          </w:rPr>
          <w:fldChar w:fldCharType="end"/>
        </w:r>
      </w:hyperlink>
    </w:p>
    <w:p w:rsidR="00DB0AEE" w:rsidRPr="00DB0AEE" w:rsidRDefault="006C4CCF" w:rsidP="00DB0AEE">
      <w:pPr>
        <w:pStyle w:val="28"/>
        <w:tabs>
          <w:tab w:val="clear" w:pos="10479"/>
          <w:tab w:val="right" w:leader="dot" w:pos="10206"/>
        </w:tabs>
        <w:spacing w:before="80" w:after="80"/>
        <w:ind w:left="0"/>
        <w:rPr>
          <w:rFonts w:eastAsiaTheme="minorEastAsia" w:cstheme="minorBidi"/>
        </w:rPr>
      </w:pPr>
      <w:hyperlink w:anchor="_Toc461206401" w:history="1">
        <w:r w:rsidR="00DB0AEE" w:rsidRPr="00DB0AEE">
          <w:rPr>
            <w:rStyle w:val="aa"/>
          </w:rPr>
          <w:t>5.4. РАСЧЕТ РЫНОЧНОЙ СТОИМОСТИ СРАВНИТЕЛЬНЫМ ПОДХОДОМ</w:t>
        </w:r>
        <w:r w:rsidR="00DB0AEE" w:rsidRPr="00DB0AEE">
          <w:rPr>
            <w:webHidden/>
          </w:rPr>
          <w:tab/>
        </w:r>
        <w:r w:rsidRPr="00DB0AEE">
          <w:rPr>
            <w:webHidden/>
          </w:rPr>
          <w:fldChar w:fldCharType="begin"/>
        </w:r>
        <w:r w:rsidR="00DB0AEE" w:rsidRPr="00DB0AEE">
          <w:rPr>
            <w:webHidden/>
          </w:rPr>
          <w:instrText xml:space="preserve"> PAGEREF _Toc461206401 \h </w:instrText>
        </w:r>
        <w:r w:rsidRPr="00DB0AEE">
          <w:rPr>
            <w:webHidden/>
          </w:rPr>
        </w:r>
        <w:r w:rsidRPr="00DB0AEE">
          <w:rPr>
            <w:webHidden/>
          </w:rPr>
          <w:fldChar w:fldCharType="separate"/>
        </w:r>
        <w:r w:rsidR="00D70166">
          <w:rPr>
            <w:webHidden/>
          </w:rPr>
          <w:t>48</w:t>
        </w:r>
        <w:r w:rsidRPr="00DB0AEE">
          <w:rPr>
            <w:webHidden/>
          </w:rPr>
          <w:fldChar w:fldCharType="end"/>
        </w:r>
      </w:hyperlink>
    </w:p>
    <w:p w:rsidR="00DB0AEE" w:rsidRPr="00DB0AEE" w:rsidRDefault="006C4CCF" w:rsidP="00DB0AEE">
      <w:pPr>
        <w:pStyle w:val="35"/>
        <w:rPr>
          <w:rFonts w:ascii="Bookman Old Style" w:eastAsiaTheme="minorEastAsia" w:hAnsi="Bookman Old Style" w:cstheme="minorBidi"/>
          <w:noProof/>
          <w:sz w:val="20"/>
          <w:szCs w:val="20"/>
        </w:rPr>
      </w:pPr>
      <w:hyperlink w:anchor="_Toc461206402" w:history="1">
        <w:r w:rsidR="00DB0AEE" w:rsidRPr="00DB0AEE">
          <w:rPr>
            <w:rStyle w:val="aa"/>
            <w:rFonts w:ascii="Bookman Old Style" w:hAnsi="Bookman Old Style"/>
            <w:noProof/>
            <w:sz w:val="20"/>
            <w:szCs w:val="20"/>
          </w:rPr>
          <w:t>5.4.1. Последовательность определения стоимости</w:t>
        </w:r>
        <w:r w:rsidR="00DB0AEE" w:rsidRPr="00DB0AEE">
          <w:rPr>
            <w:rFonts w:ascii="Bookman Old Style" w:hAnsi="Bookman Old Style"/>
            <w:noProof/>
            <w:webHidden/>
            <w:sz w:val="20"/>
            <w:szCs w:val="20"/>
          </w:rPr>
          <w:tab/>
        </w:r>
        <w:r w:rsidRPr="00DB0AEE">
          <w:rPr>
            <w:rFonts w:ascii="Bookman Old Style" w:hAnsi="Bookman Old Style"/>
            <w:noProof/>
            <w:webHidden/>
            <w:sz w:val="20"/>
            <w:szCs w:val="20"/>
          </w:rPr>
          <w:fldChar w:fldCharType="begin"/>
        </w:r>
        <w:r w:rsidR="00DB0AEE" w:rsidRPr="00DB0AEE">
          <w:rPr>
            <w:rFonts w:ascii="Bookman Old Style" w:hAnsi="Bookman Old Style"/>
            <w:noProof/>
            <w:webHidden/>
            <w:sz w:val="20"/>
            <w:szCs w:val="20"/>
          </w:rPr>
          <w:instrText xml:space="preserve"> PAGEREF _Toc461206402 \h </w:instrText>
        </w:r>
        <w:r w:rsidRPr="00DB0AEE">
          <w:rPr>
            <w:rFonts w:ascii="Bookman Old Style" w:hAnsi="Bookman Old Style"/>
            <w:noProof/>
            <w:webHidden/>
            <w:sz w:val="20"/>
            <w:szCs w:val="20"/>
          </w:rPr>
        </w:r>
        <w:r w:rsidRPr="00DB0AEE">
          <w:rPr>
            <w:rFonts w:ascii="Bookman Old Style" w:hAnsi="Bookman Old Style"/>
            <w:noProof/>
            <w:webHidden/>
            <w:sz w:val="20"/>
            <w:szCs w:val="20"/>
          </w:rPr>
          <w:fldChar w:fldCharType="separate"/>
        </w:r>
        <w:r w:rsidR="00D70166">
          <w:rPr>
            <w:rFonts w:ascii="Bookman Old Style" w:hAnsi="Bookman Old Style"/>
            <w:noProof/>
            <w:webHidden/>
            <w:sz w:val="20"/>
            <w:szCs w:val="20"/>
          </w:rPr>
          <w:t>48</w:t>
        </w:r>
        <w:r w:rsidRPr="00DB0AEE">
          <w:rPr>
            <w:rFonts w:ascii="Bookman Old Style" w:hAnsi="Bookman Old Style"/>
            <w:noProof/>
            <w:webHidden/>
            <w:sz w:val="20"/>
            <w:szCs w:val="20"/>
          </w:rPr>
          <w:fldChar w:fldCharType="end"/>
        </w:r>
      </w:hyperlink>
    </w:p>
    <w:p w:rsidR="00DB0AEE" w:rsidRPr="00DB0AEE" w:rsidRDefault="006C4CCF" w:rsidP="00DB0AEE">
      <w:pPr>
        <w:pStyle w:val="35"/>
        <w:rPr>
          <w:rFonts w:ascii="Bookman Old Style" w:eastAsiaTheme="minorEastAsia" w:hAnsi="Bookman Old Style" w:cstheme="minorBidi"/>
          <w:noProof/>
          <w:sz w:val="20"/>
          <w:szCs w:val="20"/>
        </w:rPr>
      </w:pPr>
      <w:hyperlink w:anchor="_Toc461206403" w:history="1">
        <w:r w:rsidR="00DB0AEE" w:rsidRPr="00DB0AEE">
          <w:rPr>
            <w:rStyle w:val="aa"/>
            <w:rFonts w:ascii="Bookman Old Style" w:hAnsi="Bookman Old Style"/>
            <w:noProof/>
            <w:sz w:val="20"/>
            <w:szCs w:val="20"/>
          </w:rPr>
          <w:t>5.4.2. Выбор единиц сравнения</w:t>
        </w:r>
        <w:r w:rsidR="00DB0AEE" w:rsidRPr="00DB0AEE">
          <w:rPr>
            <w:rFonts w:ascii="Bookman Old Style" w:hAnsi="Bookman Old Style"/>
            <w:noProof/>
            <w:webHidden/>
            <w:sz w:val="20"/>
            <w:szCs w:val="20"/>
          </w:rPr>
          <w:tab/>
        </w:r>
        <w:r w:rsidRPr="00DB0AEE">
          <w:rPr>
            <w:rFonts w:ascii="Bookman Old Style" w:hAnsi="Bookman Old Style"/>
            <w:noProof/>
            <w:webHidden/>
            <w:sz w:val="20"/>
            <w:szCs w:val="20"/>
          </w:rPr>
          <w:fldChar w:fldCharType="begin"/>
        </w:r>
        <w:r w:rsidR="00DB0AEE" w:rsidRPr="00DB0AEE">
          <w:rPr>
            <w:rFonts w:ascii="Bookman Old Style" w:hAnsi="Bookman Old Style"/>
            <w:noProof/>
            <w:webHidden/>
            <w:sz w:val="20"/>
            <w:szCs w:val="20"/>
          </w:rPr>
          <w:instrText xml:space="preserve"> PAGEREF _Toc461206403 \h </w:instrText>
        </w:r>
        <w:r w:rsidRPr="00DB0AEE">
          <w:rPr>
            <w:rFonts w:ascii="Bookman Old Style" w:hAnsi="Bookman Old Style"/>
            <w:noProof/>
            <w:webHidden/>
            <w:sz w:val="20"/>
            <w:szCs w:val="20"/>
          </w:rPr>
        </w:r>
        <w:r w:rsidRPr="00DB0AEE">
          <w:rPr>
            <w:rFonts w:ascii="Bookman Old Style" w:hAnsi="Bookman Old Style"/>
            <w:noProof/>
            <w:webHidden/>
            <w:sz w:val="20"/>
            <w:szCs w:val="20"/>
          </w:rPr>
          <w:fldChar w:fldCharType="separate"/>
        </w:r>
        <w:r w:rsidR="00D70166">
          <w:rPr>
            <w:rFonts w:ascii="Bookman Old Style" w:hAnsi="Bookman Old Style"/>
            <w:noProof/>
            <w:webHidden/>
            <w:sz w:val="20"/>
            <w:szCs w:val="20"/>
          </w:rPr>
          <w:t>50</w:t>
        </w:r>
        <w:r w:rsidRPr="00DB0AEE">
          <w:rPr>
            <w:rFonts w:ascii="Bookman Old Style" w:hAnsi="Bookman Old Style"/>
            <w:noProof/>
            <w:webHidden/>
            <w:sz w:val="20"/>
            <w:szCs w:val="20"/>
          </w:rPr>
          <w:fldChar w:fldCharType="end"/>
        </w:r>
      </w:hyperlink>
    </w:p>
    <w:p w:rsidR="00DB0AEE" w:rsidRPr="00DB0AEE" w:rsidRDefault="006C4CCF" w:rsidP="00DB0AEE">
      <w:pPr>
        <w:pStyle w:val="35"/>
        <w:rPr>
          <w:rFonts w:ascii="Bookman Old Style" w:eastAsiaTheme="minorEastAsia" w:hAnsi="Bookman Old Style" w:cstheme="minorBidi"/>
          <w:noProof/>
          <w:sz w:val="20"/>
          <w:szCs w:val="20"/>
        </w:rPr>
      </w:pPr>
      <w:hyperlink w:anchor="_Toc461206404" w:history="1">
        <w:r w:rsidR="00DB0AEE" w:rsidRPr="00DB0AEE">
          <w:rPr>
            <w:rStyle w:val="aa"/>
            <w:rFonts w:ascii="Bookman Old Style" w:hAnsi="Bookman Old Style"/>
            <w:noProof/>
            <w:sz w:val="20"/>
            <w:szCs w:val="20"/>
          </w:rPr>
          <w:t>5.4.3. Правило отбора аналогов</w:t>
        </w:r>
        <w:r w:rsidR="00DB0AEE" w:rsidRPr="00DB0AEE">
          <w:rPr>
            <w:rFonts w:ascii="Bookman Old Style" w:hAnsi="Bookman Old Style"/>
            <w:noProof/>
            <w:webHidden/>
            <w:sz w:val="20"/>
            <w:szCs w:val="20"/>
          </w:rPr>
          <w:tab/>
        </w:r>
        <w:r w:rsidRPr="00DB0AEE">
          <w:rPr>
            <w:rFonts w:ascii="Bookman Old Style" w:hAnsi="Bookman Old Style"/>
            <w:noProof/>
            <w:webHidden/>
            <w:sz w:val="20"/>
            <w:szCs w:val="20"/>
          </w:rPr>
          <w:fldChar w:fldCharType="begin"/>
        </w:r>
        <w:r w:rsidR="00DB0AEE" w:rsidRPr="00DB0AEE">
          <w:rPr>
            <w:rFonts w:ascii="Bookman Old Style" w:hAnsi="Bookman Old Style"/>
            <w:noProof/>
            <w:webHidden/>
            <w:sz w:val="20"/>
            <w:szCs w:val="20"/>
          </w:rPr>
          <w:instrText xml:space="preserve"> PAGEREF _Toc461206404 \h </w:instrText>
        </w:r>
        <w:r w:rsidRPr="00DB0AEE">
          <w:rPr>
            <w:rFonts w:ascii="Bookman Old Style" w:hAnsi="Bookman Old Style"/>
            <w:noProof/>
            <w:webHidden/>
            <w:sz w:val="20"/>
            <w:szCs w:val="20"/>
          </w:rPr>
        </w:r>
        <w:r w:rsidRPr="00DB0AEE">
          <w:rPr>
            <w:rFonts w:ascii="Bookman Old Style" w:hAnsi="Bookman Old Style"/>
            <w:noProof/>
            <w:webHidden/>
            <w:sz w:val="20"/>
            <w:szCs w:val="20"/>
          </w:rPr>
          <w:fldChar w:fldCharType="separate"/>
        </w:r>
        <w:r w:rsidR="00D70166">
          <w:rPr>
            <w:rFonts w:ascii="Bookman Old Style" w:hAnsi="Bookman Old Style"/>
            <w:noProof/>
            <w:webHidden/>
            <w:sz w:val="20"/>
            <w:szCs w:val="20"/>
          </w:rPr>
          <w:t>50</w:t>
        </w:r>
        <w:r w:rsidRPr="00DB0AEE">
          <w:rPr>
            <w:rFonts w:ascii="Bookman Old Style" w:hAnsi="Bookman Old Style"/>
            <w:noProof/>
            <w:webHidden/>
            <w:sz w:val="20"/>
            <w:szCs w:val="20"/>
          </w:rPr>
          <w:fldChar w:fldCharType="end"/>
        </w:r>
      </w:hyperlink>
    </w:p>
    <w:p w:rsidR="00DB0AEE" w:rsidRPr="00DB0AEE" w:rsidRDefault="006C4CCF" w:rsidP="00DB0AEE">
      <w:pPr>
        <w:pStyle w:val="35"/>
        <w:rPr>
          <w:rFonts w:ascii="Bookman Old Style" w:eastAsiaTheme="minorEastAsia" w:hAnsi="Bookman Old Style" w:cstheme="minorBidi"/>
          <w:noProof/>
          <w:sz w:val="20"/>
          <w:szCs w:val="20"/>
        </w:rPr>
      </w:pPr>
      <w:hyperlink w:anchor="_Toc461206405" w:history="1">
        <w:r w:rsidR="00DB0AEE" w:rsidRPr="00DB0AEE">
          <w:rPr>
            <w:rStyle w:val="aa"/>
            <w:rFonts w:ascii="Bookman Old Style" w:hAnsi="Bookman Old Style"/>
            <w:noProof/>
            <w:sz w:val="20"/>
            <w:szCs w:val="20"/>
          </w:rPr>
          <w:t>5.4.4. Корректировка по элементам сравнения. Согласование скорректированных результатов расчетов.</w:t>
        </w:r>
        <w:r w:rsidR="00DB0AEE" w:rsidRPr="00DB0AEE">
          <w:rPr>
            <w:rFonts w:ascii="Bookman Old Style" w:hAnsi="Bookman Old Style"/>
            <w:noProof/>
            <w:webHidden/>
            <w:sz w:val="20"/>
            <w:szCs w:val="20"/>
          </w:rPr>
          <w:tab/>
        </w:r>
        <w:r w:rsidRPr="00DB0AEE">
          <w:rPr>
            <w:rFonts w:ascii="Bookman Old Style" w:hAnsi="Bookman Old Style"/>
            <w:noProof/>
            <w:webHidden/>
            <w:sz w:val="20"/>
            <w:szCs w:val="20"/>
          </w:rPr>
          <w:fldChar w:fldCharType="begin"/>
        </w:r>
        <w:r w:rsidR="00DB0AEE" w:rsidRPr="00DB0AEE">
          <w:rPr>
            <w:rFonts w:ascii="Bookman Old Style" w:hAnsi="Bookman Old Style"/>
            <w:noProof/>
            <w:webHidden/>
            <w:sz w:val="20"/>
            <w:szCs w:val="20"/>
          </w:rPr>
          <w:instrText xml:space="preserve"> PAGEREF _Toc461206405 \h </w:instrText>
        </w:r>
        <w:r w:rsidRPr="00DB0AEE">
          <w:rPr>
            <w:rFonts w:ascii="Bookman Old Style" w:hAnsi="Bookman Old Style"/>
            <w:noProof/>
            <w:webHidden/>
            <w:sz w:val="20"/>
            <w:szCs w:val="20"/>
          </w:rPr>
        </w:r>
        <w:r w:rsidRPr="00DB0AEE">
          <w:rPr>
            <w:rFonts w:ascii="Bookman Old Style" w:hAnsi="Bookman Old Style"/>
            <w:noProof/>
            <w:webHidden/>
            <w:sz w:val="20"/>
            <w:szCs w:val="20"/>
          </w:rPr>
          <w:fldChar w:fldCharType="separate"/>
        </w:r>
        <w:r w:rsidR="00D70166">
          <w:rPr>
            <w:rFonts w:ascii="Bookman Old Style" w:hAnsi="Bookman Old Style"/>
            <w:noProof/>
            <w:webHidden/>
            <w:sz w:val="20"/>
            <w:szCs w:val="20"/>
          </w:rPr>
          <w:t>51</w:t>
        </w:r>
        <w:r w:rsidRPr="00DB0AEE">
          <w:rPr>
            <w:rFonts w:ascii="Bookman Old Style" w:hAnsi="Bookman Old Style"/>
            <w:noProof/>
            <w:webHidden/>
            <w:sz w:val="20"/>
            <w:szCs w:val="20"/>
          </w:rPr>
          <w:fldChar w:fldCharType="end"/>
        </w:r>
      </w:hyperlink>
    </w:p>
    <w:p w:rsidR="00DB0AEE" w:rsidRPr="00DB0AEE" w:rsidRDefault="006C4CCF" w:rsidP="00DB0AEE">
      <w:pPr>
        <w:pStyle w:val="35"/>
        <w:rPr>
          <w:rFonts w:ascii="Bookman Old Style" w:eastAsiaTheme="minorEastAsia" w:hAnsi="Bookman Old Style" w:cstheme="minorBidi"/>
          <w:noProof/>
          <w:sz w:val="20"/>
          <w:szCs w:val="20"/>
        </w:rPr>
      </w:pPr>
      <w:hyperlink w:anchor="_Toc461206406" w:history="1">
        <w:r w:rsidR="00DB0AEE" w:rsidRPr="00DB0AEE">
          <w:rPr>
            <w:rStyle w:val="aa"/>
            <w:rFonts w:ascii="Bookman Old Style" w:hAnsi="Bookman Old Style"/>
            <w:noProof/>
            <w:sz w:val="20"/>
            <w:szCs w:val="20"/>
          </w:rPr>
          <w:t xml:space="preserve">5.4.4.1. Расчет стоимости 1 кв.м. нежилого помещения производственно-складского назначения площадью </w:t>
        </w:r>
        <w:r w:rsidR="00DB0AEE" w:rsidRPr="00DB0AEE">
          <w:rPr>
            <w:rStyle w:val="aa"/>
            <w:rFonts w:ascii="Bookman Old Style" w:hAnsi="Bookman Old Style"/>
            <w:noProof/>
            <w:sz w:val="20"/>
            <w:szCs w:val="20"/>
            <w:lang w:val="en-US"/>
          </w:rPr>
          <w:t>&gt;1000</w:t>
        </w:r>
        <w:r w:rsidR="00DB0AEE" w:rsidRPr="00DB0AEE">
          <w:rPr>
            <w:rStyle w:val="aa"/>
            <w:rFonts w:ascii="Bookman Old Style" w:hAnsi="Bookman Old Style"/>
            <w:noProof/>
            <w:sz w:val="20"/>
            <w:szCs w:val="20"/>
          </w:rPr>
          <w:t xml:space="preserve"> кв.м.</w:t>
        </w:r>
        <w:r w:rsidR="00DB0AEE" w:rsidRPr="00DB0AEE">
          <w:rPr>
            <w:rFonts w:ascii="Bookman Old Style" w:hAnsi="Bookman Old Style"/>
            <w:noProof/>
            <w:webHidden/>
            <w:sz w:val="20"/>
            <w:szCs w:val="20"/>
          </w:rPr>
          <w:tab/>
        </w:r>
        <w:r w:rsidRPr="00DB0AEE">
          <w:rPr>
            <w:rFonts w:ascii="Bookman Old Style" w:hAnsi="Bookman Old Style"/>
            <w:noProof/>
            <w:webHidden/>
            <w:sz w:val="20"/>
            <w:szCs w:val="20"/>
          </w:rPr>
          <w:fldChar w:fldCharType="begin"/>
        </w:r>
        <w:r w:rsidR="00DB0AEE" w:rsidRPr="00DB0AEE">
          <w:rPr>
            <w:rFonts w:ascii="Bookman Old Style" w:hAnsi="Bookman Old Style"/>
            <w:noProof/>
            <w:webHidden/>
            <w:sz w:val="20"/>
            <w:szCs w:val="20"/>
          </w:rPr>
          <w:instrText xml:space="preserve"> PAGEREF _Toc461206406 \h </w:instrText>
        </w:r>
        <w:r w:rsidRPr="00DB0AEE">
          <w:rPr>
            <w:rFonts w:ascii="Bookman Old Style" w:hAnsi="Bookman Old Style"/>
            <w:noProof/>
            <w:webHidden/>
            <w:sz w:val="20"/>
            <w:szCs w:val="20"/>
          </w:rPr>
        </w:r>
        <w:r w:rsidRPr="00DB0AEE">
          <w:rPr>
            <w:rFonts w:ascii="Bookman Old Style" w:hAnsi="Bookman Old Style"/>
            <w:noProof/>
            <w:webHidden/>
            <w:sz w:val="20"/>
            <w:szCs w:val="20"/>
          </w:rPr>
          <w:fldChar w:fldCharType="separate"/>
        </w:r>
        <w:r w:rsidR="00D70166">
          <w:rPr>
            <w:rFonts w:ascii="Bookman Old Style" w:hAnsi="Bookman Old Style"/>
            <w:noProof/>
            <w:webHidden/>
            <w:sz w:val="20"/>
            <w:szCs w:val="20"/>
          </w:rPr>
          <w:t>51</w:t>
        </w:r>
        <w:r w:rsidRPr="00DB0AEE">
          <w:rPr>
            <w:rFonts w:ascii="Bookman Old Style" w:hAnsi="Bookman Old Style"/>
            <w:noProof/>
            <w:webHidden/>
            <w:sz w:val="20"/>
            <w:szCs w:val="20"/>
          </w:rPr>
          <w:fldChar w:fldCharType="end"/>
        </w:r>
      </w:hyperlink>
    </w:p>
    <w:p w:rsidR="00DB0AEE" w:rsidRPr="00DB0AEE" w:rsidRDefault="006C4CCF" w:rsidP="00DB0AEE">
      <w:pPr>
        <w:pStyle w:val="35"/>
        <w:rPr>
          <w:rFonts w:ascii="Bookman Old Style" w:eastAsiaTheme="minorEastAsia" w:hAnsi="Bookman Old Style" w:cstheme="minorBidi"/>
          <w:noProof/>
          <w:sz w:val="20"/>
          <w:szCs w:val="20"/>
        </w:rPr>
      </w:pPr>
      <w:hyperlink w:anchor="_Toc461206407" w:history="1">
        <w:r w:rsidR="00DB0AEE" w:rsidRPr="00DB0AEE">
          <w:rPr>
            <w:rStyle w:val="aa"/>
            <w:rFonts w:ascii="Bookman Old Style" w:hAnsi="Bookman Old Style"/>
            <w:noProof/>
            <w:sz w:val="20"/>
            <w:szCs w:val="20"/>
          </w:rPr>
          <w:t xml:space="preserve">5.4.4.2. Расчет стоимости 1 кв.м. нежилого помещения административно-офисного назначения </w:t>
        </w:r>
        <w:r w:rsidR="00DB0AEE" w:rsidRPr="00DB0AEE">
          <w:rPr>
            <w:rStyle w:val="aa"/>
            <w:rFonts w:ascii="Bookman Old Style" w:hAnsi="Bookman Old Style"/>
            <w:noProof/>
            <w:sz w:val="20"/>
            <w:szCs w:val="20"/>
            <w:lang w:val="en-US"/>
          </w:rPr>
          <w:t>c</w:t>
        </w:r>
        <w:r w:rsidR="00DB0AEE" w:rsidRPr="00DB0AEE">
          <w:rPr>
            <w:rStyle w:val="aa"/>
            <w:rFonts w:ascii="Bookman Old Style" w:hAnsi="Bookman Old Style"/>
            <w:noProof/>
            <w:sz w:val="20"/>
            <w:szCs w:val="20"/>
          </w:rPr>
          <w:t xml:space="preserve"> диапазоном площади 300-1000 кв.м.</w:t>
        </w:r>
        <w:r w:rsidR="00DB0AEE" w:rsidRPr="00DB0AEE">
          <w:rPr>
            <w:rFonts w:ascii="Bookman Old Style" w:hAnsi="Bookman Old Style"/>
            <w:noProof/>
            <w:webHidden/>
            <w:sz w:val="20"/>
            <w:szCs w:val="20"/>
          </w:rPr>
          <w:tab/>
        </w:r>
        <w:r w:rsidRPr="00DB0AEE">
          <w:rPr>
            <w:rFonts w:ascii="Bookman Old Style" w:hAnsi="Bookman Old Style"/>
            <w:noProof/>
            <w:webHidden/>
            <w:sz w:val="20"/>
            <w:szCs w:val="20"/>
          </w:rPr>
          <w:fldChar w:fldCharType="begin"/>
        </w:r>
        <w:r w:rsidR="00DB0AEE" w:rsidRPr="00DB0AEE">
          <w:rPr>
            <w:rFonts w:ascii="Bookman Old Style" w:hAnsi="Bookman Old Style"/>
            <w:noProof/>
            <w:webHidden/>
            <w:sz w:val="20"/>
            <w:szCs w:val="20"/>
          </w:rPr>
          <w:instrText xml:space="preserve"> PAGEREF _Toc461206407 \h </w:instrText>
        </w:r>
        <w:r w:rsidRPr="00DB0AEE">
          <w:rPr>
            <w:rFonts w:ascii="Bookman Old Style" w:hAnsi="Bookman Old Style"/>
            <w:noProof/>
            <w:webHidden/>
            <w:sz w:val="20"/>
            <w:szCs w:val="20"/>
          </w:rPr>
        </w:r>
        <w:r w:rsidRPr="00DB0AEE">
          <w:rPr>
            <w:rFonts w:ascii="Bookman Old Style" w:hAnsi="Bookman Old Style"/>
            <w:noProof/>
            <w:webHidden/>
            <w:sz w:val="20"/>
            <w:szCs w:val="20"/>
          </w:rPr>
          <w:fldChar w:fldCharType="separate"/>
        </w:r>
        <w:r w:rsidR="00D70166">
          <w:rPr>
            <w:rFonts w:ascii="Bookman Old Style" w:hAnsi="Bookman Old Style"/>
            <w:noProof/>
            <w:webHidden/>
            <w:sz w:val="20"/>
            <w:szCs w:val="20"/>
          </w:rPr>
          <w:t>52</w:t>
        </w:r>
        <w:r w:rsidRPr="00DB0AEE">
          <w:rPr>
            <w:rFonts w:ascii="Bookman Old Style" w:hAnsi="Bookman Old Style"/>
            <w:noProof/>
            <w:webHidden/>
            <w:sz w:val="20"/>
            <w:szCs w:val="20"/>
          </w:rPr>
          <w:fldChar w:fldCharType="end"/>
        </w:r>
      </w:hyperlink>
    </w:p>
    <w:p w:rsidR="00DB0AEE" w:rsidRPr="00DB0AEE" w:rsidRDefault="006C4CCF" w:rsidP="00DB0AEE">
      <w:pPr>
        <w:pStyle w:val="35"/>
        <w:rPr>
          <w:rFonts w:ascii="Bookman Old Style" w:eastAsiaTheme="minorEastAsia" w:hAnsi="Bookman Old Style" w:cstheme="minorBidi"/>
          <w:noProof/>
          <w:sz w:val="20"/>
          <w:szCs w:val="20"/>
        </w:rPr>
      </w:pPr>
      <w:hyperlink w:anchor="_Toc461206408" w:history="1">
        <w:r w:rsidR="00DB0AEE" w:rsidRPr="00DB0AEE">
          <w:rPr>
            <w:rStyle w:val="aa"/>
            <w:rFonts w:ascii="Bookman Old Style" w:hAnsi="Bookman Old Style"/>
            <w:noProof/>
            <w:sz w:val="20"/>
            <w:szCs w:val="20"/>
          </w:rPr>
          <w:t xml:space="preserve">5.4.4.3. Расчет стоимости 1 кв.м. холодного склада площадью </w:t>
        </w:r>
        <w:r w:rsidR="00DB0AEE" w:rsidRPr="00DB0AEE">
          <w:rPr>
            <w:rStyle w:val="aa"/>
            <w:rFonts w:ascii="Bookman Old Style" w:hAnsi="Bookman Old Style"/>
            <w:noProof/>
            <w:sz w:val="20"/>
            <w:szCs w:val="20"/>
            <w:lang w:val="en-US"/>
          </w:rPr>
          <w:t>&gt;1000</w:t>
        </w:r>
        <w:r w:rsidR="00DB0AEE" w:rsidRPr="00DB0AEE">
          <w:rPr>
            <w:rStyle w:val="aa"/>
            <w:rFonts w:ascii="Bookman Old Style" w:hAnsi="Bookman Old Style"/>
            <w:noProof/>
            <w:sz w:val="20"/>
            <w:szCs w:val="20"/>
          </w:rPr>
          <w:t xml:space="preserve"> кв.м.</w:t>
        </w:r>
        <w:r w:rsidR="00DB0AEE" w:rsidRPr="00DB0AEE">
          <w:rPr>
            <w:rFonts w:ascii="Bookman Old Style" w:hAnsi="Bookman Old Style"/>
            <w:noProof/>
            <w:webHidden/>
            <w:sz w:val="20"/>
            <w:szCs w:val="20"/>
          </w:rPr>
          <w:tab/>
        </w:r>
        <w:r w:rsidRPr="00DB0AEE">
          <w:rPr>
            <w:rFonts w:ascii="Bookman Old Style" w:hAnsi="Bookman Old Style"/>
            <w:noProof/>
            <w:webHidden/>
            <w:sz w:val="20"/>
            <w:szCs w:val="20"/>
          </w:rPr>
          <w:fldChar w:fldCharType="begin"/>
        </w:r>
        <w:r w:rsidR="00DB0AEE" w:rsidRPr="00DB0AEE">
          <w:rPr>
            <w:rFonts w:ascii="Bookman Old Style" w:hAnsi="Bookman Old Style"/>
            <w:noProof/>
            <w:webHidden/>
            <w:sz w:val="20"/>
            <w:szCs w:val="20"/>
          </w:rPr>
          <w:instrText xml:space="preserve"> PAGEREF _Toc461206408 \h </w:instrText>
        </w:r>
        <w:r w:rsidRPr="00DB0AEE">
          <w:rPr>
            <w:rFonts w:ascii="Bookman Old Style" w:hAnsi="Bookman Old Style"/>
            <w:noProof/>
            <w:webHidden/>
            <w:sz w:val="20"/>
            <w:szCs w:val="20"/>
          </w:rPr>
        </w:r>
        <w:r w:rsidRPr="00DB0AEE">
          <w:rPr>
            <w:rFonts w:ascii="Bookman Old Style" w:hAnsi="Bookman Old Style"/>
            <w:noProof/>
            <w:webHidden/>
            <w:sz w:val="20"/>
            <w:szCs w:val="20"/>
          </w:rPr>
          <w:fldChar w:fldCharType="separate"/>
        </w:r>
        <w:r w:rsidR="00D70166">
          <w:rPr>
            <w:rFonts w:ascii="Bookman Old Style" w:hAnsi="Bookman Old Style"/>
            <w:noProof/>
            <w:webHidden/>
            <w:sz w:val="20"/>
            <w:szCs w:val="20"/>
          </w:rPr>
          <w:t>53</w:t>
        </w:r>
        <w:r w:rsidRPr="00DB0AEE">
          <w:rPr>
            <w:rFonts w:ascii="Bookman Old Style" w:hAnsi="Bookman Old Style"/>
            <w:noProof/>
            <w:webHidden/>
            <w:sz w:val="20"/>
            <w:szCs w:val="20"/>
          </w:rPr>
          <w:fldChar w:fldCharType="end"/>
        </w:r>
      </w:hyperlink>
    </w:p>
    <w:p w:rsidR="00DB0AEE" w:rsidRPr="00DB0AEE" w:rsidRDefault="006C4CCF" w:rsidP="00DB0AEE">
      <w:pPr>
        <w:pStyle w:val="35"/>
        <w:rPr>
          <w:rFonts w:ascii="Bookman Old Style" w:eastAsiaTheme="minorEastAsia" w:hAnsi="Bookman Old Style" w:cstheme="minorBidi"/>
          <w:noProof/>
          <w:sz w:val="20"/>
          <w:szCs w:val="20"/>
        </w:rPr>
      </w:pPr>
      <w:hyperlink w:anchor="_Toc461206409" w:history="1">
        <w:r w:rsidR="00DB0AEE" w:rsidRPr="00DB0AEE">
          <w:rPr>
            <w:rStyle w:val="aa"/>
            <w:rFonts w:ascii="Bookman Old Style" w:hAnsi="Bookman Old Style"/>
            <w:bCs/>
            <w:noProof/>
            <w:sz w:val="20"/>
            <w:szCs w:val="20"/>
          </w:rPr>
          <w:t>5.4.5. Определение рыночной стоимости земельного участка сравнительным подходом</w:t>
        </w:r>
        <w:r w:rsidR="00DB0AEE" w:rsidRPr="00DB0AEE">
          <w:rPr>
            <w:rFonts w:ascii="Bookman Old Style" w:hAnsi="Bookman Old Style"/>
            <w:noProof/>
            <w:webHidden/>
            <w:sz w:val="20"/>
            <w:szCs w:val="20"/>
          </w:rPr>
          <w:tab/>
        </w:r>
        <w:r w:rsidRPr="00DB0AEE">
          <w:rPr>
            <w:rFonts w:ascii="Bookman Old Style" w:hAnsi="Bookman Old Style"/>
            <w:noProof/>
            <w:webHidden/>
            <w:sz w:val="20"/>
            <w:szCs w:val="20"/>
          </w:rPr>
          <w:fldChar w:fldCharType="begin"/>
        </w:r>
        <w:r w:rsidR="00DB0AEE" w:rsidRPr="00DB0AEE">
          <w:rPr>
            <w:rFonts w:ascii="Bookman Old Style" w:hAnsi="Bookman Old Style"/>
            <w:noProof/>
            <w:webHidden/>
            <w:sz w:val="20"/>
            <w:szCs w:val="20"/>
          </w:rPr>
          <w:instrText xml:space="preserve"> PAGEREF _Toc461206409 \h </w:instrText>
        </w:r>
        <w:r w:rsidRPr="00DB0AEE">
          <w:rPr>
            <w:rFonts w:ascii="Bookman Old Style" w:hAnsi="Bookman Old Style"/>
            <w:noProof/>
            <w:webHidden/>
            <w:sz w:val="20"/>
            <w:szCs w:val="20"/>
          </w:rPr>
        </w:r>
        <w:r w:rsidRPr="00DB0AEE">
          <w:rPr>
            <w:rFonts w:ascii="Bookman Old Style" w:hAnsi="Bookman Old Style"/>
            <w:noProof/>
            <w:webHidden/>
            <w:sz w:val="20"/>
            <w:szCs w:val="20"/>
          </w:rPr>
          <w:fldChar w:fldCharType="separate"/>
        </w:r>
        <w:r w:rsidR="00D70166">
          <w:rPr>
            <w:rFonts w:ascii="Bookman Old Style" w:hAnsi="Bookman Old Style"/>
            <w:noProof/>
            <w:webHidden/>
            <w:sz w:val="20"/>
            <w:szCs w:val="20"/>
          </w:rPr>
          <w:t>57</w:t>
        </w:r>
        <w:r w:rsidRPr="00DB0AEE">
          <w:rPr>
            <w:rFonts w:ascii="Bookman Old Style" w:hAnsi="Bookman Old Style"/>
            <w:noProof/>
            <w:webHidden/>
            <w:sz w:val="20"/>
            <w:szCs w:val="20"/>
          </w:rPr>
          <w:fldChar w:fldCharType="end"/>
        </w:r>
      </w:hyperlink>
    </w:p>
    <w:p w:rsidR="00DB0AEE" w:rsidRPr="00DB0AEE" w:rsidRDefault="006C4CCF" w:rsidP="00DB0AEE">
      <w:pPr>
        <w:pStyle w:val="35"/>
        <w:rPr>
          <w:rFonts w:ascii="Bookman Old Style" w:eastAsiaTheme="minorEastAsia" w:hAnsi="Bookman Old Style" w:cstheme="minorBidi"/>
          <w:noProof/>
          <w:sz w:val="20"/>
          <w:szCs w:val="20"/>
        </w:rPr>
      </w:pPr>
      <w:hyperlink w:anchor="_Toc461206410" w:history="1">
        <w:r w:rsidR="00DB0AEE" w:rsidRPr="00DB0AEE">
          <w:rPr>
            <w:rStyle w:val="aa"/>
            <w:rFonts w:ascii="Bookman Old Style" w:hAnsi="Bookman Old Style"/>
            <w:bCs/>
            <w:noProof/>
            <w:sz w:val="20"/>
            <w:szCs w:val="20"/>
          </w:rPr>
          <w:t xml:space="preserve">5.4.6. </w:t>
        </w:r>
        <w:r w:rsidR="00DB0AEE" w:rsidRPr="00DB0AEE">
          <w:rPr>
            <w:rStyle w:val="aa"/>
            <w:rFonts w:ascii="Bookman Old Style" w:hAnsi="Bookman Old Style"/>
            <w:noProof/>
            <w:sz w:val="20"/>
            <w:szCs w:val="20"/>
          </w:rPr>
          <w:t>Результаты расчета стоимости недвижимого имущества сравнительным подходом</w:t>
        </w:r>
        <w:r w:rsidR="00DB0AEE" w:rsidRPr="00DB0AEE">
          <w:rPr>
            <w:rFonts w:ascii="Bookman Old Style" w:hAnsi="Bookman Old Style"/>
            <w:noProof/>
            <w:webHidden/>
            <w:sz w:val="20"/>
            <w:szCs w:val="20"/>
          </w:rPr>
          <w:tab/>
        </w:r>
        <w:r w:rsidRPr="00DB0AEE">
          <w:rPr>
            <w:rFonts w:ascii="Bookman Old Style" w:hAnsi="Bookman Old Style"/>
            <w:noProof/>
            <w:webHidden/>
            <w:sz w:val="20"/>
            <w:szCs w:val="20"/>
          </w:rPr>
          <w:fldChar w:fldCharType="begin"/>
        </w:r>
        <w:r w:rsidR="00DB0AEE" w:rsidRPr="00DB0AEE">
          <w:rPr>
            <w:rFonts w:ascii="Bookman Old Style" w:hAnsi="Bookman Old Style"/>
            <w:noProof/>
            <w:webHidden/>
            <w:sz w:val="20"/>
            <w:szCs w:val="20"/>
          </w:rPr>
          <w:instrText xml:space="preserve"> PAGEREF _Toc461206410 \h </w:instrText>
        </w:r>
        <w:r w:rsidRPr="00DB0AEE">
          <w:rPr>
            <w:rFonts w:ascii="Bookman Old Style" w:hAnsi="Bookman Old Style"/>
            <w:noProof/>
            <w:webHidden/>
            <w:sz w:val="20"/>
            <w:szCs w:val="20"/>
          </w:rPr>
        </w:r>
        <w:r w:rsidRPr="00DB0AEE">
          <w:rPr>
            <w:rFonts w:ascii="Bookman Old Style" w:hAnsi="Bookman Old Style"/>
            <w:noProof/>
            <w:webHidden/>
            <w:sz w:val="20"/>
            <w:szCs w:val="20"/>
          </w:rPr>
          <w:fldChar w:fldCharType="separate"/>
        </w:r>
        <w:r w:rsidR="00D70166">
          <w:rPr>
            <w:rFonts w:ascii="Bookman Old Style" w:hAnsi="Bookman Old Style"/>
            <w:noProof/>
            <w:webHidden/>
            <w:sz w:val="20"/>
            <w:szCs w:val="20"/>
          </w:rPr>
          <w:t>60</w:t>
        </w:r>
        <w:r w:rsidRPr="00DB0AEE">
          <w:rPr>
            <w:rFonts w:ascii="Bookman Old Style" w:hAnsi="Bookman Old Style"/>
            <w:noProof/>
            <w:webHidden/>
            <w:sz w:val="20"/>
            <w:szCs w:val="20"/>
          </w:rPr>
          <w:fldChar w:fldCharType="end"/>
        </w:r>
      </w:hyperlink>
    </w:p>
    <w:p w:rsidR="00DB0AEE" w:rsidRPr="00DB0AEE" w:rsidRDefault="006C4CCF" w:rsidP="00DB0AEE">
      <w:pPr>
        <w:pStyle w:val="28"/>
        <w:tabs>
          <w:tab w:val="clear" w:pos="10479"/>
          <w:tab w:val="right" w:leader="dot" w:pos="10206"/>
        </w:tabs>
        <w:spacing w:before="80" w:after="80"/>
        <w:ind w:left="0"/>
        <w:rPr>
          <w:rFonts w:eastAsiaTheme="minorEastAsia" w:cstheme="minorBidi"/>
        </w:rPr>
      </w:pPr>
      <w:hyperlink w:anchor="_Toc461206411" w:history="1">
        <w:r w:rsidR="00DB0AEE" w:rsidRPr="00DB0AEE">
          <w:rPr>
            <w:rStyle w:val="aa"/>
          </w:rPr>
          <w:t>5.5. ОПРЕДЕЛЕНИЕ СТОИМОСТИ ИМУЩЕСТВА ДОХОДНЫМ ПОДХОДОМ</w:t>
        </w:r>
        <w:r w:rsidR="00DB0AEE" w:rsidRPr="00DB0AEE">
          <w:rPr>
            <w:webHidden/>
          </w:rPr>
          <w:tab/>
        </w:r>
        <w:r w:rsidRPr="00DB0AEE">
          <w:rPr>
            <w:webHidden/>
          </w:rPr>
          <w:fldChar w:fldCharType="begin"/>
        </w:r>
        <w:r w:rsidR="00DB0AEE" w:rsidRPr="00DB0AEE">
          <w:rPr>
            <w:webHidden/>
          </w:rPr>
          <w:instrText xml:space="preserve"> PAGEREF _Toc461206411 \h </w:instrText>
        </w:r>
        <w:r w:rsidRPr="00DB0AEE">
          <w:rPr>
            <w:webHidden/>
          </w:rPr>
        </w:r>
        <w:r w:rsidRPr="00DB0AEE">
          <w:rPr>
            <w:webHidden/>
          </w:rPr>
          <w:fldChar w:fldCharType="separate"/>
        </w:r>
        <w:r w:rsidR="00D70166">
          <w:rPr>
            <w:webHidden/>
          </w:rPr>
          <w:t>61</w:t>
        </w:r>
        <w:r w:rsidRPr="00DB0AEE">
          <w:rPr>
            <w:webHidden/>
          </w:rPr>
          <w:fldChar w:fldCharType="end"/>
        </w:r>
      </w:hyperlink>
    </w:p>
    <w:p w:rsidR="00DB0AEE" w:rsidRPr="00DB0AEE" w:rsidRDefault="006C4CCF" w:rsidP="00DB0AEE">
      <w:pPr>
        <w:pStyle w:val="35"/>
        <w:rPr>
          <w:rFonts w:ascii="Bookman Old Style" w:eastAsiaTheme="minorEastAsia" w:hAnsi="Bookman Old Style" w:cstheme="minorBidi"/>
          <w:noProof/>
          <w:sz w:val="20"/>
          <w:szCs w:val="20"/>
        </w:rPr>
      </w:pPr>
      <w:hyperlink w:anchor="_Toc461206412" w:history="1">
        <w:r w:rsidR="00DB0AEE" w:rsidRPr="00DB0AEE">
          <w:rPr>
            <w:rStyle w:val="aa"/>
            <w:rFonts w:ascii="Bookman Old Style" w:hAnsi="Bookman Old Style"/>
            <w:bCs/>
            <w:noProof/>
            <w:sz w:val="20"/>
            <w:szCs w:val="20"/>
          </w:rPr>
          <w:t>5.5.1. Выбор метода оценки</w:t>
        </w:r>
        <w:r w:rsidR="00DB0AEE" w:rsidRPr="00DB0AEE">
          <w:rPr>
            <w:rFonts w:ascii="Bookman Old Style" w:hAnsi="Bookman Old Style"/>
            <w:noProof/>
            <w:webHidden/>
            <w:sz w:val="20"/>
            <w:szCs w:val="20"/>
          </w:rPr>
          <w:tab/>
        </w:r>
        <w:r w:rsidRPr="00DB0AEE">
          <w:rPr>
            <w:rFonts w:ascii="Bookman Old Style" w:hAnsi="Bookman Old Style"/>
            <w:noProof/>
            <w:webHidden/>
            <w:sz w:val="20"/>
            <w:szCs w:val="20"/>
          </w:rPr>
          <w:fldChar w:fldCharType="begin"/>
        </w:r>
        <w:r w:rsidR="00DB0AEE" w:rsidRPr="00DB0AEE">
          <w:rPr>
            <w:rFonts w:ascii="Bookman Old Style" w:hAnsi="Bookman Old Style"/>
            <w:noProof/>
            <w:webHidden/>
            <w:sz w:val="20"/>
            <w:szCs w:val="20"/>
          </w:rPr>
          <w:instrText xml:space="preserve"> PAGEREF _Toc461206412 \h </w:instrText>
        </w:r>
        <w:r w:rsidRPr="00DB0AEE">
          <w:rPr>
            <w:rFonts w:ascii="Bookman Old Style" w:hAnsi="Bookman Old Style"/>
            <w:noProof/>
            <w:webHidden/>
            <w:sz w:val="20"/>
            <w:szCs w:val="20"/>
          </w:rPr>
        </w:r>
        <w:r w:rsidRPr="00DB0AEE">
          <w:rPr>
            <w:rFonts w:ascii="Bookman Old Style" w:hAnsi="Bookman Old Style"/>
            <w:noProof/>
            <w:webHidden/>
            <w:sz w:val="20"/>
            <w:szCs w:val="20"/>
          </w:rPr>
          <w:fldChar w:fldCharType="separate"/>
        </w:r>
        <w:r w:rsidR="00D70166">
          <w:rPr>
            <w:rFonts w:ascii="Bookman Old Style" w:hAnsi="Bookman Old Style"/>
            <w:noProof/>
            <w:webHidden/>
            <w:sz w:val="20"/>
            <w:szCs w:val="20"/>
          </w:rPr>
          <w:t>61</w:t>
        </w:r>
        <w:r w:rsidRPr="00DB0AEE">
          <w:rPr>
            <w:rFonts w:ascii="Bookman Old Style" w:hAnsi="Bookman Old Style"/>
            <w:noProof/>
            <w:webHidden/>
            <w:sz w:val="20"/>
            <w:szCs w:val="20"/>
          </w:rPr>
          <w:fldChar w:fldCharType="end"/>
        </w:r>
      </w:hyperlink>
    </w:p>
    <w:p w:rsidR="00DB0AEE" w:rsidRPr="00DB0AEE" w:rsidRDefault="006C4CCF" w:rsidP="00DB0AEE">
      <w:pPr>
        <w:pStyle w:val="35"/>
        <w:rPr>
          <w:rFonts w:ascii="Bookman Old Style" w:eastAsiaTheme="minorEastAsia" w:hAnsi="Bookman Old Style" w:cstheme="minorBidi"/>
          <w:noProof/>
          <w:sz w:val="20"/>
          <w:szCs w:val="20"/>
        </w:rPr>
      </w:pPr>
      <w:hyperlink w:anchor="_Toc461206413" w:history="1">
        <w:r w:rsidR="00DB0AEE" w:rsidRPr="00DB0AEE">
          <w:rPr>
            <w:rStyle w:val="aa"/>
            <w:rFonts w:ascii="Bookman Old Style" w:hAnsi="Bookman Old Style"/>
            <w:bCs/>
            <w:noProof/>
            <w:sz w:val="20"/>
            <w:szCs w:val="20"/>
          </w:rPr>
          <w:t>5.5.2. Расчет арендной ставки нежилых помещений</w:t>
        </w:r>
        <w:r w:rsidR="00DB0AEE" w:rsidRPr="00DB0AEE">
          <w:rPr>
            <w:rFonts w:ascii="Bookman Old Style" w:hAnsi="Bookman Old Style"/>
            <w:noProof/>
            <w:webHidden/>
            <w:sz w:val="20"/>
            <w:szCs w:val="20"/>
          </w:rPr>
          <w:tab/>
        </w:r>
        <w:r w:rsidRPr="00DB0AEE">
          <w:rPr>
            <w:rFonts w:ascii="Bookman Old Style" w:hAnsi="Bookman Old Style"/>
            <w:noProof/>
            <w:webHidden/>
            <w:sz w:val="20"/>
            <w:szCs w:val="20"/>
          </w:rPr>
          <w:fldChar w:fldCharType="begin"/>
        </w:r>
        <w:r w:rsidR="00DB0AEE" w:rsidRPr="00DB0AEE">
          <w:rPr>
            <w:rFonts w:ascii="Bookman Old Style" w:hAnsi="Bookman Old Style"/>
            <w:noProof/>
            <w:webHidden/>
            <w:sz w:val="20"/>
            <w:szCs w:val="20"/>
          </w:rPr>
          <w:instrText xml:space="preserve"> PAGEREF _Toc461206413 \h </w:instrText>
        </w:r>
        <w:r w:rsidRPr="00DB0AEE">
          <w:rPr>
            <w:rFonts w:ascii="Bookman Old Style" w:hAnsi="Bookman Old Style"/>
            <w:noProof/>
            <w:webHidden/>
            <w:sz w:val="20"/>
            <w:szCs w:val="20"/>
          </w:rPr>
        </w:r>
        <w:r w:rsidRPr="00DB0AEE">
          <w:rPr>
            <w:rFonts w:ascii="Bookman Old Style" w:hAnsi="Bookman Old Style"/>
            <w:noProof/>
            <w:webHidden/>
            <w:sz w:val="20"/>
            <w:szCs w:val="20"/>
          </w:rPr>
          <w:fldChar w:fldCharType="separate"/>
        </w:r>
        <w:r w:rsidR="00D70166">
          <w:rPr>
            <w:rFonts w:ascii="Bookman Old Style" w:hAnsi="Bookman Old Style"/>
            <w:noProof/>
            <w:webHidden/>
            <w:sz w:val="20"/>
            <w:szCs w:val="20"/>
          </w:rPr>
          <w:t>62</w:t>
        </w:r>
        <w:r w:rsidRPr="00DB0AEE">
          <w:rPr>
            <w:rFonts w:ascii="Bookman Old Style" w:hAnsi="Bookman Old Style"/>
            <w:noProof/>
            <w:webHidden/>
            <w:sz w:val="20"/>
            <w:szCs w:val="20"/>
          </w:rPr>
          <w:fldChar w:fldCharType="end"/>
        </w:r>
      </w:hyperlink>
    </w:p>
    <w:p w:rsidR="00DB0AEE" w:rsidRPr="00DB0AEE" w:rsidRDefault="006C4CCF" w:rsidP="00DB0AEE">
      <w:pPr>
        <w:pStyle w:val="35"/>
        <w:rPr>
          <w:rFonts w:ascii="Bookman Old Style" w:eastAsiaTheme="minorEastAsia" w:hAnsi="Bookman Old Style" w:cstheme="minorBidi"/>
          <w:noProof/>
          <w:sz w:val="20"/>
          <w:szCs w:val="20"/>
        </w:rPr>
      </w:pPr>
      <w:hyperlink w:anchor="_Toc461206414" w:history="1">
        <w:r w:rsidR="00DB0AEE" w:rsidRPr="00DB0AEE">
          <w:rPr>
            <w:rStyle w:val="aa"/>
            <w:rFonts w:ascii="Bookman Old Style" w:hAnsi="Bookman Old Style"/>
            <w:bCs/>
            <w:noProof/>
            <w:sz w:val="20"/>
            <w:szCs w:val="20"/>
          </w:rPr>
          <w:t>5.5.3. Определение периода прогнозирования</w:t>
        </w:r>
        <w:r w:rsidR="00DB0AEE" w:rsidRPr="00DB0AEE">
          <w:rPr>
            <w:rFonts w:ascii="Bookman Old Style" w:hAnsi="Bookman Old Style"/>
            <w:noProof/>
            <w:webHidden/>
            <w:sz w:val="20"/>
            <w:szCs w:val="20"/>
          </w:rPr>
          <w:tab/>
        </w:r>
        <w:r w:rsidRPr="00DB0AEE">
          <w:rPr>
            <w:rFonts w:ascii="Bookman Old Style" w:hAnsi="Bookman Old Style"/>
            <w:noProof/>
            <w:webHidden/>
            <w:sz w:val="20"/>
            <w:szCs w:val="20"/>
          </w:rPr>
          <w:fldChar w:fldCharType="begin"/>
        </w:r>
        <w:r w:rsidR="00DB0AEE" w:rsidRPr="00DB0AEE">
          <w:rPr>
            <w:rFonts w:ascii="Bookman Old Style" w:hAnsi="Bookman Old Style"/>
            <w:noProof/>
            <w:webHidden/>
            <w:sz w:val="20"/>
            <w:szCs w:val="20"/>
          </w:rPr>
          <w:instrText xml:space="preserve"> PAGEREF _Toc461206414 \h </w:instrText>
        </w:r>
        <w:r w:rsidRPr="00DB0AEE">
          <w:rPr>
            <w:rFonts w:ascii="Bookman Old Style" w:hAnsi="Bookman Old Style"/>
            <w:noProof/>
            <w:webHidden/>
            <w:sz w:val="20"/>
            <w:szCs w:val="20"/>
          </w:rPr>
        </w:r>
        <w:r w:rsidRPr="00DB0AEE">
          <w:rPr>
            <w:rFonts w:ascii="Bookman Old Style" w:hAnsi="Bookman Old Style"/>
            <w:noProof/>
            <w:webHidden/>
            <w:sz w:val="20"/>
            <w:szCs w:val="20"/>
          </w:rPr>
          <w:fldChar w:fldCharType="separate"/>
        </w:r>
        <w:r w:rsidR="00D70166">
          <w:rPr>
            <w:rFonts w:ascii="Bookman Old Style" w:hAnsi="Bookman Old Style"/>
            <w:noProof/>
            <w:webHidden/>
            <w:sz w:val="20"/>
            <w:szCs w:val="20"/>
          </w:rPr>
          <w:t>67</w:t>
        </w:r>
        <w:r w:rsidRPr="00DB0AEE">
          <w:rPr>
            <w:rFonts w:ascii="Bookman Old Style" w:hAnsi="Bookman Old Style"/>
            <w:noProof/>
            <w:webHidden/>
            <w:sz w:val="20"/>
            <w:szCs w:val="20"/>
          </w:rPr>
          <w:fldChar w:fldCharType="end"/>
        </w:r>
      </w:hyperlink>
    </w:p>
    <w:p w:rsidR="00DB0AEE" w:rsidRPr="00DB0AEE" w:rsidRDefault="006C4CCF" w:rsidP="00DB0AEE">
      <w:pPr>
        <w:pStyle w:val="35"/>
        <w:rPr>
          <w:rFonts w:ascii="Bookman Old Style" w:eastAsiaTheme="minorEastAsia" w:hAnsi="Bookman Old Style" w:cstheme="minorBidi"/>
          <w:noProof/>
          <w:sz w:val="20"/>
          <w:szCs w:val="20"/>
        </w:rPr>
      </w:pPr>
      <w:hyperlink w:anchor="_Toc461206415" w:history="1">
        <w:r w:rsidR="00DB0AEE" w:rsidRPr="00DB0AEE">
          <w:rPr>
            <w:rStyle w:val="aa"/>
            <w:rFonts w:ascii="Bookman Old Style" w:hAnsi="Bookman Old Style"/>
            <w:bCs/>
            <w:noProof/>
            <w:sz w:val="20"/>
            <w:szCs w:val="20"/>
          </w:rPr>
          <w:t>5.5.4. Расчет коэффициента капитализации</w:t>
        </w:r>
        <w:r w:rsidR="00DB0AEE" w:rsidRPr="00DB0AEE">
          <w:rPr>
            <w:rFonts w:ascii="Bookman Old Style" w:hAnsi="Bookman Old Style"/>
            <w:noProof/>
            <w:webHidden/>
            <w:sz w:val="20"/>
            <w:szCs w:val="20"/>
          </w:rPr>
          <w:tab/>
        </w:r>
        <w:r w:rsidRPr="00DB0AEE">
          <w:rPr>
            <w:rFonts w:ascii="Bookman Old Style" w:hAnsi="Bookman Old Style"/>
            <w:noProof/>
            <w:webHidden/>
            <w:sz w:val="20"/>
            <w:szCs w:val="20"/>
          </w:rPr>
          <w:fldChar w:fldCharType="begin"/>
        </w:r>
        <w:r w:rsidR="00DB0AEE" w:rsidRPr="00DB0AEE">
          <w:rPr>
            <w:rFonts w:ascii="Bookman Old Style" w:hAnsi="Bookman Old Style"/>
            <w:noProof/>
            <w:webHidden/>
            <w:sz w:val="20"/>
            <w:szCs w:val="20"/>
          </w:rPr>
          <w:instrText xml:space="preserve"> PAGEREF _Toc461206415 \h </w:instrText>
        </w:r>
        <w:r w:rsidRPr="00DB0AEE">
          <w:rPr>
            <w:rFonts w:ascii="Bookman Old Style" w:hAnsi="Bookman Old Style"/>
            <w:noProof/>
            <w:webHidden/>
            <w:sz w:val="20"/>
            <w:szCs w:val="20"/>
          </w:rPr>
        </w:r>
        <w:r w:rsidRPr="00DB0AEE">
          <w:rPr>
            <w:rFonts w:ascii="Bookman Old Style" w:hAnsi="Bookman Old Style"/>
            <w:noProof/>
            <w:webHidden/>
            <w:sz w:val="20"/>
            <w:szCs w:val="20"/>
          </w:rPr>
          <w:fldChar w:fldCharType="separate"/>
        </w:r>
        <w:r w:rsidR="00D70166">
          <w:rPr>
            <w:rFonts w:ascii="Bookman Old Style" w:hAnsi="Bookman Old Style"/>
            <w:noProof/>
            <w:webHidden/>
            <w:sz w:val="20"/>
            <w:szCs w:val="20"/>
          </w:rPr>
          <w:t>67</w:t>
        </w:r>
        <w:r w:rsidRPr="00DB0AEE">
          <w:rPr>
            <w:rFonts w:ascii="Bookman Old Style" w:hAnsi="Bookman Old Style"/>
            <w:noProof/>
            <w:webHidden/>
            <w:sz w:val="20"/>
            <w:szCs w:val="20"/>
          </w:rPr>
          <w:fldChar w:fldCharType="end"/>
        </w:r>
      </w:hyperlink>
    </w:p>
    <w:p w:rsidR="00DB0AEE" w:rsidRPr="00DB0AEE" w:rsidRDefault="006C4CCF" w:rsidP="00DB0AEE">
      <w:pPr>
        <w:pStyle w:val="35"/>
        <w:rPr>
          <w:rFonts w:ascii="Bookman Old Style" w:eastAsiaTheme="minorEastAsia" w:hAnsi="Bookman Old Style" w:cstheme="minorBidi"/>
          <w:noProof/>
          <w:sz w:val="20"/>
          <w:szCs w:val="20"/>
        </w:rPr>
      </w:pPr>
      <w:hyperlink w:anchor="_Toc461206416" w:history="1">
        <w:r w:rsidR="00DB0AEE" w:rsidRPr="00DB0AEE">
          <w:rPr>
            <w:rStyle w:val="aa"/>
            <w:rFonts w:ascii="Bookman Old Style" w:hAnsi="Bookman Old Style"/>
            <w:bCs/>
            <w:noProof/>
            <w:sz w:val="20"/>
            <w:szCs w:val="20"/>
          </w:rPr>
          <w:t>5.5.5. Расчет рыночной стоимости доходным подходом</w:t>
        </w:r>
        <w:r w:rsidR="00DB0AEE" w:rsidRPr="00DB0AEE">
          <w:rPr>
            <w:rFonts w:ascii="Bookman Old Style" w:hAnsi="Bookman Old Style"/>
            <w:noProof/>
            <w:webHidden/>
            <w:sz w:val="20"/>
            <w:szCs w:val="20"/>
          </w:rPr>
          <w:tab/>
        </w:r>
        <w:r w:rsidRPr="00DB0AEE">
          <w:rPr>
            <w:rFonts w:ascii="Bookman Old Style" w:hAnsi="Bookman Old Style"/>
            <w:noProof/>
            <w:webHidden/>
            <w:sz w:val="20"/>
            <w:szCs w:val="20"/>
          </w:rPr>
          <w:fldChar w:fldCharType="begin"/>
        </w:r>
        <w:r w:rsidR="00DB0AEE" w:rsidRPr="00DB0AEE">
          <w:rPr>
            <w:rFonts w:ascii="Bookman Old Style" w:hAnsi="Bookman Old Style"/>
            <w:noProof/>
            <w:webHidden/>
            <w:sz w:val="20"/>
            <w:szCs w:val="20"/>
          </w:rPr>
          <w:instrText xml:space="preserve"> PAGEREF _Toc461206416 \h </w:instrText>
        </w:r>
        <w:r w:rsidRPr="00DB0AEE">
          <w:rPr>
            <w:rFonts w:ascii="Bookman Old Style" w:hAnsi="Bookman Old Style"/>
            <w:noProof/>
            <w:webHidden/>
            <w:sz w:val="20"/>
            <w:szCs w:val="20"/>
          </w:rPr>
        </w:r>
        <w:r w:rsidRPr="00DB0AEE">
          <w:rPr>
            <w:rFonts w:ascii="Bookman Old Style" w:hAnsi="Bookman Old Style"/>
            <w:noProof/>
            <w:webHidden/>
            <w:sz w:val="20"/>
            <w:szCs w:val="20"/>
          </w:rPr>
          <w:fldChar w:fldCharType="separate"/>
        </w:r>
        <w:r w:rsidR="00D70166">
          <w:rPr>
            <w:rFonts w:ascii="Bookman Old Style" w:hAnsi="Bookman Old Style"/>
            <w:noProof/>
            <w:webHidden/>
            <w:sz w:val="20"/>
            <w:szCs w:val="20"/>
          </w:rPr>
          <w:t>68</w:t>
        </w:r>
        <w:r w:rsidRPr="00DB0AEE">
          <w:rPr>
            <w:rFonts w:ascii="Bookman Old Style" w:hAnsi="Bookman Old Style"/>
            <w:noProof/>
            <w:webHidden/>
            <w:sz w:val="20"/>
            <w:szCs w:val="20"/>
          </w:rPr>
          <w:fldChar w:fldCharType="end"/>
        </w:r>
      </w:hyperlink>
    </w:p>
    <w:p w:rsidR="00DB0AEE" w:rsidRPr="00DB0AEE" w:rsidRDefault="006C4CCF" w:rsidP="00DB0AEE">
      <w:pPr>
        <w:pStyle w:val="28"/>
        <w:tabs>
          <w:tab w:val="clear" w:pos="10479"/>
          <w:tab w:val="right" w:leader="dot" w:pos="10206"/>
        </w:tabs>
        <w:spacing w:before="80" w:after="80"/>
        <w:ind w:left="0"/>
        <w:rPr>
          <w:rFonts w:eastAsiaTheme="minorEastAsia" w:cstheme="minorBidi"/>
        </w:rPr>
      </w:pPr>
      <w:hyperlink w:anchor="_Toc461206417" w:history="1">
        <w:r w:rsidR="00DB0AEE" w:rsidRPr="00DB0AEE">
          <w:rPr>
            <w:rStyle w:val="aa"/>
          </w:rPr>
          <w:t>5.6. ОПРЕДЕЛЕНИЕ СТОИМОСТИ ИМУЩЕСТВА ЗАТРАТНЫМ ПОДХОДОМ</w:t>
        </w:r>
        <w:r w:rsidR="00DB0AEE" w:rsidRPr="00DB0AEE">
          <w:rPr>
            <w:webHidden/>
          </w:rPr>
          <w:tab/>
        </w:r>
        <w:r w:rsidRPr="00DB0AEE">
          <w:rPr>
            <w:webHidden/>
          </w:rPr>
          <w:fldChar w:fldCharType="begin"/>
        </w:r>
        <w:r w:rsidR="00DB0AEE" w:rsidRPr="00DB0AEE">
          <w:rPr>
            <w:webHidden/>
          </w:rPr>
          <w:instrText xml:space="preserve"> PAGEREF _Toc461206417 \h </w:instrText>
        </w:r>
        <w:r w:rsidRPr="00DB0AEE">
          <w:rPr>
            <w:webHidden/>
          </w:rPr>
        </w:r>
        <w:r w:rsidRPr="00DB0AEE">
          <w:rPr>
            <w:webHidden/>
          </w:rPr>
          <w:fldChar w:fldCharType="separate"/>
        </w:r>
        <w:r w:rsidR="00D70166">
          <w:rPr>
            <w:webHidden/>
          </w:rPr>
          <w:t>70</w:t>
        </w:r>
        <w:r w:rsidRPr="00DB0AEE">
          <w:rPr>
            <w:webHidden/>
          </w:rPr>
          <w:fldChar w:fldCharType="end"/>
        </w:r>
      </w:hyperlink>
    </w:p>
    <w:p w:rsidR="00DB0AEE" w:rsidRPr="00DB0AEE" w:rsidRDefault="006C4CCF" w:rsidP="00DB0AEE">
      <w:pPr>
        <w:pStyle w:val="35"/>
        <w:rPr>
          <w:rFonts w:ascii="Bookman Old Style" w:eastAsiaTheme="minorEastAsia" w:hAnsi="Bookman Old Style" w:cstheme="minorBidi"/>
          <w:noProof/>
          <w:sz w:val="20"/>
          <w:szCs w:val="20"/>
        </w:rPr>
      </w:pPr>
      <w:hyperlink w:anchor="_Toc461206418" w:history="1">
        <w:r w:rsidR="00DB0AEE" w:rsidRPr="00DB0AEE">
          <w:rPr>
            <w:rStyle w:val="aa"/>
            <w:rFonts w:ascii="Bookman Old Style" w:hAnsi="Bookman Old Style"/>
            <w:bCs/>
            <w:noProof/>
            <w:sz w:val="20"/>
            <w:szCs w:val="20"/>
          </w:rPr>
          <w:t>5.6.1. Определение рыночной стоимости затратным подходом</w:t>
        </w:r>
        <w:r w:rsidR="00DB0AEE" w:rsidRPr="00DB0AEE">
          <w:rPr>
            <w:rFonts w:ascii="Bookman Old Style" w:hAnsi="Bookman Old Style"/>
            <w:noProof/>
            <w:webHidden/>
            <w:sz w:val="20"/>
            <w:szCs w:val="20"/>
          </w:rPr>
          <w:tab/>
        </w:r>
        <w:r w:rsidRPr="00DB0AEE">
          <w:rPr>
            <w:rFonts w:ascii="Bookman Old Style" w:hAnsi="Bookman Old Style"/>
            <w:noProof/>
            <w:webHidden/>
            <w:sz w:val="20"/>
            <w:szCs w:val="20"/>
          </w:rPr>
          <w:fldChar w:fldCharType="begin"/>
        </w:r>
        <w:r w:rsidR="00DB0AEE" w:rsidRPr="00DB0AEE">
          <w:rPr>
            <w:rFonts w:ascii="Bookman Old Style" w:hAnsi="Bookman Old Style"/>
            <w:noProof/>
            <w:webHidden/>
            <w:sz w:val="20"/>
            <w:szCs w:val="20"/>
          </w:rPr>
          <w:instrText xml:space="preserve"> PAGEREF _Toc461206418 \h </w:instrText>
        </w:r>
        <w:r w:rsidRPr="00DB0AEE">
          <w:rPr>
            <w:rFonts w:ascii="Bookman Old Style" w:hAnsi="Bookman Old Style"/>
            <w:noProof/>
            <w:webHidden/>
            <w:sz w:val="20"/>
            <w:szCs w:val="20"/>
          </w:rPr>
        </w:r>
        <w:r w:rsidRPr="00DB0AEE">
          <w:rPr>
            <w:rFonts w:ascii="Bookman Old Style" w:hAnsi="Bookman Old Style"/>
            <w:noProof/>
            <w:webHidden/>
            <w:sz w:val="20"/>
            <w:szCs w:val="20"/>
          </w:rPr>
          <w:fldChar w:fldCharType="separate"/>
        </w:r>
        <w:r w:rsidR="00D70166">
          <w:rPr>
            <w:rFonts w:ascii="Bookman Old Style" w:hAnsi="Bookman Old Style"/>
            <w:noProof/>
            <w:webHidden/>
            <w:sz w:val="20"/>
            <w:szCs w:val="20"/>
          </w:rPr>
          <w:t>70</w:t>
        </w:r>
        <w:r w:rsidRPr="00DB0AEE">
          <w:rPr>
            <w:rFonts w:ascii="Bookman Old Style" w:hAnsi="Bookman Old Style"/>
            <w:noProof/>
            <w:webHidden/>
            <w:sz w:val="20"/>
            <w:szCs w:val="20"/>
          </w:rPr>
          <w:fldChar w:fldCharType="end"/>
        </w:r>
      </w:hyperlink>
    </w:p>
    <w:p w:rsidR="00DB0AEE" w:rsidRPr="00DB0AEE" w:rsidRDefault="006C4CCF" w:rsidP="00DB0AEE">
      <w:pPr>
        <w:pStyle w:val="35"/>
        <w:rPr>
          <w:rFonts w:ascii="Bookman Old Style" w:eastAsiaTheme="minorEastAsia" w:hAnsi="Bookman Old Style" w:cstheme="minorBidi"/>
          <w:noProof/>
          <w:sz w:val="20"/>
          <w:szCs w:val="20"/>
        </w:rPr>
      </w:pPr>
      <w:hyperlink w:anchor="_Toc461206419" w:history="1">
        <w:r w:rsidR="00DB0AEE" w:rsidRPr="00DB0AEE">
          <w:rPr>
            <w:rStyle w:val="aa"/>
            <w:rFonts w:ascii="Bookman Old Style" w:hAnsi="Bookman Old Style"/>
            <w:noProof/>
            <w:sz w:val="20"/>
            <w:szCs w:val="20"/>
          </w:rPr>
          <w:t>5.6.1.1. Расчет стоимости затрат</w:t>
        </w:r>
        <w:r w:rsidR="00DB0AEE" w:rsidRPr="00DB0AEE">
          <w:rPr>
            <w:rFonts w:ascii="Bookman Old Style" w:hAnsi="Bookman Old Style"/>
            <w:noProof/>
            <w:webHidden/>
            <w:sz w:val="20"/>
            <w:szCs w:val="20"/>
          </w:rPr>
          <w:tab/>
        </w:r>
        <w:r w:rsidRPr="00DB0AEE">
          <w:rPr>
            <w:rFonts w:ascii="Bookman Old Style" w:hAnsi="Bookman Old Style"/>
            <w:noProof/>
            <w:webHidden/>
            <w:sz w:val="20"/>
            <w:szCs w:val="20"/>
          </w:rPr>
          <w:fldChar w:fldCharType="begin"/>
        </w:r>
        <w:r w:rsidR="00DB0AEE" w:rsidRPr="00DB0AEE">
          <w:rPr>
            <w:rFonts w:ascii="Bookman Old Style" w:hAnsi="Bookman Old Style"/>
            <w:noProof/>
            <w:webHidden/>
            <w:sz w:val="20"/>
            <w:szCs w:val="20"/>
          </w:rPr>
          <w:instrText xml:space="preserve"> PAGEREF _Toc461206419 \h </w:instrText>
        </w:r>
        <w:r w:rsidRPr="00DB0AEE">
          <w:rPr>
            <w:rFonts w:ascii="Bookman Old Style" w:hAnsi="Bookman Old Style"/>
            <w:noProof/>
            <w:webHidden/>
            <w:sz w:val="20"/>
            <w:szCs w:val="20"/>
          </w:rPr>
        </w:r>
        <w:r w:rsidRPr="00DB0AEE">
          <w:rPr>
            <w:rFonts w:ascii="Bookman Old Style" w:hAnsi="Bookman Old Style"/>
            <w:noProof/>
            <w:webHidden/>
            <w:sz w:val="20"/>
            <w:szCs w:val="20"/>
          </w:rPr>
          <w:fldChar w:fldCharType="separate"/>
        </w:r>
        <w:r w:rsidR="00D70166">
          <w:rPr>
            <w:rFonts w:ascii="Bookman Old Style" w:hAnsi="Bookman Old Style"/>
            <w:noProof/>
            <w:webHidden/>
            <w:sz w:val="20"/>
            <w:szCs w:val="20"/>
          </w:rPr>
          <w:t>70</w:t>
        </w:r>
        <w:r w:rsidRPr="00DB0AEE">
          <w:rPr>
            <w:rFonts w:ascii="Bookman Old Style" w:hAnsi="Bookman Old Style"/>
            <w:noProof/>
            <w:webHidden/>
            <w:sz w:val="20"/>
            <w:szCs w:val="20"/>
          </w:rPr>
          <w:fldChar w:fldCharType="end"/>
        </w:r>
      </w:hyperlink>
    </w:p>
    <w:p w:rsidR="00DB0AEE" w:rsidRPr="00DB0AEE" w:rsidRDefault="006C4CCF" w:rsidP="00DB0AEE">
      <w:pPr>
        <w:pStyle w:val="35"/>
        <w:rPr>
          <w:rFonts w:ascii="Bookman Old Style" w:eastAsiaTheme="minorEastAsia" w:hAnsi="Bookman Old Style" w:cstheme="minorBidi"/>
          <w:noProof/>
          <w:sz w:val="20"/>
          <w:szCs w:val="20"/>
        </w:rPr>
      </w:pPr>
      <w:hyperlink w:anchor="_Toc461206420" w:history="1">
        <w:r w:rsidR="00DB0AEE" w:rsidRPr="00DB0AEE">
          <w:rPr>
            <w:rStyle w:val="aa"/>
            <w:rFonts w:ascii="Bookman Old Style" w:hAnsi="Bookman Old Style"/>
            <w:noProof/>
            <w:sz w:val="20"/>
            <w:szCs w:val="20"/>
          </w:rPr>
          <w:t>5.6.1.2. Расчет физического износа</w:t>
        </w:r>
        <w:r w:rsidR="00DB0AEE" w:rsidRPr="00DB0AEE">
          <w:rPr>
            <w:rFonts w:ascii="Bookman Old Style" w:hAnsi="Bookman Old Style"/>
            <w:noProof/>
            <w:webHidden/>
            <w:sz w:val="20"/>
            <w:szCs w:val="20"/>
          </w:rPr>
          <w:tab/>
        </w:r>
        <w:r w:rsidRPr="00DB0AEE">
          <w:rPr>
            <w:rFonts w:ascii="Bookman Old Style" w:hAnsi="Bookman Old Style"/>
            <w:noProof/>
            <w:webHidden/>
            <w:sz w:val="20"/>
            <w:szCs w:val="20"/>
          </w:rPr>
          <w:fldChar w:fldCharType="begin"/>
        </w:r>
        <w:r w:rsidR="00DB0AEE" w:rsidRPr="00DB0AEE">
          <w:rPr>
            <w:rFonts w:ascii="Bookman Old Style" w:hAnsi="Bookman Old Style"/>
            <w:noProof/>
            <w:webHidden/>
            <w:sz w:val="20"/>
            <w:szCs w:val="20"/>
          </w:rPr>
          <w:instrText xml:space="preserve"> PAGEREF _Toc461206420 \h </w:instrText>
        </w:r>
        <w:r w:rsidRPr="00DB0AEE">
          <w:rPr>
            <w:rFonts w:ascii="Bookman Old Style" w:hAnsi="Bookman Old Style"/>
            <w:noProof/>
            <w:webHidden/>
            <w:sz w:val="20"/>
            <w:szCs w:val="20"/>
          </w:rPr>
        </w:r>
        <w:r w:rsidRPr="00DB0AEE">
          <w:rPr>
            <w:rFonts w:ascii="Bookman Old Style" w:hAnsi="Bookman Old Style"/>
            <w:noProof/>
            <w:webHidden/>
            <w:sz w:val="20"/>
            <w:szCs w:val="20"/>
          </w:rPr>
          <w:fldChar w:fldCharType="separate"/>
        </w:r>
        <w:r w:rsidR="00D70166">
          <w:rPr>
            <w:rFonts w:ascii="Bookman Old Style" w:hAnsi="Bookman Old Style"/>
            <w:noProof/>
            <w:webHidden/>
            <w:sz w:val="20"/>
            <w:szCs w:val="20"/>
          </w:rPr>
          <w:t>71</w:t>
        </w:r>
        <w:r w:rsidRPr="00DB0AEE">
          <w:rPr>
            <w:rFonts w:ascii="Bookman Old Style" w:hAnsi="Bookman Old Style"/>
            <w:noProof/>
            <w:webHidden/>
            <w:sz w:val="20"/>
            <w:szCs w:val="20"/>
          </w:rPr>
          <w:fldChar w:fldCharType="end"/>
        </w:r>
      </w:hyperlink>
    </w:p>
    <w:p w:rsidR="00DB0AEE" w:rsidRPr="00DB0AEE" w:rsidRDefault="006C4CCF" w:rsidP="00DB0AEE">
      <w:pPr>
        <w:pStyle w:val="35"/>
        <w:rPr>
          <w:rFonts w:ascii="Bookman Old Style" w:eastAsiaTheme="minorEastAsia" w:hAnsi="Bookman Old Style" w:cstheme="minorBidi"/>
          <w:noProof/>
          <w:sz w:val="20"/>
          <w:szCs w:val="20"/>
        </w:rPr>
      </w:pPr>
      <w:hyperlink w:anchor="_Toc461206421" w:history="1">
        <w:r w:rsidR="00DB0AEE" w:rsidRPr="00DB0AEE">
          <w:rPr>
            <w:rStyle w:val="aa"/>
            <w:rFonts w:ascii="Bookman Old Style" w:hAnsi="Bookman Old Style"/>
            <w:noProof/>
            <w:sz w:val="20"/>
            <w:szCs w:val="20"/>
          </w:rPr>
          <w:t>5.6.1.3. Расчет функционального устаревания</w:t>
        </w:r>
        <w:r w:rsidR="00DB0AEE" w:rsidRPr="00DB0AEE">
          <w:rPr>
            <w:rFonts w:ascii="Bookman Old Style" w:hAnsi="Bookman Old Style"/>
            <w:noProof/>
            <w:webHidden/>
            <w:sz w:val="20"/>
            <w:szCs w:val="20"/>
          </w:rPr>
          <w:tab/>
        </w:r>
        <w:r w:rsidRPr="00DB0AEE">
          <w:rPr>
            <w:rFonts w:ascii="Bookman Old Style" w:hAnsi="Bookman Old Style"/>
            <w:noProof/>
            <w:webHidden/>
            <w:sz w:val="20"/>
            <w:szCs w:val="20"/>
          </w:rPr>
          <w:fldChar w:fldCharType="begin"/>
        </w:r>
        <w:r w:rsidR="00DB0AEE" w:rsidRPr="00DB0AEE">
          <w:rPr>
            <w:rFonts w:ascii="Bookman Old Style" w:hAnsi="Bookman Old Style"/>
            <w:noProof/>
            <w:webHidden/>
            <w:sz w:val="20"/>
            <w:szCs w:val="20"/>
          </w:rPr>
          <w:instrText xml:space="preserve"> PAGEREF _Toc461206421 \h </w:instrText>
        </w:r>
        <w:r w:rsidRPr="00DB0AEE">
          <w:rPr>
            <w:rFonts w:ascii="Bookman Old Style" w:hAnsi="Bookman Old Style"/>
            <w:noProof/>
            <w:webHidden/>
            <w:sz w:val="20"/>
            <w:szCs w:val="20"/>
          </w:rPr>
        </w:r>
        <w:r w:rsidRPr="00DB0AEE">
          <w:rPr>
            <w:rFonts w:ascii="Bookman Old Style" w:hAnsi="Bookman Old Style"/>
            <w:noProof/>
            <w:webHidden/>
            <w:sz w:val="20"/>
            <w:szCs w:val="20"/>
          </w:rPr>
          <w:fldChar w:fldCharType="separate"/>
        </w:r>
        <w:r w:rsidR="00D70166">
          <w:rPr>
            <w:rFonts w:ascii="Bookman Old Style" w:hAnsi="Bookman Old Style"/>
            <w:noProof/>
            <w:webHidden/>
            <w:sz w:val="20"/>
            <w:szCs w:val="20"/>
          </w:rPr>
          <w:t>72</w:t>
        </w:r>
        <w:r w:rsidRPr="00DB0AEE">
          <w:rPr>
            <w:rFonts w:ascii="Bookman Old Style" w:hAnsi="Bookman Old Style"/>
            <w:noProof/>
            <w:webHidden/>
            <w:sz w:val="20"/>
            <w:szCs w:val="20"/>
          </w:rPr>
          <w:fldChar w:fldCharType="end"/>
        </w:r>
      </w:hyperlink>
    </w:p>
    <w:p w:rsidR="00DB0AEE" w:rsidRPr="00DB0AEE" w:rsidRDefault="006C4CCF" w:rsidP="00DB0AEE">
      <w:pPr>
        <w:pStyle w:val="35"/>
        <w:rPr>
          <w:rFonts w:ascii="Bookman Old Style" w:eastAsiaTheme="minorEastAsia" w:hAnsi="Bookman Old Style" w:cstheme="minorBidi"/>
          <w:noProof/>
          <w:sz w:val="20"/>
          <w:szCs w:val="20"/>
        </w:rPr>
      </w:pPr>
      <w:hyperlink w:anchor="_Toc461206422" w:history="1">
        <w:r w:rsidR="00DB0AEE" w:rsidRPr="00DB0AEE">
          <w:rPr>
            <w:rStyle w:val="aa"/>
            <w:rFonts w:ascii="Bookman Old Style" w:hAnsi="Bookman Old Style"/>
            <w:noProof/>
            <w:sz w:val="20"/>
            <w:szCs w:val="20"/>
          </w:rPr>
          <w:t>5.6.1.4. Расчет внешнего устаревания</w:t>
        </w:r>
        <w:r w:rsidR="00DB0AEE" w:rsidRPr="00DB0AEE">
          <w:rPr>
            <w:rFonts w:ascii="Bookman Old Style" w:hAnsi="Bookman Old Style"/>
            <w:noProof/>
            <w:webHidden/>
            <w:sz w:val="20"/>
            <w:szCs w:val="20"/>
          </w:rPr>
          <w:tab/>
        </w:r>
        <w:r w:rsidRPr="00DB0AEE">
          <w:rPr>
            <w:rFonts w:ascii="Bookman Old Style" w:hAnsi="Bookman Old Style"/>
            <w:noProof/>
            <w:webHidden/>
            <w:sz w:val="20"/>
            <w:szCs w:val="20"/>
          </w:rPr>
          <w:fldChar w:fldCharType="begin"/>
        </w:r>
        <w:r w:rsidR="00DB0AEE" w:rsidRPr="00DB0AEE">
          <w:rPr>
            <w:rFonts w:ascii="Bookman Old Style" w:hAnsi="Bookman Old Style"/>
            <w:noProof/>
            <w:webHidden/>
            <w:sz w:val="20"/>
            <w:szCs w:val="20"/>
          </w:rPr>
          <w:instrText xml:space="preserve"> PAGEREF _Toc461206422 \h </w:instrText>
        </w:r>
        <w:r w:rsidRPr="00DB0AEE">
          <w:rPr>
            <w:rFonts w:ascii="Bookman Old Style" w:hAnsi="Bookman Old Style"/>
            <w:noProof/>
            <w:webHidden/>
            <w:sz w:val="20"/>
            <w:szCs w:val="20"/>
          </w:rPr>
        </w:r>
        <w:r w:rsidRPr="00DB0AEE">
          <w:rPr>
            <w:rFonts w:ascii="Bookman Old Style" w:hAnsi="Bookman Old Style"/>
            <w:noProof/>
            <w:webHidden/>
            <w:sz w:val="20"/>
            <w:szCs w:val="20"/>
          </w:rPr>
          <w:fldChar w:fldCharType="separate"/>
        </w:r>
        <w:r w:rsidR="00D70166">
          <w:rPr>
            <w:rFonts w:ascii="Bookman Old Style" w:hAnsi="Bookman Old Style"/>
            <w:noProof/>
            <w:webHidden/>
            <w:sz w:val="20"/>
            <w:szCs w:val="20"/>
          </w:rPr>
          <w:t>72</w:t>
        </w:r>
        <w:r w:rsidRPr="00DB0AEE">
          <w:rPr>
            <w:rFonts w:ascii="Bookman Old Style" w:hAnsi="Bookman Old Style"/>
            <w:noProof/>
            <w:webHidden/>
            <w:sz w:val="20"/>
            <w:szCs w:val="20"/>
          </w:rPr>
          <w:fldChar w:fldCharType="end"/>
        </w:r>
      </w:hyperlink>
    </w:p>
    <w:p w:rsidR="00DB0AEE" w:rsidRPr="00DB0AEE" w:rsidRDefault="006C4CCF" w:rsidP="00DB0AEE">
      <w:pPr>
        <w:pStyle w:val="35"/>
        <w:rPr>
          <w:rFonts w:ascii="Bookman Old Style" w:eastAsiaTheme="minorEastAsia" w:hAnsi="Bookman Old Style" w:cstheme="minorBidi"/>
          <w:noProof/>
          <w:sz w:val="20"/>
          <w:szCs w:val="20"/>
        </w:rPr>
      </w:pPr>
      <w:hyperlink w:anchor="_Toc461206423" w:history="1">
        <w:r w:rsidR="00DB0AEE" w:rsidRPr="00DB0AEE">
          <w:rPr>
            <w:rStyle w:val="aa"/>
            <w:rFonts w:ascii="Bookman Old Style" w:hAnsi="Bookman Old Style"/>
            <w:noProof/>
            <w:sz w:val="20"/>
            <w:szCs w:val="20"/>
          </w:rPr>
          <w:t>5.6.1.5. Рыночная стоимость Объектов аренды затратным подходом</w:t>
        </w:r>
        <w:r w:rsidR="00DB0AEE" w:rsidRPr="00DB0AEE">
          <w:rPr>
            <w:rFonts w:ascii="Bookman Old Style" w:hAnsi="Bookman Old Style"/>
            <w:noProof/>
            <w:webHidden/>
            <w:sz w:val="20"/>
            <w:szCs w:val="20"/>
          </w:rPr>
          <w:tab/>
        </w:r>
        <w:r w:rsidRPr="00DB0AEE">
          <w:rPr>
            <w:rFonts w:ascii="Bookman Old Style" w:hAnsi="Bookman Old Style"/>
            <w:noProof/>
            <w:webHidden/>
            <w:sz w:val="20"/>
            <w:szCs w:val="20"/>
          </w:rPr>
          <w:fldChar w:fldCharType="begin"/>
        </w:r>
        <w:r w:rsidR="00DB0AEE" w:rsidRPr="00DB0AEE">
          <w:rPr>
            <w:rFonts w:ascii="Bookman Old Style" w:hAnsi="Bookman Old Style"/>
            <w:noProof/>
            <w:webHidden/>
            <w:sz w:val="20"/>
            <w:szCs w:val="20"/>
          </w:rPr>
          <w:instrText xml:space="preserve"> PAGEREF _Toc461206423 \h </w:instrText>
        </w:r>
        <w:r w:rsidRPr="00DB0AEE">
          <w:rPr>
            <w:rFonts w:ascii="Bookman Old Style" w:hAnsi="Bookman Old Style"/>
            <w:noProof/>
            <w:webHidden/>
            <w:sz w:val="20"/>
            <w:szCs w:val="20"/>
          </w:rPr>
        </w:r>
        <w:r w:rsidRPr="00DB0AEE">
          <w:rPr>
            <w:rFonts w:ascii="Bookman Old Style" w:hAnsi="Bookman Old Style"/>
            <w:noProof/>
            <w:webHidden/>
            <w:sz w:val="20"/>
            <w:szCs w:val="20"/>
          </w:rPr>
          <w:fldChar w:fldCharType="separate"/>
        </w:r>
        <w:r w:rsidR="00D70166">
          <w:rPr>
            <w:rFonts w:ascii="Bookman Old Style" w:hAnsi="Bookman Old Style"/>
            <w:noProof/>
            <w:webHidden/>
            <w:sz w:val="20"/>
            <w:szCs w:val="20"/>
          </w:rPr>
          <w:t>73</w:t>
        </w:r>
        <w:r w:rsidRPr="00DB0AEE">
          <w:rPr>
            <w:rFonts w:ascii="Bookman Old Style" w:hAnsi="Bookman Old Style"/>
            <w:noProof/>
            <w:webHidden/>
            <w:sz w:val="20"/>
            <w:szCs w:val="20"/>
          </w:rPr>
          <w:fldChar w:fldCharType="end"/>
        </w:r>
      </w:hyperlink>
    </w:p>
    <w:p w:rsidR="00DB0AEE" w:rsidRPr="00DB0AEE" w:rsidRDefault="006C4CCF" w:rsidP="00DB0AEE">
      <w:pPr>
        <w:pStyle w:val="11"/>
        <w:tabs>
          <w:tab w:val="clear" w:pos="10490"/>
          <w:tab w:val="right" w:leader="dot" w:pos="10206"/>
        </w:tabs>
        <w:spacing w:beforeLines="0" w:afterLines="0"/>
        <w:rPr>
          <w:rFonts w:eastAsiaTheme="minorEastAsia" w:cstheme="minorBidi"/>
        </w:rPr>
      </w:pPr>
      <w:hyperlink w:anchor="_Toc461206424" w:history="1">
        <w:r w:rsidR="00DB0AEE" w:rsidRPr="00DB0AEE">
          <w:rPr>
            <w:rStyle w:val="aa"/>
          </w:rPr>
          <w:t>6. СОГЛАСОВАНИЕ РЕЗУЛЬТАТОВ</w:t>
        </w:r>
        <w:r w:rsidR="00DB0AEE" w:rsidRPr="00DB0AEE">
          <w:rPr>
            <w:webHidden/>
          </w:rPr>
          <w:tab/>
        </w:r>
        <w:r w:rsidRPr="00DB0AEE">
          <w:rPr>
            <w:webHidden/>
          </w:rPr>
          <w:fldChar w:fldCharType="begin"/>
        </w:r>
        <w:r w:rsidR="00DB0AEE" w:rsidRPr="00DB0AEE">
          <w:rPr>
            <w:webHidden/>
          </w:rPr>
          <w:instrText xml:space="preserve"> PAGEREF _Toc461206424 \h </w:instrText>
        </w:r>
        <w:r w:rsidRPr="00DB0AEE">
          <w:rPr>
            <w:webHidden/>
          </w:rPr>
        </w:r>
        <w:r w:rsidRPr="00DB0AEE">
          <w:rPr>
            <w:webHidden/>
          </w:rPr>
          <w:fldChar w:fldCharType="separate"/>
        </w:r>
        <w:r w:rsidR="00D70166">
          <w:rPr>
            <w:webHidden/>
          </w:rPr>
          <w:t>74</w:t>
        </w:r>
        <w:r w:rsidRPr="00DB0AEE">
          <w:rPr>
            <w:webHidden/>
          </w:rPr>
          <w:fldChar w:fldCharType="end"/>
        </w:r>
      </w:hyperlink>
    </w:p>
    <w:p w:rsidR="00DB0AEE" w:rsidRPr="00DB0AEE" w:rsidRDefault="006C4CCF" w:rsidP="00DB0AEE">
      <w:pPr>
        <w:pStyle w:val="11"/>
        <w:tabs>
          <w:tab w:val="clear" w:pos="10490"/>
          <w:tab w:val="right" w:leader="dot" w:pos="10206"/>
        </w:tabs>
        <w:spacing w:beforeLines="0" w:afterLines="0"/>
        <w:rPr>
          <w:rFonts w:eastAsiaTheme="minorEastAsia" w:cstheme="minorBidi"/>
        </w:rPr>
      </w:pPr>
      <w:hyperlink w:anchor="_Toc461206425" w:history="1">
        <w:r w:rsidR="00DB0AEE" w:rsidRPr="00DB0AEE">
          <w:rPr>
            <w:rStyle w:val="aa"/>
          </w:rPr>
          <w:t>7. ИТОГОВОЕ ЗАКЛЮЧЕНИЕ О СТОИМОСТИ ОБЪЕКТА ОЦЕНКИ</w:t>
        </w:r>
        <w:r w:rsidR="00DB0AEE" w:rsidRPr="00DB0AEE">
          <w:rPr>
            <w:webHidden/>
          </w:rPr>
          <w:tab/>
        </w:r>
        <w:r w:rsidRPr="00DB0AEE">
          <w:rPr>
            <w:webHidden/>
          </w:rPr>
          <w:fldChar w:fldCharType="begin"/>
        </w:r>
        <w:r w:rsidR="00DB0AEE" w:rsidRPr="00DB0AEE">
          <w:rPr>
            <w:webHidden/>
          </w:rPr>
          <w:instrText xml:space="preserve"> PAGEREF _Toc461206425 \h </w:instrText>
        </w:r>
        <w:r w:rsidRPr="00DB0AEE">
          <w:rPr>
            <w:webHidden/>
          </w:rPr>
        </w:r>
        <w:r w:rsidRPr="00DB0AEE">
          <w:rPr>
            <w:webHidden/>
          </w:rPr>
          <w:fldChar w:fldCharType="separate"/>
        </w:r>
        <w:r w:rsidR="00D70166">
          <w:rPr>
            <w:webHidden/>
          </w:rPr>
          <w:t>77</w:t>
        </w:r>
        <w:r w:rsidRPr="00DB0AEE">
          <w:rPr>
            <w:webHidden/>
          </w:rPr>
          <w:fldChar w:fldCharType="end"/>
        </w:r>
      </w:hyperlink>
    </w:p>
    <w:p w:rsidR="001C66A6" w:rsidRPr="00CB2C00" w:rsidRDefault="006C4CCF" w:rsidP="00DB0AEE">
      <w:pPr>
        <w:tabs>
          <w:tab w:val="right" w:leader="dot" w:pos="10206"/>
        </w:tabs>
        <w:autoSpaceDE w:val="0"/>
        <w:autoSpaceDN w:val="0"/>
        <w:adjustRightInd w:val="0"/>
        <w:spacing w:before="80" w:after="80"/>
        <w:rPr>
          <w:rFonts w:asciiTheme="majorHAnsi" w:hAnsiTheme="majorHAnsi"/>
          <w:bCs/>
          <w:sz w:val="20"/>
          <w:szCs w:val="20"/>
        </w:rPr>
      </w:pPr>
      <w:r w:rsidRPr="00DB0AEE">
        <w:rPr>
          <w:rFonts w:ascii="Bookman Old Style" w:hAnsi="Bookman Old Style"/>
          <w:bCs/>
          <w:noProof/>
          <w:color w:val="000000"/>
          <w:sz w:val="20"/>
          <w:szCs w:val="20"/>
          <w:highlight w:val="yellow"/>
        </w:rPr>
        <w:fldChar w:fldCharType="end"/>
      </w:r>
      <w:r w:rsidR="0003598A" w:rsidRPr="00CB2C00">
        <w:rPr>
          <w:rFonts w:asciiTheme="majorHAnsi" w:hAnsiTheme="majorHAnsi"/>
          <w:bCs/>
          <w:noProof/>
          <w:color w:val="000000"/>
          <w:sz w:val="20"/>
          <w:szCs w:val="20"/>
        </w:rPr>
        <w:t>ПРИЛОЖЕНИЯ</w:t>
      </w:r>
      <w:r w:rsidR="00644B89" w:rsidRPr="00CB2C00">
        <w:rPr>
          <w:rFonts w:asciiTheme="majorHAnsi" w:hAnsiTheme="majorHAnsi"/>
          <w:bCs/>
          <w:noProof/>
          <w:color w:val="000000"/>
          <w:sz w:val="20"/>
          <w:szCs w:val="20"/>
        </w:rPr>
        <w:t>:</w:t>
      </w:r>
    </w:p>
    <w:tbl>
      <w:tblPr>
        <w:tblW w:w="10632" w:type="dxa"/>
        <w:tblInd w:w="-34" w:type="dxa"/>
        <w:tblLayout w:type="fixed"/>
        <w:tblLook w:val="04A0"/>
      </w:tblPr>
      <w:tblGrid>
        <w:gridCol w:w="10632"/>
      </w:tblGrid>
      <w:tr w:rsidR="00FE3A72" w:rsidRPr="00BB36C6" w:rsidTr="00DB0AEE">
        <w:tc>
          <w:tcPr>
            <w:tcW w:w="10632" w:type="dxa"/>
            <w:shd w:val="clear" w:color="auto" w:fill="auto"/>
          </w:tcPr>
          <w:p w:rsidR="00FE3A72" w:rsidRPr="00BB36C6" w:rsidRDefault="00FE3A72" w:rsidP="000A4482">
            <w:pPr>
              <w:tabs>
                <w:tab w:val="right" w:leader="dot" w:pos="9923"/>
              </w:tabs>
              <w:autoSpaceDE w:val="0"/>
              <w:autoSpaceDN w:val="0"/>
              <w:adjustRightInd w:val="0"/>
              <w:spacing w:before="60" w:after="60"/>
              <w:rPr>
                <w:rFonts w:asciiTheme="majorHAnsi" w:hAnsiTheme="majorHAnsi"/>
                <w:bCs/>
                <w:noProof/>
                <w:sz w:val="18"/>
                <w:szCs w:val="18"/>
              </w:rPr>
            </w:pPr>
            <w:r w:rsidRPr="00BB36C6">
              <w:rPr>
                <w:rFonts w:asciiTheme="majorHAnsi" w:hAnsiTheme="majorHAnsi"/>
                <w:bCs/>
                <w:noProof/>
                <w:sz w:val="18"/>
                <w:szCs w:val="18"/>
              </w:rPr>
              <w:lastRenderedPageBreak/>
              <w:t xml:space="preserve">Приложение № </w:t>
            </w:r>
            <w:r w:rsidR="007F31DC" w:rsidRPr="00BB36C6">
              <w:rPr>
                <w:rFonts w:asciiTheme="majorHAnsi" w:hAnsiTheme="majorHAnsi"/>
                <w:bCs/>
                <w:noProof/>
                <w:sz w:val="18"/>
                <w:szCs w:val="18"/>
              </w:rPr>
              <w:t>1</w:t>
            </w:r>
            <w:r w:rsidRPr="00BB36C6">
              <w:rPr>
                <w:rFonts w:asciiTheme="majorHAnsi" w:hAnsiTheme="majorHAnsi"/>
                <w:bCs/>
                <w:noProof/>
                <w:sz w:val="18"/>
                <w:szCs w:val="18"/>
              </w:rPr>
              <w:t xml:space="preserve">. </w:t>
            </w:r>
            <w:r w:rsidR="00DB0AEE" w:rsidRPr="00DB0AEE">
              <w:rPr>
                <w:rFonts w:asciiTheme="majorHAnsi" w:hAnsiTheme="majorHAnsi"/>
                <w:bCs/>
                <w:noProof/>
                <w:sz w:val="18"/>
                <w:szCs w:val="18"/>
              </w:rPr>
              <w:t>Акт осмотра, идентификации и определения технического состояния имущества подлежащего оценке.</w:t>
            </w:r>
          </w:p>
        </w:tc>
      </w:tr>
      <w:tr w:rsidR="00DB0AEE" w:rsidRPr="00BB36C6" w:rsidTr="00DB0AEE">
        <w:tc>
          <w:tcPr>
            <w:tcW w:w="10632" w:type="dxa"/>
            <w:shd w:val="clear" w:color="auto" w:fill="auto"/>
          </w:tcPr>
          <w:p w:rsidR="00DB0AEE" w:rsidRPr="00BB36C6" w:rsidRDefault="00DB0AEE" w:rsidP="00DB0AEE">
            <w:pPr>
              <w:tabs>
                <w:tab w:val="right" w:leader="dot" w:pos="9923"/>
              </w:tabs>
              <w:autoSpaceDE w:val="0"/>
              <w:autoSpaceDN w:val="0"/>
              <w:adjustRightInd w:val="0"/>
              <w:spacing w:before="60" w:after="60"/>
              <w:rPr>
                <w:rFonts w:asciiTheme="majorHAnsi" w:hAnsiTheme="majorHAnsi"/>
                <w:bCs/>
                <w:noProof/>
                <w:sz w:val="18"/>
                <w:szCs w:val="18"/>
              </w:rPr>
            </w:pPr>
            <w:r w:rsidRPr="00DB0AEE">
              <w:rPr>
                <w:rFonts w:asciiTheme="majorHAnsi" w:hAnsiTheme="majorHAnsi"/>
                <w:bCs/>
                <w:noProof/>
                <w:sz w:val="18"/>
                <w:szCs w:val="18"/>
              </w:rPr>
              <w:t xml:space="preserve">Приложение № </w:t>
            </w:r>
            <w:r>
              <w:rPr>
                <w:rFonts w:asciiTheme="majorHAnsi" w:hAnsiTheme="majorHAnsi"/>
                <w:bCs/>
                <w:noProof/>
                <w:sz w:val="18"/>
                <w:szCs w:val="18"/>
              </w:rPr>
              <w:t>2</w:t>
            </w:r>
            <w:r w:rsidRPr="00DB0AEE">
              <w:rPr>
                <w:rFonts w:asciiTheme="majorHAnsi" w:hAnsiTheme="majorHAnsi"/>
                <w:bCs/>
                <w:noProof/>
                <w:sz w:val="18"/>
                <w:szCs w:val="18"/>
              </w:rPr>
              <w:t>. Копия инвентаризационных описей</w:t>
            </w:r>
          </w:p>
        </w:tc>
      </w:tr>
      <w:tr w:rsidR="008115FB" w:rsidRPr="00BB36C6" w:rsidTr="00DB0AEE">
        <w:tc>
          <w:tcPr>
            <w:tcW w:w="10632" w:type="dxa"/>
            <w:shd w:val="clear" w:color="auto" w:fill="auto"/>
          </w:tcPr>
          <w:p w:rsidR="008115FB" w:rsidRPr="00BB36C6" w:rsidRDefault="004F3E02" w:rsidP="00DB0AEE">
            <w:pPr>
              <w:tabs>
                <w:tab w:val="right" w:leader="dot" w:pos="9923"/>
              </w:tabs>
              <w:autoSpaceDE w:val="0"/>
              <w:autoSpaceDN w:val="0"/>
              <w:adjustRightInd w:val="0"/>
              <w:spacing w:before="60" w:after="60"/>
              <w:rPr>
                <w:rFonts w:asciiTheme="majorHAnsi" w:hAnsiTheme="majorHAnsi"/>
                <w:bCs/>
                <w:noProof/>
                <w:sz w:val="18"/>
                <w:szCs w:val="18"/>
              </w:rPr>
            </w:pPr>
            <w:r>
              <w:rPr>
                <w:rFonts w:asciiTheme="majorHAnsi" w:hAnsiTheme="majorHAnsi"/>
                <w:bCs/>
                <w:noProof/>
                <w:sz w:val="18"/>
                <w:szCs w:val="18"/>
              </w:rPr>
              <w:t xml:space="preserve">Приложение № </w:t>
            </w:r>
            <w:r w:rsidR="00DB0AEE">
              <w:rPr>
                <w:rFonts w:asciiTheme="majorHAnsi" w:hAnsiTheme="majorHAnsi"/>
                <w:bCs/>
                <w:noProof/>
                <w:sz w:val="18"/>
                <w:szCs w:val="18"/>
              </w:rPr>
              <w:t>3</w:t>
            </w:r>
            <w:r w:rsidR="008115FB" w:rsidRPr="00BB36C6">
              <w:rPr>
                <w:rFonts w:asciiTheme="majorHAnsi" w:hAnsiTheme="majorHAnsi"/>
                <w:bCs/>
                <w:noProof/>
                <w:sz w:val="18"/>
                <w:szCs w:val="18"/>
              </w:rPr>
              <w:t xml:space="preserve">. </w:t>
            </w:r>
            <w:r w:rsidR="00C33B02">
              <w:rPr>
                <w:rFonts w:asciiTheme="majorHAnsi" w:hAnsiTheme="majorHAnsi"/>
                <w:bCs/>
                <w:noProof/>
                <w:sz w:val="18"/>
                <w:szCs w:val="18"/>
              </w:rPr>
              <w:t>Копия технических паспортов. Копия кадастрового паспорта</w:t>
            </w:r>
          </w:p>
        </w:tc>
      </w:tr>
      <w:tr w:rsidR="004F3E02" w:rsidRPr="00BB36C6" w:rsidTr="00DB0AEE">
        <w:tc>
          <w:tcPr>
            <w:tcW w:w="10632" w:type="dxa"/>
            <w:shd w:val="clear" w:color="auto" w:fill="auto"/>
          </w:tcPr>
          <w:p w:rsidR="004F3E02" w:rsidRDefault="004F3E02" w:rsidP="004F3E02">
            <w:pPr>
              <w:tabs>
                <w:tab w:val="right" w:leader="dot" w:pos="9923"/>
              </w:tabs>
              <w:autoSpaceDE w:val="0"/>
              <w:autoSpaceDN w:val="0"/>
              <w:adjustRightInd w:val="0"/>
              <w:spacing w:before="60" w:after="60"/>
              <w:rPr>
                <w:rFonts w:asciiTheme="majorHAnsi" w:hAnsiTheme="majorHAnsi"/>
                <w:bCs/>
                <w:noProof/>
                <w:sz w:val="18"/>
                <w:szCs w:val="18"/>
              </w:rPr>
            </w:pPr>
            <w:r w:rsidRPr="00BB36C6">
              <w:rPr>
                <w:rFonts w:asciiTheme="majorHAnsi" w:hAnsiTheme="majorHAnsi"/>
                <w:bCs/>
                <w:noProof/>
                <w:sz w:val="18"/>
                <w:szCs w:val="18"/>
              </w:rPr>
              <w:t xml:space="preserve">Приложение № </w:t>
            </w:r>
            <w:r w:rsidR="00DB0AEE">
              <w:rPr>
                <w:rFonts w:asciiTheme="majorHAnsi" w:hAnsiTheme="majorHAnsi"/>
                <w:bCs/>
                <w:noProof/>
                <w:sz w:val="18"/>
                <w:szCs w:val="18"/>
              </w:rPr>
              <w:t>4</w:t>
            </w:r>
            <w:r w:rsidRPr="00BB36C6">
              <w:rPr>
                <w:rFonts w:asciiTheme="majorHAnsi" w:hAnsiTheme="majorHAnsi"/>
                <w:bCs/>
                <w:noProof/>
                <w:sz w:val="18"/>
                <w:szCs w:val="18"/>
              </w:rPr>
              <w:t>.</w:t>
            </w:r>
            <w:r w:rsidR="000A4482">
              <w:rPr>
                <w:rFonts w:asciiTheme="majorHAnsi" w:hAnsiTheme="majorHAnsi"/>
                <w:bCs/>
                <w:noProof/>
                <w:sz w:val="18"/>
                <w:szCs w:val="18"/>
              </w:rPr>
              <w:t xml:space="preserve"> </w:t>
            </w:r>
            <w:r w:rsidR="000A4482" w:rsidRPr="000A4482">
              <w:rPr>
                <w:rFonts w:asciiTheme="majorHAnsi" w:hAnsiTheme="majorHAnsi"/>
                <w:bCs/>
                <w:noProof/>
                <w:sz w:val="18"/>
                <w:szCs w:val="18"/>
              </w:rPr>
              <w:t>Копия договора купли-продажи оборудования</w:t>
            </w:r>
          </w:p>
        </w:tc>
      </w:tr>
      <w:tr w:rsidR="00DB0AEE" w:rsidRPr="00BB36C6" w:rsidTr="00DB0AEE">
        <w:tc>
          <w:tcPr>
            <w:tcW w:w="10632" w:type="dxa"/>
            <w:shd w:val="clear" w:color="auto" w:fill="auto"/>
          </w:tcPr>
          <w:p w:rsidR="00DB0AEE" w:rsidRPr="00BB36C6" w:rsidRDefault="00DB0AEE" w:rsidP="00DB0AEE">
            <w:pPr>
              <w:tabs>
                <w:tab w:val="right" w:leader="dot" w:pos="9923"/>
              </w:tabs>
              <w:autoSpaceDE w:val="0"/>
              <w:autoSpaceDN w:val="0"/>
              <w:adjustRightInd w:val="0"/>
              <w:spacing w:before="60" w:after="60"/>
              <w:rPr>
                <w:rFonts w:asciiTheme="majorHAnsi" w:hAnsiTheme="majorHAnsi"/>
                <w:bCs/>
                <w:noProof/>
                <w:sz w:val="18"/>
                <w:szCs w:val="18"/>
              </w:rPr>
            </w:pPr>
            <w:r>
              <w:rPr>
                <w:rFonts w:asciiTheme="majorHAnsi" w:hAnsiTheme="majorHAnsi"/>
                <w:bCs/>
                <w:noProof/>
                <w:sz w:val="18"/>
                <w:szCs w:val="18"/>
              </w:rPr>
              <w:t xml:space="preserve">Приложение № 5. </w:t>
            </w:r>
            <w:r w:rsidRPr="00BB36C6">
              <w:rPr>
                <w:rFonts w:asciiTheme="majorHAnsi" w:hAnsiTheme="majorHAnsi"/>
                <w:bCs/>
                <w:noProof/>
                <w:sz w:val="18"/>
                <w:szCs w:val="18"/>
              </w:rPr>
              <w:t xml:space="preserve"> Материалы подтверждающие источник получения информации при расчете стоимости сравнительным </w:t>
            </w:r>
            <w:r>
              <w:rPr>
                <w:rFonts w:asciiTheme="majorHAnsi" w:hAnsiTheme="majorHAnsi"/>
                <w:bCs/>
                <w:noProof/>
                <w:sz w:val="18"/>
                <w:szCs w:val="18"/>
              </w:rPr>
              <w:t>и доходным подходами</w:t>
            </w:r>
          </w:p>
        </w:tc>
      </w:tr>
      <w:tr w:rsidR="008115FB" w:rsidRPr="00BB36C6" w:rsidTr="00DB0AEE">
        <w:tc>
          <w:tcPr>
            <w:tcW w:w="10632" w:type="dxa"/>
            <w:shd w:val="clear" w:color="auto" w:fill="auto"/>
          </w:tcPr>
          <w:p w:rsidR="008115FB" w:rsidRPr="00BB36C6" w:rsidRDefault="004F3E02" w:rsidP="00DB0AEE">
            <w:pPr>
              <w:tabs>
                <w:tab w:val="right" w:leader="dot" w:pos="9923"/>
              </w:tabs>
              <w:autoSpaceDE w:val="0"/>
              <w:autoSpaceDN w:val="0"/>
              <w:adjustRightInd w:val="0"/>
              <w:spacing w:before="60" w:after="60"/>
              <w:rPr>
                <w:rFonts w:asciiTheme="majorHAnsi" w:hAnsiTheme="majorHAnsi"/>
                <w:bCs/>
                <w:noProof/>
                <w:sz w:val="18"/>
                <w:szCs w:val="18"/>
              </w:rPr>
            </w:pPr>
            <w:r>
              <w:rPr>
                <w:rFonts w:asciiTheme="majorHAnsi" w:hAnsiTheme="majorHAnsi"/>
                <w:bCs/>
                <w:noProof/>
                <w:sz w:val="18"/>
                <w:szCs w:val="18"/>
              </w:rPr>
              <w:t xml:space="preserve">Приложение № </w:t>
            </w:r>
            <w:r w:rsidR="00DB0AEE">
              <w:rPr>
                <w:rFonts w:asciiTheme="majorHAnsi" w:hAnsiTheme="majorHAnsi"/>
                <w:bCs/>
                <w:noProof/>
                <w:sz w:val="18"/>
                <w:szCs w:val="18"/>
              </w:rPr>
              <w:t>6</w:t>
            </w:r>
            <w:r w:rsidR="008115FB" w:rsidRPr="00BB36C6">
              <w:rPr>
                <w:rFonts w:asciiTheme="majorHAnsi" w:hAnsiTheme="majorHAnsi"/>
                <w:bCs/>
                <w:noProof/>
                <w:sz w:val="18"/>
                <w:szCs w:val="18"/>
              </w:rPr>
              <w:t xml:space="preserve">. </w:t>
            </w:r>
            <w:r w:rsidR="00644B89" w:rsidRPr="00BB36C6">
              <w:rPr>
                <w:rFonts w:asciiTheme="majorHAnsi" w:hAnsiTheme="majorHAnsi"/>
                <w:bCs/>
                <w:noProof/>
                <w:sz w:val="18"/>
                <w:szCs w:val="18"/>
              </w:rPr>
              <w:t>Материалы подтверждающие авторство используемой информации при расчете корректировок</w:t>
            </w:r>
          </w:p>
        </w:tc>
      </w:tr>
      <w:tr w:rsidR="00AE2861" w:rsidRPr="00BB36C6" w:rsidTr="00DB0AEE">
        <w:tc>
          <w:tcPr>
            <w:tcW w:w="10632" w:type="dxa"/>
          </w:tcPr>
          <w:p w:rsidR="00AE2861" w:rsidRPr="00BB36C6" w:rsidRDefault="00180F9A" w:rsidP="00DB0AEE">
            <w:pPr>
              <w:tabs>
                <w:tab w:val="right" w:leader="dot" w:pos="9923"/>
              </w:tabs>
              <w:autoSpaceDE w:val="0"/>
              <w:autoSpaceDN w:val="0"/>
              <w:adjustRightInd w:val="0"/>
              <w:spacing w:before="60" w:after="60"/>
              <w:rPr>
                <w:rFonts w:asciiTheme="majorHAnsi" w:hAnsiTheme="majorHAnsi"/>
                <w:bCs/>
                <w:noProof/>
                <w:sz w:val="18"/>
                <w:szCs w:val="18"/>
              </w:rPr>
            </w:pPr>
            <w:r>
              <w:rPr>
                <w:rFonts w:asciiTheme="majorHAnsi" w:hAnsiTheme="majorHAnsi"/>
                <w:bCs/>
                <w:noProof/>
                <w:sz w:val="18"/>
                <w:szCs w:val="18"/>
              </w:rPr>
              <w:t xml:space="preserve">Приложение № </w:t>
            </w:r>
            <w:r w:rsidR="00DB0AEE">
              <w:rPr>
                <w:rFonts w:asciiTheme="majorHAnsi" w:hAnsiTheme="majorHAnsi"/>
                <w:bCs/>
                <w:noProof/>
                <w:sz w:val="18"/>
                <w:szCs w:val="18"/>
              </w:rPr>
              <w:t>7</w:t>
            </w:r>
            <w:r w:rsidR="00AE2861" w:rsidRPr="00AE2861">
              <w:rPr>
                <w:rFonts w:asciiTheme="majorHAnsi" w:hAnsiTheme="majorHAnsi"/>
                <w:bCs/>
                <w:noProof/>
                <w:sz w:val="18"/>
                <w:szCs w:val="18"/>
              </w:rPr>
              <w:t>. Копии документов оценщика, подтверждающие возможность проведения оценки, в соответствии с действующим законодательством</w:t>
            </w:r>
          </w:p>
        </w:tc>
      </w:tr>
    </w:tbl>
    <w:p w:rsidR="00717883" w:rsidRDefault="00717883" w:rsidP="00A6541F">
      <w:pPr>
        <w:pStyle w:val="1"/>
        <w:jc w:val="center"/>
        <w:rPr>
          <w:rFonts w:ascii="Bookman Old Style" w:hAnsi="Bookman Old Style"/>
        </w:rPr>
      </w:pPr>
      <w:bookmarkStart w:id="18" w:name="_Toc133200863"/>
      <w:bookmarkStart w:id="19" w:name="_Toc170273658"/>
      <w:bookmarkStart w:id="20" w:name="_Toc200193933"/>
    </w:p>
    <w:p w:rsidR="004F3E02" w:rsidRDefault="004F3E02" w:rsidP="004F3E02"/>
    <w:p w:rsidR="00B50B21" w:rsidRDefault="00B50B21" w:rsidP="004F3E02"/>
    <w:p w:rsidR="00DB0AEE" w:rsidRDefault="00DB0AEE" w:rsidP="004F3E02"/>
    <w:p w:rsidR="00DB0AEE" w:rsidRDefault="00DB0AEE" w:rsidP="004F3E02"/>
    <w:p w:rsidR="00DB0AEE" w:rsidRDefault="00DB0AEE" w:rsidP="004F3E02"/>
    <w:p w:rsidR="00DB0AEE" w:rsidRDefault="00DB0AEE" w:rsidP="004F3E02"/>
    <w:p w:rsidR="00DB0AEE" w:rsidRDefault="00DB0AEE" w:rsidP="004F3E02"/>
    <w:p w:rsidR="00DB0AEE" w:rsidRDefault="00DB0AEE" w:rsidP="004F3E02"/>
    <w:p w:rsidR="00DB0AEE" w:rsidRDefault="00DB0AEE" w:rsidP="004F3E02"/>
    <w:p w:rsidR="00DB0AEE" w:rsidRDefault="00DB0AEE" w:rsidP="004F3E02"/>
    <w:p w:rsidR="00DB0AEE" w:rsidRDefault="00DB0AEE" w:rsidP="004F3E02"/>
    <w:p w:rsidR="00DB0AEE" w:rsidRDefault="00DB0AEE" w:rsidP="004F3E02"/>
    <w:p w:rsidR="00DB0AEE" w:rsidRDefault="00DB0AEE" w:rsidP="004F3E02"/>
    <w:p w:rsidR="00DB0AEE" w:rsidRDefault="00DB0AEE" w:rsidP="004F3E02"/>
    <w:p w:rsidR="00DB0AEE" w:rsidRDefault="00DB0AEE" w:rsidP="004F3E02"/>
    <w:p w:rsidR="00DB0AEE" w:rsidRDefault="00DB0AEE" w:rsidP="004F3E02"/>
    <w:p w:rsidR="00DB0AEE" w:rsidRDefault="00DB0AEE" w:rsidP="004F3E02"/>
    <w:p w:rsidR="00DB0AEE" w:rsidRDefault="00DB0AEE" w:rsidP="004F3E02"/>
    <w:p w:rsidR="00DB0AEE" w:rsidRDefault="00DB0AEE" w:rsidP="004F3E02"/>
    <w:p w:rsidR="00DB0AEE" w:rsidRDefault="00DB0AEE" w:rsidP="004F3E02"/>
    <w:p w:rsidR="00DB0AEE" w:rsidRDefault="00DB0AEE" w:rsidP="004F3E02"/>
    <w:p w:rsidR="00DB0AEE" w:rsidRDefault="00DB0AEE" w:rsidP="004F3E02"/>
    <w:p w:rsidR="00DB0AEE" w:rsidRDefault="00DB0AEE" w:rsidP="004F3E02"/>
    <w:p w:rsidR="00DB0AEE" w:rsidRDefault="00DB0AEE" w:rsidP="004F3E02"/>
    <w:p w:rsidR="00DB0AEE" w:rsidRDefault="00DB0AEE" w:rsidP="004F3E02"/>
    <w:p w:rsidR="00DB0AEE" w:rsidRDefault="00DB0AEE" w:rsidP="004F3E02"/>
    <w:p w:rsidR="00DB0AEE" w:rsidRDefault="00DB0AEE" w:rsidP="004F3E02"/>
    <w:p w:rsidR="00DB0AEE" w:rsidRDefault="00DB0AEE" w:rsidP="004F3E02"/>
    <w:p w:rsidR="00DB0AEE" w:rsidRDefault="00DB0AEE" w:rsidP="004F3E02"/>
    <w:p w:rsidR="00DB0AEE" w:rsidRDefault="00DB0AEE" w:rsidP="004F3E02"/>
    <w:p w:rsidR="00DB0AEE" w:rsidRDefault="00DB0AEE" w:rsidP="004F3E02"/>
    <w:p w:rsidR="00DB0AEE" w:rsidRDefault="00DB0AEE" w:rsidP="004F3E02"/>
    <w:p w:rsidR="00B50B21" w:rsidRDefault="00B50B21" w:rsidP="004F3E02"/>
    <w:p w:rsidR="00B50B21" w:rsidRDefault="00B50B21" w:rsidP="004F3E02"/>
    <w:p w:rsidR="00B50B21" w:rsidRDefault="00B50B21" w:rsidP="004F3E02"/>
    <w:p w:rsidR="00166A17" w:rsidRPr="00490A50" w:rsidRDefault="006533EA" w:rsidP="00A6541F">
      <w:pPr>
        <w:pStyle w:val="1"/>
        <w:jc w:val="center"/>
        <w:rPr>
          <w:rFonts w:ascii="Bookman Old Style" w:hAnsi="Bookman Old Style"/>
        </w:rPr>
      </w:pPr>
      <w:bookmarkStart w:id="21" w:name="_Toc461206344"/>
      <w:r w:rsidRPr="00490A50">
        <w:rPr>
          <w:rFonts w:ascii="Bookman Old Style" w:hAnsi="Bookman Old Style"/>
        </w:rPr>
        <w:t xml:space="preserve">1. </w:t>
      </w:r>
      <w:r w:rsidR="00166A17" w:rsidRPr="00490A50">
        <w:rPr>
          <w:rFonts w:ascii="Bookman Old Style" w:hAnsi="Bookman Old Style"/>
        </w:rPr>
        <w:t>ОБЩИЕ СВЕДЕНИЯ</w:t>
      </w:r>
      <w:bookmarkEnd w:id="18"/>
      <w:bookmarkEnd w:id="19"/>
      <w:bookmarkEnd w:id="20"/>
      <w:bookmarkEnd w:id="21"/>
    </w:p>
    <w:p w:rsidR="009C31F0" w:rsidRPr="00490A50" w:rsidRDefault="00166A17" w:rsidP="00D70966">
      <w:pPr>
        <w:pStyle w:val="2"/>
        <w:spacing w:before="120" w:after="120"/>
        <w:rPr>
          <w:rFonts w:ascii="Bookman Old Style" w:hAnsi="Bookman Old Style"/>
          <w:b/>
          <w:sz w:val="20"/>
          <w:szCs w:val="20"/>
        </w:rPr>
      </w:pPr>
      <w:bookmarkStart w:id="22" w:name="_Toc133200864"/>
      <w:bookmarkStart w:id="23" w:name="_Toc170273659"/>
      <w:bookmarkStart w:id="24" w:name="_Toc200193934"/>
      <w:bookmarkStart w:id="25" w:name="_Toc461206345"/>
      <w:r w:rsidRPr="00490A50">
        <w:rPr>
          <w:rFonts w:ascii="Bookman Old Style" w:hAnsi="Bookman Old Style"/>
          <w:b/>
          <w:sz w:val="20"/>
          <w:szCs w:val="20"/>
        </w:rPr>
        <w:t xml:space="preserve">1.1. </w:t>
      </w:r>
      <w:bookmarkEnd w:id="22"/>
      <w:bookmarkEnd w:id="23"/>
      <w:r w:rsidR="002D7CC7" w:rsidRPr="00490A50">
        <w:rPr>
          <w:rFonts w:ascii="Bookman Old Style" w:hAnsi="Bookman Old Style"/>
          <w:b/>
          <w:sz w:val="20"/>
          <w:szCs w:val="20"/>
        </w:rPr>
        <w:t>ОСНОВНЫЕ ФАКТЫ И ВЫВОДЫ</w:t>
      </w:r>
      <w:bookmarkEnd w:id="24"/>
      <w:bookmarkEnd w:id="25"/>
    </w:p>
    <w:tbl>
      <w:tblPr>
        <w:tblW w:w="10598"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tblPr>
      <w:tblGrid>
        <w:gridCol w:w="3168"/>
        <w:gridCol w:w="7430"/>
      </w:tblGrid>
      <w:tr w:rsidR="007227CA" w:rsidRPr="00D70966" w:rsidTr="00D70966">
        <w:trPr>
          <w:cantSplit/>
          <w:trHeight w:val="284"/>
        </w:trPr>
        <w:tc>
          <w:tcPr>
            <w:tcW w:w="10598" w:type="dxa"/>
            <w:gridSpan w:val="2"/>
            <w:shd w:val="clear" w:color="auto" w:fill="auto"/>
            <w:vAlign w:val="center"/>
          </w:tcPr>
          <w:p w:rsidR="007227CA" w:rsidRPr="00D70966" w:rsidRDefault="007227CA" w:rsidP="00D70966">
            <w:pPr>
              <w:autoSpaceDE w:val="0"/>
              <w:autoSpaceDN w:val="0"/>
              <w:adjustRightInd w:val="0"/>
              <w:spacing w:before="60" w:after="60"/>
              <w:jc w:val="center"/>
              <w:rPr>
                <w:rFonts w:asciiTheme="majorHAnsi" w:hAnsiTheme="majorHAnsi"/>
                <w:sz w:val="18"/>
                <w:szCs w:val="18"/>
              </w:rPr>
            </w:pPr>
            <w:r w:rsidRPr="00D70966">
              <w:rPr>
                <w:rFonts w:asciiTheme="majorHAnsi" w:hAnsiTheme="majorHAnsi"/>
                <w:b/>
                <w:sz w:val="18"/>
                <w:szCs w:val="18"/>
              </w:rPr>
              <w:t>ОБЩАЯ ИНФОРМАЦИЯ, ИДЕНТИФИЦИРУЮЩАЯ ОБЪЕКТ ОЦЕНКИ</w:t>
            </w:r>
          </w:p>
        </w:tc>
      </w:tr>
      <w:tr w:rsidR="00BF7B39" w:rsidRPr="00D70966" w:rsidTr="003651AC">
        <w:trPr>
          <w:cantSplit/>
          <w:trHeight w:val="284"/>
        </w:trPr>
        <w:tc>
          <w:tcPr>
            <w:tcW w:w="3168" w:type="dxa"/>
            <w:shd w:val="clear" w:color="auto" w:fill="F2F2F2" w:themeFill="background1" w:themeFillShade="F2"/>
            <w:vAlign w:val="center"/>
          </w:tcPr>
          <w:p w:rsidR="00BF7B39" w:rsidRPr="00D70966" w:rsidRDefault="00BF7B39" w:rsidP="00D70966">
            <w:pPr>
              <w:spacing w:before="60" w:after="60"/>
              <w:rPr>
                <w:rFonts w:asciiTheme="majorHAnsi" w:hAnsiTheme="majorHAnsi"/>
                <w:b/>
                <w:sz w:val="18"/>
                <w:szCs w:val="18"/>
              </w:rPr>
            </w:pPr>
            <w:bookmarkStart w:id="26" w:name="_Toc133200865"/>
            <w:r w:rsidRPr="00D70966">
              <w:rPr>
                <w:rFonts w:asciiTheme="majorHAnsi" w:hAnsiTheme="majorHAnsi"/>
                <w:b/>
                <w:sz w:val="18"/>
                <w:szCs w:val="18"/>
              </w:rPr>
              <w:lastRenderedPageBreak/>
              <w:t>Объект оценки</w:t>
            </w:r>
          </w:p>
        </w:tc>
        <w:tc>
          <w:tcPr>
            <w:tcW w:w="7430" w:type="dxa"/>
            <w:vAlign w:val="center"/>
          </w:tcPr>
          <w:p w:rsidR="00D70966" w:rsidRDefault="00490A50" w:rsidP="00D70966">
            <w:pPr>
              <w:spacing w:before="60" w:after="60"/>
              <w:rPr>
                <w:rFonts w:asciiTheme="majorHAnsi" w:hAnsiTheme="majorHAnsi"/>
                <w:sz w:val="18"/>
                <w:szCs w:val="18"/>
              </w:rPr>
            </w:pPr>
            <w:r w:rsidRPr="00D70966">
              <w:rPr>
                <w:rFonts w:asciiTheme="majorHAnsi" w:hAnsiTheme="majorHAnsi"/>
                <w:sz w:val="18"/>
                <w:szCs w:val="18"/>
              </w:rPr>
              <w:t>Объект</w:t>
            </w:r>
            <w:r w:rsidR="005F38D0">
              <w:rPr>
                <w:rFonts w:asciiTheme="majorHAnsi" w:hAnsiTheme="majorHAnsi"/>
                <w:sz w:val="18"/>
                <w:szCs w:val="18"/>
              </w:rPr>
              <w:t>ом</w:t>
            </w:r>
            <w:r w:rsidR="00FB490B" w:rsidRPr="00D70966">
              <w:rPr>
                <w:rFonts w:asciiTheme="majorHAnsi" w:hAnsiTheme="majorHAnsi"/>
                <w:sz w:val="18"/>
                <w:szCs w:val="18"/>
              </w:rPr>
              <w:t xml:space="preserve"> оценки</w:t>
            </w:r>
            <w:r w:rsidRPr="00D70966">
              <w:rPr>
                <w:rFonts w:asciiTheme="majorHAnsi" w:hAnsiTheme="majorHAnsi"/>
                <w:sz w:val="18"/>
                <w:szCs w:val="18"/>
              </w:rPr>
              <w:t xml:space="preserve">, </w:t>
            </w:r>
            <w:r w:rsidR="004B02E5" w:rsidRPr="00D70966">
              <w:rPr>
                <w:rFonts w:asciiTheme="majorHAnsi" w:hAnsiTheme="majorHAnsi"/>
                <w:sz w:val="18"/>
                <w:szCs w:val="18"/>
              </w:rPr>
              <w:t>определенны</w:t>
            </w:r>
            <w:r w:rsidR="00450F20">
              <w:rPr>
                <w:rFonts w:asciiTheme="majorHAnsi" w:hAnsiTheme="majorHAnsi"/>
                <w:sz w:val="18"/>
                <w:szCs w:val="18"/>
              </w:rPr>
              <w:t xml:space="preserve">ми </w:t>
            </w:r>
            <w:r w:rsidR="009A5535" w:rsidRPr="00D70966">
              <w:rPr>
                <w:rFonts w:asciiTheme="majorHAnsi" w:hAnsiTheme="majorHAnsi"/>
                <w:sz w:val="18"/>
                <w:szCs w:val="18"/>
              </w:rPr>
              <w:t>З</w:t>
            </w:r>
            <w:r w:rsidRPr="00D70966">
              <w:rPr>
                <w:rFonts w:asciiTheme="majorHAnsi" w:hAnsiTheme="majorHAnsi"/>
                <w:sz w:val="18"/>
                <w:szCs w:val="18"/>
              </w:rPr>
              <w:t>аданием на оценку,</w:t>
            </w:r>
            <w:r w:rsidR="009A5535" w:rsidRPr="00D70966">
              <w:rPr>
                <w:rFonts w:asciiTheme="majorHAnsi" w:hAnsiTheme="majorHAnsi"/>
                <w:sz w:val="18"/>
                <w:szCs w:val="18"/>
              </w:rPr>
              <w:t xml:space="preserve"> </w:t>
            </w:r>
            <w:r w:rsidR="00CA37FF">
              <w:rPr>
                <w:rFonts w:asciiTheme="majorHAnsi" w:hAnsiTheme="majorHAnsi"/>
                <w:sz w:val="18"/>
                <w:szCs w:val="18"/>
              </w:rPr>
              <w:t>явля</w:t>
            </w:r>
            <w:r w:rsidR="005F38D0">
              <w:rPr>
                <w:rFonts w:asciiTheme="majorHAnsi" w:hAnsiTheme="majorHAnsi"/>
                <w:sz w:val="18"/>
                <w:szCs w:val="18"/>
              </w:rPr>
              <w:t>е</w:t>
            </w:r>
            <w:r w:rsidR="00CA37FF">
              <w:rPr>
                <w:rFonts w:asciiTheme="majorHAnsi" w:hAnsiTheme="majorHAnsi"/>
                <w:sz w:val="18"/>
                <w:szCs w:val="18"/>
              </w:rPr>
              <w:t>тся</w:t>
            </w:r>
            <w:r w:rsidR="00D70966" w:rsidRPr="00D70966">
              <w:rPr>
                <w:rFonts w:asciiTheme="majorHAnsi" w:hAnsiTheme="majorHAnsi"/>
                <w:sz w:val="18"/>
                <w:szCs w:val="18"/>
              </w:rPr>
              <w:t xml:space="preserve"> (</w:t>
            </w:r>
            <w:r w:rsidR="004B2237">
              <w:rPr>
                <w:rFonts w:asciiTheme="majorHAnsi" w:hAnsiTheme="majorHAnsi"/>
                <w:sz w:val="18"/>
                <w:szCs w:val="18"/>
              </w:rPr>
              <w:t xml:space="preserve">поименный </w:t>
            </w:r>
            <w:r w:rsidR="006A5FB2">
              <w:rPr>
                <w:rFonts w:asciiTheme="majorHAnsi" w:hAnsiTheme="majorHAnsi"/>
                <w:sz w:val="18"/>
                <w:szCs w:val="18"/>
              </w:rPr>
              <w:t xml:space="preserve">состав элементов </w:t>
            </w:r>
            <w:r w:rsidR="006A5FB2" w:rsidRPr="00B452F3">
              <w:rPr>
                <w:rFonts w:asciiTheme="majorHAnsi" w:hAnsiTheme="majorHAnsi"/>
                <w:sz w:val="18"/>
                <w:szCs w:val="18"/>
              </w:rPr>
              <w:t xml:space="preserve">Объекта оценки </w:t>
            </w:r>
            <w:r w:rsidR="005B783B" w:rsidRPr="00B452F3">
              <w:rPr>
                <w:rFonts w:asciiTheme="majorHAnsi" w:hAnsiTheme="majorHAnsi"/>
                <w:sz w:val="18"/>
                <w:szCs w:val="18"/>
              </w:rPr>
              <w:t xml:space="preserve">в </w:t>
            </w:r>
            <w:r w:rsidR="00D70966" w:rsidRPr="00B452F3">
              <w:rPr>
                <w:rFonts w:asciiTheme="majorHAnsi" w:hAnsiTheme="majorHAnsi"/>
                <w:sz w:val="18"/>
                <w:szCs w:val="18"/>
              </w:rPr>
              <w:t xml:space="preserve">пункте </w:t>
            </w:r>
            <w:r w:rsidR="001012A7" w:rsidRPr="00B452F3">
              <w:rPr>
                <w:rFonts w:asciiTheme="majorHAnsi" w:hAnsiTheme="majorHAnsi"/>
                <w:sz w:val="18"/>
                <w:szCs w:val="18"/>
              </w:rPr>
              <w:t>3.1.1</w:t>
            </w:r>
            <w:r w:rsidR="00D70966" w:rsidRPr="00B452F3">
              <w:rPr>
                <w:rFonts w:asciiTheme="majorHAnsi" w:hAnsiTheme="majorHAnsi"/>
                <w:sz w:val="18"/>
                <w:szCs w:val="18"/>
              </w:rPr>
              <w:t>.):</w:t>
            </w:r>
          </w:p>
          <w:p w:rsidR="00D70966" w:rsidRPr="00B452F3" w:rsidRDefault="000A4482" w:rsidP="00AB1FB9">
            <w:pPr>
              <w:pStyle w:val="aff2"/>
              <w:numPr>
                <w:ilvl w:val="0"/>
                <w:numId w:val="7"/>
              </w:numPr>
              <w:spacing w:before="60" w:after="60"/>
              <w:rPr>
                <w:rFonts w:asciiTheme="majorHAnsi" w:hAnsiTheme="majorHAnsi"/>
                <w:sz w:val="18"/>
                <w:szCs w:val="18"/>
              </w:rPr>
            </w:pPr>
            <w:r w:rsidRPr="000A4482">
              <w:rPr>
                <w:rFonts w:asciiTheme="majorHAnsi" w:hAnsiTheme="majorHAnsi"/>
                <w:sz w:val="18"/>
                <w:szCs w:val="18"/>
              </w:rPr>
              <w:t>Недвижимое и движимое имущество ООО «Окно», находящееся в залоге у Открытого акционерного общества Акционерный коммерческий банк «Банк Москвы», предназначенное к реализации путем проведения торгов</w:t>
            </w:r>
          </w:p>
          <w:p w:rsidR="006428B3" w:rsidRPr="00B452F3" w:rsidRDefault="0002357B" w:rsidP="00D70966">
            <w:pPr>
              <w:autoSpaceDE w:val="0"/>
              <w:autoSpaceDN w:val="0"/>
              <w:adjustRightInd w:val="0"/>
              <w:spacing w:before="60" w:after="60"/>
              <w:jc w:val="both"/>
              <w:rPr>
                <w:rFonts w:asciiTheme="majorHAnsi" w:hAnsiTheme="majorHAnsi"/>
                <w:sz w:val="18"/>
                <w:szCs w:val="18"/>
              </w:rPr>
            </w:pPr>
            <w:r w:rsidRPr="00B452F3">
              <w:rPr>
                <w:rFonts w:asciiTheme="majorHAnsi" w:hAnsiTheme="majorHAnsi"/>
                <w:sz w:val="18"/>
                <w:szCs w:val="18"/>
              </w:rPr>
              <w:t>Принадлежаще</w:t>
            </w:r>
            <w:r w:rsidR="006428B3" w:rsidRPr="00B452F3">
              <w:rPr>
                <w:rFonts w:asciiTheme="majorHAnsi" w:hAnsiTheme="majorHAnsi"/>
                <w:sz w:val="18"/>
                <w:szCs w:val="18"/>
              </w:rPr>
              <w:t>е:</w:t>
            </w:r>
          </w:p>
          <w:p w:rsidR="00415019" w:rsidRPr="006A5FB2" w:rsidRDefault="00D703A8" w:rsidP="000A4482">
            <w:pPr>
              <w:spacing w:before="60" w:after="60"/>
              <w:rPr>
                <w:rFonts w:asciiTheme="majorHAnsi" w:hAnsiTheme="majorHAnsi"/>
                <w:sz w:val="18"/>
                <w:szCs w:val="18"/>
              </w:rPr>
            </w:pPr>
            <w:r w:rsidRPr="00D703A8">
              <w:rPr>
                <w:rFonts w:asciiTheme="majorHAnsi" w:hAnsiTheme="majorHAnsi"/>
                <w:sz w:val="18"/>
                <w:szCs w:val="18"/>
              </w:rPr>
              <w:t xml:space="preserve">Обществу с ограниченной ответственностью </w:t>
            </w:r>
            <w:r w:rsidR="00B452F3" w:rsidRPr="00B452F3">
              <w:rPr>
                <w:rFonts w:asciiTheme="majorHAnsi" w:hAnsiTheme="majorHAnsi"/>
                <w:sz w:val="18"/>
                <w:szCs w:val="18"/>
              </w:rPr>
              <w:t>«</w:t>
            </w:r>
            <w:r w:rsidR="000A4482">
              <w:rPr>
                <w:rFonts w:asciiTheme="majorHAnsi" w:hAnsiTheme="majorHAnsi"/>
                <w:sz w:val="18"/>
                <w:szCs w:val="18"/>
              </w:rPr>
              <w:t>Окно</w:t>
            </w:r>
            <w:r w:rsidR="00B452F3" w:rsidRPr="00B452F3">
              <w:rPr>
                <w:rFonts w:asciiTheme="majorHAnsi" w:hAnsiTheme="majorHAnsi"/>
                <w:sz w:val="18"/>
                <w:szCs w:val="18"/>
              </w:rPr>
              <w:t xml:space="preserve">» </w:t>
            </w:r>
          </w:p>
        </w:tc>
      </w:tr>
      <w:tr w:rsidR="00A6541F" w:rsidRPr="00D70966" w:rsidTr="003651AC">
        <w:trPr>
          <w:cantSplit/>
          <w:trHeight w:val="284"/>
        </w:trPr>
        <w:tc>
          <w:tcPr>
            <w:tcW w:w="3168" w:type="dxa"/>
            <w:shd w:val="clear" w:color="auto" w:fill="F2F2F2" w:themeFill="background1" w:themeFillShade="F2"/>
            <w:vAlign w:val="center"/>
          </w:tcPr>
          <w:p w:rsidR="00A6541F" w:rsidRPr="00D70966" w:rsidRDefault="00A6541F" w:rsidP="00D70966">
            <w:pPr>
              <w:autoSpaceDE w:val="0"/>
              <w:autoSpaceDN w:val="0"/>
              <w:adjustRightInd w:val="0"/>
              <w:spacing w:before="60" w:after="60"/>
              <w:rPr>
                <w:rFonts w:asciiTheme="majorHAnsi" w:hAnsiTheme="majorHAnsi"/>
                <w:sz w:val="18"/>
                <w:szCs w:val="18"/>
              </w:rPr>
            </w:pPr>
            <w:r w:rsidRPr="00D70966">
              <w:rPr>
                <w:rFonts w:asciiTheme="majorHAnsi" w:hAnsiTheme="majorHAnsi"/>
                <w:b/>
                <w:bCs/>
                <w:sz w:val="18"/>
                <w:szCs w:val="18"/>
              </w:rPr>
              <w:t>Цель и задача оценки</w:t>
            </w:r>
          </w:p>
        </w:tc>
        <w:tc>
          <w:tcPr>
            <w:tcW w:w="7430" w:type="dxa"/>
            <w:vAlign w:val="center"/>
          </w:tcPr>
          <w:p w:rsidR="00A6541F" w:rsidRPr="006C2178" w:rsidRDefault="00D703A8" w:rsidP="00B452F3">
            <w:pPr>
              <w:autoSpaceDE w:val="0"/>
              <w:autoSpaceDN w:val="0"/>
              <w:adjustRightInd w:val="0"/>
              <w:spacing w:before="60" w:after="60"/>
              <w:rPr>
                <w:rFonts w:asciiTheme="majorHAnsi" w:hAnsiTheme="majorHAnsi"/>
                <w:sz w:val="18"/>
                <w:szCs w:val="18"/>
              </w:rPr>
            </w:pPr>
            <w:r w:rsidRPr="00D703A8">
              <w:rPr>
                <w:rFonts w:asciiTheme="majorHAnsi" w:hAnsiTheme="majorHAnsi"/>
                <w:iCs/>
                <w:color w:val="000000"/>
                <w:sz w:val="18"/>
                <w:szCs w:val="18"/>
              </w:rPr>
              <w:t>Расчет рыночной стоимости Объекта оценки, для определения начальной стоимости Объекта оценки при организации торгов по продаже, в рамках процедуры конкурсного производства</w:t>
            </w:r>
          </w:p>
        </w:tc>
      </w:tr>
      <w:tr w:rsidR="00A6541F" w:rsidRPr="00D70966" w:rsidTr="003651AC">
        <w:trPr>
          <w:cantSplit/>
          <w:trHeight w:val="284"/>
        </w:trPr>
        <w:tc>
          <w:tcPr>
            <w:tcW w:w="3168" w:type="dxa"/>
            <w:shd w:val="clear" w:color="auto" w:fill="F2F2F2" w:themeFill="background1" w:themeFillShade="F2"/>
            <w:vAlign w:val="center"/>
          </w:tcPr>
          <w:p w:rsidR="00A6541F" w:rsidRPr="00D70966" w:rsidRDefault="00A6541F" w:rsidP="00D70966">
            <w:pPr>
              <w:autoSpaceDE w:val="0"/>
              <w:autoSpaceDN w:val="0"/>
              <w:adjustRightInd w:val="0"/>
              <w:spacing w:before="60" w:after="60"/>
              <w:rPr>
                <w:rFonts w:asciiTheme="majorHAnsi" w:hAnsiTheme="majorHAnsi"/>
                <w:sz w:val="18"/>
                <w:szCs w:val="18"/>
              </w:rPr>
            </w:pPr>
            <w:r w:rsidRPr="00D70966">
              <w:rPr>
                <w:rFonts w:asciiTheme="majorHAnsi" w:hAnsiTheme="majorHAnsi"/>
                <w:b/>
                <w:bCs/>
                <w:sz w:val="18"/>
                <w:szCs w:val="18"/>
              </w:rPr>
              <w:t>Основание оценки</w:t>
            </w:r>
          </w:p>
        </w:tc>
        <w:tc>
          <w:tcPr>
            <w:tcW w:w="7430" w:type="dxa"/>
            <w:vAlign w:val="center"/>
          </w:tcPr>
          <w:p w:rsidR="00A6541F" w:rsidRPr="006C2178" w:rsidRDefault="00A6541F" w:rsidP="006C2178">
            <w:pPr>
              <w:autoSpaceDE w:val="0"/>
              <w:autoSpaceDN w:val="0"/>
              <w:adjustRightInd w:val="0"/>
              <w:spacing w:before="60" w:after="60"/>
              <w:rPr>
                <w:rFonts w:asciiTheme="majorHAnsi" w:hAnsiTheme="majorHAnsi"/>
                <w:sz w:val="18"/>
                <w:szCs w:val="18"/>
              </w:rPr>
            </w:pPr>
            <w:r w:rsidRPr="006C2178">
              <w:rPr>
                <w:rFonts w:asciiTheme="majorHAnsi" w:hAnsiTheme="majorHAnsi"/>
                <w:sz w:val="18"/>
                <w:szCs w:val="18"/>
              </w:rPr>
              <w:t xml:space="preserve">Договор </w:t>
            </w:r>
            <w:r w:rsidR="003C32E4" w:rsidRPr="00B452F3">
              <w:rPr>
                <w:rFonts w:asciiTheme="majorHAnsi" w:hAnsiTheme="majorHAnsi"/>
                <w:sz w:val="18"/>
                <w:szCs w:val="18"/>
              </w:rPr>
              <w:t xml:space="preserve">№ </w:t>
            </w:r>
            <w:r w:rsidR="000A4482" w:rsidRPr="000A4482">
              <w:rPr>
                <w:rFonts w:asciiTheme="majorHAnsi" w:hAnsiTheme="majorHAnsi"/>
                <w:sz w:val="18"/>
                <w:szCs w:val="18"/>
              </w:rPr>
              <w:t xml:space="preserve">09/08-16 от «09» августа 2016 </w:t>
            </w:r>
            <w:r w:rsidR="003C32E4" w:rsidRPr="00AE3595">
              <w:rPr>
                <w:rFonts w:asciiTheme="majorHAnsi" w:hAnsiTheme="majorHAnsi"/>
                <w:sz w:val="18"/>
                <w:szCs w:val="18"/>
              </w:rPr>
              <w:t>года</w:t>
            </w:r>
          </w:p>
        </w:tc>
      </w:tr>
      <w:tr w:rsidR="00F61A8F" w:rsidRPr="00B00070" w:rsidTr="003651AC">
        <w:trPr>
          <w:cantSplit/>
          <w:trHeight w:val="284"/>
        </w:trPr>
        <w:tc>
          <w:tcPr>
            <w:tcW w:w="3168" w:type="dxa"/>
            <w:shd w:val="clear" w:color="auto" w:fill="F2F2F2" w:themeFill="background1" w:themeFillShade="F2"/>
            <w:vAlign w:val="center"/>
          </w:tcPr>
          <w:p w:rsidR="00F61A8F" w:rsidRPr="00B00070" w:rsidRDefault="00F61A8F" w:rsidP="00D70966">
            <w:pPr>
              <w:autoSpaceDE w:val="0"/>
              <w:autoSpaceDN w:val="0"/>
              <w:adjustRightInd w:val="0"/>
              <w:spacing w:before="60" w:after="60"/>
              <w:rPr>
                <w:rFonts w:asciiTheme="majorHAnsi" w:hAnsiTheme="majorHAnsi"/>
                <w:sz w:val="18"/>
                <w:szCs w:val="18"/>
              </w:rPr>
            </w:pPr>
            <w:r w:rsidRPr="00B00070">
              <w:rPr>
                <w:rFonts w:asciiTheme="majorHAnsi" w:hAnsiTheme="majorHAnsi"/>
                <w:b/>
                <w:bCs/>
                <w:sz w:val="18"/>
                <w:szCs w:val="18"/>
              </w:rPr>
              <w:t xml:space="preserve">Дата оценки </w:t>
            </w:r>
          </w:p>
        </w:tc>
        <w:tc>
          <w:tcPr>
            <w:tcW w:w="7430" w:type="dxa"/>
            <w:vAlign w:val="center"/>
          </w:tcPr>
          <w:p w:rsidR="00F61A8F" w:rsidRPr="00B452F3" w:rsidRDefault="00C33B02" w:rsidP="000A4482">
            <w:pPr>
              <w:autoSpaceDE w:val="0"/>
              <w:autoSpaceDN w:val="0"/>
              <w:adjustRightInd w:val="0"/>
              <w:spacing w:before="60" w:after="60"/>
              <w:rPr>
                <w:rFonts w:ascii="Cambria" w:hAnsi="Cambria"/>
                <w:sz w:val="18"/>
                <w:szCs w:val="18"/>
              </w:rPr>
            </w:pPr>
            <w:r>
              <w:rPr>
                <w:rFonts w:ascii="Cambria" w:hAnsi="Cambria"/>
                <w:sz w:val="18"/>
                <w:szCs w:val="18"/>
              </w:rPr>
              <w:t>«</w:t>
            </w:r>
            <w:r w:rsidR="000A4482">
              <w:rPr>
                <w:rFonts w:ascii="Cambria" w:hAnsi="Cambria"/>
                <w:sz w:val="18"/>
                <w:szCs w:val="18"/>
              </w:rPr>
              <w:t>26</w:t>
            </w:r>
            <w:r w:rsidR="00B452F3" w:rsidRPr="00B452F3">
              <w:rPr>
                <w:rFonts w:ascii="Cambria" w:hAnsi="Cambria"/>
                <w:sz w:val="18"/>
                <w:szCs w:val="18"/>
              </w:rPr>
              <w:t xml:space="preserve">» </w:t>
            </w:r>
            <w:r>
              <w:rPr>
                <w:rFonts w:ascii="Cambria" w:hAnsi="Cambria"/>
                <w:sz w:val="18"/>
                <w:szCs w:val="18"/>
              </w:rPr>
              <w:t>августа</w:t>
            </w:r>
            <w:r w:rsidR="00B452F3" w:rsidRPr="00B452F3">
              <w:rPr>
                <w:rFonts w:ascii="Cambria" w:hAnsi="Cambria"/>
                <w:sz w:val="18"/>
                <w:szCs w:val="18"/>
              </w:rPr>
              <w:t xml:space="preserve"> 2016</w:t>
            </w:r>
            <w:r w:rsidR="00F61A8F" w:rsidRPr="00B452F3">
              <w:rPr>
                <w:rFonts w:ascii="Cambria" w:hAnsi="Cambria"/>
                <w:sz w:val="18"/>
                <w:szCs w:val="18"/>
              </w:rPr>
              <w:t>года</w:t>
            </w:r>
          </w:p>
        </w:tc>
      </w:tr>
      <w:tr w:rsidR="00F61A8F" w:rsidRPr="00B00070" w:rsidTr="003651AC">
        <w:trPr>
          <w:cantSplit/>
          <w:trHeight w:val="284"/>
        </w:trPr>
        <w:tc>
          <w:tcPr>
            <w:tcW w:w="3168" w:type="dxa"/>
            <w:shd w:val="clear" w:color="auto" w:fill="F2F2F2" w:themeFill="background1" w:themeFillShade="F2"/>
            <w:vAlign w:val="center"/>
          </w:tcPr>
          <w:p w:rsidR="00F61A8F" w:rsidRPr="00B00070" w:rsidRDefault="00F61A8F" w:rsidP="00D70966">
            <w:pPr>
              <w:autoSpaceDE w:val="0"/>
              <w:autoSpaceDN w:val="0"/>
              <w:adjustRightInd w:val="0"/>
              <w:spacing w:before="60" w:after="60"/>
              <w:rPr>
                <w:rFonts w:asciiTheme="majorHAnsi" w:hAnsiTheme="majorHAnsi"/>
                <w:b/>
                <w:bCs/>
                <w:sz w:val="18"/>
                <w:szCs w:val="18"/>
              </w:rPr>
            </w:pPr>
            <w:r w:rsidRPr="00B00070">
              <w:rPr>
                <w:rFonts w:asciiTheme="majorHAnsi" w:hAnsiTheme="majorHAnsi"/>
                <w:b/>
                <w:bCs/>
                <w:sz w:val="18"/>
                <w:szCs w:val="18"/>
              </w:rPr>
              <w:t>Дата составления отчета</w:t>
            </w:r>
          </w:p>
        </w:tc>
        <w:tc>
          <w:tcPr>
            <w:tcW w:w="7430" w:type="dxa"/>
            <w:vAlign w:val="center"/>
          </w:tcPr>
          <w:p w:rsidR="00F61A8F" w:rsidRPr="00B452F3" w:rsidRDefault="000A4482" w:rsidP="00C33B02">
            <w:pPr>
              <w:autoSpaceDE w:val="0"/>
              <w:autoSpaceDN w:val="0"/>
              <w:adjustRightInd w:val="0"/>
              <w:spacing w:before="60" w:after="60"/>
              <w:rPr>
                <w:rFonts w:ascii="Cambria" w:hAnsi="Cambria"/>
                <w:sz w:val="18"/>
                <w:szCs w:val="18"/>
              </w:rPr>
            </w:pPr>
            <w:r>
              <w:rPr>
                <w:rFonts w:ascii="Cambria" w:hAnsi="Cambria"/>
                <w:sz w:val="18"/>
                <w:szCs w:val="18"/>
              </w:rPr>
              <w:t>«31</w:t>
            </w:r>
            <w:r w:rsidR="00B452F3" w:rsidRPr="00B452F3">
              <w:rPr>
                <w:rFonts w:ascii="Cambria" w:hAnsi="Cambria"/>
                <w:sz w:val="18"/>
                <w:szCs w:val="18"/>
              </w:rPr>
              <w:t xml:space="preserve">» </w:t>
            </w:r>
            <w:r w:rsidR="00C33B02">
              <w:rPr>
                <w:rFonts w:ascii="Cambria" w:hAnsi="Cambria"/>
                <w:sz w:val="18"/>
                <w:szCs w:val="18"/>
              </w:rPr>
              <w:t>августа</w:t>
            </w:r>
            <w:r w:rsidR="00B452F3" w:rsidRPr="00B452F3">
              <w:rPr>
                <w:rFonts w:ascii="Cambria" w:hAnsi="Cambria"/>
                <w:sz w:val="18"/>
                <w:szCs w:val="18"/>
              </w:rPr>
              <w:t xml:space="preserve"> 2016 </w:t>
            </w:r>
            <w:r w:rsidR="00F61A8F" w:rsidRPr="00B452F3">
              <w:rPr>
                <w:rFonts w:ascii="Cambria" w:hAnsi="Cambria"/>
                <w:sz w:val="18"/>
                <w:szCs w:val="18"/>
              </w:rPr>
              <w:t>года</w:t>
            </w:r>
          </w:p>
        </w:tc>
      </w:tr>
      <w:tr w:rsidR="00F61A8F" w:rsidRPr="00D70966" w:rsidTr="003651AC">
        <w:trPr>
          <w:cantSplit/>
          <w:trHeight w:val="284"/>
        </w:trPr>
        <w:tc>
          <w:tcPr>
            <w:tcW w:w="3168" w:type="dxa"/>
            <w:shd w:val="clear" w:color="auto" w:fill="F2F2F2" w:themeFill="background1" w:themeFillShade="F2"/>
            <w:vAlign w:val="center"/>
          </w:tcPr>
          <w:p w:rsidR="00F61A8F" w:rsidRPr="00B00070" w:rsidRDefault="00F61A8F" w:rsidP="00D70966">
            <w:pPr>
              <w:autoSpaceDE w:val="0"/>
              <w:autoSpaceDN w:val="0"/>
              <w:adjustRightInd w:val="0"/>
              <w:spacing w:before="60" w:after="60"/>
              <w:rPr>
                <w:rFonts w:asciiTheme="majorHAnsi" w:hAnsiTheme="majorHAnsi"/>
                <w:b/>
                <w:bCs/>
                <w:sz w:val="18"/>
                <w:szCs w:val="18"/>
              </w:rPr>
            </w:pPr>
            <w:r w:rsidRPr="00B00070">
              <w:rPr>
                <w:rFonts w:asciiTheme="majorHAnsi" w:hAnsiTheme="majorHAnsi"/>
                <w:b/>
                <w:bCs/>
                <w:sz w:val="18"/>
                <w:szCs w:val="18"/>
              </w:rPr>
              <w:t>Срок проведения оценки</w:t>
            </w:r>
          </w:p>
        </w:tc>
        <w:tc>
          <w:tcPr>
            <w:tcW w:w="7430" w:type="dxa"/>
            <w:vAlign w:val="center"/>
          </w:tcPr>
          <w:p w:rsidR="00F61A8F" w:rsidRPr="00F219E5" w:rsidRDefault="00F61A8F" w:rsidP="000A4482">
            <w:pPr>
              <w:autoSpaceDE w:val="0"/>
              <w:autoSpaceDN w:val="0"/>
              <w:adjustRightInd w:val="0"/>
              <w:spacing w:before="60" w:after="60"/>
              <w:rPr>
                <w:rFonts w:ascii="Cambria" w:hAnsi="Cambria"/>
                <w:sz w:val="18"/>
                <w:szCs w:val="18"/>
              </w:rPr>
            </w:pPr>
            <w:r w:rsidRPr="00F219E5">
              <w:rPr>
                <w:rFonts w:ascii="Cambria" w:hAnsi="Cambria"/>
                <w:sz w:val="18"/>
                <w:szCs w:val="18"/>
              </w:rPr>
              <w:t xml:space="preserve">С </w:t>
            </w:r>
            <w:r w:rsidRPr="00AE3595">
              <w:rPr>
                <w:rFonts w:ascii="Cambria" w:hAnsi="Cambria"/>
                <w:sz w:val="18"/>
                <w:szCs w:val="18"/>
              </w:rPr>
              <w:t>«</w:t>
            </w:r>
            <w:r w:rsidR="000A4482">
              <w:rPr>
                <w:rFonts w:ascii="Cambria" w:hAnsi="Cambria"/>
                <w:sz w:val="18"/>
                <w:szCs w:val="18"/>
              </w:rPr>
              <w:t>09</w:t>
            </w:r>
            <w:r w:rsidRPr="00AE3595">
              <w:rPr>
                <w:rFonts w:ascii="Cambria" w:hAnsi="Cambria"/>
                <w:sz w:val="18"/>
                <w:szCs w:val="18"/>
              </w:rPr>
              <w:t xml:space="preserve">» </w:t>
            </w:r>
            <w:r w:rsidR="00C33B02">
              <w:rPr>
                <w:rFonts w:ascii="Cambria" w:hAnsi="Cambria"/>
                <w:sz w:val="18"/>
                <w:szCs w:val="18"/>
              </w:rPr>
              <w:t>августа</w:t>
            </w:r>
            <w:r w:rsidRPr="00AE3595">
              <w:rPr>
                <w:rFonts w:ascii="Cambria" w:hAnsi="Cambria"/>
                <w:sz w:val="18"/>
                <w:szCs w:val="18"/>
              </w:rPr>
              <w:t xml:space="preserve"> 201</w:t>
            </w:r>
            <w:r w:rsidR="00B452F3">
              <w:rPr>
                <w:rFonts w:ascii="Cambria" w:hAnsi="Cambria"/>
                <w:sz w:val="18"/>
                <w:szCs w:val="18"/>
              </w:rPr>
              <w:t>6</w:t>
            </w:r>
            <w:r w:rsidRPr="00AE3595">
              <w:rPr>
                <w:rFonts w:ascii="Cambria" w:hAnsi="Cambria"/>
                <w:sz w:val="18"/>
                <w:szCs w:val="18"/>
              </w:rPr>
              <w:t xml:space="preserve"> года</w:t>
            </w:r>
            <w:r w:rsidR="00C33B02">
              <w:rPr>
                <w:rFonts w:ascii="Cambria" w:hAnsi="Cambria"/>
                <w:sz w:val="18"/>
                <w:szCs w:val="18"/>
              </w:rPr>
              <w:t xml:space="preserve"> по «</w:t>
            </w:r>
            <w:r w:rsidR="000A4482">
              <w:rPr>
                <w:rFonts w:ascii="Cambria" w:hAnsi="Cambria"/>
                <w:sz w:val="18"/>
                <w:szCs w:val="18"/>
              </w:rPr>
              <w:t>31</w:t>
            </w:r>
            <w:r w:rsidRPr="00F219E5">
              <w:rPr>
                <w:rFonts w:ascii="Cambria" w:hAnsi="Cambria"/>
                <w:sz w:val="18"/>
                <w:szCs w:val="18"/>
              </w:rPr>
              <w:t xml:space="preserve">» </w:t>
            </w:r>
            <w:r w:rsidR="00C33B02">
              <w:rPr>
                <w:rFonts w:ascii="Cambria" w:hAnsi="Cambria"/>
                <w:sz w:val="18"/>
                <w:szCs w:val="18"/>
              </w:rPr>
              <w:t>августа</w:t>
            </w:r>
            <w:r w:rsidRPr="00F219E5">
              <w:rPr>
                <w:rFonts w:ascii="Cambria" w:hAnsi="Cambria"/>
                <w:sz w:val="18"/>
                <w:szCs w:val="18"/>
              </w:rPr>
              <w:t xml:space="preserve"> 201</w:t>
            </w:r>
            <w:r w:rsidR="00B452F3">
              <w:rPr>
                <w:rFonts w:ascii="Cambria" w:hAnsi="Cambria"/>
                <w:sz w:val="18"/>
                <w:szCs w:val="18"/>
              </w:rPr>
              <w:t>6</w:t>
            </w:r>
            <w:r w:rsidRPr="00F219E5">
              <w:rPr>
                <w:rFonts w:ascii="Cambria" w:hAnsi="Cambria"/>
                <w:sz w:val="18"/>
                <w:szCs w:val="18"/>
              </w:rPr>
              <w:t xml:space="preserve"> года</w:t>
            </w:r>
          </w:p>
        </w:tc>
      </w:tr>
      <w:tr w:rsidR="00F61A8F" w:rsidRPr="00D70966" w:rsidTr="00890164">
        <w:trPr>
          <w:cantSplit/>
          <w:trHeight w:val="284"/>
        </w:trPr>
        <w:tc>
          <w:tcPr>
            <w:tcW w:w="10598" w:type="dxa"/>
            <w:gridSpan w:val="2"/>
            <w:shd w:val="clear" w:color="auto" w:fill="auto"/>
            <w:vAlign w:val="center"/>
          </w:tcPr>
          <w:p w:rsidR="00F61A8F" w:rsidRPr="00D70966" w:rsidRDefault="00F61A8F" w:rsidP="00D70966">
            <w:pPr>
              <w:autoSpaceDE w:val="0"/>
              <w:autoSpaceDN w:val="0"/>
              <w:adjustRightInd w:val="0"/>
              <w:spacing w:before="60" w:after="60"/>
              <w:jc w:val="center"/>
              <w:rPr>
                <w:rFonts w:asciiTheme="majorHAnsi" w:hAnsiTheme="majorHAnsi"/>
                <w:sz w:val="18"/>
                <w:szCs w:val="18"/>
              </w:rPr>
            </w:pPr>
            <w:r w:rsidRPr="00D70966">
              <w:rPr>
                <w:rFonts w:asciiTheme="majorHAnsi" w:hAnsiTheme="majorHAnsi"/>
                <w:b/>
                <w:bCs/>
                <w:sz w:val="18"/>
                <w:szCs w:val="18"/>
              </w:rPr>
              <w:t>РЕЗУЛЬТАТЫ ОЦЕНКИ</w:t>
            </w:r>
          </w:p>
        </w:tc>
      </w:tr>
      <w:tr w:rsidR="00C33B02" w:rsidRPr="00D70966" w:rsidTr="00D845B7">
        <w:trPr>
          <w:cantSplit/>
          <w:trHeight w:val="284"/>
        </w:trPr>
        <w:tc>
          <w:tcPr>
            <w:tcW w:w="3168" w:type="dxa"/>
            <w:shd w:val="clear" w:color="auto" w:fill="F2F2F2" w:themeFill="background1" w:themeFillShade="F2"/>
            <w:vAlign w:val="center"/>
          </w:tcPr>
          <w:p w:rsidR="00C33B02" w:rsidRPr="00D70966" w:rsidRDefault="00C33B02" w:rsidP="00D70966">
            <w:pPr>
              <w:autoSpaceDE w:val="0"/>
              <w:autoSpaceDN w:val="0"/>
              <w:adjustRightInd w:val="0"/>
              <w:spacing w:before="60" w:after="60"/>
              <w:rPr>
                <w:rFonts w:asciiTheme="majorHAnsi" w:hAnsiTheme="majorHAnsi"/>
                <w:b/>
                <w:bCs/>
                <w:sz w:val="18"/>
                <w:szCs w:val="18"/>
              </w:rPr>
            </w:pPr>
            <w:r w:rsidRPr="00D70966">
              <w:rPr>
                <w:rFonts w:asciiTheme="majorHAnsi" w:hAnsiTheme="majorHAnsi"/>
                <w:b/>
                <w:bCs/>
                <w:sz w:val="18"/>
                <w:szCs w:val="18"/>
              </w:rPr>
              <w:t>Затратный подход</w:t>
            </w:r>
          </w:p>
        </w:tc>
        <w:tc>
          <w:tcPr>
            <w:tcW w:w="7430" w:type="dxa"/>
            <w:shd w:val="clear" w:color="auto" w:fill="FFFFFF" w:themeFill="background1"/>
            <w:vAlign w:val="center"/>
          </w:tcPr>
          <w:p w:rsidR="00C33B02" w:rsidRPr="003E32C5" w:rsidRDefault="000A4482" w:rsidP="008A4DCE">
            <w:pPr>
              <w:spacing w:before="60" w:after="60"/>
              <w:rPr>
                <w:rFonts w:asciiTheme="majorHAnsi" w:hAnsiTheme="majorHAnsi"/>
                <w:bCs/>
                <w:color w:val="000000"/>
                <w:sz w:val="18"/>
                <w:szCs w:val="18"/>
                <w:highlight w:val="yellow"/>
              </w:rPr>
            </w:pPr>
            <w:r w:rsidRPr="000A4482">
              <w:rPr>
                <w:rFonts w:asciiTheme="majorHAnsi" w:hAnsiTheme="majorHAnsi"/>
                <w:bCs/>
                <w:color w:val="000000"/>
                <w:sz w:val="18"/>
                <w:szCs w:val="18"/>
              </w:rPr>
              <w:t>Стоимость, определенная с использованием подхода составляет 15 425 100 рублей</w:t>
            </w:r>
          </w:p>
        </w:tc>
      </w:tr>
      <w:tr w:rsidR="00C33B02" w:rsidRPr="00D70966" w:rsidTr="003651AC">
        <w:trPr>
          <w:cantSplit/>
          <w:trHeight w:val="284"/>
        </w:trPr>
        <w:tc>
          <w:tcPr>
            <w:tcW w:w="3168" w:type="dxa"/>
            <w:shd w:val="clear" w:color="auto" w:fill="F2F2F2" w:themeFill="background1" w:themeFillShade="F2"/>
            <w:vAlign w:val="center"/>
          </w:tcPr>
          <w:p w:rsidR="00C33B02" w:rsidRPr="006C2178" w:rsidRDefault="00C33B02" w:rsidP="00D70966">
            <w:pPr>
              <w:autoSpaceDE w:val="0"/>
              <w:autoSpaceDN w:val="0"/>
              <w:adjustRightInd w:val="0"/>
              <w:spacing w:before="60" w:after="60"/>
              <w:rPr>
                <w:rFonts w:asciiTheme="majorHAnsi" w:hAnsiTheme="majorHAnsi"/>
                <w:b/>
                <w:bCs/>
                <w:sz w:val="18"/>
                <w:szCs w:val="18"/>
              </w:rPr>
            </w:pPr>
            <w:r w:rsidRPr="006C2178">
              <w:rPr>
                <w:rFonts w:asciiTheme="majorHAnsi" w:hAnsiTheme="majorHAnsi"/>
                <w:b/>
                <w:bCs/>
                <w:sz w:val="18"/>
                <w:szCs w:val="18"/>
              </w:rPr>
              <w:t>Сравнительный подход</w:t>
            </w:r>
          </w:p>
        </w:tc>
        <w:tc>
          <w:tcPr>
            <w:tcW w:w="7430" w:type="dxa"/>
            <w:vAlign w:val="center"/>
          </w:tcPr>
          <w:p w:rsidR="00C33B02" w:rsidRPr="003E32C5" w:rsidRDefault="00C33B02" w:rsidP="009E33BE">
            <w:pPr>
              <w:spacing w:before="60" w:after="60"/>
              <w:rPr>
                <w:rFonts w:asciiTheme="majorHAnsi" w:hAnsiTheme="majorHAnsi"/>
                <w:color w:val="000000"/>
                <w:sz w:val="18"/>
                <w:szCs w:val="18"/>
                <w:highlight w:val="yellow"/>
              </w:rPr>
            </w:pPr>
            <w:r w:rsidRPr="00AB0987">
              <w:rPr>
                <w:rFonts w:asciiTheme="majorHAnsi" w:hAnsiTheme="majorHAnsi"/>
                <w:color w:val="000000"/>
                <w:sz w:val="18"/>
                <w:szCs w:val="18"/>
              </w:rPr>
              <w:t xml:space="preserve">Стоимость, определенная с использованием подхода составляет </w:t>
            </w:r>
            <w:r w:rsidR="006568BA" w:rsidRPr="006568BA">
              <w:rPr>
                <w:rFonts w:asciiTheme="majorHAnsi" w:hAnsiTheme="majorHAnsi"/>
                <w:color w:val="000000"/>
                <w:sz w:val="18"/>
                <w:szCs w:val="18"/>
              </w:rPr>
              <w:t>91 131 300</w:t>
            </w:r>
            <w:r w:rsidRPr="00AB0987">
              <w:rPr>
                <w:rFonts w:asciiTheme="majorHAnsi" w:hAnsiTheme="majorHAnsi"/>
                <w:color w:val="000000"/>
                <w:sz w:val="18"/>
                <w:szCs w:val="18"/>
              </w:rPr>
              <w:t>руб.</w:t>
            </w:r>
          </w:p>
        </w:tc>
      </w:tr>
      <w:tr w:rsidR="00C33B02" w:rsidRPr="00D70966" w:rsidTr="003651AC">
        <w:trPr>
          <w:cantSplit/>
          <w:trHeight w:val="284"/>
        </w:trPr>
        <w:tc>
          <w:tcPr>
            <w:tcW w:w="3168" w:type="dxa"/>
            <w:shd w:val="clear" w:color="auto" w:fill="F2F2F2" w:themeFill="background1" w:themeFillShade="F2"/>
            <w:vAlign w:val="center"/>
          </w:tcPr>
          <w:p w:rsidR="00C33B02" w:rsidRPr="00D70966" w:rsidRDefault="00C33B02" w:rsidP="00D70966">
            <w:pPr>
              <w:autoSpaceDE w:val="0"/>
              <w:autoSpaceDN w:val="0"/>
              <w:adjustRightInd w:val="0"/>
              <w:spacing w:before="60" w:after="60"/>
              <w:rPr>
                <w:rFonts w:asciiTheme="majorHAnsi" w:hAnsiTheme="majorHAnsi"/>
                <w:b/>
                <w:bCs/>
                <w:sz w:val="18"/>
                <w:szCs w:val="18"/>
              </w:rPr>
            </w:pPr>
            <w:r w:rsidRPr="00D70966">
              <w:rPr>
                <w:rFonts w:asciiTheme="majorHAnsi" w:hAnsiTheme="majorHAnsi"/>
                <w:b/>
                <w:bCs/>
                <w:sz w:val="18"/>
                <w:szCs w:val="18"/>
              </w:rPr>
              <w:t>Доходный подход</w:t>
            </w:r>
          </w:p>
        </w:tc>
        <w:tc>
          <w:tcPr>
            <w:tcW w:w="7430" w:type="dxa"/>
            <w:shd w:val="clear" w:color="auto" w:fill="auto"/>
            <w:vAlign w:val="center"/>
          </w:tcPr>
          <w:p w:rsidR="00C33B02" w:rsidRPr="003E32C5" w:rsidRDefault="00C33B02" w:rsidP="009E33BE">
            <w:pPr>
              <w:spacing w:before="60" w:after="60"/>
              <w:rPr>
                <w:rFonts w:asciiTheme="majorHAnsi" w:eastAsia="BatangChe" w:hAnsiTheme="majorHAnsi"/>
                <w:color w:val="000000"/>
                <w:sz w:val="18"/>
                <w:szCs w:val="18"/>
                <w:highlight w:val="yellow"/>
              </w:rPr>
            </w:pPr>
            <w:r w:rsidRPr="00AB0987">
              <w:rPr>
                <w:rFonts w:asciiTheme="majorHAnsi" w:eastAsia="BatangChe" w:hAnsiTheme="majorHAnsi"/>
                <w:color w:val="000000"/>
                <w:sz w:val="18"/>
                <w:szCs w:val="18"/>
              </w:rPr>
              <w:t xml:space="preserve">Стоимость, определенная с использованием подхода составляет </w:t>
            </w:r>
            <w:r w:rsidR="006568BA" w:rsidRPr="006568BA">
              <w:rPr>
                <w:rFonts w:asciiTheme="majorHAnsi" w:eastAsia="BatangChe" w:hAnsiTheme="majorHAnsi"/>
                <w:color w:val="000000"/>
                <w:sz w:val="18"/>
                <w:szCs w:val="18"/>
              </w:rPr>
              <w:t>98 175 900</w:t>
            </w:r>
            <w:r w:rsidRPr="00AB0987">
              <w:rPr>
                <w:rFonts w:asciiTheme="majorHAnsi" w:eastAsia="BatangChe" w:hAnsiTheme="majorHAnsi"/>
                <w:color w:val="000000"/>
                <w:sz w:val="18"/>
                <w:szCs w:val="18"/>
              </w:rPr>
              <w:t>руб.</w:t>
            </w:r>
          </w:p>
        </w:tc>
      </w:tr>
      <w:tr w:rsidR="00F61A8F" w:rsidRPr="00D70966" w:rsidTr="003651AC">
        <w:trPr>
          <w:cantSplit/>
          <w:trHeight w:val="284"/>
        </w:trPr>
        <w:tc>
          <w:tcPr>
            <w:tcW w:w="3168" w:type="dxa"/>
            <w:shd w:val="clear" w:color="auto" w:fill="F2F2F2" w:themeFill="background1" w:themeFillShade="F2"/>
            <w:vAlign w:val="center"/>
          </w:tcPr>
          <w:p w:rsidR="00F61A8F" w:rsidRPr="00BD2606" w:rsidRDefault="00F61A8F" w:rsidP="00D70966">
            <w:pPr>
              <w:autoSpaceDE w:val="0"/>
              <w:autoSpaceDN w:val="0"/>
              <w:adjustRightInd w:val="0"/>
              <w:spacing w:before="60" w:after="60"/>
              <w:rPr>
                <w:rFonts w:asciiTheme="majorHAnsi" w:hAnsiTheme="majorHAnsi"/>
                <w:b/>
                <w:bCs/>
                <w:sz w:val="18"/>
                <w:szCs w:val="18"/>
              </w:rPr>
            </w:pPr>
            <w:r>
              <w:rPr>
                <w:rFonts w:asciiTheme="majorHAnsi" w:hAnsiTheme="majorHAnsi"/>
                <w:b/>
                <w:bCs/>
                <w:sz w:val="18"/>
                <w:szCs w:val="18"/>
              </w:rPr>
              <w:t xml:space="preserve">Итоговая величина </w:t>
            </w:r>
            <w:r w:rsidRPr="00D70966">
              <w:rPr>
                <w:rFonts w:asciiTheme="majorHAnsi" w:hAnsiTheme="majorHAnsi"/>
                <w:b/>
                <w:bCs/>
                <w:sz w:val="18"/>
                <w:szCs w:val="18"/>
              </w:rPr>
              <w:t xml:space="preserve">стоимости </w:t>
            </w:r>
            <w:r>
              <w:rPr>
                <w:rFonts w:asciiTheme="majorHAnsi" w:hAnsiTheme="majorHAnsi"/>
                <w:b/>
                <w:bCs/>
                <w:sz w:val="18"/>
                <w:szCs w:val="18"/>
              </w:rPr>
              <w:t>О</w:t>
            </w:r>
            <w:r w:rsidRPr="00D70966">
              <w:rPr>
                <w:rFonts w:asciiTheme="majorHAnsi" w:hAnsiTheme="majorHAnsi"/>
                <w:b/>
                <w:bCs/>
                <w:sz w:val="18"/>
                <w:szCs w:val="18"/>
              </w:rPr>
              <w:t>бъект</w:t>
            </w:r>
            <w:r>
              <w:rPr>
                <w:rFonts w:asciiTheme="majorHAnsi" w:hAnsiTheme="majorHAnsi"/>
                <w:b/>
                <w:bCs/>
                <w:sz w:val="18"/>
                <w:szCs w:val="18"/>
              </w:rPr>
              <w:t xml:space="preserve">а </w:t>
            </w:r>
            <w:r w:rsidRPr="00D70966">
              <w:rPr>
                <w:rFonts w:asciiTheme="majorHAnsi" w:hAnsiTheme="majorHAnsi"/>
                <w:b/>
                <w:bCs/>
                <w:sz w:val="18"/>
                <w:szCs w:val="18"/>
              </w:rPr>
              <w:t>оценки</w:t>
            </w:r>
          </w:p>
        </w:tc>
        <w:tc>
          <w:tcPr>
            <w:tcW w:w="7430" w:type="dxa"/>
            <w:vAlign w:val="center"/>
          </w:tcPr>
          <w:p w:rsidR="00F61A8F" w:rsidRPr="00A7343D" w:rsidRDefault="00F61A8F" w:rsidP="00D70966">
            <w:pPr>
              <w:autoSpaceDE w:val="0"/>
              <w:autoSpaceDN w:val="0"/>
              <w:adjustRightInd w:val="0"/>
              <w:spacing w:before="60" w:after="60"/>
              <w:rPr>
                <w:rFonts w:asciiTheme="majorHAnsi" w:hAnsiTheme="majorHAnsi"/>
                <w:b/>
                <w:i/>
                <w:sz w:val="18"/>
                <w:szCs w:val="18"/>
              </w:rPr>
            </w:pPr>
            <w:r w:rsidRPr="00A7343D">
              <w:rPr>
                <w:rFonts w:asciiTheme="majorHAnsi" w:hAnsiTheme="majorHAnsi"/>
                <w:b/>
                <w:i/>
                <w:sz w:val="18"/>
                <w:szCs w:val="18"/>
              </w:rPr>
              <w:t xml:space="preserve">Рыночная стоимость Объекта оценки на Дату оценки округленно составляет: </w:t>
            </w:r>
          </w:p>
          <w:p w:rsidR="00F61A8F" w:rsidRPr="00A7343D" w:rsidRDefault="006568BA" w:rsidP="00A7343D">
            <w:pPr>
              <w:autoSpaceDE w:val="0"/>
              <w:autoSpaceDN w:val="0"/>
              <w:adjustRightInd w:val="0"/>
              <w:spacing w:before="60" w:after="60"/>
              <w:rPr>
                <w:rFonts w:asciiTheme="majorHAnsi" w:hAnsiTheme="majorHAnsi"/>
                <w:b/>
                <w:i/>
                <w:sz w:val="18"/>
                <w:szCs w:val="18"/>
              </w:rPr>
            </w:pPr>
            <w:r w:rsidRPr="006568BA">
              <w:rPr>
                <w:rFonts w:asciiTheme="majorHAnsi" w:hAnsiTheme="majorHAnsi" w:cs="Calibri"/>
                <w:b/>
                <w:bCs/>
                <w:i/>
                <w:sz w:val="18"/>
                <w:szCs w:val="18"/>
              </w:rPr>
              <w:t xml:space="preserve">111 377 400, сто одиннадцать миллионов триста семьдесят семь тысяч четыреста </w:t>
            </w:r>
            <w:r w:rsidR="000A4482" w:rsidRPr="000A4482">
              <w:rPr>
                <w:rFonts w:asciiTheme="majorHAnsi" w:hAnsiTheme="majorHAnsi" w:cs="Calibri"/>
                <w:b/>
                <w:bCs/>
                <w:i/>
                <w:sz w:val="18"/>
                <w:szCs w:val="18"/>
              </w:rPr>
              <w:t>рублей</w:t>
            </w:r>
            <w:r w:rsidR="00180F9A" w:rsidRPr="00A7343D">
              <w:rPr>
                <w:rFonts w:asciiTheme="majorHAnsi" w:hAnsiTheme="majorHAnsi" w:cs="Calibri"/>
                <w:b/>
                <w:bCs/>
                <w:i/>
                <w:sz w:val="18"/>
                <w:szCs w:val="18"/>
              </w:rPr>
              <w:t>,</w:t>
            </w:r>
            <w:r w:rsidR="00A7343D" w:rsidRPr="00A7343D">
              <w:rPr>
                <w:rFonts w:asciiTheme="majorHAnsi" w:hAnsiTheme="majorHAnsi" w:cs="Calibri"/>
                <w:b/>
                <w:bCs/>
                <w:i/>
                <w:sz w:val="18"/>
                <w:szCs w:val="18"/>
              </w:rPr>
              <w:t xml:space="preserve">  </w:t>
            </w:r>
            <w:r w:rsidR="00180F9A" w:rsidRPr="00A7343D">
              <w:rPr>
                <w:rFonts w:asciiTheme="majorHAnsi" w:hAnsiTheme="majorHAnsi" w:cs="Calibri"/>
                <w:b/>
                <w:bCs/>
                <w:i/>
                <w:sz w:val="18"/>
                <w:szCs w:val="18"/>
              </w:rPr>
              <w:t>НДС не облагается</w:t>
            </w:r>
          </w:p>
        </w:tc>
      </w:tr>
    </w:tbl>
    <w:p w:rsidR="00954C52" w:rsidRPr="001F52AA" w:rsidRDefault="00954C52" w:rsidP="009948B1">
      <w:pPr>
        <w:pStyle w:val="2"/>
        <w:spacing w:before="120" w:after="120"/>
        <w:rPr>
          <w:rFonts w:ascii="Bookman Old Style" w:hAnsi="Bookman Old Style"/>
          <w:b/>
          <w:sz w:val="20"/>
          <w:szCs w:val="20"/>
        </w:rPr>
      </w:pPr>
      <w:bookmarkStart w:id="27" w:name="_Toc170273660"/>
      <w:bookmarkStart w:id="28" w:name="_Toc200193935"/>
      <w:bookmarkStart w:id="29" w:name="_Toc461206346"/>
      <w:r w:rsidRPr="001F52AA">
        <w:rPr>
          <w:rFonts w:ascii="Bookman Old Style" w:hAnsi="Bookman Old Style"/>
          <w:b/>
          <w:sz w:val="20"/>
          <w:szCs w:val="20"/>
        </w:rPr>
        <w:t xml:space="preserve">1.2. </w:t>
      </w:r>
      <w:bookmarkEnd w:id="26"/>
      <w:bookmarkEnd w:id="27"/>
      <w:r w:rsidR="001E4609" w:rsidRPr="001F52AA">
        <w:rPr>
          <w:rFonts w:ascii="Bookman Old Style" w:hAnsi="Bookman Old Style"/>
          <w:b/>
          <w:sz w:val="20"/>
          <w:szCs w:val="20"/>
        </w:rPr>
        <w:t>СВЕДЕНИЯ О ЗАДАНИИ НА ОЦЕНКУ</w:t>
      </w:r>
      <w:bookmarkEnd w:id="28"/>
      <w:bookmarkEnd w:id="29"/>
    </w:p>
    <w:p w:rsidR="009D5C7A" w:rsidRPr="00B452F3" w:rsidRDefault="00FB06EC" w:rsidP="009948B1">
      <w:pPr>
        <w:spacing w:before="120" w:after="120"/>
        <w:ind w:firstLine="709"/>
        <w:jc w:val="both"/>
        <w:rPr>
          <w:rFonts w:ascii="Bookman Old Style" w:hAnsi="Bookman Old Style"/>
          <w:sz w:val="20"/>
          <w:szCs w:val="20"/>
        </w:rPr>
      </w:pPr>
      <w:bookmarkStart w:id="30" w:name="_Toc200179615"/>
      <w:bookmarkStart w:id="31" w:name="_Toc133200869"/>
      <w:bookmarkStart w:id="32" w:name="_Toc170273664"/>
      <w:r w:rsidRPr="007653B3">
        <w:rPr>
          <w:rFonts w:ascii="Bookman Old Style" w:hAnsi="Bookman Old Style"/>
          <w:sz w:val="20"/>
          <w:szCs w:val="20"/>
        </w:rPr>
        <w:t xml:space="preserve">Между, </w:t>
      </w:r>
      <w:r w:rsidR="00B452F3" w:rsidRPr="00B452F3">
        <w:rPr>
          <w:rFonts w:ascii="Bookman Old Style" w:hAnsi="Bookman Old Style"/>
          <w:sz w:val="20"/>
          <w:szCs w:val="20"/>
        </w:rPr>
        <w:t xml:space="preserve">Обществом с ограниченной ответственностью </w:t>
      </w:r>
      <w:r w:rsidR="00516196" w:rsidRPr="007653B3">
        <w:rPr>
          <w:rFonts w:ascii="Bookman Old Style" w:hAnsi="Bookman Old Style"/>
          <w:sz w:val="20"/>
          <w:szCs w:val="20"/>
        </w:rPr>
        <w:t>«</w:t>
      </w:r>
      <w:r w:rsidR="000A4482">
        <w:rPr>
          <w:rFonts w:ascii="Bookman Old Style" w:hAnsi="Bookman Old Style"/>
          <w:sz w:val="20"/>
          <w:szCs w:val="20"/>
        </w:rPr>
        <w:t>Окно</w:t>
      </w:r>
      <w:r w:rsidR="00516196" w:rsidRPr="007653B3">
        <w:rPr>
          <w:rFonts w:ascii="Bookman Old Style" w:hAnsi="Bookman Old Style"/>
          <w:sz w:val="20"/>
          <w:szCs w:val="20"/>
        </w:rPr>
        <w:t>»</w:t>
      </w:r>
      <w:r w:rsidR="00EB2BAD" w:rsidRPr="007653B3">
        <w:rPr>
          <w:rStyle w:val="aff0"/>
          <w:rFonts w:ascii="Bookman Old Style" w:hAnsi="Bookman Old Style"/>
          <w:sz w:val="20"/>
          <w:szCs w:val="20"/>
        </w:rPr>
        <w:footnoteReference w:id="1"/>
      </w:r>
      <w:r w:rsidR="00EB2BAD" w:rsidRPr="007653B3">
        <w:rPr>
          <w:rFonts w:ascii="Bookman Old Style" w:hAnsi="Bookman Old Style"/>
          <w:sz w:val="20"/>
          <w:szCs w:val="20"/>
        </w:rPr>
        <w:t xml:space="preserve">, в лице конкурсного </w:t>
      </w:r>
      <w:r w:rsidR="00EB2BAD" w:rsidRPr="00B452F3">
        <w:rPr>
          <w:rFonts w:ascii="Bookman Old Style" w:hAnsi="Bookman Old Style"/>
          <w:sz w:val="20"/>
          <w:szCs w:val="20"/>
        </w:rPr>
        <w:t xml:space="preserve">управляющего </w:t>
      </w:r>
      <w:r w:rsidR="000A4482" w:rsidRPr="000A4482">
        <w:rPr>
          <w:rFonts w:ascii="Bookman Old Style" w:hAnsi="Bookman Old Style"/>
          <w:sz w:val="20"/>
          <w:szCs w:val="20"/>
        </w:rPr>
        <w:t>Епифановой Лины Алексеевны</w:t>
      </w:r>
      <w:r w:rsidR="00B452F3" w:rsidRPr="00B452F3">
        <w:rPr>
          <w:rFonts w:ascii="Bookman Old Style" w:hAnsi="Bookman Old Style"/>
          <w:sz w:val="20"/>
          <w:szCs w:val="20"/>
        </w:rPr>
        <w:t xml:space="preserve">, действующего на основании Решения Арбитражного суда Красноярского края. по делу </w:t>
      </w:r>
      <w:r w:rsidR="000A4482" w:rsidRPr="000A4482">
        <w:rPr>
          <w:rFonts w:ascii="Bookman Old Style" w:hAnsi="Bookman Old Style"/>
          <w:sz w:val="20"/>
          <w:szCs w:val="20"/>
        </w:rPr>
        <w:t>А</w:t>
      </w:r>
      <w:r w:rsidR="000A4482">
        <w:rPr>
          <w:rFonts w:ascii="Bookman Old Style" w:hAnsi="Bookman Old Style"/>
          <w:sz w:val="20"/>
          <w:szCs w:val="20"/>
        </w:rPr>
        <w:t xml:space="preserve">33-20224/2015 от «14» июня 2016 </w:t>
      </w:r>
      <w:r w:rsidR="00EB2BAD" w:rsidRPr="00B452F3">
        <w:rPr>
          <w:rFonts w:ascii="Bookman Old Style" w:hAnsi="Bookman Old Style"/>
          <w:sz w:val="20"/>
          <w:szCs w:val="20"/>
        </w:rPr>
        <w:t xml:space="preserve">года, и </w:t>
      </w:r>
    </w:p>
    <w:p w:rsidR="00FB06EC" w:rsidRPr="00BF1194" w:rsidRDefault="00EB2BAD" w:rsidP="009948B1">
      <w:pPr>
        <w:spacing w:before="120" w:after="120"/>
        <w:ind w:firstLine="709"/>
        <w:jc w:val="both"/>
        <w:rPr>
          <w:rFonts w:ascii="Bookman Old Style" w:hAnsi="Bookman Old Style"/>
          <w:sz w:val="20"/>
          <w:szCs w:val="20"/>
        </w:rPr>
      </w:pPr>
      <w:r w:rsidRPr="00EB2BAD">
        <w:rPr>
          <w:rFonts w:ascii="Bookman Old Style" w:hAnsi="Bookman Old Style"/>
          <w:sz w:val="20"/>
          <w:szCs w:val="20"/>
        </w:rPr>
        <w:t>Общество</w:t>
      </w:r>
      <w:r>
        <w:rPr>
          <w:rFonts w:ascii="Bookman Old Style" w:hAnsi="Bookman Old Style"/>
          <w:sz w:val="20"/>
          <w:szCs w:val="20"/>
        </w:rPr>
        <w:t>м</w:t>
      </w:r>
      <w:r w:rsidRPr="00EB2BAD">
        <w:rPr>
          <w:rFonts w:ascii="Bookman Old Style" w:hAnsi="Bookman Old Style"/>
          <w:sz w:val="20"/>
          <w:szCs w:val="20"/>
        </w:rPr>
        <w:t xml:space="preserve"> с ограниченной ответственностью «Агентство оценки собственности «Золотое правило»</w:t>
      </w:r>
      <w:r w:rsidR="001B120F">
        <w:rPr>
          <w:rStyle w:val="aff0"/>
          <w:rFonts w:ascii="Bookman Old Style" w:hAnsi="Bookman Old Style"/>
          <w:sz w:val="20"/>
          <w:szCs w:val="20"/>
        </w:rPr>
        <w:footnoteReference w:id="2"/>
      </w:r>
      <w:r w:rsidRPr="00EB2BAD">
        <w:rPr>
          <w:rFonts w:ascii="Bookman Old Style" w:hAnsi="Bookman Old Style"/>
          <w:sz w:val="20"/>
          <w:szCs w:val="20"/>
        </w:rPr>
        <w:t xml:space="preserve">, в лице генерального директора Золотарева Олега Сергеевича, действующего на основании Устава, </w:t>
      </w:r>
      <w:r w:rsidR="00FB06EC" w:rsidRPr="00BF1194">
        <w:rPr>
          <w:rFonts w:ascii="Bookman Old Style" w:hAnsi="Bookman Old Style"/>
          <w:sz w:val="20"/>
          <w:szCs w:val="20"/>
        </w:rPr>
        <w:t xml:space="preserve">подписан Договор </w:t>
      </w:r>
      <w:r w:rsidRPr="00BF1194">
        <w:rPr>
          <w:rFonts w:ascii="Bookman Old Style" w:hAnsi="Bookman Old Style"/>
          <w:sz w:val="20"/>
          <w:szCs w:val="20"/>
        </w:rPr>
        <w:t>на проведение оценки</w:t>
      </w:r>
      <w:r w:rsidR="00FB06EC" w:rsidRPr="00BF1194">
        <w:rPr>
          <w:rFonts w:ascii="Bookman Old Style" w:hAnsi="Bookman Old Style"/>
          <w:sz w:val="20"/>
          <w:szCs w:val="20"/>
        </w:rPr>
        <w:t>:</w:t>
      </w:r>
    </w:p>
    <w:p w:rsidR="00FB06EC" w:rsidRPr="00AA51E2" w:rsidRDefault="006C2178" w:rsidP="00AB1FB9">
      <w:pPr>
        <w:pStyle w:val="aff2"/>
        <w:numPr>
          <w:ilvl w:val="0"/>
          <w:numId w:val="6"/>
        </w:numPr>
        <w:spacing w:before="120" w:after="120"/>
        <w:contextualSpacing w:val="0"/>
        <w:rPr>
          <w:rFonts w:ascii="Bookman Old Style" w:hAnsi="Bookman Old Style"/>
          <w:sz w:val="20"/>
          <w:szCs w:val="20"/>
        </w:rPr>
      </w:pPr>
      <w:r w:rsidRPr="00AA51E2">
        <w:rPr>
          <w:rFonts w:ascii="Bookman Old Style" w:hAnsi="Bookman Old Style"/>
          <w:sz w:val="20"/>
          <w:szCs w:val="20"/>
        </w:rPr>
        <w:t xml:space="preserve">№ </w:t>
      </w:r>
      <w:r w:rsidR="000A4482" w:rsidRPr="000A4482">
        <w:rPr>
          <w:rFonts w:ascii="Bookman Old Style" w:hAnsi="Bookman Old Style"/>
          <w:sz w:val="20"/>
          <w:szCs w:val="20"/>
        </w:rPr>
        <w:t xml:space="preserve">09/08-16 от «09» августа 2016 </w:t>
      </w:r>
      <w:r w:rsidR="003C32E4" w:rsidRPr="00AA51E2">
        <w:rPr>
          <w:rFonts w:ascii="Bookman Old Style" w:hAnsi="Bookman Old Style"/>
          <w:sz w:val="20"/>
          <w:szCs w:val="20"/>
        </w:rPr>
        <w:t>года</w:t>
      </w:r>
      <w:r w:rsidR="00FB06EC" w:rsidRPr="00AA51E2">
        <w:rPr>
          <w:rFonts w:ascii="Bookman Old Style" w:hAnsi="Bookman Old Style"/>
          <w:sz w:val="20"/>
          <w:szCs w:val="20"/>
        </w:rPr>
        <w:t xml:space="preserve"> и </w:t>
      </w:r>
      <w:r w:rsidR="00EB2BAD" w:rsidRPr="00AA51E2">
        <w:rPr>
          <w:rFonts w:ascii="Bookman Old Style" w:hAnsi="Bookman Old Style"/>
          <w:sz w:val="20"/>
          <w:szCs w:val="20"/>
        </w:rPr>
        <w:t>З</w:t>
      </w:r>
      <w:r w:rsidR="00FB06EC" w:rsidRPr="00AA51E2">
        <w:rPr>
          <w:rFonts w:ascii="Bookman Old Style" w:hAnsi="Bookman Old Style"/>
          <w:sz w:val="20"/>
          <w:szCs w:val="20"/>
        </w:rPr>
        <w:t>адание на оценку;</w:t>
      </w:r>
      <w:r w:rsidR="008051C9" w:rsidRPr="00AA51E2">
        <w:rPr>
          <w:rFonts w:ascii="Bookman Old Style" w:hAnsi="Bookman Old Style"/>
          <w:sz w:val="20"/>
          <w:szCs w:val="20"/>
        </w:rPr>
        <w:t xml:space="preserve"> </w:t>
      </w:r>
    </w:p>
    <w:p w:rsidR="004428A6" w:rsidRDefault="004428A6" w:rsidP="009948B1">
      <w:pPr>
        <w:spacing w:before="120" w:after="120"/>
        <w:ind w:firstLine="708"/>
        <w:jc w:val="both"/>
        <w:rPr>
          <w:rFonts w:ascii="Bookman Old Style" w:hAnsi="Bookman Old Style"/>
          <w:sz w:val="20"/>
          <w:szCs w:val="20"/>
        </w:rPr>
      </w:pPr>
      <w:r w:rsidRPr="00323983">
        <w:rPr>
          <w:rFonts w:ascii="Bookman Old Style" w:hAnsi="Bookman Old Style"/>
          <w:sz w:val="20"/>
          <w:szCs w:val="20"/>
        </w:rPr>
        <w:t>Задание на оценку, определенное Заказчиком</w:t>
      </w:r>
      <w:r w:rsidR="00EB2BAD" w:rsidRPr="00323983">
        <w:rPr>
          <w:rFonts w:ascii="Bookman Old Style" w:hAnsi="Bookman Old Style"/>
          <w:sz w:val="20"/>
          <w:szCs w:val="20"/>
        </w:rPr>
        <w:t xml:space="preserve"> О</w:t>
      </w:r>
      <w:r w:rsidRPr="00323983">
        <w:rPr>
          <w:rFonts w:ascii="Bookman Old Style" w:hAnsi="Bookman Old Style"/>
          <w:sz w:val="20"/>
          <w:szCs w:val="20"/>
        </w:rPr>
        <w:t>тчета</w:t>
      </w:r>
      <w:r w:rsidR="00EB2BAD" w:rsidRPr="00323983">
        <w:rPr>
          <w:rFonts w:ascii="Bookman Old Style" w:hAnsi="Bookman Old Style"/>
          <w:sz w:val="20"/>
          <w:szCs w:val="20"/>
        </w:rPr>
        <w:t xml:space="preserve"> об оценке</w:t>
      </w:r>
      <w:r w:rsidRPr="00323983">
        <w:rPr>
          <w:rFonts w:ascii="Bookman Old Style" w:hAnsi="Bookman Old Style"/>
          <w:sz w:val="20"/>
          <w:szCs w:val="20"/>
        </w:rPr>
        <w:t>, включает в себя следующие сведения:</w:t>
      </w:r>
    </w:p>
    <w:p w:rsidR="004428A6" w:rsidRDefault="004428A6" w:rsidP="009948B1">
      <w:pPr>
        <w:numPr>
          <w:ilvl w:val="0"/>
          <w:numId w:val="1"/>
        </w:numPr>
        <w:spacing w:before="120" w:after="120"/>
        <w:ind w:left="426"/>
        <w:jc w:val="both"/>
        <w:rPr>
          <w:rFonts w:ascii="Bookman Old Style" w:hAnsi="Bookman Old Style"/>
          <w:sz w:val="20"/>
          <w:szCs w:val="20"/>
        </w:rPr>
      </w:pPr>
      <w:r w:rsidRPr="00323983">
        <w:rPr>
          <w:rFonts w:ascii="Bookman Old Style" w:hAnsi="Bookman Old Style"/>
          <w:sz w:val="20"/>
          <w:szCs w:val="20"/>
        </w:rPr>
        <w:t xml:space="preserve">Объект оценки: </w:t>
      </w:r>
    </w:p>
    <w:p w:rsidR="000A4482" w:rsidRPr="00023975" w:rsidRDefault="000A4482" w:rsidP="000A4482">
      <w:pPr>
        <w:autoSpaceDE w:val="0"/>
        <w:autoSpaceDN w:val="0"/>
        <w:adjustRightInd w:val="0"/>
        <w:spacing w:before="120" w:after="120"/>
        <w:ind w:left="720"/>
        <w:jc w:val="both"/>
        <w:rPr>
          <w:rFonts w:ascii="Bookman Old Style" w:hAnsi="Bookman Old Style"/>
          <w:color w:val="000000" w:themeColor="text1"/>
          <w:sz w:val="20"/>
          <w:szCs w:val="20"/>
        </w:rPr>
      </w:pPr>
      <w:r w:rsidRPr="00023975">
        <w:rPr>
          <w:rFonts w:ascii="Bookman Old Style" w:hAnsi="Bookman Old Style"/>
          <w:color w:val="000000" w:themeColor="text1"/>
          <w:sz w:val="20"/>
          <w:szCs w:val="20"/>
        </w:rPr>
        <w:t>Недвижимое и движимое имущество ООО «Окно», находящееся в залоге у Открытого акционерного общества Акционерный коммерческий банк «Банк Москвы», в составе элементов:</w:t>
      </w:r>
    </w:p>
    <w:p w:rsidR="000A4482" w:rsidRPr="00023975" w:rsidRDefault="000A4482" w:rsidP="00303E37">
      <w:pPr>
        <w:numPr>
          <w:ilvl w:val="1"/>
          <w:numId w:val="53"/>
        </w:numPr>
        <w:autoSpaceDE w:val="0"/>
        <w:autoSpaceDN w:val="0"/>
        <w:adjustRightInd w:val="0"/>
        <w:spacing w:before="120" w:after="120"/>
        <w:ind w:left="1276"/>
        <w:jc w:val="both"/>
        <w:rPr>
          <w:rFonts w:ascii="Bookman Old Style" w:hAnsi="Bookman Old Style"/>
          <w:color w:val="000000" w:themeColor="text1"/>
          <w:sz w:val="20"/>
          <w:szCs w:val="20"/>
        </w:rPr>
      </w:pPr>
      <w:r w:rsidRPr="00023975">
        <w:rPr>
          <w:rFonts w:ascii="Bookman Old Style" w:hAnsi="Bookman Old Style"/>
          <w:color w:val="000000" w:themeColor="text1"/>
          <w:sz w:val="20"/>
          <w:szCs w:val="20"/>
        </w:rPr>
        <w:t xml:space="preserve">Нежилое здание, назначение: 2- этажный (подземных этажей -1), общая площадь 4216,7 кв. м.,  инв.№ 04:401:001:015107160:0001, лит. В3, в,в1,В2,В4,В5,В6, адрес: г. Красноярск, ул. Айвазовского, 37 «А» Кадастровый номер: 24:50:0500203:386 </w:t>
      </w:r>
    </w:p>
    <w:p w:rsidR="000A4482" w:rsidRPr="00023975" w:rsidRDefault="000A4482" w:rsidP="00303E37">
      <w:pPr>
        <w:numPr>
          <w:ilvl w:val="1"/>
          <w:numId w:val="53"/>
        </w:numPr>
        <w:autoSpaceDE w:val="0"/>
        <w:autoSpaceDN w:val="0"/>
        <w:adjustRightInd w:val="0"/>
        <w:spacing w:before="120" w:after="120"/>
        <w:ind w:left="1276"/>
        <w:jc w:val="both"/>
        <w:rPr>
          <w:rFonts w:ascii="Bookman Old Style" w:hAnsi="Bookman Old Style"/>
          <w:color w:val="000000" w:themeColor="text1"/>
          <w:sz w:val="20"/>
          <w:szCs w:val="20"/>
        </w:rPr>
      </w:pPr>
      <w:r w:rsidRPr="00023975">
        <w:rPr>
          <w:rFonts w:ascii="Bookman Old Style" w:hAnsi="Bookman Old Style"/>
          <w:color w:val="000000" w:themeColor="text1"/>
          <w:sz w:val="20"/>
          <w:szCs w:val="20"/>
        </w:rPr>
        <w:t>Холодный склад, назначение: нежилое, 1- этажный,  общая площадь 1002,2 кв. метра, инв. № 01:3396:013795, лит. В1, адрес: г. Красноярск, ул. Айвазовского, 37 «А», строение 3. Кадастровый номер: 24:50:0500203:398</w:t>
      </w:r>
    </w:p>
    <w:p w:rsidR="000A4482" w:rsidRPr="00023975" w:rsidRDefault="000A4482" w:rsidP="00303E37">
      <w:pPr>
        <w:numPr>
          <w:ilvl w:val="1"/>
          <w:numId w:val="53"/>
        </w:numPr>
        <w:autoSpaceDE w:val="0"/>
        <w:autoSpaceDN w:val="0"/>
        <w:adjustRightInd w:val="0"/>
        <w:spacing w:before="120" w:after="120"/>
        <w:ind w:left="1276"/>
        <w:jc w:val="both"/>
        <w:rPr>
          <w:rFonts w:ascii="Bookman Old Style" w:hAnsi="Bookman Old Style"/>
          <w:color w:val="000000" w:themeColor="text1"/>
          <w:sz w:val="20"/>
          <w:szCs w:val="20"/>
        </w:rPr>
      </w:pPr>
      <w:r w:rsidRPr="00023975">
        <w:rPr>
          <w:rFonts w:ascii="Bookman Old Style" w:hAnsi="Bookman Old Style"/>
          <w:color w:val="000000" w:themeColor="text1"/>
          <w:sz w:val="20"/>
          <w:szCs w:val="20"/>
        </w:rPr>
        <w:t>Склад готовой продукции, назначение: нежилое, 1-этажный, общая площадь 1497,2 кв. м.,  инв. № 01:3237:012895, лит. В3,  адрес: г. Красноярск, ул. Айвазовского,37 «А», строен. 1, Кадастровый номер 24:50:0000000:0:105432</w:t>
      </w:r>
    </w:p>
    <w:p w:rsidR="000A4482" w:rsidRPr="00023975" w:rsidRDefault="000A4482" w:rsidP="00303E37">
      <w:pPr>
        <w:numPr>
          <w:ilvl w:val="1"/>
          <w:numId w:val="53"/>
        </w:numPr>
        <w:autoSpaceDE w:val="0"/>
        <w:autoSpaceDN w:val="0"/>
        <w:adjustRightInd w:val="0"/>
        <w:spacing w:before="120" w:after="120"/>
        <w:ind w:left="1276"/>
        <w:jc w:val="both"/>
        <w:rPr>
          <w:rFonts w:ascii="Bookman Old Style" w:hAnsi="Bookman Old Style"/>
          <w:color w:val="000000" w:themeColor="text1"/>
          <w:sz w:val="20"/>
          <w:szCs w:val="20"/>
        </w:rPr>
      </w:pPr>
      <w:r w:rsidRPr="00023975">
        <w:rPr>
          <w:rFonts w:ascii="Bookman Old Style" w:hAnsi="Bookman Old Style"/>
          <w:color w:val="000000" w:themeColor="text1"/>
          <w:sz w:val="20"/>
          <w:szCs w:val="20"/>
        </w:rPr>
        <w:t>Земельный участок, категория земель: земли населенных пунктов, разрешенное использование: занимаемый производственной базой, общая площадь 12774 кв. м., адрес: г. Красноярск, ул. Айвазовского,37 «А»</w:t>
      </w:r>
      <w:r>
        <w:rPr>
          <w:rFonts w:ascii="Bookman Old Style" w:hAnsi="Bookman Old Style"/>
          <w:color w:val="000000" w:themeColor="text1"/>
          <w:sz w:val="20"/>
          <w:szCs w:val="20"/>
        </w:rPr>
        <w:t>. К</w:t>
      </w:r>
      <w:r w:rsidRPr="00023975">
        <w:rPr>
          <w:rFonts w:ascii="Bookman Old Style" w:hAnsi="Bookman Old Style"/>
          <w:color w:val="000000" w:themeColor="text1"/>
          <w:sz w:val="20"/>
          <w:szCs w:val="20"/>
        </w:rPr>
        <w:t>адастровый номер: 24:50:0500203:458</w:t>
      </w:r>
    </w:p>
    <w:p w:rsidR="000A4482" w:rsidRPr="00023975" w:rsidRDefault="000A4482" w:rsidP="00303E37">
      <w:pPr>
        <w:numPr>
          <w:ilvl w:val="1"/>
          <w:numId w:val="53"/>
        </w:numPr>
        <w:autoSpaceDE w:val="0"/>
        <w:autoSpaceDN w:val="0"/>
        <w:adjustRightInd w:val="0"/>
        <w:spacing w:before="120" w:after="120"/>
        <w:ind w:left="1276"/>
        <w:jc w:val="both"/>
        <w:rPr>
          <w:rFonts w:ascii="Bookman Old Style" w:hAnsi="Bookman Old Style"/>
          <w:color w:val="000000" w:themeColor="text1"/>
          <w:sz w:val="20"/>
          <w:szCs w:val="20"/>
        </w:rPr>
      </w:pPr>
      <w:r w:rsidRPr="00023975">
        <w:rPr>
          <w:rFonts w:ascii="Bookman Old Style" w:hAnsi="Bookman Old Style"/>
          <w:color w:val="000000" w:themeColor="text1"/>
          <w:sz w:val="20"/>
          <w:szCs w:val="20"/>
        </w:rPr>
        <w:lastRenderedPageBreak/>
        <w:t>Центр обработки и нарезания ПВХ профилей  KABAN Makina FA 1030</w:t>
      </w:r>
    </w:p>
    <w:p w:rsidR="000A4482" w:rsidRPr="00023975" w:rsidRDefault="000A4482" w:rsidP="00303E37">
      <w:pPr>
        <w:numPr>
          <w:ilvl w:val="1"/>
          <w:numId w:val="53"/>
        </w:numPr>
        <w:autoSpaceDE w:val="0"/>
        <w:autoSpaceDN w:val="0"/>
        <w:adjustRightInd w:val="0"/>
        <w:spacing w:before="120" w:after="120"/>
        <w:ind w:left="1276"/>
        <w:jc w:val="both"/>
        <w:rPr>
          <w:rFonts w:ascii="Bookman Old Style" w:hAnsi="Bookman Old Style"/>
          <w:color w:val="000000" w:themeColor="text1"/>
          <w:sz w:val="20"/>
          <w:szCs w:val="20"/>
        </w:rPr>
      </w:pPr>
      <w:r w:rsidRPr="00023975">
        <w:rPr>
          <w:rFonts w:ascii="Bookman Old Style" w:hAnsi="Bookman Old Style"/>
          <w:color w:val="000000" w:themeColor="text1"/>
          <w:sz w:val="20"/>
          <w:szCs w:val="20"/>
        </w:rPr>
        <w:t>Станок для рубки армирования  KABAN Makina КС1010</w:t>
      </w:r>
    </w:p>
    <w:p w:rsidR="000A4482" w:rsidRPr="00023975" w:rsidRDefault="000A4482" w:rsidP="00303E37">
      <w:pPr>
        <w:numPr>
          <w:ilvl w:val="1"/>
          <w:numId w:val="53"/>
        </w:numPr>
        <w:autoSpaceDE w:val="0"/>
        <w:autoSpaceDN w:val="0"/>
        <w:adjustRightInd w:val="0"/>
        <w:spacing w:before="120" w:after="120"/>
        <w:ind w:left="1276"/>
        <w:jc w:val="both"/>
        <w:rPr>
          <w:rFonts w:ascii="Bookman Old Style" w:hAnsi="Bookman Old Style"/>
          <w:color w:val="000000" w:themeColor="text1"/>
          <w:sz w:val="20"/>
          <w:szCs w:val="20"/>
        </w:rPr>
      </w:pPr>
      <w:r w:rsidRPr="00023975">
        <w:rPr>
          <w:rFonts w:ascii="Bookman Old Style" w:hAnsi="Bookman Old Style"/>
          <w:color w:val="000000" w:themeColor="text1"/>
          <w:sz w:val="20"/>
          <w:szCs w:val="20"/>
        </w:rPr>
        <w:t>Цифровая система измерения  KABAN Makina DS500</w:t>
      </w:r>
    </w:p>
    <w:p w:rsidR="000A4482" w:rsidRPr="00023975" w:rsidRDefault="000A4482" w:rsidP="00303E37">
      <w:pPr>
        <w:numPr>
          <w:ilvl w:val="1"/>
          <w:numId w:val="53"/>
        </w:numPr>
        <w:autoSpaceDE w:val="0"/>
        <w:autoSpaceDN w:val="0"/>
        <w:adjustRightInd w:val="0"/>
        <w:spacing w:before="120" w:after="120"/>
        <w:ind w:left="1276"/>
        <w:jc w:val="both"/>
        <w:rPr>
          <w:rFonts w:ascii="Bookman Old Style" w:hAnsi="Bookman Old Style"/>
          <w:color w:val="000000" w:themeColor="text1"/>
          <w:sz w:val="20"/>
          <w:szCs w:val="20"/>
        </w:rPr>
      </w:pPr>
      <w:r w:rsidRPr="00023975">
        <w:rPr>
          <w:rFonts w:ascii="Bookman Old Style" w:hAnsi="Bookman Old Style"/>
          <w:color w:val="000000" w:themeColor="text1"/>
          <w:sz w:val="20"/>
          <w:szCs w:val="20"/>
        </w:rPr>
        <w:t>Цифровой измерительный компас KABAN Makina DК 100</w:t>
      </w:r>
    </w:p>
    <w:p w:rsidR="000A4482" w:rsidRPr="00023975" w:rsidRDefault="000A4482" w:rsidP="00303E37">
      <w:pPr>
        <w:numPr>
          <w:ilvl w:val="1"/>
          <w:numId w:val="53"/>
        </w:numPr>
        <w:autoSpaceDE w:val="0"/>
        <w:autoSpaceDN w:val="0"/>
        <w:adjustRightInd w:val="0"/>
        <w:spacing w:before="120" w:after="120"/>
        <w:ind w:left="1276"/>
        <w:jc w:val="both"/>
        <w:rPr>
          <w:rFonts w:ascii="Bookman Old Style" w:hAnsi="Bookman Old Style"/>
          <w:color w:val="000000" w:themeColor="text1"/>
          <w:sz w:val="20"/>
          <w:szCs w:val="20"/>
        </w:rPr>
      </w:pPr>
      <w:r w:rsidRPr="00023975">
        <w:rPr>
          <w:rFonts w:ascii="Bookman Old Style" w:hAnsi="Bookman Old Style"/>
          <w:color w:val="000000" w:themeColor="text1"/>
          <w:sz w:val="20"/>
          <w:szCs w:val="20"/>
        </w:rPr>
        <w:t>Станок одноголовочный сварочный   KABAN Makina ВА2030</w:t>
      </w:r>
    </w:p>
    <w:p w:rsidR="000A4482" w:rsidRPr="00023975" w:rsidRDefault="000A4482" w:rsidP="00303E37">
      <w:pPr>
        <w:numPr>
          <w:ilvl w:val="1"/>
          <w:numId w:val="53"/>
        </w:numPr>
        <w:autoSpaceDE w:val="0"/>
        <w:autoSpaceDN w:val="0"/>
        <w:adjustRightInd w:val="0"/>
        <w:spacing w:before="120" w:after="120"/>
        <w:ind w:left="1276"/>
        <w:jc w:val="both"/>
        <w:rPr>
          <w:rFonts w:ascii="Bookman Old Style" w:hAnsi="Bookman Old Style"/>
          <w:color w:val="000000" w:themeColor="text1"/>
          <w:sz w:val="20"/>
          <w:szCs w:val="20"/>
        </w:rPr>
      </w:pPr>
      <w:r w:rsidRPr="00023975">
        <w:rPr>
          <w:rFonts w:ascii="Bookman Old Style" w:hAnsi="Bookman Old Style"/>
          <w:color w:val="000000" w:themeColor="text1"/>
          <w:sz w:val="20"/>
          <w:szCs w:val="20"/>
        </w:rPr>
        <w:t>Автоматический копировально-фрезерный станок для фрезерования отверстий  под ручку и фурнитуру KABAN Makina DE 4060</w:t>
      </w:r>
    </w:p>
    <w:p w:rsidR="000A4482" w:rsidRDefault="000A4482" w:rsidP="00303E37">
      <w:pPr>
        <w:numPr>
          <w:ilvl w:val="1"/>
          <w:numId w:val="53"/>
        </w:numPr>
        <w:autoSpaceDE w:val="0"/>
        <w:autoSpaceDN w:val="0"/>
        <w:adjustRightInd w:val="0"/>
        <w:spacing w:before="120" w:after="120"/>
        <w:ind w:left="1276"/>
        <w:jc w:val="both"/>
        <w:rPr>
          <w:rFonts w:ascii="Bookman Old Style" w:hAnsi="Bookman Old Style"/>
          <w:color w:val="000000" w:themeColor="text1"/>
          <w:sz w:val="20"/>
          <w:szCs w:val="20"/>
        </w:rPr>
      </w:pPr>
      <w:r w:rsidRPr="00023975">
        <w:rPr>
          <w:rFonts w:ascii="Bookman Old Style" w:hAnsi="Bookman Old Style"/>
          <w:color w:val="000000" w:themeColor="text1"/>
          <w:sz w:val="20"/>
          <w:szCs w:val="20"/>
        </w:rPr>
        <w:t>Механический  копировально-фрезерный  станок  KABAN Makina DF4060</w:t>
      </w:r>
    </w:p>
    <w:p w:rsidR="00C33B02" w:rsidRPr="000A4482" w:rsidRDefault="000A4482" w:rsidP="00303E37">
      <w:pPr>
        <w:numPr>
          <w:ilvl w:val="1"/>
          <w:numId w:val="53"/>
        </w:numPr>
        <w:autoSpaceDE w:val="0"/>
        <w:autoSpaceDN w:val="0"/>
        <w:adjustRightInd w:val="0"/>
        <w:spacing w:before="120" w:after="120"/>
        <w:ind w:left="1276"/>
        <w:jc w:val="both"/>
        <w:rPr>
          <w:rFonts w:ascii="Bookman Old Style" w:hAnsi="Bookman Old Style"/>
          <w:color w:val="000000" w:themeColor="text1"/>
          <w:sz w:val="20"/>
          <w:szCs w:val="20"/>
        </w:rPr>
      </w:pPr>
      <w:r w:rsidRPr="000A4482">
        <w:rPr>
          <w:rFonts w:ascii="Bookman Old Style" w:hAnsi="Bookman Old Style"/>
          <w:color w:val="000000" w:themeColor="text1"/>
          <w:sz w:val="20"/>
          <w:szCs w:val="20"/>
        </w:rPr>
        <w:t>Автоматический станок для обработки импоста  KABAN Makina СF3060</w:t>
      </w:r>
    </w:p>
    <w:p w:rsidR="004428A6" w:rsidRDefault="004428A6" w:rsidP="009948B1">
      <w:pPr>
        <w:numPr>
          <w:ilvl w:val="0"/>
          <w:numId w:val="1"/>
        </w:numPr>
        <w:spacing w:before="120" w:after="120"/>
        <w:ind w:left="426"/>
        <w:jc w:val="both"/>
        <w:rPr>
          <w:rFonts w:ascii="Bookman Old Style" w:hAnsi="Bookman Old Style"/>
          <w:sz w:val="20"/>
          <w:szCs w:val="20"/>
        </w:rPr>
      </w:pPr>
      <w:r w:rsidRPr="001F0401">
        <w:rPr>
          <w:rFonts w:ascii="Bookman Old Style" w:hAnsi="Bookman Old Style"/>
          <w:sz w:val="20"/>
          <w:szCs w:val="20"/>
        </w:rPr>
        <w:t>Имущественные права</w:t>
      </w:r>
      <w:r>
        <w:rPr>
          <w:rFonts w:ascii="Bookman Old Style" w:hAnsi="Bookman Old Style"/>
          <w:sz w:val="20"/>
          <w:szCs w:val="20"/>
        </w:rPr>
        <w:t xml:space="preserve"> Заказчика отчета на О</w:t>
      </w:r>
      <w:r w:rsidRPr="001F0401">
        <w:rPr>
          <w:rFonts w:ascii="Bookman Old Style" w:hAnsi="Bookman Old Style"/>
          <w:sz w:val="20"/>
          <w:szCs w:val="20"/>
        </w:rPr>
        <w:t>бъект оценки:</w:t>
      </w:r>
    </w:p>
    <w:p w:rsidR="004428A6" w:rsidRDefault="00B452F3" w:rsidP="009948B1">
      <w:pPr>
        <w:spacing w:before="120" w:after="120"/>
        <w:ind w:left="425"/>
        <w:jc w:val="both"/>
        <w:rPr>
          <w:rFonts w:ascii="Bookman Old Style" w:hAnsi="Bookman Old Style"/>
          <w:sz w:val="20"/>
          <w:szCs w:val="20"/>
        </w:rPr>
      </w:pPr>
      <w:r w:rsidRPr="00B452F3">
        <w:rPr>
          <w:rFonts w:ascii="Bookman Old Style" w:hAnsi="Bookman Old Style"/>
          <w:sz w:val="20"/>
          <w:szCs w:val="20"/>
        </w:rPr>
        <w:t>Право собственности</w:t>
      </w:r>
      <w:r w:rsidR="00D37972">
        <w:rPr>
          <w:rFonts w:ascii="Bookman Old Style" w:hAnsi="Bookman Old Style"/>
          <w:sz w:val="20"/>
          <w:szCs w:val="20"/>
        </w:rPr>
        <w:t>;</w:t>
      </w:r>
    </w:p>
    <w:p w:rsidR="00C07FF6" w:rsidRDefault="00874BE8" w:rsidP="009948B1">
      <w:pPr>
        <w:pStyle w:val="aff2"/>
        <w:numPr>
          <w:ilvl w:val="0"/>
          <w:numId w:val="1"/>
        </w:numPr>
        <w:spacing w:before="120" w:after="120"/>
        <w:ind w:left="426" w:hanging="357"/>
        <w:contextualSpacing w:val="0"/>
        <w:jc w:val="both"/>
        <w:rPr>
          <w:rFonts w:ascii="Bookman Old Style" w:hAnsi="Bookman Old Style"/>
          <w:sz w:val="20"/>
          <w:szCs w:val="20"/>
        </w:rPr>
      </w:pPr>
      <w:r>
        <w:rPr>
          <w:rFonts w:ascii="Bookman Old Style" w:hAnsi="Bookman Old Style"/>
          <w:sz w:val="20"/>
          <w:szCs w:val="20"/>
        </w:rPr>
        <w:t>Права учитываемые при оценке</w:t>
      </w:r>
      <w:r w:rsidR="00C07FF6">
        <w:rPr>
          <w:rFonts w:ascii="Bookman Old Style" w:hAnsi="Bookman Old Style"/>
          <w:sz w:val="20"/>
          <w:szCs w:val="20"/>
        </w:rPr>
        <w:t>:</w:t>
      </w:r>
    </w:p>
    <w:p w:rsidR="00C07FF6" w:rsidRDefault="00D703A8" w:rsidP="009948B1">
      <w:pPr>
        <w:pStyle w:val="aff2"/>
        <w:spacing w:before="120" w:after="120"/>
        <w:ind w:left="426"/>
        <w:contextualSpacing w:val="0"/>
        <w:jc w:val="both"/>
        <w:rPr>
          <w:rFonts w:ascii="Bookman Old Style" w:hAnsi="Bookman Old Style"/>
          <w:sz w:val="20"/>
          <w:szCs w:val="20"/>
        </w:rPr>
      </w:pPr>
      <w:r w:rsidRPr="00D703A8">
        <w:rPr>
          <w:rFonts w:ascii="Bookman Old Style" w:hAnsi="Bookman Old Style"/>
          <w:sz w:val="20"/>
          <w:szCs w:val="20"/>
        </w:rPr>
        <w:t>Переход права собственности</w:t>
      </w:r>
      <w:r w:rsidR="00C07FF6">
        <w:rPr>
          <w:rFonts w:ascii="Bookman Old Style" w:hAnsi="Bookman Old Style"/>
          <w:sz w:val="20"/>
          <w:szCs w:val="20"/>
        </w:rPr>
        <w:t>;</w:t>
      </w:r>
    </w:p>
    <w:p w:rsidR="003A18EF" w:rsidRDefault="003A18EF" w:rsidP="009948B1">
      <w:pPr>
        <w:pStyle w:val="aff2"/>
        <w:spacing w:before="120" w:after="120"/>
        <w:ind w:left="426"/>
        <w:contextualSpacing w:val="0"/>
        <w:rPr>
          <w:rFonts w:ascii="Bookman Old Style" w:hAnsi="Bookman Old Style"/>
          <w:sz w:val="20"/>
          <w:szCs w:val="20"/>
        </w:rPr>
      </w:pPr>
      <w:r>
        <w:rPr>
          <w:rFonts w:ascii="Bookman Old Style" w:hAnsi="Bookman Old Style"/>
          <w:sz w:val="20"/>
          <w:szCs w:val="20"/>
        </w:rPr>
        <w:t>Ины</w:t>
      </w:r>
      <w:r w:rsidR="001571B7">
        <w:rPr>
          <w:rFonts w:ascii="Bookman Old Style" w:hAnsi="Bookman Old Style"/>
          <w:sz w:val="20"/>
          <w:szCs w:val="20"/>
        </w:rPr>
        <w:t>е ограничения</w:t>
      </w:r>
      <w:r>
        <w:rPr>
          <w:rFonts w:ascii="Bookman Old Style" w:hAnsi="Bookman Old Style"/>
          <w:sz w:val="20"/>
          <w:szCs w:val="20"/>
        </w:rPr>
        <w:t xml:space="preserve"> (обременени</w:t>
      </w:r>
      <w:r w:rsidR="001571B7">
        <w:rPr>
          <w:rFonts w:ascii="Bookman Old Style" w:hAnsi="Bookman Old Style"/>
          <w:sz w:val="20"/>
          <w:szCs w:val="20"/>
        </w:rPr>
        <w:t>я</w:t>
      </w:r>
      <w:r>
        <w:rPr>
          <w:rFonts w:ascii="Bookman Old Style" w:hAnsi="Bookman Old Style"/>
          <w:sz w:val="20"/>
          <w:szCs w:val="20"/>
        </w:rPr>
        <w:t>) прав – не установлено.</w:t>
      </w:r>
    </w:p>
    <w:p w:rsidR="004428A6" w:rsidRPr="00A20003" w:rsidRDefault="004428A6" w:rsidP="009948B1">
      <w:pPr>
        <w:pStyle w:val="aff2"/>
        <w:numPr>
          <w:ilvl w:val="0"/>
          <w:numId w:val="1"/>
        </w:numPr>
        <w:spacing w:before="120" w:after="120"/>
        <w:ind w:left="426"/>
        <w:contextualSpacing w:val="0"/>
        <w:jc w:val="both"/>
        <w:rPr>
          <w:rFonts w:ascii="Bookman Old Style" w:hAnsi="Bookman Old Style"/>
          <w:sz w:val="20"/>
          <w:szCs w:val="20"/>
        </w:rPr>
      </w:pPr>
      <w:r w:rsidRPr="00A20003">
        <w:rPr>
          <w:rFonts w:ascii="Bookman Old Style" w:hAnsi="Bookman Old Style"/>
          <w:sz w:val="20"/>
          <w:szCs w:val="20"/>
        </w:rPr>
        <w:t>Цель и задачи оценки:</w:t>
      </w:r>
    </w:p>
    <w:p w:rsidR="004428A6" w:rsidRPr="00957D3E" w:rsidRDefault="00D703A8" w:rsidP="009948B1">
      <w:pPr>
        <w:spacing w:before="120" w:after="120"/>
        <w:ind w:left="426"/>
        <w:jc w:val="both"/>
        <w:rPr>
          <w:rFonts w:ascii="Bookman Old Style" w:hAnsi="Bookman Old Style"/>
          <w:iCs/>
          <w:sz w:val="20"/>
          <w:szCs w:val="20"/>
        </w:rPr>
      </w:pPr>
      <w:r w:rsidRPr="00D703A8">
        <w:rPr>
          <w:rFonts w:ascii="Bookman Old Style" w:hAnsi="Bookman Old Style"/>
          <w:iCs/>
          <w:sz w:val="20"/>
          <w:szCs w:val="20"/>
        </w:rPr>
        <w:t>Расчет рыночной стоимости Объекта оценки, для определения начальной стоимости Объекта оценки при организации торгов по продаже, в рамках процедуры конкурсного производства</w:t>
      </w:r>
      <w:r w:rsidR="004428A6">
        <w:rPr>
          <w:rFonts w:ascii="Bookman Old Style" w:hAnsi="Bookman Old Style"/>
          <w:iCs/>
          <w:sz w:val="20"/>
          <w:szCs w:val="20"/>
        </w:rPr>
        <w:t>;</w:t>
      </w:r>
    </w:p>
    <w:p w:rsidR="004428A6" w:rsidRPr="001F0401" w:rsidRDefault="004428A6" w:rsidP="009948B1">
      <w:pPr>
        <w:numPr>
          <w:ilvl w:val="0"/>
          <w:numId w:val="1"/>
        </w:numPr>
        <w:spacing w:before="120" w:after="120"/>
        <w:ind w:left="426"/>
        <w:jc w:val="both"/>
        <w:rPr>
          <w:rFonts w:ascii="Bookman Old Style" w:hAnsi="Bookman Old Style"/>
          <w:sz w:val="20"/>
          <w:szCs w:val="20"/>
        </w:rPr>
      </w:pPr>
      <w:r w:rsidRPr="001F0401">
        <w:rPr>
          <w:rFonts w:ascii="Bookman Old Style" w:hAnsi="Bookman Old Style"/>
          <w:sz w:val="20"/>
          <w:szCs w:val="20"/>
        </w:rPr>
        <w:t>Предполагаемое использование результатов оценки и связанные с этим ограничения:</w:t>
      </w:r>
    </w:p>
    <w:p w:rsidR="00D703A8" w:rsidRDefault="00D703A8" w:rsidP="009948B1">
      <w:pPr>
        <w:spacing w:before="120" w:after="120"/>
        <w:ind w:left="426"/>
        <w:jc w:val="both"/>
        <w:rPr>
          <w:rFonts w:ascii="Bookman Old Style" w:hAnsi="Bookman Old Style"/>
          <w:iCs/>
          <w:sz w:val="20"/>
          <w:szCs w:val="20"/>
        </w:rPr>
      </w:pPr>
      <w:r>
        <w:rPr>
          <w:rFonts w:ascii="Bookman Old Style" w:hAnsi="Bookman Old Style"/>
          <w:iCs/>
          <w:sz w:val="20"/>
          <w:szCs w:val="20"/>
        </w:rPr>
        <w:t>Предполагаемое использование результатов оценки:</w:t>
      </w:r>
    </w:p>
    <w:p w:rsidR="00D703A8" w:rsidRDefault="00D703A8" w:rsidP="00303E37">
      <w:pPr>
        <w:pStyle w:val="aff2"/>
        <w:numPr>
          <w:ilvl w:val="0"/>
          <w:numId w:val="42"/>
        </w:numPr>
        <w:spacing w:before="120" w:after="120"/>
        <w:ind w:left="709"/>
        <w:contextualSpacing w:val="0"/>
        <w:jc w:val="both"/>
        <w:rPr>
          <w:rFonts w:ascii="Bookman Old Style" w:hAnsi="Bookman Old Style"/>
          <w:iCs/>
          <w:sz w:val="20"/>
          <w:szCs w:val="20"/>
        </w:rPr>
      </w:pPr>
      <w:r w:rsidRPr="009C359C">
        <w:rPr>
          <w:rFonts w:ascii="Bookman Old Style" w:hAnsi="Bookman Old Style"/>
          <w:iCs/>
          <w:sz w:val="20"/>
          <w:szCs w:val="20"/>
        </w:rPr>
        <w:t>Организация торгов по продаже</w:t>
      </w:r>
      <w:r>
        <w:rPr>
          <w:rFonts w:ascii="Bookman Old Style" w:hAnsi="Bookman Old Style"/>
          <w:iCs/>
          <w:sz w:val="20"/>
          <w:szCs w:val="20"/>
        </w:rPr>
        <w:t>;</w:t>
      </w:r>
      <w:r w:rsidRPr="00407274">
        <w:rPr>
          <w:rFonts w:ascii="Bookman Old Style" w:hAnsi="Bookman Old Style"/>
          <w:iCs/>
          <w:sz w:val="20"/>
          <w:szCs w:val="20"/>
        </w:rPr>
        <w:t xml:space="preserve"> </w:t>
      </w:r>
    </w:p>
    <w:p w:rsidR="00D703A8" w:rsidRDefault="00D703A8" w:rsidP="009948B1">
      <w:pPr>
        <w:spacing w:before="120" w:after="120"/>
        <w:ind w:left="426"/>
        <w:jc w:val="both"/>
        <w:rPr>
          <w:rFonts w:ascii="Bookman Old Style" w:hAnsi="Bookman Old Style"/>
          <w:iCs/>
          <w:sz w:val="20"/>
          <w:szCs w:val="20"/>
        </w:rPr>
      </w:pPr>
      <w:r>
        <w:rPr>
          <w:rFonts w:ascii="Bookman Old Style" w:hAnsi="Bookman Old Style"/>
          <w:iCs/>
          <w:sz w:val="20"/>
          <w:szCs w:val="20"/>
        </w:rPr>
        <w:t>Ограничения использования результатов оценки:</w:t>
      </w:r>
    </w:p>
    <w:p w:rsidR="0002357B" w:rsidRDefault="00D703A8" w:rsidP="00303E37">
      <w:pPr>
        <w:numPr>
          <w:ilvl w:val="0"/>
          <w:numId w:val="42"/>
        </w:numPr>
        <w:spacing w:before="120" w:after="120"/>
        <w:ind w:left="709"/>
        <w:rPr>
          <w:rFonts w:ascii="Bookman Old Style" w:hAnsi="Bookman Old Style"/>
          <w:iCs/>
          <w:sz w:val="20"/>
          <w:szCs w:val="20"/>
        </w:rPr>
      </w:pPr>
      <w:r w:rsidRPr="0002357B">
        <w:rPr>
          <w:rFonts w:ascii="Bookman Old Style" w:hAnsi="Bookman Old Style"/>
          <w:iCs/>
          <w:sz w:val="20"/>
          <w:szCs w:val="20"/>
        </w:rPr>
        <w:t>Результаты оценки не могут быть использованы никаким способом, кроме того, который указан в предполагаемом использовании</w:t>
      </w:r>
      <w:r w:rsidR="0002357B">
        <w:rPr>
          <w:rFonts w:ascii="Bookman Old Style" w:hAnsi="Bookman Old Style"/>
          <w:iCs/>
          <w:sz w:val="20"/>
          <w:szCs w:val="20"/>
        </w:rPr>
        <w:t>;</w:t>
      </w:r>
    </w:p>
    <w:p w:rsidR="004428A6" w:rsidRPr="00231648" w:rsidRDefault="004428A6" w:rsidP="009948B1">
      <w:pPr>
        <w:pStyle w:val="aff2"/>
        <w:numPr>
          <w:ilvl w:val="0"/>
          <w:numId w:val="1"/>
        </w:numPr>
        <w:spacing w:before="120" w:after="120"/>
        <w:ind w:left="426"/>
        <w:contextualSpacing w:val="0"/>
        <w:jc w:val="both"/>
        <w:rPr>
          <w:rFonts w:ascii="Bookman Old Style" w:hAnsi="Bookman Old Style"/>
          <w:sz w:val="20"/>
          <w:szCs w:val="20"/>
        </w:rPr>
      </w:pPr>
      <w:r w:rsidRPr="00231648">
        <w:rPr>
          <w:rFonts w:ascii="Bookman Old Style" w:hAnsi="Bookman Old Style"/>
          <w:sz w:val="20"/>
          <w:szCs w:val="20"/>
        </w:rPr>
        <w:t xml:space="preserve">Вид </w:t>
      </w:r>
      <w:r>
        <w:rPr>
          <w:rFonts w:ascii="Bookman Old Style" w:hAnsi="Bookman Old Style"/>
          <w:sz w:val="20"/>
          <w:szCs w:val="20"/>
        </w:rPr>
        <w:t xml:space="preserve">определяемой </w:t>
      </w:r>
      <w:r w:rsidRPr="00231648">
        <w:rPr>
          <w:rFonts w:ascii="Bookman Old Style" w:hAnsi="Bookman Old Style"/>
          <w:sz w:val="20"/>
          <w:szCs w:val="20"/>
        </w:rPr>
        <w:t>стоимости:</w:t>
      </w:r>
    </w:p>
    <w:p w:rsidR="004428A6" w:rsidRPr="001F0401" w:rsidRDefault="004428A6" w:rsidP="009948B1">
      <w:pPr>
        <w:spacing w:before="120" w:after="120"/>
        <w:ind w:left="426"/>
        <w:jc w:val="both"/>
        <w:rPr>
          <w:rFonts w:ascii="Bookman Old Style" w:hAnsi="Bookman Old Style"/>
          <w:sz w:val="20"/>
          <w:szCs w:val="20"/>
        </w:rPr>
      </w:pPr>
      <w:r w:rsidRPr="001F0401">
        <w:rPr>
          <w:rFonts w:ascii="Bookman Old Style" w:hAnsi="Bookman Old Style"/>
          <w:sz w:val="20"/>
          <w:szCs w:val="20"/>
        </w:rPr>
        <w:t>Рыночная стоимость</w:t>
      </w:r>
      <w:r w:rsidR="00D37972">
        <w:rPr>
          <w:rFonts w:ascii="Bookman Old Style" w:hAnsi="Bookman Old Style"/>
          <w:sz w:val="20"/>
          <w:szCs w:val="20"/>
        </w:rPr>
        <w:t>;</w:t>
      </w:r>
    </w:p>
    <w:p w:rsidR="004428A6" w:rsidRPr="005C32A0" w:rsidRDefault="004428A6" w:rsidP="009948B1">
      <w:pPr>
        <w:numPr>
          <w:ilvl w:val="0"/>
          <w:numId w:val="1"/>
        </w:numPr>
        <w:spacing w:before="120" w:after="120"/>
        <w:ind w:left="426"/>
        <w:jc w:val="both"/>
        <w:rPr>
          <w:rFonts w:ascii="Bookman Old Style" w:hAnsi="Bookman Old Style"/>
          <w:sz w:val="20"/>
          <w:szCs w:val="20"/>
        </w:rPr>
      </w:pPr>
      <w:r w:rsidRPr="005C32A0">
        <w:rPr>
          <w:rFonts w:ascii="Bookman Old Style" w:hAnsi="Bookman Old Style"/>
          <w:sz w:val="20"/>
          <w:szCs w:val="20"/>
        </w:rPr>
        <w:t>Дата оценки:</w:t>
      </w:r>
    </w:p>
    <w:p w:rsidR="00F61A8F" w:rsidRPr="005C32A0" w:rsidRDefault="00F61A8F" w:rsidP="009948B1">
      <w:pPr>
        <w:spacing w:before="120" w:after="120"/>
        <w:ind w:left="426"/>
        <w:jc w:val="both"/>
        <w:rPr>
          <w:rFonts w:ascii="Bookman Old Style" w:hAnsi="Bookman Old Style"/>
          <w:sz w:val="20"/>
          <w:szCs w:val="20"/>
        </w:rPr>
      </w:pPr>
      <w:r w:rsidRPr="00E66C5F">
        <w:rPr>
          <w:rFonts w:ascii="Bookman Old Style" w:hAnsi="Bookman Old Style"/>
          <w:sz w:val="20"/>
          <w:szCs w:val="20"/>
        </w:rPr>
        <w:t>«</w:t>
      </w:r>
      <w:r w:rsidR="000A4482">
        <w:rPr>
          <w:rFonts w:ascii="Bookman Old Style" w:hAnsi="Bookman Old Style"/>
          <w:sz w:val="20"/>
          <w:szCs w:val="20"/>
        </w:rPr>
        <w:t>26</w:t>
      </w:r>
      <w:r w:rsidRPr="00E66C5F">
        <w:rPr>
          <w:rFonts w:ascii="Bookman Old Style" w:hAnsi="Bookman Old Style"/>
          <w:sz w:val="20"/>
          <w:szCs w:val="20"/>
        </w:rPr>
        <w:t xml:space="preserve">» </w:t>
      </w:r>
      <w:r w:rsidR="00C33B02" w:rsidRPr="00C33B02">
        <w:rPr>
          <w:rFonts w:ascii="Bookman Old Style" w:hAnsi="Bookman Old Style"/>
          <w:sz w:val="20"/>
          <w:szCs w:val="20"/>
        </w:rPr>
        <w:t xml:space="preserve">августа </w:t>
      </w:r>
      <w:r w:rsidRPr="00E66C5F">
        <w:rPr>
          <w:rFonts w:ascii="Bookman Old Style" w:hAnsi="Bookman Old Style"/>
          <w:sz w:val="20"/>
          <w:szCs w:val="20"/>
        </w:rPr>
        <w:t>201</w:t>
      </w:r>
      <w:r w:rsidR="007259A8">
        <w:rPr>
          <w:rFonts w:ascii="Bookman Old Style" w:hAnsi="Bookman Old Style"/>
          <w:sz w:val="20"/>
          <w:szCs w:val="20"/>
        </w:rPr>
        <w:t>6</w:t>
      </w:r>
      <w:r w:rsidRPr="00E66C5F">
        <w:rPr>
          <w:rFonts w:ascii="Bookman Old Style" w:hAnsi="Bookman Old Style"/>
          <w:sz w:val="20"/>
          <w:szCs w:val="20"/>
        </w:rPr>
        <w:t xml:space="preserve"> года;</w:t>
      </w:r>
    </w:p>
    <w:p w:rsidR="00F61A8F" w:rsidRPr="00F67AFF" w:rsidRDefault="00F61A8F" w:rsidP="009948B1">
      <w:pPr>
        <w:numPr>
          <w:ilvl w:val="0"/>
          <w:numId w:val="1"/>
        </w:numPr>
        <w:spacing w:before="120" w:after="120"/>
        <w:ind w:left="426"/>
        <w:jc w:val="both"/>
        <w:rPr>
          <w:rFonts w:ascii="Bookman Old Style" w:hAnsi="Bookman Old Style"/>
          <w:sz w:val="20"/>
          <w:szCs w:val="20"/>
        </w:rPr>
      </w:pPr>
      <w:r w:rsidRPr="00F67AFF">
        <w:rPr>
          <w:rFonts w:ascii="Bookman Old Style" w:hAnsi="Bookman Old Style"/>
          <w:sz w:val="20"/>
          <w:szCs w:val="20"/>
        </w:rPr>
        <w:t>Срок проведения оценки:</w:t>
      </w:r>
    </w:p>
    <w:p w:rsidR="004428A6" w:rsidRDefault="00F61A8F" w:rsidP="009948B1">
      <w:pPr>
        <w:spacing w:before="120" w:after="120"/>
        <w:ind w:left="426"/>
        <w:jc w:val="both"/>
        <w:rPr>
          <w:rFonts w:ascii="Bookman Old Style" w:hAnsi="Bookman Old Style"/>
          <w:sz w:val="20"/>
          <w:szCs w:val="20"/>
        </w:rPr>
      </w:pPr>
      <w:r w:rsidRPr="00255DD5">
        <w:rPr>
          <w:rFonts w:ascii="Bookman Old Style" w:hAnsi="Bookman Old Style"/>
          <w:sz w:val="20"/>
          <w:szCs w:val="20"/>
        </w:rPr>
        <w:t>С «</w:t>
      </w:r>
      <w:r w:rsidR="00AA51E2">
        <w:rPr>
          <w:rFonts w:ascii="Bookman Old Style" w:hAnsi="Bookman Old Style"/>
          <w:sz w:val="20"/>
          <w:szCs w:val="20"/>
        </w:rPr>
        <w:t>0</w:t>
      </w:r>
      <w:r w:rsidR="000A4482">
        <w:rPr>
          <w:rFonts w:ascii="Bookman Old Style" w:hAnsi="Bookman Old Style"/>
          <w:sz w:val="20"/>
          <w:szCs w:val="20"/>
        </w:rPr>
        <w:t>9</w:t>
      </w:r>
      <w:r w:rsidRPr="00255DD5">
        <w:rPr>
          <w:rFonts w:ascii="Bookman Old Style" w:hAnsi="Bookman Old Style"/>
          <w:sz w:val="20"/>
          <w:szCs w:val="20"/>
        </w:rPr>
        <w:t xml:space="preserve">» </w:t>
      </w:r>
      <w:r w:rsidR="00C33B02" w:rsidRPr="00C33B02">
        <w:rPr>
          <w:rFonts w:ascii="Bookman Old Style" w:hAnsi="Bookman Old Style"/>
          <w:sz w:val="20"/>
          <w:szCs w:val="20"/>
        </w:rPr>
        <w:t xml:space="preserve">августа </w:t>
      </w:r>
      <w:r w:rsidRPr="00255DD5">
        <w:rPr>
          <w:rFonts w:ascii="Bookman Old Style" w:hAnsi="Bookman Old Style"/>
          <w:sz w:val="20"/>
          <w:szCs w:val="20"/>
        </w:rPr>
        <w:t>201</w:t>
      </w:r>
      <w:r w:rsidR="007259A8">
        <w:rPr>
          <w:rFonts w:ascii="Bookman Old Style" w:hAnsi="Bookman Old Style"/>
          <w:sz w:val="20"/>
          <w:szCs w:val="20"/>
        </w:rPr>
        <w:t>6</w:t>
      </w:r>
      <w:r w:rsidRPr="00255DD5">
        <w:rPr>
          <w:rFonts w:ascii="Bookman Old Style" w:hAnsi="Bookman Old Style"/>
          <w:sz w:val="20"/>
          <w:szCs w:val="20"/>
        </w:rPr>
        <w:t xml:space="preserve"> года до «</w:t>
      </w:r>
      <w:r w:rsidR="000A4482">
        <w:rPr>
          <w:rFonts w:ascii="Bookman Old Style" w:hAnsi="Bookman Old Style"/>
          <w:sz w:val="20"/>
          <w:szCs w:val="20"/>
        </w:rPr>
        <w:t>31</w:t>
      </w:r>
      <w:r w:rsidRPr="00255DD5">
        <w:rPr>
          <w:rFonts w:ascii="Bookman Old Style" w:hAnsi="Bookman Old Style"/>
          <w:sz w:val="20"/>
          <w:szCs w:val="20"/>
        </w:rPr>
        <w:t xml:space="preserve">» </w:t>
      </w:r>
      <w:r w:rsidR="00C33B02" w:rsidRPr="00C33B02">
        <w:rPr>
          <w:rFonts w:ascii="Bookman Old Style" w:hAnsi="Bookman Old Style"/>
          <w:sz w:val="20"/>
          <w:szCs w:val="20"/>
        </w:rPr>
        <w:t xml:space="preserve">августа </w:t>
      </w:r>
      <w:r w:rsidRPr="00255DD5">
        <w:rPr>
          <w:rFonts w:ascii="Bookman Old Style" w:hAnsi="Bookman Old Style"/>
          <w:sz w:val="20"/>
          <w:szCs w:val="20"/>
        </w:rPr>
        <w:t>201</w:t>
      </w:r>
      <w:r w:rsidR="007259A8">
        <w:rPr>
          <w:rFonts w:ascii="Bookman Old Style" w:hAnsi="Bookman Old Style"/>
          <w:sz w:val="20"/>
          <w:szCs w:val="20"/>
        </w:rPr>
        <w:t>6</w:t>
      </w:r>
      <w:r w:rsidRPr="00255DD5">
        <w:rPr>
          <w:rFonts w:ascii="Bookman Old Style" w:hAnsi="Bookman Old Style"/>
          <w:sz w:val="20"/>
          <w:szCs w:val="20"/>
        </w:rPr>
        <w:t xml:space="preserve"> года</w:t>
      </w:r>
      <w:r w:rsidR="00C33B02">
        <w:rPr>
          <w:rFonts w:ascii="Bookman Old Style" w:hAnsi="Bookman Old Style"/>
          <w:sz w:val="20"/>
          <w:szCs w:val="20"/>
        </w:rPr>
        <w:t xml:space="preserve"> </w:t>
      </w:r>
    </w:p>
    <w:p w:rsidR="004428A6" w:rsidRDefault="004428A6" w:rsidP="009948B1">
      <w:pPr>
        <w:numPr>
          <w:ilvl w:val="0"/>
          <w:numId w:val="1"/>
        </w:numPr>
        <w:spacing w:before="120" w:after="120"/>
        <w:ind w:left="426"/>
        <w:jc w:val="both"/>
        <w:rPr>
          <w:rFonts w:ascii="Bookman Old Style" w:hAnsi="Bookman Old Style"/>
          <w:sz w:val="20"/>
          <w:szCs w:val="20"/>
        </w:rPr>
      </w:pPr>
      <w:r>
        <w:rPr>
          <w:rFonts w:ascii="Bookman Old Style" w:hAnsi="Bookman Old Style"/>
          <w:sz w:val="20"/>
          <w:szCs w:val="20"/>
        </w:rPr>
        <w:t>Д</w:t>
      </w:r>
      <w:r w:rsidRPr="001F0401">
        <w:rPr>
          <w:rFonts w:ascii="Bookman Old Style" w:hAnsi="Bookman Old Style"/>
          <w:sz w:val="20"/>
          <w:szCs w:val="20"/>
        </w:rPr>
        <w:t>опущения и ограничения, на которых должна основываться оценка:</w:t>
      </w:r>
    </w:p>
    <w:p w:rsidR="00854648" w:rsidRDefault="00854648" w:rsidP="009948B1">
      <w:pPr>
        <w:spacing w:before="120" w:after="120"/>
        <w:ind w:left="426"/>
        <w:jc w:val="both"/>
        <w:rPr>
          <w:rFonts w:ascii="Bookman Old Style" w:hAnsi="Bookman Old Style"/>
          <w:sz w:val="20"/>
          <w:szCs w:val="20"/>
        </w:rPr>
      </w:pPr>
      <w:r>
        <w:rPr>
          <w:rFonts w:ascii="Bookman Old Style" w:hAnsi="Bookman Old Style"/>
          <w:sz w:val="20"/>
          <w:szCs w:val="20"/>
        </w:rPr>
        <w:t>Расчет рыночной стоимости проведен с учетом следующих ограничений и допущений</w:t>
      </w:r>
      <w:r w:rsidR="002C1C6A">
        <w:rPr>
          <w:rFonts w:ascii="Bookman Old Style" w:hAnsi="Bookman Old Style"/>
          <w:sz w:val="20"/>
          <w:szCs w:val="20"/>
        </w:rPr>
        <w:t>, с учетом характера активов и цели оценки</w:t>
      </w:r>
      <w:r>
        <w:rPr>
          <w:rFonts w:ascii="Bookman Old Style" w:hAnsi="Bookman Old Style"/>
          <w:sz w:val="20"/>
          <w:szCs w:val="20"/>
        </w:rPr>
        <w:t>:</w:t>
      </w:r>
      <w:r w:rsidR="00FA73DD">
        <w:rPr>
          <w:rFonts w:ascii="Bookman Old Style" w:hAnsi="Bookman Old Style"/>
          <w:sz w:val="20"/>
          <w:szCs w:val="20"/>
        </w:rPr>
        <w:t xml:space="preserve"> </w:t>
      </w:r>
    </w:p>
    <w:p w:rsidR="004428A6" w:rsidRDefault="00D703A8" w:rsidP="00303E37">
      <w:pPr>
        <w:pStyle w:val="aff2"/>
        <w:numPr>
          <w:ilvl w:val="0"/>
          <w:numId w:val="19"/>
        </w:numPr>
        <w:spacing w:before="120" w:after="120"/>
        <w:ind w:left="714" w:hanging="357"/>
        <w:contextualSpacing w:val="0"/>
        <w:jc w:val="both"/>
        <w:rPr>
          <w:rFonts w:ascii="Bookman Old Style" w:hAnsi="Bookman Old Style"/>
          <w:sz w:val="20"/>
          <w:szCs w:val="20"/>
        </w:rPr>
      </w:pPr>
      <w:r w:rsidRPr="00D703A8">
        <w:rPr>
          <w:rFonts w:ascii="Bookman Old Style" w:hAnsi="Bookman Old Style"/>
          <w:sz w:val="20"/>
          <w:szCs w:val="20"/>
        </w:rPr>
        <w:t>Расчет рыночной стоимости Объекта оценки, НДС не облагается</w:t>
      </w:r>
      <w:r w:rsidR="002476C5">
        <w:rPr>
          <w:rFonts w:ascii="Bookman Old Style" w:hAnsi="Bookman Old Style"/>
          <w:sz w:val="20"/>
          <w:szCs w:val="20"/>
        </w:rPr>
        <w:t>.</w:t>
      </w:r>
      <w:r w:rsidR="007259A8">
        <w:rPr>
          <w:rFonts w:ascii="Bookman Old Style" w:hAnsi="Bookman Old Style"/>
          <w:sz w:val="20"/>
          <w:szCs w:val="20"/>
        </w:rPr>
        <w:t xml:space="preserve"> </w:t>
      </w:r>
    </w:p>
    <w:p w:rsidR="003A18EF" w:rsidRDefault="003A18EF" w:rsidP="00303E37">
      <w:pPr>
        <w:pStyle w:val="aff2"/>
        <w:numPr>
          <w:ilvl w:val="0"/>
          <w:numId w:val="19"/>
        </w:numPr>
        <w:spacing w:before="120" w:after="120"/>
        <w:ind w:left="714" w:hanging="357"/>
        <w:contextualSpacing w:val="0"/>
        <w:jc w:val="both"/>
        <w:rPr>
          <w:rFonts w:ascii="Bookman Old Style" w:hAnsi="Bookman Old Style"/>
          <w:sz w:val="20"/>
          <w:szCs w:val="20"/>
        </w:rPr>
      </w:pPr>
      <w:r>
        <w:rPr>
          <w:rFonts w:ascii="Bookman Old Style" w:hAnsi="Bookman Old Style"/>
          <w:sz w:val="20"/>
          <w:szCs w:val="20"/>
        </w:rPr>
        <w:t>Итоговый результат оценки Объекта оценки, а также его элементов, выражается без  приведения суждения оценщика о возможных границах интервала полученной стоимости.</w:t>
      </w:r>
    </w:p>
    <w:p w:rsidR="00A17181" w:rsidRDefault="00A17181" w:rsidP="00303E37">
      <w:pPr>
        <w:pStyle w:val="aff2"/>
        <w:numPr>
          <w:ilvl w:val="0"/>
          <w:numId w:val="19"/>
        </w:numPr>
        <w:spacing w:before="120" w:after="120"/>
        <w:ind w:left="714" w:hanging="357"/>
        <w:contextualSpacing w:val="0"/>
        <w:jc w:val="both"/>
        <w:rPr>
          <w:rFonts w:ascii="Bookman Old Style" w:hAnsi="Bookman Old Style"/>
          <w:sz w:val="20"/>
          <w:szCs w:val="20"/>
        </w:rPr>
      </w:pPr>
      <w:r w:rsidRPr="003D4050">
        <w:rPr>
          <w:rFonts w:ascii="Bookman Old Style" w:hAnsi="Bookman Old Style"/>
          <w:sz w:val="20"/>
          <w:szCs w:val="20"/>
        </w:rPr>
        <w:t>Общий перечень ограничен</w:t>
      </w:r>
      <w:r w:rsidR="0044502E" w:rsidRPr="003D4050">
        <w:rPr>
          <w:rFonts w:ascii="Bookman Old Style" w:hAnsi="Bookman Old Style"/>
          <w:sz w:val="20"/>
          <w:szCs w:val="20"/>
        </w:rPr>
        <w:t>ий и допущений устанавливается о</w:t>
      </w:r>
      <w:r w:rsidRPr="003D4050">
        <w:rPr>
          <w:rFonts w:ascii="Bookman Old Style" w:hAnsi="Bookman Old Style"/>
          <w:sz w:val="20"/>
          <w:szCs w:val="20"/>
        </w:rPr>
        <w:t>ценщиком в пункте 1.4. Отчета об оценке.</w:t>
      </w:r>
      <w:r w:rsidR="00450F20" w:rsidRPr="003D4050">
        <w:rPr>
          <w:rFonts w:ascii="Bookman Old Style" w:hAnsi="Bookman Old Style"/>
          <w:sz w:val="20"/>
          <w:szCs w:val="20"/>
        </w:rPr>
        <w:t xml:space="preserve"> </w:t>
      </w:r>
    </w:p>
    <w:p w:rsidR="00284ACB" w:rsidRDefault="00284ACB" w:rsidP="00303E37">
      <w:pPr>
        <w:pStyle w:val="aff2"/>
        <w:numPr>
          <w:ilvl w:val="0"/>
          <w:numId w:val="19"/>
        </w:numPr>
        <w:spacing w:before="120" w:after="120"/>
        <w:ind w:left="714" w:hanging="357"/>
        <w:contextualSpacing w:val="0"/>
        <w:jc w:val="both"/>
        <w:rPr>
          <w:rFonts w:ascii="Bookman Old Style" w:hAnsi="Bookman Old Style"/>
          <w:sz w:val="20"/>
          <w:szCs w:val="20"/>
        </w:rPr>
      </w:pPr>
      <w:r>
        <w:rPr>
          <w:rFonts w:ascii="Bookman Old Style" w:hAnsi="Bookman Old Style"/>
          <w:sz w:val="20"/>
          <w:szCs w:val="20"/>
        </w:rPr>
        <w:t>Расчет проводится на основании имеющейся документации о Объекте оценки.</w:t>
      </w:r>
    </w:p>
    <w:p w:rsidR="000A4482" w:rsidRDefault="000A4482" w:rsidP="000A4482">
      <w:pPr>
        <w:pStyle w:val="aff2"/>
        <w:spacing w:before="120" w:after="120"/>
        <w:ind w:left="714"/>
        <w:contextualSpacing w:val="0"/>
        <w:jc w:val="both"/>
        <w:rPr>
          <w:rFonts w:ascii="Bookman Old Style" w:hAnsi="Bookman Old Style"/>
          <w:sz w:val="20"/>
          <w:szCs w:val="20"/>
        </w:rPr>
      </w:pPr>
    </w:p>
    <w:p w:rsidR="00721929" w:rsidRPr="00721929" w:rsidRDefault="00721929" w:rsidP="009948B1">
      <w:pPr>
        <w:numPr>
          <w:ilvl w:val="0"/>
          <w:numId w:val="1"/>
        </w:numPr>
        <w:spacing w:before="120" w:after="120"/>
        <w:ind w:left="567"/>
        <w:jc w:val="both"/>
        <w:rPr>
          <w:rFonts w:ascii="Bookman Old Style" w:hAnsi="Bookman Old Style"/>
          <w:sz w:val="20"/>
          <w:szCs w:val="20"/>
        </w:rPr>
      </w:pPr>
      <w:r w:rsidRPr="00721929">
        <w:rPr>
          <w:rFonts w:ascii="Bookman Old Style" w:hAnsi="Bookman Old Style"/>
          <w:sz w:val="20"/>
          <w:szCs w:val="20"/>
        </w:rPr>
        <w:t>Иные расчетные величины</w:t>
      </w:r>
    </w:p>
    <w:p w:rsidR="00721929" w:rsidRPr="00721929" w:rsidRDefault="00721929" w:rsidP="009948B1">
      <w:pPr>
        <w:spacing w:before="120" w:after="120"/>
        <w:ind w:left="567"/>
        <w:jc w:val="both"/>
        <w:rPr>
          <w:rFonts w:ascii="Bookman Old Style" w:hAnsi="Bookman Old Style"/>
          <w:sz w:val="20"/>
          <w:szCs w:val="20"/>
        </w:rPr>
      </w:pPr>
      <w:r w:rsidRPr="00721929">
        <w:rPr>
          <w:rFonts w:ascii="Bookman Old Style" w:hAnsi="Bookman Old Style"/>
          <w:sz w:val="20"/>
          <w:szCs w:val="20"/>
        </w:rPr>
        <w:t>В данной работе расчет не проводился</w:t>
      </w:r>
    </w:p>
    <w:p w:rsidR="00721929" w:rsidRPr="00721929" w:rsidRDefault="00721929" w:rsidP="009948B1">
      <w:pPr>
        <w:numPr>
          <w:ilvl w:val="0"/>
          <w:numId w:val="1"/>
        </w:numPr>
        <w:spacing w:before="120" w:after="120"/>
        <w:ind w:left="567"/>
        <w:jc w:val="both"/>
        <w:rPr>
          <w:rFonts w:ascii="Bookman Old Style" w:hAnsi="Bookman Old Style"/>
          <w:sz w:val="20"/>
          <w:szCs w:val="20"/>
        </w:rPr>
      </w:pPr>
      <w:r w:rsidRPr="00721929">
        <w:rPr>
          <w:rFonts w:ascii="Bookman Old Style" w:hAnsi="Bookman Old Style"/>
          <w:sz w:val="20"/>
          <w:szCs w:val="20"/>
        </w:rPr>
        <w:t>Возможные границы интервала стоимости</w:t>
      </w:r>
    </w:p>
    <w:p w:rsidR="00721929" w:rsidRDefault="00721929" w:rsidP="009948B1">
      <w:pPr>
        <w:spacing w:before="120" w:after="120"/>
        <w:ind w:left="567"/>
        <w:jc w:val="both"/>
        <w:rPr>
          <w:rFonts w:ascii="Bookman Old Style" w:hAnsi="Bookman Old Style"/>
          <w:sz w:val="20"/>
          <w:szCs w:val="20"/>
        </w:rPr>
      </w:pPr>
      <w:r w:rsidRPr="00721929">
        <w:rPr>
          <w:rFonts w:ascii="Bookman Old Style" w:hAnsi="Bookman Old Style"/>
          <w:sz w:val="20"/>
          <w:szCs w:val="20"/>
        </w:rPr>
        <w:t>От Оценщика не требуется определения интервала, в котором может находиться стоимость</w:t>
      </w:r>
    </w:p>
    <w:p w:rsidR="00721929" w:rsidRPr="00721929" w:rsidRDefault="00721929" w:rsidP="009948B1">
      <w:pPr>
        <w:numPr>
          <w:ilvl w:val="0"/>
          <w:numId w:val="1"/>
        </w:numPr>
        <w:autoSpaceDE w:val="0"/>
        <w:autoSpaceDN w:val="0"/>
        <w:adjustRightInd w:val="0"/>
        <w:spacing w:before="120" w:after="120"/>
        <w:ind w:left="567"/>
        <w:rPr>
          <w:rFonts w:ascii="Bookman Old Style" w:hAnsi="Bookman Old Style"/>
          <w:sz w:val="20"/>
          <w:szCs w:val="20"/>
        </w:rPr>
      </w:pPr>
      <w:r w:rsidRPr="00721929">
        <w:rPr>
          <w:rFonts w:ascii="Bookman Old Style" w:hAnsi="Bookman Old Style"/>
          <w:sz w:val="20"/>
          <w:szCs w:val="20"/>
        </w:rPr>
        <w:lastRenderedPageBreak/>
        <w:t>Применяемые стандарты оценки</w:t>
      </w:r>
    </w:p>
    <w:p w:rsidR="00721929" w:rsidRPr="00721929" w:rsidRDefault="00721929" w:rsidP="009948B1">
      <w:pPr>
        <w:spacing w:before="120" w:after="120"/>
        <w:ind w:left="567"/>
        <w:jc w:val="both"/>
        <w:rPr>
          <w:rFonts w:ascii="Bookman Old Style" w:hAnsi="Bookman Old Style" w:cs="Courier New"/>
          <w:sz w:val="20"/>
          <w:szCs w:val="20"/>
        </w:rPr>
      </w:pPr>
      <w:r w:rsidRPr="00721929">
        <w:rPr>
          <w:rFonts w:ascii="Bookman Old Style" w:hAnsi="Bookman Old Style" w:cs="Courier New"/>
          <w:sz w:val="20"/>
          <w:szCs w:val="20"/>
        </w:rPr>
        <w:t>Федеральные стандарты оценочной деятельности, обязательные к применению субъектами оценочной деятельности:</w:t>
      </w:r>
    </w:p>
    <w:p w:rsidR="00721929" w:rsidRPr="00721929" w:rsidRDefault="00721929" w:rsidP="00303E37">
      <w:pPr>
        <w:numPr>
          <w:ilvl w:val="0"/>
          <w:numId w:val="38"/>
        </w:numPr>
        <w:spacing w:before="120" w:after="120"/>
        <w:ind w:left="714" w:hanging="357"/>
        <w:jc w:val="both"/>
        <w:rPr>
          <w:rFonts w:ascii="Bookman Old Style" w:hAnsi="Bookman Old Style" w:cs="Bookman Old Style"/>
          <w:sz w:val="20"/>
          <w:szCs w:val="20"/>
        </w:rPr>
      </w:pPr>
      <w:r w:rsidRPr="00721929">
        <w:rPr>
          <w:rFonts w:ascii="Bookman Old Style" w:hAnsi="Bookman Old Style" w:cs="Courier New"/>
          <w:sz w:val="20"/>
          <w:szCs w:val="20"/>
        </w:rPr>
        <w:t xml:space="preserve">Федеральный стандарт </w:t>
      </w:r>
      <w:r w:rsidRPr="00721929">
        <w:rPr>
          <w:rFonts w:ascii="Bookman Old Style" w:hAnsi="Bookman Old Style" w:cs="Bookman Old Style"/>
          <w:sz w:val="20"/>
          <w:szCs w:val="20"/>
        </w:rPr>
        <w:t>оценки «Общие понятия оценки, подходы и требования к проведению оценки» (ФСО N 1), утвержденный Приказом Минэкономразвития России от 20 мая 2015 г. N 297;</w:t>
      </w:r>
    </w:p>
    <w:p w:rsidR="00721929" w:rsidRPr="00721929" w:rsidRDefault="00721929" w:rsidP="00303E37">
      <w:pPr>
        <w:numPr>
          <w:ilvl w:val="0"/>
          <w:numId w:val="38"/>
        </w:numPr>
        <w:spacing w:before="120" w:after="120"/>
        <w:ind w:left="714" w:hanging="357"/>
        <w:jc w:val="both"/>
        <w:rPr>
          <w:rFonts w:ascii="Bookman Old Style" w:hAnsi="Bookman Old Style" w:cs="Courier New"/>
          <w:sz w:val="20"/>
          <w:szCs w:val="20"/>
        </w:rPr>
      </w:pPr>
      <w:r w:rsidRPr="00721929">
        <w:rPr>
          <w:rFonts w:ascii="Bookman Old Style" w:hAnsi="Bookman Old Style" w:cs="Courier New"/>
          <w:sz w:val="20"/>
          <w:szCs w:val="20"/>
        </w:rPr>
        <w:t xml:space="preserve">Федеральный стандарт </w:t>
      </w:r>
      <w:r w:rsidRPr="00721929">
        <w:rPr>
          <w:rFonts w:ascii="Bookman Old Style" w:hAnsi="Bookman Old Style" w:cs="Bookman Old Style"/>
          <w:sz w:val="20"/>
          <w:szCs w:val="20"/>
        </w:rPr>
        <w:t xml:space="preserve">оценки «Цель оценки и виды стоимости» (ФСО N 2), утвержденный </w:t>
      </w:r>
      <w:r w:rsidRPr="00721929">
        <w:rPr>
          <w:rFonts w:ascii="Bookman Old Style" w:hAnsi="Bookman Old Style" w:cs="Courier New"/>
          <w:sz w:val="20"/>
          <w:szCs w:val="20"/>
        </w:rPr>
        <w:t>Приказом Минэкономразвития России от 20 мая 2015 г. N 298;</w:t>
      </w:r>
    </w:p>
    <w:p w:rsidR="00721929" w:rsidRPr="00721929" w:rsidRDefault="00721929" w:rsidP="00303E37">
      <w:pPr>
        <w:numPr>
          <w:ilvl w:val="0"/>
          <w:numId w:val="38"/>
        </w:numPr>
        <w:spacing w:before="120" w:after="120"/>
        <w:ind w:left="714" w:hanging="357"/>
        <w:jc w:val="both"/>
        <w:rPr>
          <w:rFonts w:ascii="Bookman Old Style" w:hAnsi="Bookman Old Style" w:cs="Courier New"/>
          <w:sz w:val="20"/>
          <w:szCs w:val="20"/>
        </w:rPr>
      </w:pPr>
      <w:r w:rsidRPr="00721929">
        <w:rPr>
          <w:rFonts w:ascii="Bookman Old Style" w:hAnsi="Bookman Old Style" w:cs="Courier New"/>
          <w:sz w:val="20"/>
          <w:szCs w:val="20"/>
        </w:rPr>
        <w:t xml:space="preserve">Федеральный стандарт </w:t>
      </w:r>
      <w:r w:rsidRPr="00721929">
        <w:rPr>
          <w:rFonts w:ascii="Bookman Old Style" w:hAnsi="Bookman Old Style" w:cs="Bookman Old Style"/>
          <w:sz w:val="20"/>
          <w:szCs w:val="20"/>
        </w:rPr>
        <w:t>оценки «Требования к отчету об оценке» (ФСО N 3), утвержденный Приказом Минэкономразвития России от 20 мая 2015 г. N 299;</w:t>
      </w:r>
    </w:p>
    <w:p w:rsidR="007259A8" w:rsidRDefault="007259A8" w:rsidP="00303E37">
      <w:pPr>
        <w:numPr>
          <w:ilvl w:val="0"/>
          <w:numId w:val="38"/>
        </w:numPr>
        <w:spacing w:before="120" w:after="120"/>
        <w:jc w:val="both"/>
        <w:rPr>
          <w:rFonts w:ascii="Bookman Old Style" w:hAnsi="Bookman Old Style" w:cs="Courier New"/>
          <w:sz w:val="20"/>
          <w:szCs w:val="20"/>
        </w:rPr>
      </w:pPr>
      <w:r w:rsidRPr="007259A8">
        <w:rPr>
          <w:rFonts w:ascii="Bookman Old Style" w:hAnsi="Bookman Old Style" w:cs="Courier New"/>
          <w:sz w:val="20"/>
          <w:szCs w:val="20"/>
        </w:rPr>
        <w:t>Федеральный стандарт оценки «Оценка недвижимости» (ФСО № 7), утвержденный Приказом Минэкономразвития РФ от 25 сентября 2014 года № 611;</w:t>
      </w:r>
    </w:p>
    <w:p w:rsidR="000A4482" w:rsidRPr="007259A8" w:rsidRDefault="000A4482" w:rsidP="00303E37">
      <w:pPr>
        <w:numPr>
          <w:ilvl w:val="0"/>
          <w:numId w:val="38"/>
        </w:numPr>
        <w:spacing w:before="120" w:after="120"/>
        <w:jc w:val="both"/>
        <w:rPr>
          <w:rFonts w:ascii="Bookman Old Style" w:hAnsi="Bookman Old Style" w:cs="Courier New"/>
          <w:sz w:val="20"/>
          <w:szCs w:val="20"/>
        </w:rPr>
      </w:pPr>
      <w:r w:rsidRPr="000A4482">
        <w:rPr>
          <w:rFonts w:ascii="Bookman Old Style" w:hAnsi="Bookman Old Style" w:cs="Courier New"/>
          <w:sz w:val="20"/>
          <w:szCs w:val="20"/>
        </w:rPr>
        <w:t>Федерального стандарта «Оценка стоимости машин и оборудования» (ФСО № 10) утв. Приказом Минэкономразвития России № 328 от 01.06.2015 года</w:t>
      </w:r>
      <w:r>
        <w:rPr>
          <w:rFonts w:ascii="Bookman Old Style" w:hAnsi="Bookman Old Style" w:cs="Courier New"/>
          <w:sz w:val="20"/>
          <w:szCs w:val="20"/>
        </w:rPr>
        <w:t>;</w:t>
      </w:r>
    </w:p>
    <w:p w:rsidR="00721929" w:rsidRPr="00721929" w:rsidRDefault="007259A8" w:rsidP="00303E37">
      <w:pPr>
        <w:numPr>
          <w:ilvl w:val="0"/>
          <w:numId w:val="38"/>
        </w:numPr>
        <w:spacing w:before="120" w:after="120"/>
        <w:jc w:val="both"/>
        <w:rPr>
          <w:rFonts w:ascii="Bookman Old Style" w:hAnsi="Bookman Old Style" w:cs="Courier New"/>
          <w:sz w:val="20"/>
          <w:szCs w:val="20"/>
        </w:rPr>
      </w:pPr>
      <w:r w:rsidRPr="007259A8">
        <w:rPr>
          <w:rFonts w:ascii="Bookman Old Style" w:hAnsi="Bookman Old Style" w:cs="Courier New"/>
          <w:sz w:val="20"/>
          <w:szCs w:val="20"/>
        </w:rPr>
        <w:t>Стандарт</w:t>
      </w:r>
      <w:r>
        <w:rPr>
          <w:rFonts w:ascii="Bookman Old Style" w:hAnsi="Bookman Old Style" w:cs="Courier New"/>
          <w:sz w:val="20"/>
          <w:szCs w:val="20"/>
        </w:rPr>
        <w:t>ы</w:t>
      </w:r>
      <w:r w:rsidRPr="007259A8">
        <w:rPr>
          <w:rFonts w:ascii="Bookman Old Style" w:hAnsi="Bookman Old Style" w:cs="Courier New"/>
          <w:sz w:val="20"/>
          <w:szCs w:val="20"/>
        </w:rPr>
        <w:t xml:space="preserve"> и правила, установленными НП СРО «НКСО»</w:t>
      </w:r>
      <w:r w:rsidR="00721929" w:rsidRPr="00721929">
        <w:rPr>
          <w:rFonts w:ascii="Bookman Old Style" w:hAnsi="Bookman Old Style" w:cs="Courier New"/>
          <w:sz w:val="20"/>
          <w:szCs w:val="20"/>
        </w:rPr>
        <w:t>.</w:t>
      </w:r>
    </w:p>
    <w:p w:rsidR="006A5323" w:rsidRPr="00D7010B" w:rsidRDefault="006A5323" w:rsidP="009948B1">
      <w:pPr>
        <w:pStyle w:val="2"/>
        <w:spacing w:before="120" w:after="120"/>
        <w:rPr>
          <w:rFonts w:ascii="Bookman Old Style" w:hAnsi="Bookman Old Style"/>
          <w:b/>
          <w:sz w:val="20"/>
          <w:szCs w:val="20"/>
        </w:rPr>
      </w:pPr>
      <w:bookmarkStart w:id="33" w:name="_Toc461206347"/>
      <w:r w:rsidRPr="00D7010B">
        <w:rPr>
          <w:rFonts w:ascii="Bookman Old Style" w:hAnsi="Bookman Old Style"/>
          <w:b/>
          <w:sz w:val="20"/>
          <w:szCs w:val="20"/>
        </w:rPr>
        <w:t>1.3. СВЕДЕНИЯ О ЗАКАЗЧИКЕ ОЦЕНКИ И ОБ ОЦЕНЩИКЕ</w:t>
      </w:r>
      <w:bookmarkEnd w:id="30"/>
      <w:bookmarkEnd w:id="33"/>
    </w:p>
    <w:p w:rsidR="006A5323" w:rsidRPr="00864EA6" w:rsidRDefault="006A5323" w:rsidP="009948B1">
      <w:pPr>
        <w:pStyle w:val="3"/>
        <w:spacing w:after="120"/>
        <w:rPr>
          <w:rFonts w:ascii="Bookman Old Style" w:hAnsi="Bookman Old Style"/>
          <w:sz w:val="20"/>
          <w:szCs w:val="20"/>
        </w:rPr>
      </w:pPr>
      <w:bookmarkStart w:id="34" w:name="_Toc197327037"/>
      <w:bookmarkStart w:id="35" w:name="_Toc200179616"/>
      <w:bookmarkStart w:id="36" w:name="_Toc461206348"/>
      <w:r>
        <w:rPr>
          <w:rFonts w:ascii="Bookman Old Style" w:hAnsi="Bookman Old Style"/>
          <w:sz w:val="20"/>
          <w:szCs w:val="20"/>
        </w:rPr>
        <w:t>1.</w:t>
      </w:r>
      <w:r w:rsidRPr="00864EA6">
        <w:rPr>
          <w:rFonts w:ascii="Bookman Old Style" w:hAnsi="Bookman Old Style"/>
          <w:sz w:val="20"/>
          <w:szCs w:val="20"/>
        </w:rPr>
        <w:t>3.1. Сведения о заказчике оценки</w:t>
      </w:r>
      <w:bookmarkEnd w:id="34"/>
      <w:bookmarkEnd w:id="35"/>
      <w:bookmarkEnd w:id="36"/>
    </w:p>
    <w:p w:rsidR="00AC0AD8" w:rsidRDefault="00AC0AD8" w:rsidP="009948B1">
      <w:pPr>
        <w:spacing w:before="120" w:after="120"/>
        <w:ind w:firstLine="708"/>
        <w:rPr>
          <w:rFonts w:ascii="Bookman Old Style" w:hAnsi="Bookman Old Style"/>
          <w:sz w:val="20"/>
          <w:szCs w:val="20"/>
        </w:rPr>
      </w:pPr>
      <w:bookmarkStart w:id="37" w:name="_Toc193714851"/>
      <w:bookmarkStart w:id="38" w:name="_Toc196937152"/>
      <w:bookmarkStart w:id="39" w:name="_Toc197327038"/>
      <w:bookmarkStart w:id="40" w:name="_Toc200179617"/>
      <w:r>
        <w:rPr>
          <w:rFonts w:ascii="Bookman Old Style" w:hAnsi="Bookman Old Style"/>
          <w:sz w:val="20"/>
          <w:szCs w:val="20"/>
        </w:rPr>
        <w:t>Заказчиком оценки является:</w:t>
      </w:r>
    </w:p>
    <w:p w:rsidR="00510910" w:rsidRPr="007653B3" w:rsidRDefault="007259A8" w:rsidP="009948B1">
      <w:pPr>
        <w:autoSpaceDE w:val="0"/>
        <w:autoSpaceDN w:val="0"/>
        <w:adjustRightInd w:val="0"/>
        <w:spacing w:before="120" w:after="120"/>
        <w:ind w:left="708"/>
        <w:jc w:val="both"/>
        <w:rPr>
          <w:rFonts w:ascii="Bookman Old Style" w:hAnsi="Bookman Old Style"/>
          <w:sz w:val="20"/>
          <w:szCs w:val="20"/>
        </w:rPr>
      </w:pPr>
      <w:r w:rsidRPr="007259A8">
        <w:rPr>
          <w:rFonts w:ascii="Bookman Old Style" w:hAnsi="Bookman Old Style"/>
          <w:sz w:val="20"/>
          <w:szCs w:val="20"/>
        </w:rPr>
        <w:t>Общество с ограниченной ответственностью «</w:t>
      </w:r>
      <w:r w:rsidR="000A4482">
        <w:rPr>
          <w:rFonts w:ascii="Bookman Old Style" w:hAnsi="Bookman Old Style"/>
          <w:sz w:val="20"/>
          <w:szCs w:val="20"/>
        </w:rPr>
        <w:t>Окно</w:t>
      </w:r>
      <w:r w:rsidRPr="007259A8">
        <w:rPr>
          <w:rFonts w:ascii="Bookman Old Style" w:hAnsi="Bookman Old Style"/>
          <w:sz w:val="20"/>
          <w:szCs w:val="20"/>
        </w:rPr>
        <w:t xml:space="preserve">» в лице конкурсного управляющего </w:t>
      </w:r>
      <w:r w:rsidR="000A4482" w:rsidRPr="000A4482">
        <w:rPr>
          <w:rFonts w:ascii="Bookman Old Style" w:hAnsi="Bookman Old Style"/>
          <w:sz w:val="20"/>
          <w:szCs w:val="20"/>
        </w:rPr>
        <w:t>Епифановой Лины Алексеевны</w:t>
      </w:r>
      <w:r w:rsidR="001B120F" w:rsidRPr="007259A8">
        <w:rPr>
          <w:rFonts w:ascii="Bookman Old Style" w:hAnsi="Bookman Old Style"/>
          <w:sz w:val="20"/>
          <w:szCs w:val="20"/>
        </w:rPr>
        <w:t>, действующего на основании</w:t>
      </w:r>
      <w:r w:rsidR="00510910" w:rsidRPr="007653B3">
        <w:rPr>
          <w:rFonts w:ascii="Bookman Old Style" w:hAnsi="Bookman Old Style"/>
          <w:sz w:val="20"/>
          <w:szCs w:val="20"/>
        </w:rPr>
        <w:t>:</w:t>
      </w:r>
      <w:r w:rsidR="000A4482">
        <w:rPr>
          <w:rFonts w:ascii="Bookman Old Style" w:hAnsi="Bookman Old Style"/>
          <w:sz w:val="20"/>
          <w:szCs w:val="20"/>
        </w:rPr>
        <w:t xml:space="preserve"> </w:t>
      </w:r>
    </w:p>
    <w:p w:rsidR="00AC0AD8" w:rsidRPr="00B12755" w:rsidRDefault="007259A8" w:rsidP="00AB1FB9">
      <w:pPr>
        <w:pStyle w:val="aff2"/>
        <w:numPr>
          <w:ilvl w:val="0"/>
          <w:numId w:val="8"/>
        </w:numPr>
        <w:autoSpaceDE w:val="0"/>
        <w:autoSpaceDN w:val="0"/>
        <w:adjustRightInd w:val="0"/>
        <w:spacing w:before="120" w:after="120"/>
        <w:contextualSpacing w:val="0"/>
        <w:jc w:val="both"/>
        <w:rPr>
          <w:rFonts w:ascii="Bookman Old Style" w:hAnsi="Bookman Old Style"/>
          <w:sz w:val="20"/>
          <w:szCs w:val="20"/>
        </w:rPr>
      </w:pPr>
      <w:r w:rsidRPr="00BC25F6">
        <w:rPr>
          <w:rFonts w:ascii="Bookman Old Style" w:hAnsi="Bookman Old Style"/>
          <w:sz w:val="20"/>
          <w:szCs w:val="20"/>
        </w:rPr>
        <w:t>Решения</w:t>
      </w:r>
      <w:r w:rsidR="001B120F" w:rsidRPr="00BC25F6">
        <w:rPr>
          <w:rFonts w:ascii="Bookman Old Style" w:hAnsi="Bookman Old Style"/>
          <w:sz w:val="20"/>
          <w:szCs w:val="20"/>
        </w:rPr>
        <w:t xml:space="preserve"> Арбитражного суда Красноярского края по делу № </w:t>
      </w:r>
      <w:r w:rsidR="000A4482">
        <w:rPr>
          <w:rFonts w:ascii="Bookman Old Style" w:hAnsi="Bookman Old Style"/>
          <w:bCs/>
          <w:sz w:val="20"/>
          <w:szCs w:val="20"/>
        </w:rPr>
        <w:t xml:space="preserve">А33-20224/2015 от </w:t>
      </w:r>
      <w:r w:rsidR="000A4482" w:rsidRPr="000A4482">
        <w:rPr>
          <w:rFonts w:ascii="Bookman Old Style" w:hAnsi="Bookman Old Style"/>
          <w:bCs/>
          <w:sz w:val="20"/>
          <w:szCs w:val="20"/>
        </w:rPr>
        <w:t>14</w:t>
      </w:r>
      <w:r w:rsidR="000A4482">
        <w:rPr>
          <w:rFonts w:ascii="Bookman Old Style" w:hAnsi="Bookman Old Style"/>
          <w:bCs/>
          <w:sz w:val="20"/>
          <w:szCs w:val="20"/>
        </w:rPr>
        <w:t>.06.</w:t>
      </w:r>
      <w:r w:rsidR="00C33B02" w:rsidRPr="00C33B02">
        <w:rPr>
          <w:rFonts w:ascii="Bookman Old Style" w:hAnsi="Bookman Old Style"/>
          <w:bCs/>
          <w:sz w:val="20"/>
          <w:szCs w:val="20"/>
        </w:rPr>
        <w:t>201</w:t>
      </w:r>
      <w:r w:rsidR="00AA51E2">
        <w:rPr>
          <w:rFonts w:ascii="Bookman Old Style" w:hAnsi="Bookman Old Style"/>
          <w:bCs/>
          <w:sz w:val="20"/>
          <w:szCs w:val="20"/>
        </w:rPr>
        <w:t>6</w:t>
      </w:r>
      <w:r w:rsidR="00C12562" w:rsidRPr="00BC25F6">
        <w:rPr>
          <w:rFonts w:ascii="Bookman Old Style" w:hAnsi="Bookman Old Style"/>
          <w:sz w:val="20"/>
          <w:szCs w:val="20"/>
        </w:rPr>
        <w:t xml:space="preserve"> </w:t>
      </w:r>
      <w:r w:rsidR="001B120F" w:rsidRPr="00B12755">
        <w:rPr>
          <w:rFonts w:ascii="Bookman Old Style" w:hAnsi="Bookman Old Style"/>
          <w:sz w:val="20"/>
          <w:szCs w:val="20"/>
        </w:rPr>
        <w:t>года</w:t>
      </w:r>
      <w:r w:rsidR="00510910" w:rsidRPr="00B12755">
        <w:rPr>
          <w:rFonts w:ascii="Bookman Old Style" w:hAnsi="Bookman Old Style"/>
          <w:sz w:val="20"/>
          <w:szCs w:val="20"/>
        </w:rPr>
        <w:t>;</w:t>
      </w:r>
    </w:p>
    <w:p w:rsidR="00AC0AD8" w:rsidRPr="00B12755" w:rsidRDefault="00AC0AD8" w:rsidP="009948B1">
      <w:pPr>
        <w:autoSpaceDE w:val="0"/>
        <w:autoSpaceDN w:val="0"/>
        <w:adjustRightInd w:val="0"/>
        <w:spacing w:before="120" w:after="120"/>
        <w:ind w:left="709"/>
        <w:rPr>
          <w:rFonts w:ascii="Bookman Old Style" w:hAnsi="Bookman Old Style"/>
          <w:sz w:val="20"/>
          <w:szCs w:val="20"/>
        </w:rPr>
      </w:pPr>
      <w:r w:rsidRPr="00B12755">
        <w:rPr>
          <w:rFonts w:ascii="Bookman Old Style" w:hAnsi="Bookman Old Style"/>
          <w:sz w:val="20"/>
          <w:szCs w:val="20"/>
        </w:rPr>
        <w:t xml:space="preserve">Адрес постоянно действующего исполнительного органа: </w:t>
      </w:r>
    </w:p>
    <w:p w:rsidR="00AC0AD8" w:rsidRPr="00B12755" w:rsidRDefault="000A4482" w:rsidP="00AB1FB9">
      <w:pPr>
        <w:pStyle w:val="aff2"/>
        <w:numPr>
          <w:ilvl w:val="0"/>
          <w:numId w:val="8"/>
        </w:numPr>
        <w:autoSpaceDE w:val="0"/>
        <w:autoSpaceDN w:val="0"/>
        <w:adjustRightInd w:val="0"/>
        <w:spacing w:before="120" w:after="120"/>
        <w:contextualSpacing w:val="0"/>
        <w:rPr>
          <w:rFonts w:ascii="Bookman Old Style" w:hAnsi="Bookman Old Style"/>
          <w:sz w:val="20"/>
          <w:szCs w:val="20"/>
        </w:rPr>
      </w:pPr>
      <w:r w:rsidRPr="000A4482">
        <w:rPr>
          <w:rFonts w:ascii="Bookman Old Style" w:hAnsi="Bookman Old Style"/>
          <w:sz w:val="20"/>
          <w:szCs w:val="20"/>
        </w:rPr>
        <w:t>660031, г. Красноярск, ул. Айвазовского, 37А</w:t>
      </w:r>
      <w:r w:rsidR="00AC0AD8" w:rsidRPr="00B12755">
        <w:rPr>
          <w:rFonts w:ascii="Bookman Old Style" w:hAnsi="Bookman Old Style"/>
          <w:sz w:val="20"/>
          <w:szCs w:val="20"/>
        </w:rPr>
        <w:t>;</w:t>
      </w:r>
    </w:p>
    <w:p w:rsidR="00AC0AD8" w:rsidRPr="00B12755" w:rsidRDefault="00AC0AD8" w:rsidP="009948B1">
      <w:pPr>
        <w:autoSpaceDE w:val="0"/>
        <w:autoSpaceDN w:val="0"/>
        <w:adjustRightInd w:val="0"/>
        <w:spacing w:before="120" w:after="120"/>
        <w:ind w:firstLine="709"/>
        <w:rPr>
          <w:rFonts w:ascii="Bookman Old Style" w:hAnsi="Bookman Old Style"/>
          <w:sz w:val="20"/>
          <w:szCs w:val="20"/>
        </w:rPr>
      </w:pPr>
      <w:r w:rsidRPr="00B12755">
        <w:rPr>
          <w:rFonts w:ascii="Bookman Old Style" w:hAnsi="Bookman Old Style"/>
          <w:sz w:val="20"/>
          <w:szCs w:val="20"/>
        </w:rPr>
        <w:t xml:space="preserve">Почтовый адрес: </w:t>
      </w:r>
    </w:p>
    <w:p w:rsidR="00E2741C" w:rsidRPr="00B12755" w:rsidRDefault="000A4482" w:rsidP="00AB1FB9">
      <w:pPr>
        <w:pStyle w:val="aff2"/>
        <w:numPr>
          <w:ilvl w:val="0"/>
          <w:numId w:val="8"/>
        </w:numPr>
        <w:autoSpaceDE w:val="0"/>
        <w:autoSpaceDN w:val="0"/>
        <w:adjustRightInd w:val="0"/>
        <w:spacing w:before="120" w:after="120"/>
        <w:contextualSpacing w:val="0"/>
        <w:rPr>
          <w:rFonts w:ascii="Bookman Old Style" w:hAnsi="Bookman Old Style"/>
          <w:sz w:val="20"/>
          <w:szCs w:val="20"/>
        </w:rPr>
      </w:pPr>
      <w:r w:rsidRPr="000A4482">
        <w:rPr>
          <w:rFonts w:ascii="Bookman Old Style" w:hAnsi="Bookman Old Style"/>
          <w:sz w:val="20"/>
          <w:szCs w:val="20"/>
        </w:rPr>
        <w:t>660031, г. Красноярск, ул. Айвазовского, 37А</w:t>
      </w:r>
      <w:r w:rsidR="00E2741C" w:rsidRPr="00B12755">
        <w:rPr>
          <w:rFonts w:ascii="Bookman Old Style" w:hAnsi="Bookman Old Style"/>
          <w:sz w:val="20"/>
          <w:szCs w:val="20"/>
        </w:rPr>
        <w:t>;</w:t>
      </w:r>
    </w:p>
    <w:p w:rsidR="00AC0AD8" w:rsidRPr="00C12562" w:rsidRDefault="00A24931" w:rsidP="009948B1">
      <w:pPr>
        <w:autoSpaceDE w:val="0"/>
        <w:autoSpaceDN w:val="0"/>
        <w:adjustRightInd w:val="0"/>
        <w:spacing w:before="120" w:after="120"/>
        <w:ind w:left="708"/>
        <w:rPr>
          <w:rFonts w:ascii="Bookman Old Style" w:hAnsi="Bookman Old Style"/>
          <w:sz w:val="20"/>
          <w:szCs w:val="20"/>
        </w:rPr>
      </w:pPr>
      <w:r w:rsidRPr="00B12755">
        <w:rPr>
          <w:rFonts w:ascii="Bookman Old Style" w:hAnsi="Bookman Old Style"/>
          <w:sz w:val="20"/>
          <w:szCs w:val="20"/>
        </w:rPr>
        <w:t xml:space="preserve">ОГРН </w:t>
      </w:r>
      <w:r w:rsidR="000A4482" w:rsidRPr="000A4482">
        <w:rPr>
          <w:rFonts w:ascii="Bookman Old Style" w:hAnsi="Bookman Old Style"/>
          <w:bCs/>
          <w:sz w:val="20"/>
          <w:szCs w:val="20"/>
        </w:rPr>
        <w:t>1022402059272 от 31.10.2002</w:t>
      </w:r>
      <w:r w:rsidR="000A4482">
        <w:rPr>
          <w:rFonts w:ascii="Bookman Old Style" w:hAnsi="Bookman Old Style"/>
          <w:bCs/>
          <w:sz w:val="20"/>
          <w:szCs w:val="20"/>
        </w:rPr>
        <w:t xml:space="preserve"> </w:t>
      </w:r>
      <w:r w:rsidR="00C12562" w:rsidRPr="00B12755">
        <w:rPr>
          <w:rFonts w:ascii="Bookman Old Style" w:hAnsi="Bookman Old Style"/>
          <w:bCs/>
          <w:sz w:val="20"/>
          <w:szCs w:val="20"/>
        </w:rPr>
        <w:t>года</w:t>
      </w:r>
      <w:r w:rsidR="00AC0AD8" w:rsidRPr="00C12562">
        <w:rPr>
          <w:rFonts w:ascii="Bookman Old Style" w:hAnsi="Bookman Old Style"/>
          <w:sz w:val="20"/>
          <w:szCs w:val="20"/>
        </w:rPr>
        <w:t>;</w:t>
      </w:r>
    </w:p>
    <w:p w:rsidR="00C12562" w:rsidRPr="00C12562" w:rsidRDefault="00C12562" w:rsidP="009948B1">
      <w:pPr>
        <w:autoSpaceDE w:val="0"/>
        <w:autoSpaceDN w:val="0"/>
        <w:adjustRightInd w:val="0"/>
        <w:spacing w:before="120" w:after="120"/>
        <w:ind w:left="709"/>
        <w:rPr>
          <w:rFonts w:ascii="Bookman Old Style" w:hAnsi="Bookman Old Style"/>
          <w:bCs/>
          <w:sz w:val="20"/>
          <w:szCs w:val="20"/>
        </w:rPr>
      </w:pPr>
      <w:r w:rsidRPr="00B12755">
        <w:rPr>
          <w:rFonts w:ascii="Bookman Old Style" w:hAnsi="Bookman Old Style"/>
          <w:bCs/>
          <w:sz w:val="20"/>
          <w:szCs w:val="20"/>
        </w:rPr>
        <w:t xml:space="preserve">ИНН </w:t>
      </w:r>
      <w:r w:rsidR="000A4482" w:rsidRPr="000A4482">
        <w:rPr>
          <w:rFonts w:ascii="Bookman Old Style" w:hAnsi="Bookman Old Style"/>
          <w:bCs/>
          <w:sz w:val="20"/>
          <w:szCs w:val="20"/>
        </w:rPr>
        <w:t>2462016961</w:t>
      </w:r>
      <w:r w:rsidR="000A4482">
        <w:rPr>
          <w:rFonts w:ascii="Bookman Old Style" w:hAnsi="Bookman Old Style"/>
          <w:bCs/>
          <w:sz w:val="20"/>
          <w:szCs w:val="20"/>
        </w:rPr>
        <w:t xml:space="preserve"> </w:t>
      </w:r>
      <w:r w:rsidRPr="00B12755">
        <w:rPr>
          <w:rFonts w:ascii="Bookman Old Style" w:hAnsi="Bookman Old Style"/>
          <w:bCs/>
          <w:sz w:val="20"/>
          <w:szCs w:val="20"/>
        </w:rPr>
        <w:t xml:space="preserve">КПП </w:t>
      </w:r>
      <w:r w:rsidR="000A4482" w:rsidRPr="000A4482">
        <w:rPr>
          <w:rFonts w:ascii="Bookman Old Style" w:hAnsi="Bookman Old Style"/>
          <w:bCs/>
          <w:sz w:val="20"/>
          <w:szCs w:val="20"/>
        </w:rPr>
        <w:t>246201001</w:t>
      </w:r>
    </w:p>
    <w:p w:rsidR="00B12755" w:rsidRPr="00B12755" w:rsidRDefault="00C12562" w:rsidP="009948B1">
      <w:pPr>
        <w:autoSpaceDE w:val="0"/>
        <w:autoSpaceDN w:val="0"/>
        <w:adjustRightInd w:val="0"/>
        <w:spacing w:before="120" w:after="120"/>
        <w:ind w:left="709"/>
        <w:rPr>
          <w:rFonts w:ascii="Bookman Old Style" w:hAnsi="Bookman Old Style"/>
          <w:bCs/>
          <w:sz w:val="20"/>
          <w:szCs w:val="20"/>
        </w:rPr>
      </w:pPr>
      <w:r w:rsidRPr="00B12755">
        <w:rPr>
          <w:rFonts w:ascii="Bookman Old Style" w:hAnsi="Bookman Old Style"/>
          <w:bCs/>
          <w:sz w:val="20"/>
          <w:szCs w:val="20"/>
        </w:rPr>
        <w:t xml:space="preserve">Р/сч </w:t>
      </w:r>
      <w:r w:rsidR="000A4482" w:rsidRPr="000A4482">
        <w:rPr>
          <w:rFonts w:ascii="Bookman Old Style" w:hAnsi="Bookman Old Style"/>
          <w:bCs/>
          <w:sz w:val="20"/>
          <w:szCs w:val="20"/>
        </w:rPr>
        <w:t>40702810800600002964 в НОВОСИБИРСКОМ ФИЛИАЛЕ ОАО "БАНК МОСКВЫ</w:t>
      </w:r>
      <w:r w:rsidR="000A4482">
        <w:rPr>
          <w:rFonts w:ascii="Bookman Old Style" w:hAnsi="Bookman Old Style"/>
          <w:bCs/>
          <w:sz w:val="20"/>
          <w:szCs w:val="20"/>
        </w:rPr>
        <w:t>»</w:t>
      </w:r>
    </w:p>
    <w:p w:rsidR="00B12755" w:rsidRPr="00B12755" w:rsidRDefault="00C12562" w:rsidP="009948B1">
      <w:pPr>
        <w:autoSpaceDE w:val="0"/>
        <w:autoSpaceDN w:val="0"/>
        <w:adjustRightInd w:val="0"/>
        <w:spacing w:before="120" w:after="120"/>
        <w:ind w:left="709"/>
        <w:rPr>
          <w:rFonts w:ascii="Bookman Old Style" w:hAnsi="Bookman Old Style"/>
          <w:bCs/>
          <w:sz w:val="20"/>
          <w:szCs w:val="20"/>
        </w:rPr>
      </w:pPr>
      <w:r w:rsidRPr="00B12755">
        <w:rPr>
          <w:rFonts w:ascii="Bookman Old Style" w:hAnsi="Bookman Old Style"/>
          <w:bCs/>
          <w:sz w:val="20"/>
          <w:szCs w:val="20"/>
        </w:rPr>
        <w:t xml:space="preserve">К/сч </w:t>
      </w:r>
      <w:r w:rsidR="000A4482" w:rsidRPr="000A4482">
        <w:rPr>
          <w:rFonts w:ascii="Bookman Old Style" w:hAnsi="Bookman Old Style"/>
          <w:bCs/>
          <w:sz w:val="20"/>
          <w:szCs w:val="20"/>
        </w:rPr>
        <w:t>30101810900000000762</w:t>
      </w:r>
    </w:p>
    <w:p w:rsidR="00B12755" w:rsidRPr="00B12755" w:rsidRDefault="00C12562" w:rsidP="009948B1">
      <w:pPr>
        <w:autoSpaceDE w:val="0"/>
        <w:autoSpaceDN w:val="0"/>
        <w:adjustRightInd w:val="0"/>
        <w:spacing w:before="120" w:after="120"/>
        <w:ind w:left="709"/>
        <w:rPr>
          <w:rFonts w:ascii="Bookman Old Style" w:hAnsi="Bookman Old Style"/>
          <w:bCs/>
          <w:sz w:val="20"/>
          <w:szCs w:val="20"/>
        </w:rPr>
      </w:pPr>
      <w:r w:rsidRPr="00B12755">
        <w:rPr>
          <w:rFonts w:ascii="Bookman Old Style" w:hAnsi="Bookman Old Style"/>
          <w:bCs/>
          <w:sz w:val="20"/>
          <w:szCs w:val="20"/>
        </w:rPr>
        <w:t xml:space="preserve">БИК </w:t>
      </w:r>
      <w:r w:rsidR="000A4482" w:rsidRPr="000A4482">
        <w:rPr>
          <w:rFonts w:ascii="Bookman Old Style" w:hAnsi="Bookman Old Style"/>
          <w:bCs/>
          <w:sz w:val="20"/>
          <w:szCs w:val="20"/>
        </w:rPr>
        <w:t>045004762</w:t>
      </w:r>
    </w:p>
    <w:p w:rsidR="00FB24F6" w:rsidRPr="00864EA6" w:rsidRDefault="00FB24F6" w:rsidP="009948B1">
      <w:pPr>
        <w:pStyle w:val="3"/>
        <w:spacing w:after="120"/>
        <w:rPr>
          <w:rFonts w:ascii="Bookman Old Style" w:hAnsi="Bookman Old Style"/>
          <w:sz w:val="20"/>
          <w:szCs w:val="20"/>
        </w:rPr>
      </w:pPr>
      <w:bookmarkStart w:id="41" w:name="_Toc197672438"/>
      <w:bookmarkStart w:id="42" w:name="_Toc197677088"/>
      <w:bookmarkStart w:id="43" w:name="_Toc200797745"/>
      <w:bookmarkStart w:id="44" w:name="_Toc200797974"/>
      <w:bookmarkStart w:id="45" w:name="_Toc200857483"/>
      <w:bookmarkStart w:id="46" w:name="_Toc201378022"/>
      <w:bookmarkStart w:id="47" w:name="_Toc201378565"/>
      <w:bookmarkStart w:id="48" w:name="_Toc202604572"/>
      <w:bookmarkStart w:id="49" w:name="_Toc207115218"/>
      <w:bookmarkStart w:id="50" w:name="_Toc207164866"/>
      <w:bookmarkStart w:id="51" w:name="_Toc207164921"/>
      <w:bookmarkStart w:id="52" w:name="_Toc207181410"/>
      <w:bookmarkStart w:id="53" w:name="_Toc260339886"/>
      <w:bookmarkStart w:id="54" w:name="_Toc461206349"/>
      <w:r>
        <w:rPr>
          <w:rFonts w:ascii="Bookman Old Style" w:hAnsi="Bookman Old Style"/>
          <w:sz w:val="20"/>
          <w:szCs w:val="20"/>
        </w:rPr>
        <w:t>1.</w:t>
      </w:r>
      <w:r w:rsidRPr="00864EA6">
        <w:rPr>
          <w:rFonts w:ascii="Bookman Old Style" w:hAnsi="Bookman Old Style"/>
          <w:sz w:val="20"/>
          <w:szCs w:val="20"/>
        </w:rPr>
        <w:t>3.2. Сведения о юридическом лице</w:t>
      </w:r>
      <w:bookmarkEnd w:id="41"/>
      <w:bookmarkEnd w:id="42"/>
      <w:bookmarkEnd w:id="43"/>
      <w:bookmarkEnd w:id="44"/>
      <w:bookmarkEnd w:id="45"/>
      <w:bookmarkEnd w:id="46"/>
      <w:bookmarkEnd w:id="47"/>
      <w:bookmarkEnd w:id="48"/>
      <w:bookmarkEnd w:id="49"/>
      <w:bookmarkEnd w:id="50"/>
      <w:bookmarkEnd w:id="51"/>
      <w:bookmarkEnd w:id="52"/>
      <w:r>
        <w:rPr>
          <w:rFonts w:ascii="Bookman Old Style" w:hAnsi="Bookman Old Style"/>
          <w:sz w:val="20"/>
          <w:szCs w:val="20"/>
        </w:rPr>
        <w:t xml:space="preserve"> оценщика</w:t>
      </w:r>
      <w:bookmarkEnd w:id="53"/>
      <w:bookmarkEnd w:id="54"/>
    </w:p>
    <w:p w:rsidR="00FB24F6" w:rsidRDefault="00FB24F6" w:rsidP="009948B1">
      <w:pPr>
        <w:spacing w:before="120" w:after="120"/>
        <w:ind w:left="709"/>
        <w:rPr>
          <w:rFonts w:ascii="Bookman Old Style" w:hAnsi="Bookman Old Style"/>
          <w:sz w:val="20"/>
          <w:szCs w:val="20"/>
        </w:rPr>
      </w:pPr>
      <w:bookmarkStart w:id="55" w:name="_Toc206269748"/>
      <w:bookmarkStart w:id="56" w:name="_Toc213831236"/>
      <w:bookmarkStart w:id="57" w:name="_Toc216160109"/>
      <w:bookmarkStart w:id="58" w:name="_Toc234901996"/>
      <w:bookmarkStart w:id="59" w:name="_Toc196937150"/>
      <w:bookmarkStart w:id="60" w:name="_Toc197327041"/>
      <w:bookmarkStart w:id="61" w:name="_Toc200179620"/>
      <w:bookmarkEnd w:id="37"/>
      <w:bookmarkEnd w:id="38"/>
      <w:bookmarkEnd w:id="39"/>
      <w:bookmarkEnd w:id="40"/>
      <w:r>
        <w:rPr>
          <w:rFonts w:ascii="Bookman Old Style" w:hAnsi="Bookman Old Style"/>
          <w:sz w:val="20"/>
          <w:szCs w:val="20"/>
        </w:rPr>
        <w:t>Общество с ограниченной ответственностью «Агентство оценки собственности «Золотое правило» в лице генерального директора Золотарева Олега Сергеевича, действующего на основании:</w:t>
      </w:r>
    </w:p>
    <w:p w:rsidR="00FB24F6" w:rsidRPr="006A2361" w:rsidRDefault="00FB24F6" w:rsidP="00AB1FB9">
      <w:pPr>
        <w:pStyle w:val="aff2"/>
        <w:numPr>
          <w:ilvl w:val="0"/>
          <w:numId w:val="8"/>
        </w:numPr>
        <w:spacing w:before="120" w:after="120"/>
        <w:contextualSpacing w:val="0"/>
        <w:jc w:val="both"/>
        <w:rPr>
          <w:rFonts w:ascii="Bookman Old Style" w:hAnsi="Bookman Old Style"/>
          <w:sz w:val="20"/>
          <w:szCs w:val="20"/>
        </w:rPr>
      </w:pPr>
      <w:r w:rsidRPr="006A2361">
        <w:rPr>
          <w:rFonts w:ascii="Bookman Old Style" w:hAnsi="Bookman Old Style"/>
          <w:sz w:val="20"/>
          <w:szCs w:val="20"/>
        </w:rPr>
        <w:t>Устава общества;</w:t>
      </w:r>
    </w:p>
    <w:p w:rsidR="00FB24F6" w:rsidRDefault="00FB24F6" w:rsidP="009948B1">
      <w:pPr>
        <w:spacing w:before="120" w:after="120"/>
        <w:ind w:left="708"/>
        <w:rPr>
          <w:rFonts w:ascii="Bookman Old Style" w:hAnsi="Bookman Old Style"/>
          <w:sz w:val="20"/>
          <w:szCs w:val="20"/>
        </w:rPr>
      </w:pPr>
      <w:r>
        <w:rPr>
          <w:rFonts w:ascii="Bookman Old Style" w:hAnsi="Bookman Old Style"/>
          <w:sz w:val="20"/>
          <w:szCs w:val="20"/>
        </w:rPr>
        <w:t xml:space="preserve">Адрес постоянно действующего исполнительного органа: </w:t>
      </w:r>
    </w:p>
    <w:p w:rsidR="00FB24F6" w:rsidRPr="006A2361" w:rsidRDefault="00FB24F6" w:rsidP="00AB1FB9">
      <w:pPr>
        <w:pStyle w:val="aff2"/>
        <w:numPr>
          <w:ilvl w:val="0"/>
          <w:numId w:val="8"/>
        </w:numPr>
        <w:spacing w:before="120" w:after="120"/>
        <w:contextualSpacing w:val="0"/>
        <w:rPr>
          <w:rFonts w:ascii="Bookman Old Style" w:hAnsi="Bookman Old Style"/>
          <w:sz w:val="20"/>
          <w:szCs w:val="20"/>
        </w:rPr>
      </w:pPr>
      <w:r w:rsidRPr="006A2361">
        <w:rPr>
          <w:rFonts w:ascii="Bookman Old Style" w:hAnsi="Bookman Old Style"/>
          <w:sz w:val="20"/>
          <w:szCs w:val="20"/>
        </w:rPr>
        <w:t>660041, Россия, Красноярский край, г. Красноярск, ул. Ак</w:t>
      </w:r>
      <w:r w:rsidR="008F4C8C" w:rsidRPr="006A2361">
        <w:rPr>
          <w:rFonts w:ascii="Bookman Old Style" w:hAnsi="Bookman Old Style"/>
          <w:sz w:val="20"/>
          <w:szCs w:val="20"/>
        </w:rPr>
        <w:t xml:space="preserve">адемика </w:t>
      </w:r>
      <w:r w:rsidRPr="006A2361">
        <w:rPr>
          <w:rFonts w:ascii="Bookman Old Style" w:hAnsi="Bookman Old Style"/>
          <w:sz w:val="20"/>
          <w:szCs w:val="20"/>
        </w:rPr>
        <w:t>Киренского, д. 87 офис 54;</w:t>
      </w:r>
    </w:p>
    <w:p w:rsidR="00FB24F6" w:rsidRDefault="00FB24F6" w:rsidP="009948B1">
      <w:pPr>
        <w:spacing w:before="120" w:after="120"/>
        <w:ind w:left="708"/>
        <w:rPr>
          <w:rFonts w:ascii="Bookman Old Style" w:hAnsi="Bookman Old Style"/>
          <w:sz w:val="20"/>
          <w:szCs w:val="20"/>
        </w:rPr>
      </w:pPr>
      <w:r>
        <w:rPr>
          <w:rFonts w:ascii="Bookman Old Style" w:hAnsi="Bookman Old Style"/>
          <w:sz w:val="20"/>
          <w:szCs w:val="20"/>
        </w:rPr>
        <w:t xml:space="preserve">Местонахождение: </w:t>
      </w:r>
    </w:p>
    <w:p w:rsidR="00FB24F6" w:rsidRPr="006A2361" w:rsidRDefault="00197F69" w:rsidP="00AB1FB9">
      <w:pPr>
        <w:pStyle w:val="aff2"/>
        <w:numPr>
          <w:ilvl w:val="0"/>
          <w:numId w:val="8"/>
        </w:numPr>
        <w:spacing w:before="120" w:after="120"/>
        <w:contextualSpacing w:val="0"/>
        <w:rPr>
          <w:rFonts w:ascii="Bookman Old Style" w:hAnsi="Bookman Old Style"/>
          <w:sz w:val="20"/>
          <w:szCs w:val="20"/>
        </w:rPr>
      </w:pPr>
      <w:bookmarkStart w:id="62" w:name="_Toc196937153"/>
      <w:bookmarkStart w:id="63" w:name="_Toc197326722"/>
      <w:bookmarkStart w:id="64" w:name="_Toc197327039"/>
      <w:bookmarkStart w:id="65" w:name="_Toc197672439"/>
      <w:bookmarkStart w:id="66" w:name="_Toc197677089"/>
      <w:bookmarkStart w:id="67" w:name="_Toc200797746"/>
      <w:bookmarkStart w:id="68" w:name="_Toc200797975"/>
      <w:bookmarkStart w:id="69" w:name="_Toc200857484"/>
      <w:bookmarkStart w:id="70" w:name="_Toc201378023"/>
      <w:bookmarkStart w:id="71" w:name="_Toc201378566"/>
      <w:bookmarkStart w:id="72" w:name="_Toc202604573"/>
      <w:bookmarkStart w:id="73" w:name="_Toc207115219"/>
      <w:bookmarkStart w:id="74" w:name="_Toc207164867"/>
      <w:bookmarkStart w:id="75" w:name="_Toc207164922"/>
      <w:bookmarkStart w:id="76" w:name="_Toc207181411"/>
      <w:bookmarkStart w:id="77" w:name="_Toc207552358"/>
      <w:bookmarkStart w:id="78" w:name="_Toc207601569"/>
      <w:bookmarkStart w:id="79" w:name="_Toc207601757"/>
      <w:bookmarkStart w:id="80" w:name="_Toc211058682"/>
      <w:bookmarkStart w:id="81" w:name="_Toc211058827"/>
      <w:bookmarkStart w:id="82" w:name="_Toc211140719"/>
      <w:r w:rsidRPr="00197F69">
        <w:rPr>
          <w:rFonts w:ascii="Bookman Old Style" w:hAnsi="Bookman Old Style"/>
          <w:sz w:val="20"/>
          <w:szCs w:val="20"/>
        </w:rPr>
        <w:t>660041, Россия, Красноярский край, г. Красноярск, ул. Академика Киренского, д. 87 офис 54</w:t>
      </w:r>
      <w:r w:rsidR="00FB24F6" w:rsidRPr="006A2361">
        <w:rPr>
          <w:rFonts w:ascii="Bookman Old Style" w:hAnsi="Bookman Old Style"/>
          <w:sz w:val="20"/>
          <w:szCs w:val="20"/>
        </w:rPr>
        <w:t>;</w:t>
      </w:r>
    </w:p>
    <w:p w:rsidR="00197F69" w:rsidRDefault="00197F69" w:rsidP="009948B1">
      <w:pPr>
        <w:spacing w:before="120" w:after="120"/>
        <w:ind w:left="708"/>
        <w:rPr>
          <w:rFonts w:ascii="Bookman Old Style" w:hAnsi="Bookman Old Style"/>
          <w:sz w:val="20"/>
          <w:szCs w:val="20"/>
        </w:rPr>
      </w:pPr>
      <w:bookmarkStart w:id="83" w:name="_Toc219279623"/>
      <w:r>
        <w:rPr>
          <w:rFonts w:ascii="Bookman Old Style" w:hAnsi="Bookman Old Style"/>
          <w:sz w:val="20"/>
          <w:szCs w:val="20"/>
        </w:rPr>
        <w:t>П</w:t>
      </w:r>
      <w:r w:rsidRPr="00197F69">
        <w:rPr>
          <w:rFonts w:ascii="Bookman Old Style" w:hAnsi="Bookman Old Style"/>
          <w:sz w:val="20"/>
          <w:szCs w:val="20"/>
        </w:rPr>
        <w:t>очтовый адрес</w:t>
      </w:r>
      <w:r>
        <w:rPr>
          <w:rFonts w:ascii="Bookman Old Style" w:hAnsi="Bookman Old Style"/>
          <w:sz w:val="20"/>
          <w:szCs w:val="20"/>
        </w:rPr>
        <w:t>:</w:t>
      </w:r>
    </w:p>
    <w:p w:rsidR="00197F69" w:rsidRDefault="00197F69" w:rsidP="009948B1">
      <w:pPr>
        <w:spacing w:before="120" w:after="120"/>
        <w:ind w:left="708"/>
        <w:rPr>
          <w:rFonts w:ascii="Bookman Old Style" w:hAnsi="Bookman Old Style"/>
          <w:sz w:val="20"/>
          <w:szCs w:val="20"/>
        </w:rPr>
      </w:pPr>
      <w:r>
        <w:rPr>
          <w:rFonts w:ascii="Bookman Old Style" w:hAnsi="Bookman Old Style"/>
          <w:sz w:val="20"/>
          <w:szCs w:val="20"/>
        </w:rPr>
        <w:t xml:space="preserve">660017, </w:t>
      </w:r>
      <w:r w:rsidRPr="00197F69">
        <w:rPr>
          <w:rFonts w:ascii="Bookman Old Style" w:hAnsi="Bookman Old Style"/>
          <w:sz w:val="20"/>
          <w:szCs w:val="20"/>
        </w:rPr>
        <w:t>Россия, Красноярский край, г. Красноярск</w:t>
      </w:r>
      <w:r>
        <w:rPr>
          <w:rFonts w:ascii="Bookman Old Style" w:hAnsi="Bookman Old Style"/>
          <w:sz w:val="20"/>
          <w:szCs w:val="20"/>
        </w:rPr>
        <w:t>, ул. Бограда д. 92 офис 207;</w:t>
      </w:r>
    </w:p>
    <w:p w:rsidR="00FB24F6" w:rsidRPr="000610D7" w:rsidRDefault="00FB24F6" w:rsidP="009948B1">
      <w:pPr>
        <w:spacing w:before="120" w:after="120"/>
        <w:ind w:left="708"/>
        <w:rPr>
          <w:rFonts w:ascii="Bookman Old Style" w:hAnsi="Bookman Old Style"/>
          <w:sz w:val="20"/>
          <w:szCs w:val="20"/>
        </w:rPr>
      </w:pPr>
      <w:r w:rsidRPr="000610D7">
        <w:rPr>
          <w:rFonts w:ascii="Bookman Old Style" w:hAnsi="Bookman Old Style"/>
          <w:sz w:val="20"/>
          <w:szCs w:val="20"/>
        </w:rPr>
        <w:t>ОГРН 1082468049300 дата регистрации 16.10.2008 года</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sidRPr="000610D7">
        <w:rPr>
          <w:rFonts w:ascii="Bookman Old Style" w:hAnsi="Bookman Old Style"/>
          <w:sz w:val="20"/>
          <w:szCs w:val="20"/>
        </w:rPr>
        <w:t xml:space="preserve"> Межрайонной ИФНС № 23 по Красноярскому краю</w:t>
      </w:r>
      <w:bookmarkEnd w:id="83"/>
    </w:p>
    <w:p w:rsidR="00FB24F6" w:rsidRDefault="00FB24F6" w:rsidP="009948B1">
      <w:pPr>
        <w:spacing w:before="120" w:after="120"/>
        <w:ind w:left="708"/>
        <w:rPr>
          <w:rFonts w:ascii="Bookman Old Style" w:hAnsi="Bookman Old Style"/>
          <w:sz w:val="20"/>
          <w:szCs w:val="20"/>
        </w:rPr>
      </w:pPr>
      <w:r w:rsidRPr="00647F43">
        <w:rPr>
          <w:rFonts w:ascii="Bookman Old Style" w:hAnsi="Bookman Old Style"/>
          <w:sz w:val="20"/>
          <w:szCs w:val="20"/>
        </w:rPr>
        <w:lastRenderedPageBreak/>
        <w:t>ИНН</w:t>
      </w:r>
      <w:r>
        <w:rPr>
          <w:rFonts w:ascii="Bookman Old Style" w:hAnsi="Bookman Old Style"/>
          <w:sz w:val="20"/>
          <w:szCs w:val="20"/>
        </w:rPr>
        <w:t xml:space="preserve"> 2463209187</w:t>
      </w:r>
      <w:r w:rsidRPr="00647F43">
        <w:rPr>
          <w:rFonts w:ascii="Bookman Old Style" w:hAnsi="Bookman Old Style"/>
          <w:sz w:val="20"/>
          <w:szCs w:val="20"/>
        </w:rPr>
        <w:t xml:space="preserve">, </w:t>
      </w:r>
      <w:r>
        <w:rPr>
          <w:rFonts w:ascii="Bookman Old Style" w:hAnsi="Bookman Old Style"/>
          <w:sz w:val="20"/>
          <w:szCs w:val="20"/>
        </w:rPr>
        <w:t>КПП 246301001</w:t>
      </w:r>
    </w:p>
    <w:p w:rsidR="00FB24F6" w:rsidRDefault="00FB24F6" w:rsidP="009948B1">
      <w:pPr>
        <w:spacing w:before="120" w:after="120"/>
        <w:ind w:left="708"/>
        <w:rPr>
          <w:rFonts w:ascii="Bookman Old Style" w:hAnsi="Bookman Old Style"/>
          <w:sz w:val="20"/>
          <w:szCs w:val="20"/>
        </w:rPr>
      </w:pPr>
      <w:r>
        <w:rPr>
          <w:rFonts w:ascii="Bookman Old Style" w:hAnsi="Bookman Old Style"/>
          <w:sz w:val="20"/>
          <w:szCs w:val="20"/>
        </w:rPr>
        <w:t>р</w:t>
      </w:r>
      <w:r w:rsidRPr="00647F43">
        <w:rPr>
          <w:rFonts w:ascii="Bookman Old Style" w:hAnsi="Bookman Old Style"/>
          <w:sz w:val="20"/>
          <w:szCs w:val="20"/>
        </w:rPr>
        <w:t xml:space="preserve">/счет </w:t>
      </w:r>
      <w:r>
        <w:rPr>
          <w:rFonts w:ascii="Bookman Old Style" w:hAnsi="Bookman Old Style"/>
          <w:sz w:val="20"/>
          <w:szCs w:val="20"/>
        </w:rPr>
        <w:t>40702810831280030059</w:t>
      </w:r>
      <w:r w:rsidRPr="00647F43">
        <w:rPr>
          <w:rFonts w:ascii="Bookman Old Style" w:hAnsi="Bookman Old Style"/>
          <w:sz w:val="20"/>
          <w:szCs w:val="20"/>
        </w:rPr>
        <w:t xml:space="preserve"> в </w:t>
      </w:r>
      <w:r>
        <w:rPr>
          <w:rFonts w:ascii="Bookman Old Style" w:hAnsi="Bookman Old Style"/>
          <w:sz w:val="20"/>
          <w:szCs w:val="20"/>
        </w:rPr>
        <w:t>Красноярском городском ОСБ № 161 Сберегательного банка РФ</w:t>
      </w:r>
    </w:p>
    <w:p w:rsidR="00FB24F6" w:rsidRDefault="00FB24F6" w:rsidP="009948B1">
      <w:pPr>
        <w:spacing w:before="120" w:after="120"/>
        <w:ind w:left="708"/>
        <w:rPr>
          <w:rFonts w:ascii="Bookman Old Style" w:hAnsi="Bookman Old Style"/>
          <w:sz w:val="20"/>
          <w:szCs w:val="20"/>
        </w:rPr>
      </w:pPr>
      <w:r>
        <w:rPr>
          <w:rFonts w:ascii="Bookman Old Style" w:hAnsi="Bookman Old Style"/>
          <w:sz w:val="20"/>
          <w:szCs w:val="20"/>
        </w:rPr>
        <w:t>к/счет 30101810800000000627</w:t>
      </w:r>
    </w:p>
    <w:p w:rsidR="00FB24F6" w:rsidRDefault="00FB24F6" w:rsidP="009948B1">
      <w:pPr>
        <w:spacing w:before="120" w:after="120"/>
        <w:ind w:left="708"/>
        <w:rPr>
          <w:rFonts w:ascii="Bookman Old Style" w:hAnsi="Bookman Old Style"/>
          <w:sz w:val="20"/>
          <w:szCs w:val="20"/>
        </w:rPr>
      </w:pPr>
      <w:r w:rsidRPr="00647F43">
        <w:rPr>
          <w:rFonts w:ascii="Bookman Old Style" w:hAnsi="Bookman Old Style"/>
          <w:sz w:val="20"/>
          <w:szCs w:val="20"/>
        </w:rPr>
        <w:t>БИК 040407</w:t>
      </w:r>
      <w:r>
        <w:rPr>
          <w:rFonts w:ascii="Bookman Old Style" w:hAnsi="Bookman Old Style"/>
          <w:sz w:val="20"/>
          <w:szCs w:val="20"/>
        </w:rPr>
        <w:t>627</w:t>
      </w:r>
    </w:p>
    <w:p w:rsidR="00FB24F6" w:rsidRDefault="00FB24F6" w:rsidP="009948B1">
      <w:pPr>
        <w:spacing w:before="120" w:after="120"/>
        <w:ind w:left="708"/>
        <w:rPr>
          <w:rFonts w:ascii="Bookman Old Style" w:hAnsi="Bookman Old Style"/>
          <w:sz w:val="20"/>
          <w:szCs w:val="20"/>
        </w:rPr>
      </w:pPr>
      <w:r>
        <w:rPr>
          <w:rFonts w:ascii="Bookman Old Style" w:hAnsi="Bookman Old Style"/>
          <w:sz w:val="20"/>
          <w:szCs w:val="20"/>
        </w:rPr>
        <w:t>Прочие сведения:</w:t>
      </w:r>
    </w:p>
    <w:p w:rsidR="00FB24F6" w:rsidRPr="006A2361" w:rsidRDefault="00FB24F6" w:rsidP="00AB1FB9">
      <w:pPr>
        <w:pStyle w:val="aff2"/>
        <w:numPr>
          <w:ilvl w:val="0"/>
          <w:numId w:val="8"/>
        </w:numPr>
        <w:spacing w:before="120" w:after="120"/>
        <w:ind w:left="714" w:hanging="357"/>
        <w:contextualSpacing w:val="0"/>
        <w:jc w:val="both"/>
        <w:rPr>
          <w:rFonts w:ascii="Bookman Old Style" w:hAnsi="Bookman Old Style"/>
          <w:sz w:val="20"/>
          <w:szCs w:val="20"/>
        </w:rPr>
      </w:pPr>
      <w:r w:rsidRPr="006A2361">
        <w:rPr>
          <w:rFonts w:ascii="Bookman Old Style" w:hAnsi="Bookman Old Style"/>
          <w:sz w:val="20"/>
          <w:szCs w:val="20"/>
        </w:rPr>
        <w:t>Членство НП «Российская коллегия оценщиков», номер по реестру 241037, зарегистрирован на основании решения п. 17.2. Протокола № 18 от 24.11.2008 г.;</w:t>
      </w:r>
    </w:p>
    <w:p w:rsidR="00C834FF" w:rsidRDefault="00FA73DD" w:rsidP="00AB1FB9">
      <w:pPr>
        <w:pStyle w:val="aff2"/>
        <w:numPr>
          <w:ilvl w:val="0"/>
          <w:numId w:val="8"/>
        </w:numPr>
        <w:spacing w:before="120" w:after="120"/>
        <w:contextualSpacing w:val="0"/>
        <w:jc w:val="both"/>
        <w:rPr>
          <w:rFonts w:ascii="Bookman Old Style" w:hAnsi="Bookman Old Style"/>
          <w:sz w:val="20"/>
          <w:szCs w:val="20"/>
        </w:rPr>
      </w:pPr>
      <w:r>
        <w:rPr>
          <w:rFonts w:ascii="Bookman Old Style" w:hAnsi="Bookman Old Style"/>
          <w:sz w:val="20"/>
          <w:szCs w:val="20"/>
        </w:rPr>
        <w:t>Полис № 989148471</w:t>
      </w:r>
      <w:r w:rsidR="00C834FF" w:rsidRPr="00EE4780">
        <w:rPr>
          <w:rFonts w:ascii="Bookman Old Style" w:hAnsi="Bookman Old Style"/>
          <w:sz w:val="20"/>
          <w:szCs w:val="20"/>
        </w:rPr>
        <w:t xml:space="preserve"> от 10 ноября 201</w:t>
      </w:r>
      <w:r w:rsidR="00E6411F">
        <w:rPr>
          <w:rFonts w:ascii="Bookman Old Style" w:hAnsi="Bookman Old Style"/>
          <w:sz w:val="20"/>
          <w:szCs w:val="20"/>
        </w:rPr>
        <w:t>5</w:t>
      </w:r>
      <w:r w:rsidR="00C834FF" w:rsidRPr="00EE4780">
        <w:rPr>
          <w:rFonts w:ascii="Bookman Old Style" w:hAnsi="Bookman Old Style"/>
          <w:sz w:val="20"/>
          <w:szCs w:val="20"/>
        </w:rPr>
        <w:t xml:space="preserve"> года, ОСАО «РЕСО-Гарантия», срок действия с «17» ноября 201</w:t>
      </w:r>
      <w:r>
        <w:rPr>
          <w:rFonts w:ascii="Bookman Old Style" w:hAnsi="Bookman Old Style"/>
          <w:sz w:val="20"/>
          <w:szCs w:val="20"/>
        </w:rPr>
        <w:t>5</w:t>
      </w:r>
      <w:r w:rsidR="00C834FF" w:rsidRPr="00EE4780">
        <w:rPr>
          <w:rFonts w:ascii="Bookman Old Style" w:hAnsi="Bookman Old Style"/>
          <w:sz w:val="20"/>
          <w:szCs w:val="20"/>
        </w:rPr>
        <w:t xml:space="preserve"> г. по «16» ноября 201</w:t>
      </w:r>
      <w:r>
        <w:rPr>
          <w:rFonts w:ascii="Bookman Old Style" w:hAnsi="Bookman Old Style"/>
          <w:sz w:val="20"/>
          <w:szCs w:val="20"/>
        </w:rPr>
        <w:t>6</w:t>
      </w:r>
      <w:r w:rsidR="00C834FF" w:rsidRPr="00EE4780">
        <w:rPr>
          <w:rFonts w:ascii="Bookman Old Style" w:hAnsi="Bookman Old Style"/>
          <w:sz w:val="20"/>
          <w:szCs w:val="20"/>
        </w:rPr>
        <w:t xml:space="preserve"> г., страховая сумма 50 000 000 (пятьдесят миллионов) рублей;</w:t>
      </w:r>
    </w:p>
    <w:p w:rsidR="00FB24F6" w:rsidRPr="00864EA6" w:rsidRDefault="00FB24F6" w:rsidP="009948B1">
      <w:pPr>
        <w:pStyle w:val="3"/>
        <w:spacing w:after="120"/>
        <w:rPr>
          <w:rFonts w:ascii="Bookman Old Style" w:hAnsi="Bookman Old Style"/>
          <w:sz w:val="20"/>
          <w:szCs w:val="20"/>
        </w:rPr>
      </w:pPr>
      <w:bookmarkStart w:id="84" w:name="_Toc196937154"/>
      <w:bookmarkStart w:id="85" w:name="_Toc197327040"/>
      <w:bookmarkStart w:id="86" w:name="_Toc197672440"/>
      <w:bookmarkStart w:id="87" w:name="_Toc197677090"/>
      <w:bookmarkStart w:id="88" w:name="_Toc200797747"/>
      <w:bookmarkStart w:id="89" w:name="_Toc200797976"/>
      <w:bookmarkStart w:id="90" w:name="_Toc200857485"/>
      <w:bookmarkStart w:id="91" w:name="_Toc201378024"/>
      <w:bookmarkStart w:id="92" w:name="_Toc201378567"/>
      <w:bookmarkStart w:id="93" w:name="_Toc202604574"/>
      <w:bookmarkStart w:id="94" w:name="_Toc207115220"/>
      <w:bookmarkStart w:id="95" w:name="_Toc207164868"/>
      <w:bookmarkStart w:id="96" w:name="_Toc207164923"/>
      <w:bookmarkStart w:id="97" w:name="_Toc207181412"/>
      <w:bookmarkStart w:id="98" w:name="_Toc260339887"/>
      <w:bookmarkStart w:id="99" w:name="_Toc461206350"/>
      <w:r>
        <w:rPr>
          <w:rFonts w:ascii="Bookman Old Style" w:hAnsi="Bookman Old Style"/>
          <w:sz w:val="20"/>
          <w:szCs w:val="20"/>
        </w:rPr>
        <w:t>1.</w:t>
      </w:r>
      <w:r w:rsidRPr="00864EA6">
        <w:rPr>
          <w:rFonts w:ascii="Bookman Old Style" w:hAnsi="Bookman Old Style"/>
          <w:sz w:val="20"/>
          <w:szCs w:val="20"/>
        </w:rPr>
        <w:t>3.3. Сведения о</w:t>
      </w:r>
      <w:r>
        <w:rPr>
          <w:rFonts w:ascii="Bookman Old Style" w:hAnsi="Bookman Old Style"/>
          <w:sz w:val="20"/>
          <w:szCs w:val="20"/>
        </w:rPr>
        <w:t xml:space="preserve"> </w:t>
      </w:r>
      <w:r w:rsidRPr="00864EA6">
        <w:rPr>
          <w:rFonts w:ascii="Bookman Old Style" w:hAnsi="Bookman Old Style"/>
          <w:sz w:val="20"/>
          <w:szCs w:val="20"/>
        </w:rPr>
        <w:t>специалистах</w:t>
      </w:r>
      <w:bookmarkEnd w:id="84"/>
      <w:bookmarkEnd w:id="85"/>
      <w:bookmarkEnd w:id="86"/>
      <w:bookmarkEnd w:id="87"/>
      <w:bookmarkEnd w:id="88"/>
      <w:bookmarkEnd w:id="89"/>
      <w:bookmarkEnd w:id="90"/>
      <w:bookmarkEnd w:id="91"/>
      <w:bookmarkEnd w:id="92"/>
      <w:bookmarkEnd w:id="93"/>
      <w:bookmarkEnd w:id="94"/>
      <w:bookmarkEnd w:id="95"/>
      <w:bookmarkEnd w:id="96"/>
      <w:bookmarkEnd w:id="97"/>
      <w:r>
        <w:rPr>
          <w:rFonts w:ascii="Bookman Old Style" w:hAnsi="Bookman Old Style"/>
          <w:sz w:val="20"/>
          <w:szCs w:val="20"/>
        </w:rPr>
        <w:t>-оценщиках</w:t>
      </w:r>
      <w:bookmarkEnd w:id="98"/>
      <w:bookmarkEnd w:id="99"/>
      <w:r w:rsidRPr="00864EA6">
        <w:rPr>
          <w:rFonts w:ascii="Bookman Old Style" w:hAnsi="Bookman Old Style"/>
          <w:sz w:val="20"/>
          <w:szCs w:val="20"/>
        </w:rPr>
        <w:t xml:space="preserve"> </w:t>
      </w:r>
    </w:p>
    <w:p w:rsidR="00FB24F6" w:rsidRDefault="00FB24F6" w:rsidP="009948B1">
      <w:pPr>
        <w:autoSpaceDE w:val="0"/>
        <w:autoSpaceDN w:val="0"/>
        <w:adjustRightInd w:val="0"/>
        <w:spacing w:before="120" w:after="120"/>
        <w:ind w:firstLine="709"/>
        <w:rPr>
          <w:rFonts w:ascii="Bookman Old Style" w:hAnsi="Bookman Old Style"/>
          <w:sz w:val="20"/>
          <w:szCs w:val="20"/>
        </w:rPr>
      </w:pPr>
      <w:r w:rsidRPr="00FB22D3">
        <w:rPr>
          <w:rFonts w:ascii="Bookman Old Style" w:hAnsi="Bookman Old Style"/>
          <w:sz w:val="20"/>
          <w:szCs w:val="20"/>
        </w:rPr>
        <w:t>В данной работе принимали участие следующие специалисты:</w:t>
      </w:r>
    </w:p>
    <w:p w:rsidR="00C12562" w:rsidRDefault="00C12562" w:rsidP="00303E37">
      <w:pPr>
        <w:pStyle w:val="aff2"/>
        <w:numPr>
          <w:ilvl w:val="0"/>
          <w:numId w:val="16"/>
        </w:numPr>
        <w:spacing w:before="120" w:after="120"/>
        <w:contextualSpacing w:val="0"/>
        <w:jc w:val="both"/>
        <w:rPr>
          <w:rFonts w:ascii="Bookman Old Style" w:hAnsi="Bookman Old Style"/>
          <w:sz w:val="20"/>
          <w:szCs w:val="20"/>
        </w:rPr>
      </w:pPr>
      <w:bookmarkStart w:id="100" w:name="_Toc304994724"/>
      <w:bookmarkStart w:id="101" w:name="_Toc307216804"/>
      <w:bookmarkStart w:id="102" w:name="_Toc307484742"/>
      <w:bookmarkStart w:id="103" w:name="_Toc309744716"/>
      <w:bookmarkStart w:id="104" w:name="_Toc309820412"/>
      <w:bookmarkStart w:id="105" w:name="_Toc311124872"/>
      <w:bookmarkStart w:id="106" w:name="_Toc304994728"/>
      <w:bookmarkStart w:id="107" w:name="_Toc307216808"/>
      <w:bookmarkStart w:id="108" w:name="_Toc307484746"/>
      <w:bookmarkStart w:id="109" w:name="_Toc309744720"/>
      <w:bookmarkStart w:id="110" w:name="_Toc309820416"/>
      <w:bookmarkStart w:id="111" w:name="_Toc311124876"/>
      <w:r w:rsidRPr="00D0599A">
        <w:rPr>
          <w:rFonts w:ascii="Bookman Old Style" w:hAnsi="Bookman Old Style"/>
          <w:sz w:val="20"/>
          <w:szCs w:val="20"/>
        </w:rPr>
        <w:t>Золотарев Олег Сергеевич;</w:t>
      </w:r>
    </w:p>
    <w:p w:rsidR="00C12562" w:rsidRPr="00D0599A" w:rsidRDefault="00C12562" w:rsidP="009948B1">
      <w:pPr>
        <w:pStyle w:val="aff2"/>
        <w:spacing w:before="120" w:after="120"/>
        <w:contextualSpacing w:val="0"/>
        <w:jc w:val="both"/>
        <w:rPr>
          <w:rFonts w:ascii="Bookman Old Style" w:hAnsi="Bookman Old Style"/>
          <w:sz w:val="20"/>
          <w:szCs w:val="20"/>
        </w:rPr>
      </w:pPr>
      <w:r w:rsidRPr="00D0599A">
        <w:rPr>
          <w:rFonts w:ascii="Bookman Old Style" w:hAnsi="Bookman Old Style"/>
          <w:sz w:val="20"/>
          <w:szCs w:val="20"/>
        </w:rPr>
        <w:t>Местонахождение оценщика:</w:t>
      </w:r>
    </w:p>
    <w:p w:rsidR="00C12562" w:rsidRPr="00D0599A" w:rsidRDefault="00C12562" w:rsidP="00303E37">
      <w:pPr>
        <w:pStyle w:val="aff2"/>
        <w:numPr>
          <w:ilvl w:val="0"/>
          <w:numId w:val="16"/>
        </w:numPr>
        <w:spacing w:before="120" w:after="120"/>
        <w:contextualSpacing w:val="0"/>
        <w:jc w:val="both"/>
        <w:rPr>
          <w:rFonts w:ascii="Bookman Old Style" w:hAnsi="Bookman Old Style"/>
          <w:sz w:val="20"/>
          <w:szCs w:val="20"/>
        </w:rPr>
      </w:pPr>
      <w:r w:rsidRPr="00D0599A">
        <w:rPr>
          <w:rFonts w:ascii="Bookman Old Style" w:hAnsi="Bookman Old Style"/>
          <w:sz w:val="20"/>
          <w:szCs w:val="20"/>
        </w:rPr>
        <w:t>660017, Россия, Красноярский край, г. Красноярск, ул. Бограда, д. 92 офис 207</w:t>
      </w:r>
    </w:p>
    <w:p w:rsidR="00C12562" w:rsidRPr="00D0599A" w:rsidRDefault="00C12562" w:rsidP="009948B1">
      <w:pPr>
        <w:pStyle w:val="aff2"/>
        <w:spacing w:before="120" w:after="120"/>
        <w:contextualSpacing w:val="0"/>
        <w:jc w:val="both"/>
        <w:rPr>
          <w:rFonts w:ascii="Bookman Old Style" w:hAnsi="Bookman Old Style"/>
          <w:sz w:val="20"/>
          <w:szCs w:val="20"/>
        </w:rPr>
      </w:pPr>
      <w:r w:rsidRPr="00D0599A">
        <w:rPr>
          <w:rFonts w:ascii="Bookman Old Style" w:hAnsi="Bookman Old Style"/>
          <w:sz w:val="20"/>
          <w:szCs w:val="20"/>
        </w:rPr>
        <w:t xml:space="preserve">Место работы: </w:t>
      </w:r>
    </w:p>
    <w:p w:rsidR="00C12562" w:rsidRPr="00D0599A" w:rsidRDefault="00C12562" w:rsidP="00303E37">
      <w:pPr>
        <w:pStyle w:val="aff2"/>
        <w:numPr>
          <w:ilvl w:val="0"/>
          <w:numId w:val="16"/>
        </w:numPr>
        <w:spacing w:before="120" w:after="120"/>
        <w:contextualSpacing w:val="0"/>
        <w:jc w:val="both"/>
        <w:rPr>
          <w:rFonts w:ascii="Bookman Old Style" w:hAnsi="Bookman Old Style"/>
          <w:sz w:val="20"/>
          <w:szCs w:val="20"/>
        </w:rPr>
      </w:pPr>
      <w:r w:rsidRPr="00D0599A">
        <w:rPr>
          <w:rFonts w:ascii="Bookman Old Style" w:hAnsi="Bookman Old Style"/>
          <w:sz w:val="20"/>
          <w:szCs w:val="20"/>
        </w:rPr>
        <w:t>ООО «АОС «Золотое правило» на основании трудового договора № 01 от 05 ноября 2008 года;</w:t>
      </w:r>
    </w:p>
    <w:p w:rsidR="00C12562" w:rsidRPr="00D0599A" w:rsidRDefault="00C12562" w:rsidP="009948B1">
      <w:pPr>
        <w:pStyle w:val="aff2"/>
        <w:spacing w:before="120" w:after="120"/>
        <w:contextualSpacing w:val="0"/>
        <w:jc w:val="both"/>
        <w:rPr>
          <w:rFonts w:ascii="Bookman Old Style" w:hAnsi="Bookman Old Style"/>
          <w:sz w:val="20"/>
          <w:szCs w:val="20"/>
        </w:rPr>
      </w:pPr>
      <w:r w:rsidRPr="00D0599A">
        <w:rPr>
          <w:rFonts w:ascii="Bookman Old Style" w:hAnsi="Bookman Old Style"/>
          <w:sz w:val="20"/>
          <w:szCs w:val="20"/>
        </w:rPr>
        <w:t xml:space="preserve">Членство СРО: </w:t>
      </w:r>
    </w:p>
    <w:p w:rsidR="00C12562" w:rsidRPr="00D0599A" w:rsidRDefault="00C12562" w:rsidP="00303E37">
      <w:pPr>
        <w:pStyle w:val="aff2"/>
        <w:numPr>
          <w:ilvl w:val="0"/>
          <w:numId w:val="16"/>
        </w:numPr>
        <w:spacing w:before="120" w:after="120"/>
        <w:contextualSpacing w:val="0"/>
        <w:jc w:val="both"/>
        <w:rPr>
          <w:rFonts w:ascii="Bookman Old Style" w:hAnsi="Bookman Old Style"/>
          <w:sz w:val="20"/>
          <w:szCs w:val="20"/>
        </w:rPr>
      </w:pPr>
      <w:r w:rsidRPr="00D0599A">
        <w:rPr>
          <w:rFonts w:ascii="Bookman Old Style" w:hAnsi="Bookman Old Style"/>
          <w:sz w:val="20"/>
          <w:szCs w:val="20"/>
        </w:rPr>
        <w:t xml:space="preserve">Член саморегулируемой организации оценщиков (Выписка из реестра № </w:t>
      </w:r>
      <w:r>
        <w:rPr>
          <w:rFonts w:ascii="Bookman Old Style" w:hAnsi="Bookman Old Style"/>
          <w:sz w:val="20"/>
          <w:szCs w:val="20"/>
        </w:rPr>
        <w:t>1148 от 30</w:t>
      </w:r>
      <w:r w:rsidRPr="00D0599A">
        <w:rPr>
          <w:rFonts w:ascii="Bookman Old Style" w:hAnsi="Bookman Old Style"/>
          <w:sz w:val="20"/>
          <w:szCs w:val="20"/>
        </w:rPr>
        <w:t xml:space="preserve"> </w:t>
      </w:r>
      <w:r>
        <w:rPr>
          <w:rFonts w:ascii="Bookman Old Style" w:hAnsi="Bookman Old Style"/>
          <w:sz w:val="20"/>
          <w:szCs w:val="20"/>
        </w:rPr>
        <w:t>декабря 2014</w:t>
      </w:r>
      <w:r w:rsidRPr="00D0599A">
        <w:rPr>
          <w:rFonts w:ascii="Bookman Old Style" w:hAnsi="Bookman Old Style"/>
          <w:sz w:val="20"/>
          <w:szCs w:val="20"/>
        </w:rPr>
        <w:t xml:space="preserve"> года), регистрационный номер 0084</w:t>
      </w:r>
      <w:r>
        <w:rPr>
          <w:rFonts w:ascii="Bookman Old Style" w:hAnsi="Bookman Old Style"/>
          <w:sz w:val="20"/>
          <w:szCs w:val="20"/>
        </w:rPr>
        <w:t xml:space="preserve">8 – Некоммерческое партнерство </w:t>
      </w:r>
      <w:r w:rsidRPr="00D0599A">
        <w:rPr>
          <w:rFonts w:ascii="Bookman Old Style" w:hAnsi="Bookman Old Style"/>
          <w:sz w:val="20"/>
          <w:szCs w:val="20"/>
        </w:rPr>
        <w:t>Саморегулируемая организация «Национальная коллегия специалистов-оценщиков» (запись в реестр ФРС № 0006 от «19» декабря 2007 г.), имеющей место нахождения: 119017, г. Москва, Малая Ордынка, дом 13, строение 3;</w:t>
      </w:r>
    </w:p>
    <w:p w:rsidR="00C12562" w:rsidRPr="00D0599A" w:rsidRDefault="00C12562" w:rsidP="009948B1">
      <w:pPr>
        <w:pStyle w:val="aff2"/>
        <w:spacing w:before="120" w:after="120"/>
        <w:contextualSpacing w:val="0"/>
        <w:jc w:val="both"/>
        <w:rPr>
          <w:rFonts w:ascii="Bookman Old Style" w:hAnsi="Bookman Old Style"/>
          <w:sz w:val="20"/>
          <w:szCs w:val="20"/>
        </w:rPr>
      </w:pPr>
      <w:r w:rsidRPr="00D0599A">
        <w:rPr>
          <w:rFonts w:ascii="Bookman Old Style" w:hAnsi="Bookman Old Style"/>
          <w:sz w:val="20"/>
          <w:szCs w:val="20"/>
        </w:rPr>
        <w:t>Сведения о страховании:</w:t>
      </w:r>
    </w:p>
    <w:p w:rsidR="00C12562" w:rsidRPr="00C12562" w:rsidRDefault="00C12562" w:rsidP="00303E37">
      <w:pPr>
        <w:pStyle w:val="aff2"/>
        <w:numPr>
          <w:ilvl w:val="0"/>
          <w:numId w:val="16"/>
        </w:numPr>
        <w:spacing w:before="120" w:after="120"/>
        <w:contextualSpacing w:val="0"/>
        <w:jc w:val="both"/>
        <w:rPr>
          <w:rFonts w:ascii="Bookman Old Style" w:hAnsi="Bookman Old Style"/>
          <w:sz w:val="20"/>
          <w:szCs w:val="20"/>
        </w:rPr>
      </w:pPr>
      <w:r w:rsidRPr="00C12562">
        <w:rPr>
          <w:rFonts w:ascii="Bookman Old Style" w:hAnsi="Bookman Old Style"/>
          <w:sz w:val="20"/>
          <w:szCs w:val="20"/>
        </w:rPr>
        <w:t>Полис № 881911107 от 15 января 2016 года в ОСАО «РЕСО-Гарантия», срок действия с «25» января 2015 года по «24» января 2017 года, страховая сумма 10 000 000 (десять миллионов) рублей.</w:t>
      </w:r>
      <w:bookmarkEnd w:id="100"/>
      <w:bookmarkEnd w:id="101"/>
      <w:bookmarkEnd w:id="102"/>
      <w:bookmarkEnd w:id="103"/>
      <w:bookmarkEnd w:id="104"/>
      <w:bookmarkEnd w:id="105"/>
    </w:p>
    <w:p w:rsidR="00C12562" w:rsidRPr="00927057" w:rsidRDefault="00C12562" w:rsidP="009948B1">
      <w:pPr>
        <w:spacing w:before="120" w:after="120"/>
        <w:ind w:firstLine="709"/>
        <w:rPr>
          <w:rFonts w:ascii="Bookman Old Style" w:hAnsi="Bookman Old Style"/>
          <w:sz w:val="20"/>
          <w:szCs w:val="20"/>
        </w:rPr>
      </w:pPr>
      <w:bookmarkStart w:id="112" w:name="_Toc304994725"/>
      <w:bookmarkStart w:id="113" w:name="_Toc307216805"/>
      <w:bookmarkStart w:id="114" w:name="_Toc307484743"/>
      <w:bookmarkStart w:id="115" w:name="_Toc309744717"/>
      <w:bookmarkStart w:id="116" w:name="_Toc309820413"/>
      <w:bookmarkStart w:id="117" w:name="_Toc311124873"/>
      <w:r w:rsidRPr="00927057">
        <w:rPr>
          <w:rFonts w:ascii="Bookman Old Style" w:hAnsi="Bookman Old Style"/>
          <w:sz w:val="20"/>
          <w:szCs w:val="20"/>
        </w:rPr>
        <w:t>Сведения об образовании:</w:t>
      </w:r>
      <w:bookmarkEnd w:id="112"/>
      <w:bookmarkEnd w:id="113"/>
      <w:bookmarkEnd w:id="114"/>
      <w:bookmarkEnd w:id="115"/>
      <w:bookmarkEnd w:id="116"/>
      <w:bookmarkEnd w:id="117"/>
      <w:r w:rsidRPr="00927057">
        <w:rPr>
          <w:rFonts w:ascii="Bookman Old Style" w:hAnsi="Bookman Old Style"/>
          <w:sz w:val="20"/>
          <w:szCs w:val="20"/>
        </w:rPr>
        <w:t xml:space="preserve"> </w:t>
      </w:r>
    </w:p>
    <w:p w:rsidR="00C12562" w:rsidRDefault="00C12562" w:rsidP="00303E37">
      <w:pPr>
        <w:pStyle w:val="aff2"/>
        <w:numPr>
          <w:ilvl w:val="0"/>
          <w:numId w:val="16"/>
        </w:numPr>
        <w:spacing w:before="120" w:after="120"/>
        <w:contextualSpacing w:val="0"/>
        <w:rPr>
          <w:rFonts w:ascii="Bookman Old Style" w:hAnsi="Bookman Old Style"/>
          <w:sz w:val="20"/>
          <w:szCs w:val="20"/>
        </w:rPr>
      </w:pPr>
      <w:bookmarkStart w:id="118" w:name="_Toc304994726"/>
      <w:bookmarkStart w:id="119" w:name="_Toc307216806"/>
      <w:bookmarkStart w:id="120" w:name="_Toc307484744"/>
      <w:bookmarkStart w:id="121" w:name="_Toc309744718"/>
      <w:bookmarkStart w:id="122" w:name="_Toc309820414"/>
      <w:bookmarkStart w:id="123" w:name="_Toc311124874"/>
      <w:r w:rsidRPr="00EE5051">
        <w:rPr>
          <w:rFonts w:ascii="Bookman Old Style" w:hAnsi="Bookman Old Style"/>
          <w:sz w:val="20"/>
          <w:szCs w:val="20"/>
        </w:rPr>
        <w:t>Диплом о профессиональной переподготовке, серия ПП № 147828, выдан 31.05.2011 года ФГАУ ВПО «СФУ»;</w:t>
      </w:r>
      <w:bookmarkEnd w:id="118"/>
      <w:bookmarkEnd w:id="119"/>
      <w:bookmarkEnd w:id="120"/>
      <w:bookmarkEnd w:id="121"/>
      <w:bookmarkEnd w:id="122"/>
      <w:bookmarkEnd w:id="123"/>
    </w:p>
    <w:p w:rsidR="00C12562" w:rsidRPr="00927057" w:rsidRDefault="00C12562" w:rsidP="009948B1">
      <w:pPr>
        <w:spacing w:before="120" w:after="120"/>
        <w:ind w:firstLine="709"/>
        <w:rPr>
          <w:rFonts w:ascii="Bookman Old Style" w:hAnsi="Bookman Old Style"/>
          <w:sz w:val="20"/>
          <w:szCs w:val="20"/>
        </w:rPr>
      </w:pPr>
      <w:bookmarkStart w:id="124" w:name="_Toc304994727"/>
      <w:bookmarkStart w:id="125" w:name="_Toc307216807"/>
      <w:bookmarkStart w:id="126" w:name="_Toc307484745"/>
      <w:bookmarkStart w:id="127" w:name="_Toc309744719"/>
      <w:bookmarkStart w:id="128" w:name="_Toc309820415"/>
      <w:bookmarkStart w:id="129" w:name="_Toc311124875"/>
      <w:r w:rsidRPr="00927057">
        <w:rPr>
          <w:rFonts w:ascii="Bookman Old Style" w:hAnsi="Bookman Old Style"/>
          <w:sz w:val="20"/>
          <w:szCs w:val="20"/>
        </w:rPr>
        <w:t>Стаж работы:</w:t>
      </w:r>
      <w:bookmarkEnd w:id="124"/>
      <w:bookmarkEnd w:id="125"/>
      <w:bookmarkEnd w:id="126"/>
      <w:bookmarkEnd w:id="127"/>
      <w:bookmarkEnd w:id="128"/>
      <w:bookmarkEnd w:id="129"/>
      <w:r w:rsidRPr="00927057">
        <w:rPr>
          <w:rFonts w:ascii="Bookman Old Style" w:hAnsi="Bookman Old Style"/>
          <w:sz w:val="20"/>
          <w:szCs w:val="20"/>
        </w:rPr>
        <w:t xml:space="preserve"> </w:t>
      </w:r>
    </w:p>
    <w:p w:rsidR="008B6BBE" w:rsidRPr="00EE5051" w:rsidRDefault="00C12562" w:rsidP="00303E37">
      <w:pPr>
        <w:pStyle w:val="aff2"/>
        <w:numPr>
          <w:ilvl w:val="0"/>
          <w:numId w:val="16"/>
        </w:numPr>
        <w:spacing w:before="120" w:after="120"/>
        <w:contextualSpacing w:val="0"/>
        <w:rPr>
          <w:rFonts w:ascii="Bookman Old Style" w:hAnsi="Bookman Old Style"/>
          <w:sz w:val="20"/>
          <w:szCs w:val="20"/>
        </w:rPr>
      </w:pPr>
      <w:r>
        <w:rPr>
          <w:rFonts w:ascii="Bookman Old Style" w:hAnsi="Bookman Old Style"/>
          <w:sz w:val="20"/>
          <w:szCs w:val="20"/>
        </w:rPr>
        <w:t>12</w:t>
      </w:r>
      <w:r w:rsidRPr="00EE5051">
        <w:rPr>
          <w:rFonts w:ascii="Bookman Old Style" w:hAnsi="Bookman Old Style"/>
          <w:sz w:val="20"/>
          <w:szCs w:val="20"/>
        </w:rPr>
        <w:t xml:space="preserve"> </w:t>
      </w:r>
      <w:r>
        <w:rPr>
          <w:rFonts w:ascii="Bookman Old Style" w:hAnsi="Bookman Old Style"/>
          <w:sz w:val="20"/>
          <w:szCs w:val="20"/>
        </w:rPr>
        <w:t>лет</w:t>
      </w:r>
      <w:r w:rsidR="008B6BBE" w:rsidRPr="00EE5051">
        <w:rPr>
          <w:rFonts w:ascii="Bookman Old Style" w:hAnsi="Bookman Old Style"/>
          <w:sz w:val="20"/>
          <w:szCs w:val="20"/>
        </w:rPr>
        <w:t>.</w:t>
      </w:r>
      <w:bookmarkEnd w:id="106"/>
      <w:bookmarkEnd w:id="107"/>
      <w:bookmarkEnd w:id="108"/>
      <w:bookmarkEnd w:id="109"/>
      <w:bookmarkEnd w:id="110"/>
      <w:bookmarkEnd w:id="111"/>
    </w:p>
    <w:p w:rsidR="00FB24F6" w:rsidRPr="00CB3B2A" w:rsidRDefault="00FB24F6" w:rsidP="009948B1">
      <w:pPr>
        <w:spacing w:before="120" w:after="120"/>
        <w:ind w:left="709"/>
        <w:jc w:val="both"/>
        <w:rPr>
          <w:rFonts w:ascii="Bookman Old Style" w:hAnsi="Bookman Old Style"/>
          <w:sz w:val="20"/>
          <w:szCs w:val="20"/>
        </w:rPr>
      </w:pPr>
      <w:r w:rsidRPr="00CB3B2A">
        <w:rPr>
          <w:rFonts w:ascii="Bookman Old Style" w:hAnsi="Bookman Old Style"/>
          <w:sz w:val="20"/>
          <w:szCs w:val="20"/>
        </w:rPr>
        <w:t>Степень участия в проведении оценки:</w:t>
      </w:r>
    </w:p>
    <w:p w:rsidR="00FB24F6" w:rsidRPr="008B6BBE" w:rsidRDefault="009240E6" w:rsidP="00AB1FB9">
      <w:pPr>
        <w:pStyle w:val="aff2"/>
        <w:numPr>
          <w:ilvl w:val="0"/>
          <w:numId w:val="5"/>
        </w:numPr>
        <w:spacing w:before="120" w:after="120"/>
        <w:contextualSpacing w:val="0"/>
        <w:jc w:val="both"/>
        <w:rPr>
          <w:rFonts w:ascii="Bookman Old Style" w:hAnsi="Bookman Old Style"/>
          <w:sz w:val="20"/>
          <w:szCs w:val="20"/>
        </w:rPr>
      </w:pPr>
      <w:r>
        <w:rPr>
          <w:rFonts w:ascii="Bookman Old Style" w:hAnsi="Bookman Old Style"/>
          <w:sz w:val="20"/>
          <w:szCs w:val="20"/>
        </w:rPr>
        <w:t xml:space="preserve">Осмотр элементов Объекта оценки. </w:t>
      </w:r>
      <w:r w:rsidR="001A49DD">
        <w:rPr>
          <w:rFonts w:ascii="Bookman Old Style" w:hAnsi="Bookman Old Style"/>
          <w:sz w:val="20"/>
          <w:szCs w:val="20"/>
        </w:rPr>
        <w:t>А</w:t>
      </w:r>
      <w:r w:rsidR="00FB24F6" w:rsidRPr="008B6BBE">
        <w:rPr>
          <w:rFonts w:ascii="Bookman Old Style" w:hAnsi="Bookman Old Style"/>
          <w:sz w:val="20"/>
          <w:szCs w:val="20"/>
        </w:rPr>
        <w:t>нализ и обработка информации полученной в ходе проведения оценочной работы,</w:t>
      </w:r>
      <w:r w:rsidR="00130E77" w:rsidRPr="00130E77">
        <w:rPr>
          <w:rFonts w:ascii="Bookman Old Style" w:hAnsi="Bookman Old Style"/>
          <w:sz w:val="20"/>
          <w:szCs w:val="20"/>
        </w:rPr>
        <w:t xml:space="preserve"> </w:t>
      </w:r>
      <w:r w:rsidR="00130E77">
        <w:rPr>
          <w:rFonts w:ascii="Bookman Old Style" w:hAnsi="Bookman Old Style"/>
          <w:sz w:val="20"/>
          <w:szCs w:val="20"/>
        </w:rPr>
        <w:t>п</w:t>
      </w:r>
      <w:r w:rsidR="00130E77" w:rsidRPr="00130E77">
        <w:rPr>
          <w:rFonts w:ascii="Bookman Old Style" w:hAnsi="Bookman Old Style"/>
          <w:sz w:val="20"/>
          <w:szCs w:val="20"/>
        </w:rPr>
        <w:t>рименение подходов к оценке, включая выбор методов оценки и осуществление необходимых расчетов</w:t>
      </w:r>
      <w:r w:rsidR="00FB24F6" w:rsidRPr="008B6BBE">
        <w:rPr>
          <w:rFonts w:ascii="Bookman Old Style" w:hAnsi="Bookman Old Style"/>
          <w:sz w:val="20"/>
          <w:szCs w:val="20"/>
        </w:rPr>
        <w:t xml:space="preserve"> рыночной стоимости в соответствии с заданием на оценку, составление отчета об оценке.</w:t>
      </w:r>
    </w:p>
    <w:p w:rsidR="0020767B" w:rsidRPr="00E547F6" w:rsidRDefault="0020767B" w:rsidP="009948B1">
      <w:pPr>
        <w:pStyle w:val="3"/>
        <w:spacing w:after="120"/>
        <w:rPr>
          <w:rFonts w:ascii="Bookman Old Style" w:hAnsi="Bookman Old Style"/>
          <w:sz w:val="20"/>
          <w:szCs w:val="20"/>
        </w:rPr>
      </w:pPr>
      <w:bookmarkStart w:id="130" w:name="_Toc461206351"/>
      <w:r w:rsidRPr="000F5FD9">
        <w:rPr>
          <w:rFonts w:ascii="Bookman Old Style" w:hAnsi="Bookman Old Style"/>
          <w:sz w:val="20"/>
          <w:szCs w:val="20"/>
        </w:rPr>
        <w:t>1.3.4. Сведения о привлекаемых специалистах</w:t>
      </w:r>
      <w:bookmarkEnd w:id="55"/>
      <w:bookmarkEnd w:id="56"/>
      <w:bookmarkEnd w:id="57"/>
      <w:bookmarkEnd w:id="58"/>
      <w:bookmarkEnd w:id="130"/>
    </w:p>
    <w:p w:rsidR="001873C1" w:rsidRDefault="001873C1" w:rsidP="009948B1">
      <w:pPr>
        <w:spacing w:before="120" w:after="120"/>
        <w:jc w:val="both"/>
        <w:rPr>
          <w:rFonts w:ascii="Bookman Old Style" w:hAnsi="Bookman Old Style"/>
          <w:sz w:val="20"/>
          <w:szCs w:val="20"/>
        </w:rPr>
      </w:pPr>
      <w:r>
        <w:rPr>
          <w:rFonts w:ascii="Bookman Old Style" w:hAnsi="Bookman Old Style"/>
          <w:sz w:val="20"/>
          <w:szCs w:val="20"/>
        </w:rPr>
        <w:tab/>
      </w:r>
      <w:r w:rsidR="00C12562" w:rsidRPr="00C12562">
        <w:rPr>
          <w:rFonts w:ascii="Bookman Old Style" w:hAnsi="Bookman Old Style"/>
          <w:sz w:val="20"/>
          <w:szCs w:val="20"/>
        </w:rPr>
        <w:t>При составлении настоящего отчета, сторонние специалисты и экспертные организации привлечены не были</w:t>
      </w:r>
      <w:r>
        <w:rPr>
          <w:rFonts w:ascii="Bookman Old Style" w:hAnsi="Bookman Old Style"/>
          <w:sz w:val="20"/>
          <w:szCs w:val="20"/>
        </w:rPr>
        <w:t>.</w:t>
      </w:r>
      <w:r w:rsidR="00C12562">
        <w:rPr>
          <w:rFonts w:ascii="Bookman Old Style" w:hAnsi="Bookman Old Style"/>
          <w:sz w:val="20"/>
          <w:szCs w:val="20"/>
        </w:rPr>
        <w:t xml:space="preserve">  </w:t>
      </w:r>
    </w:p>
    <w:p w:rsidR="000A4482" w:rsidRDefault="000A4482" w:rsidP="009948B1">
      <w:pPr>
        <w:spacing w:before="120" w:after="120"/>
        <w:jc w:val="both"/>
        <w:rPr>
          <w:rFonts w:ascii="Bookman Old Style" w:hAnsi="Bookman Old Style"/>
          <w:sz w:val="20"/>
          <w:szCs w:val="20"/>
        </w:rPr>
      </w:pPr>
    </w:p>
    <w:p w:rsidR="006A5323" w:rsidRPr="00D7010B" w:rsidRDefault="006A5323" w:rsidP="009948B1">
      <w:pPr>
        <w:pStyle w:val="2"/>
        <w:spacing w:before="120" w:after="120"/>
        <w:rPr>
          <w:rFonts w:ascii="Bookman Old Style" w:hAnsi="Bookman Old Style"/>
          <w:b/>
          <w:sz w:val="20"/>
          <w:szCs w:val="20"/>
        </w:rPr>
      </w:pPr>
      <w:bookmarkStart w:id="131" w:name="_Toc461206352"/>
      <w:r w:rsidRPr="00D7010B">
        <w:rPr>
          <w:rFonts w:ascii="Bookman Old Style" w:hAnsi="Bookman Old Style"/>
          <w:b/>
          <w:sz w:val="20"/>
          <w:szCs w:val="20"/>
        </w:rPr>
        <w:t xml:space="preserve">1.4. </w:t>
      </w:r>
      <w:bookmarkEnd w:id="59"/>
      <w:r w:rsidRPr="00D7010B">
        <w:rPr>
          <w:rFonts w:ascii="Bookman Old Style" w:hAnsi="Bookman Old Style"/>
          <w:b/>
          <w:sz w:val="20"/>
          <w:szCs w:val="20"/>
        </w:rPr>
        <w:t>ДОПУЩЕНИЯ И ОГРАНИЧИТЕЛЬНЫЕ УСЛОВИЯ</w:t>
      </w:r>
      <w:bookmarkEnd w:id="60"/>
      <w:bookmarkEnd w:id="61"/>
      <w:bookmarkEnd w:id="131"/>
    </w:p>
    <w:p w:rsidR="006A5323" w:rsidRPr="00FB22D3" w:rsidRDefault="006A5323" w:rsidP="009948B1">
      <w:pPr>
        <w:autoSpaceDE w:val="0"/>
        <w:autoSpaceDN w:val="0"/>
        <w:adjustRightInd w:val="0"/>
        <w:spacing w:before="120" w:after="120"/>
        <w:ind w:firstLine="709"/>
        <w:jc w:val="both"/>
        <w:rPr>
          <w:rFonts w:ascii="Bookman Old Style" w:hAnsi="Bookman Old Style"/>
          <w:color w:val="000000"/>
          <w:sz w:val="20"/>
          <w:szCs w:val="20"/>
        </w:rPr>
      </w:pPr>
      <w:r w:rsidRPr="00FB22D3">
        <w:rPr>
          <w:rFonts w:ascii="Bookman Old Style" w:hAnsi="Bookman Old Style"/>
          <w:color w:val="000000"/>
          <w:sz w:val="20"/>
          <w:szCs w:val="20"/>
        </w:rPr>
        <w:t>Выводы и заключения, сделанные Оценщиком в настоящем Отчете</w:t>
      </w:r>
      <w:r w:rsidR="003D346F">
        <w:rPr>
          <w:rFonts w:ascii="Bookman Old Style" w:hAnsi="Bookman Old Style"/>
          <w:color w:val="000000"/>
          <w:sz w:val="20"/>
          <w:szCs w:val="20"/>
        </w:rPr>
        <w:t xml:space="preserve"> об оценке</w:t>
      </w:r>
      <w:r w:rsidRPr="00FB22D3">
        <w:rPr>
          <w:rFonts w:ascii="Bookman Old Style" w:hAnsi="Bookman Old Style"/>
          <w:color w:val="000000"/>
          <w:sz w:val="20"/>
          <w:szCs w:val="20"/>
        </w:rPr>
        <w:t xml:space="preserve"> ограничиваются следующими условиями и положениями:</w:t>
      </w:r>
    </w:p>
    <w:p w:rsidR="009240E6" w:rsidRPr="00FB22D3" w:rsidRDefault="009240E6" w:rsidP="009948B1">
      <w:pPr>
        <w:numPr>
          <w:ilvl w:val="0"/>
          <w:numId w:val="3"/>
        </w:numPr>
        <w:spacing w:before="120" w:after="120"/>
        <w:jc w:val="both"/>
        <w:rPr>
          <w:rFonts w:ascii="Bookman Old Style" w:hAnsi="Bookman Old Style"/>
          <w:sz w:val="20"/>
          <w:szCs w:val="20"/>
        </w:rPr>
      </w:pPr>
      <w:bookmarkStart w:id="132" w:name="_Toc197327042"/>
      <w:bookmarkStart w:id="133" w:name="_Toc200179621"/>
      <w:r w:rsidRPr="00FB22D3">
        <w:rPr>
          <w:rFonts w:ascii="Bookman Old Style" w:hAnsi="Bookman Old Style"/>
          <w:sz w:val="20"/>
          <w:szCs w:val="20"/>
        </w:rPr>
        <w:lastRenderedPageBreak/>
        <w:t>При определении стоимости Объекта оценки определялась расчетная величина цены Объекта оценки, определенная на дату оценки в соответствии с выбранным видом стоимости. Совершение сделки</w:t>
      </w:r>
      <w:r>
        <w:rPr>
          <w:rFonts w:ascii="Bookman Old Style" w:hAnsi="Bookman Old Style"/>
          <w:sz w:val="20"/>
          <w:szCs w:val="20"/>
        </w:rPr>
        <w:t xml:space="preserve"> с О</w:t>
      </w:r>
      <w:r w:rsidRPr="00FB22D3">
        <w:rPr>
          <w:rFonts w:ascii="Bookman Old Style" w:hAnsi="Bookman Old Style"/>
          <w:sz w:val="20"/>
          <w:szCs w:val="20"/>
        </w:rPr>
        <w:t>бъектом оценки не является необходимым условием для установления его стоимости.</w:t>
      </w:r>
    </w:p>
    <w:p w:rsidR="009240E6" w:rsidRPr="00FB22D3" w:rsidRDefault="009240E6" w:rsidP="009948B1">
      <w:pPr>
        <w:numPr>
          <w:ilvl w:val="0"/>
          <w:numId w:val="3"/>
        </w:numPr>
        <w:suppressAutoHyphens/>
        <w:spacing w:before="120" w:after="120"/>
        <w:jc w:val="both"/>
        <w:rPr>
          <w:rFonts w:ascii="Bookman Old Style" w:hAnsi="Bookman Old Style"/>
          <w:sz w:val="20"/>
          <w:szCs w:val="20"/>
        </w:rPr>
      </w:pPr>
      <w:r w:rsidRPr="00FB22D3">
        <w:rPr>
          <w:rFonts w:ascii="Bookman Old Style" w:hAnsi="Bookman Old Style"/>
          <w:sz w:val="20"/>
          <w:szCs w:val="20"/>
        </w:rPr>
        <w:t>Оценщик осуществил сбор и анализ информации, нео</w:t>
      </w:r>
      <w:r>
        <w:rPr>
          <w:rFonts w:ascii="Bookman Old Style" w:hAnsi="Bookman Old Style"/>
          <w:sz w:val="20"/>
          <w:szCs w:val="20"/>
        </w:rPr>
        <w:t>бходимой для проведения оценки О</w:t>
      </w:r>
      <w:r w:rsidRPr="00FB22D3">
        <w:rPr>
          <w:rFonts w:ascii="Bookman Old Style" w:hAnsi="Bookman Old Style"/>
          <w:sz w:val="20"/>
          <w:szCs w:val="20"/>
        </w:rPr>
        <w:t>бъекта оценки. Были изучены количественные и качественные характеристики Объекта оценки, собрана информация, существенная для определения стоимости Объекта оценки теми подходами и методами, которые на основании суждения оценщика были применены при проведении оценки.</w:t>
      </w:r>
    </w:p>
    <w:p w:rsidR="009240E6" w:rsidRPr="00FB22D3" w:rsidRDefault="009240E6" w:rsidP="009948B1">
      <w:pPr>
        <w:numPr>
          <w:ilvl w:val="0"/>
          <w:numId w:val="3"/>
        </w:numPr>
        <w:spacing w:before="120" w:after="120"/>
        <w:jc w:val="both"/>
        <w:rPr>
          <w:rFonts w:ascii="Bookman Old Style" w:hAnsi="Bookman Old Style"/>
          <w:sz w:val="20"/>
          <w:szCs w:val="20"/>
        </w:rPr>
      </w:pPr>
      <w:r w:rsidRPr="00FB22D3">
        <w:rPr>
          <w:rFonts w:ascii="Bookman Old Style" w:hAnsi="Bookman Old Style"/>
          <w:sz w:val="20"/>
          <w:szCs w:val="20"/>
        </w:rPr>
        <w:t>Информация, используемая при проведении оценки, удовлетворяет требованиям достаточности и достоверности. Оценщик провел анализ достаточности и достоверности информации, используя доступные ему для этого средства и методы.</w:t>
      </w:r>
    </w:p>
    <w:p w:rsidR="009240E6" w:rsidRPr="00FB22D3" w:rsidRDefault="009240E6" w:rsidP="009948B1">
      <w:pPr>
        <w:numPr>
          <w:ilvl w:val="0"/>
          <w:numId w:val="3"/>
        </w:numPr>
        <w:suppressAutoHyphens/>
        <w:spacing w:before="120" w:after="120"/>
        <w:jc w:val="both"/>
        <w:rPr>
          <w:rFonts w:ascii="Bookman Old Style" w:hAnsi="Bookman Old Style"/>
          <w:sz w:val="20"/>
          <w:szCs w:val="20"/>
        </w:rPr>
      </w:pPr>
      <w:r w:rsidRPr="00FB22D3">
        <w:rPr>
          <w:rFonts w:ascii="Bookman Old Style" w:hAnsi="Bookman Old Style"/>
          <w:color w:val="000000"/>
          <w:sz w:val="20"/>
          <w:szCs w:val="20"/>
        </w:rPr>
        <w:t>При проведении оценки предполагалось разумное владение и компетентное управление Объектом оценки. Оценщик не гарантирует и не несет ответственность за убытки и потери Заказчика, которые явились следствием мошенничества, общей халатности или неправомочных действий третьих лиц в отношении Объекта оценки.</w:t>
      </w:r>
    </w:p>
    <w:p w:rsidR="009240E6" w:rsidRPr="00FB22D3" w:rsidRDefault="009240E6" w:rsidP="009948B1">
      <w:pPr>
        <w:numPr>
          <w:ilvl w:val="0"/>
          <w:numId w:val="3"/>
        </w:numPr>
        <w:suppressAutoHyphens/>
        <w:autoSpaceDE w:val="0"/>
        <w:autoSpaceDN w:val="0"/>
        <w:adjustRightInd w:val="0"/>
        <w:spacing w:before="120" w:after="120"/>
        <w:jc w:val="both"/>
        <w:rPr>
          <w:rFonts w:ascii="Bookman Old Style" w:hAnsi="Bookman Old Style"/>
          <w:color w:val="000000"/>
          <w:sz w:val="20"/>
          <w:szCs w:val="20"/>
        </w:rPr>
      </w:pPr>
      <w:r w:rsidRPr="00FB22D3">
        <w:rPr>
          <w:rFonts w:ascii="Bookman Old Style" w:hAnsi="Bookman Old Style"/>
          <w:color w:val="000000"/>
          <w:sz w:val="20"/>
          <w:szCs w:val="20"/>
        </w:rPr>
        <w:t xml:space="preserve">Отчет об оценке содержит профессиональное мнение Оценщика относительно стоимости Объекта оценки в указанных целях и </w:t>
      </w:r>
      <w:r>
        <w:rPr>
          <w:rFonts w:ascii="Bookman Old Style" w:hAnsi="Bookman Old Style"/>
          <w:color w:val="000000"/>
          <w:sz w:val="20"/>
          <w:szCs w:val="20"/>
        </w:rPr>
        <w:t>по состоянию на указанную дату</w:t>
      </w:r>
      <w:r w:rsidRPr="00FB22D3">
        <w:rPr>
          <w:rFonts w:ascii="Bookman Old Style" w:hAnsi="Bookman Old Style"/>
          <w:color w:val="000000"/>
          <w:sz w:val="20"/>
          <w:szCs w:val="20"/>
        </w:rPr>
        <w:t xml:space="preserve"> оценки. </w:t>
      </w:r>
    </w:p>
    <w:p w:rsidR="009240E6" w:rsidRPr="00FB22D3" w:rsidRDefault="009240E6" w:rsidP="009948B1">
      <w:pPr>
        <w:numPr>
          <w:ilvl w:val="0"/>
          <w:numId w:val="3"/>
        </w:numPr>
        <w:suppressAutoHyphens/>
        <w:autoSpaceDE w:val="0"/>
        <w:autoSpaceDN w:val="0"/>
        <w:adjustRightInd w:val="0"/>
        <w:spacing w:before="120" w:after="120"/>
        <w:jc w:val="both"/>
        <w:rPr>
          <w:rFonts w:ascii="Bookman Old Style" w:hAnsi="Bookman Old Style"/>
          <w:color w:val="000000"/>
          <w:sz w:val="20"/>
          <w:szCs w:val="20"/>
        </w:rPr>
      </w:pPr>
      <w:r w:rsidRPr="00FB22D3">
        <w:rPr>
          <w:rFonts w:ascii="Bookman Old Style" w:hAnsi="Bookman Old Style"/>
          <w:color w:val="000000"/>
          <w:sz w:val="20"/>
          <w:szCs w:val="20"/>
        </w:rPr>
        <w:t>Оценщик не несет ответственности за возможный ущерб в случае несанкционированного использования и распространения настоящего Отчета об оценке (или любой его части).</w:t>
      </w:r>
      <w:r w:rsidRPr="00FB22D3">
        <w:rPr>
          <w:rFonts w:ascii="Bookman Old Style" w:hAnsi="Bookman Old Style"/>
          <w:sz w:val="20"/>
          <w:szCs w:val="20"/>
        </w:rPr>
        <w:t xml:space="preserve"> </w:t>
      </w:r>
    </w:p>
    <w:p w:rsidR="009240E6" w:rsidRPr="005F32B3" w:rsidRDefault="009240E6" w:rsidP="009948B1">
      <w:pPr>
        <w:numPr>
          <w:ilvl w:val="0"/>
          <w:numId w:val="3"/>
        </w:numPr>
        <w:suppressAutoHyphens/>
        <w:autoSpaceDE w:val="0"/>
        <w:autoSpaceDN w:val="0"/>
        <w:adjustRightInd w:val="0"/>
        <w:spacing w:before="120" w:after="120"/>
        <w:jc w:val="both"/>
        <w:rPr>
          <w:rFonts w:ascii="Bookman Old Style" w:hAnsi="Bookman Old Style"/>
          <w:color w:val="000000"/>
          <w:sz w:val="20"/>
          <w:szCs w:val="20"/>
        </w:rPr>
      </w:pPr>
      <w:r w:rsidRPr="00FB22D3">
        <w:rPr>
          <w:rFonts w:ascii="Bookman Old Style" w:hAnsi="Bookman Old Style"/>
          <w:sz w:val="20"/>
          <w:szCs w:val="20"/>
        </w:rPr>
        <w:t>Результаты оценки стоимости Объекта оценки основываются на информации, существовавшей на Дату оценки, и могут быть признаны рекомендуемыми для целей совершения сделки с объектом оценки в течение 6 месяцев от даты составления отчета об оценке стоимости или даты предоставления публичной оферты.</w:t>
      </w:r>
    </w:p>
    <w:p w:rsidR="009240E6" w:rsidRDefault="009240E6" w:rsidP="009948B1">
      <w:pPr>
        <w:numPr>
          <w:ilvl w:val="0"/>
          <w:numId w:val="3"/>
        </w:numPr>
        <w:suppressAutoHyphens/>
        <w:autoSpaceDE w:val="0"/>
        <w:autoSpaceDN w:val="0"/>
        <w:adjustRightInd w:val="0"/>
        <w:spacing w:before="120" w:after="120"/>
        <w:jc w:val="both"/>
        <w:rPr>
          <w:rFonts w:ascii="Bookman Old Style" w:hAnsi="Bookman Old Style"/>
          <w:color w:val="000000"/>
          <w:sz w:val="20"/>
          <w:szCs w:val="20"/>
        </w:rPr>
      </w:pPr>
      <w:r w:rsidRPr="00FB22D3">
        <w:rPr>
          <w:rFonts w:ascii="Bookman Old Style" w:hAnsi="Bookman Old Style"/>
          <w:sz w:val="20"/>
          <w:szCs w:val="20"/>
        </w:rPr>
        <w:t>Оценщик не принимает на себя ответственность за последующие изменения социальных, экономических, юридических и природных условий, которые могут повлиять на стоимость Объекта оценки.</w:t>
      </w:r>
    </w:p>
    <w:p w:rsidR="009240E6" w:rsidRPr="00CB3B2A" w:rsidRDefault="009240E6" w:rsidP="009948B1">
      <w:pPr>
        <w:numPr>
          <w:ilvl w:val="0"/>
          <w:numId w:val="3"/>
        </w:numPr>
        <w:suppressAutoHyphens/>
        <w:autoSpaceDE w:val="0"/>
        <w:autoSpaceDN w:val="0"/>
        <w:adjustRightInd w:val="0"/>
        <w:spacing w:before="120" w:after="120"/>
        <w:jc w:val="both"/>
        <w:rPr>
          <w:rFonts w:ascii="Bookman Old Style" w:hAnsi="Bookman Old Style"/>
          <w:color w:val="000000"/>
          <w:sz w:val="20"/>
          <w:szCs w:val="20"/>
        </w:rPr>
      </w:pPr>
      <w:r w:rsidRPr="00CB3B2A">
        <w:rPr>
          <w:rFonts w:ascii="Bookman Old Style" w:hAnsi="Bookman Old Style"/>
          <w:color w:val="000000"/>
          <w:sz w:val="20"/>
          <w:szCs w:val="20"/>
        </w:rPr>
        <w:t>Запрещается публикация отчета целиком или по частям или публикация ссылок на отчет, данных, содержащихся в отчете, имени и профессиональной принадлежности оценщика без его письменного согласия.</w:t>
      </w:r>
    </w:p>
    <w:p w:rsidR="006A5323" w:rsidRPr="00833849" w:rsidRDefault="006A5323" w:rsidP="009948B1">
      <w:pPr>
        <w:pStyle w:val="2"/>
        <w:spacing w:before="120" w:after="120"/>
        <w:rPr>
          <w:rFonts w:ascii="Bookman Old Style" w:hAnsi="Bookman Old Style"/>
          <w:b/>
          <w:sz w:val="20"/>
          <w:szCs w:val="20"/>
        </w:rPr>
      </w:pPr>
      <w:bookmarkStart w:id="134" w:name="_Toc461206353"/>
      <w:r w:rsidRPr="00833849">
        <w:rPr>
          <w:rFonts w:ascii="Bookman Old Style" w:hAnsi="Bookman Old Style"/>
          <w:b/>
          <w:sz w:val="20"/>
          <w:szCs w:val="20"/>
        </w:rPr>
        <w:t>1.5. ПРИМЕНЯЕМЫЕ СТАНДАРТЫ ОЦЕНОЧНОЙ ДЕЯТЕЛЬНОСТИ</w:t>
      </w:r>
      <w:bookmarkEnd w:id="132"/>
      <w:bookmarkEnd w:id="133"/>
      <w:bookmarkEnd w:id="134"/>
    </w:p>
    <w:p w:rsidR="00AB1AEC" w:rsidRDefault="00130E77" w:rsidP="009948B1">
      <w:pPr>
        <w:autoSpaceDE w:val="0"/>
        <w:autoSpaceDN w:val="0"/>
        <w:adjustRightInd w:val="0"/>
        <w:spacing w:before="120" w:after="120"/>
        <w:ind w:firstLine="708"/>
        <w:jc w:val="both"/>
        <w:rPr>
          <w:rFonts w:ascii="Bookman Old Style" w:hAnsi="Bookman Old Style"/>
          <w:sz w:val="20"/>
          <w:szCs w:val="20"/>
        </w:rPr>
      </w:pPr>
      <w:bookmarkStart w:id="135" w:name="_Toc200193961"/>
      <w:r>
        <w:rPr>
          <w:rFonts w:ascii="Bookman Old Style" w:hAnsi="Bookman Old Style"/>
          <w:sz w:val="20"/>
          <w:szCs w:val="20"/>
        </w:rPr>
        <w:t>При проведении оценки о</w:t>
      </w:r>
      <w:r w:rsidR="00AB1AEC">
        <w:rPr>
          <w:rFonts w:ascii="Bookman Old Style" w:hAnsi="Bookman Old Style"/>
          <w:sz w:val="20"/>
          <w:szCs w:val="20"/>
        </w:rPr>
        <w:t>ценщик руководствовался законодательством регулирующим оценочную деятельность на территории РФ.</w:t>
      </w:r>
    </w:p>
    <w:p w:rsidR="00AB1AEC" w:rsidRDefault="00AB1AEC" w:rsidP="009948B1">
      <w:pPr>
        <w:autoSpaceDE w:val="0"/>
        <w:autoSpaceDN w:val="0"/>
        <w:adjustRightInd w:val="0"/>
        <w:spacing w:before="120" w:after="120"/>
        <w:ind w:firstLine="708"/>
        <w:rPr>
          <w:rFonts w:ascii="Bookman Old Style" w:hAnsi="Bookman Old Style"/>
          <w:sz w:val="20"/>
          <w:szCs w:val="20"/>
        </w:rPr>
      </w:pPr>
      <w:r>
        <w:rPr>
          <w:rFonts w:ascii="Bookman Old Style" w:hAnsi="Bookman Old Style"/>
          <w:sz w:val="20"/>
          <w:szCs w:val="20"/>
        </w:rPr>
        <w:t>Закон РФ регулирующий оценочную деятельность:</w:t>
      </w:r>
    </w:p>
    <w:p w:rsidR="00AB1AEC" w:rsidRPr="00AB1AEC" w:rsidRDefault="003369D4" w:rsidP="00303E37">
      <w:pPr>
        <w:pStyle w:val="aff2"/>
        <w:numPr>
          <w:ilvl w:val="0"/>
          <w:numId w:val="15"/>
        </w:numPr>
        <w:autoSpaceDE w:val="0"/>
        <w:autoSpaceDN w:val="0"/>
        <w:adjustRightInd w:val="0"/>
        <w:spacing w:before="120" w:after="120"/>
        <w:contextualSpacing w:val="0"/>
        <w:rPr>
          <w:rFonts w:ascii="Bookman Old Style" w:hAnsi="Bookman Old Style"/>
          <w:sz w:val="20"/>
          <w:szCs w:val="20"/>
        </w:rPr>
      </w:pPr>
      <w:r w:rsidRPr="003369D4">
        <w:rPr>
          <w:rFonts w:ascii="Bookman Old Style" w:hAnsi="Bookman Old Style"/>
          <w:sz w:val="20"/>
          <w:szCs w:val="20"/>
        </w:rPr>
        <w:t>Федеральный закон № 135-ФЗ «Об оценочной деятельности в Российской Федерации» от 29 июля 1998 года</w:t>
      </w:r>
      <w:r w:rsidR="00AB1AEC" w:rsidRPr="00AB1AEC">
        <w:rPr>
          <w:rFonts w:ascii="Bookman Old Style" w:hAnsi="Bookman Old Style"/>
          <w:sz w:val="20"/>
          <w:szCs w:val="20"/>
        </w:rPr>
        <w:t>.</w:t>
      </w:r>
    </w:p>
    <w:p w:rsidR="00B7637D" w:rsidRPr="009507FD" w:rsidRDefault="00B7637D" w:rsidP="009948B1">
      <w:pPr>
        <w:autoSpaceDE w:val="0"/>
        <w:autoSpaceDN w:val="0"/>
        <w:adjustRightInd w:val="0"/>
        <w:spacing w:before="120" w:after="120"/>
        <w:ind w:firstLine="708"/>
        <w:rPr>
          <w:rFonts w:ascii="Bookman Old Style" w:hAnsi="Bookman Old Style"/>
          <w:sz w:val="20"/>
          <w:szCs w:val="20"/>
        </w:rPr>
      </w:pPr>
      <w:r w:rsidRPr="009507FD">
        <w:rPr>
          <w:rFonts w:ascii="Bookman Old Style" w:hAnsi="Bookman Old Style"/>
          <w:sz w:val="20"/>
          <w:szCs w:val="20"/>
        </w:rPr>
        <w:t>Стандарты оценки, обязательные к применению субъектами оценочной деятельности:</w:t>
      </w:r>
    </w:p>
    <w:p w:rsidR="00C834FF" w:rsidRPr="00D84B49" w:rsidRDefault="00C834FF" w:rsidP="009948B1">
      <w:pPr>
        <w:autoSpaceDE w:val="0"/>
        <w:autoSpaceDN w:val="0"/>
        <w:adjustRightInd w:val="0"/>
        <w:spacing w:before="120" w:after="120"/>
        <w:ind w:firstLine="708"/>
        <w:jc w:val="both"/>
        <w:rPr>
          <w:rFonts w:ascii="Bookman Old Style" w:hAnsi="Bookman Old Style"/>
          <w:sz w:val="20"/>
          <w:szCs w:val="20"/>
        </w:rPr>
      </w:pPr>
      <w:r w:rsidRPr="00F8544E">
        <w:rPr>
          <w:rFonts w:ascii="Bookman Old Style" w:hAnsi="Bookman Old Style"/>
          <w:sz w:val="20"/>
          <w:szCs w:val="20"/>
        </w:rPr>
        <w:t>Закон РФ регулирующий оценочную деятельность:</w:t>
      </w:r>
    </w:p>
    <w:p w:rsidR="003369D4" w:rsidRPr="003F2915" w:rsidRDefault="003369D4" w:rsidP="00303E37">
      <w:pPr>
        <w:pStyle w:val="a"/>
        <w:numPr>
          <w:ilvl w:val="0"/>
          <w:numId w:val="17"/>
        </w:numPr>
      </w:pPr>
      <w:r w:rsidRPr="003F2915">
        <w:t>Федеральный стандарт оценки № 1, утвержден приказом Минэкономразвития Р</w:t>
      </w:r>
      <w:r>
        <w:t>Ф</w:t>
      </w:r>
      <w:r w:rsidRPr="003F2915">
        <w:t xml:space="preserve"> от </w:t>
      </w:r>
      <w:r w:rsidR="006741C4" w:rsidRPr="006741C4">
        <w:t xml:space="preserve">20 мая 2015  </w:t>
      </w:r>
      <w:r w:rsidR="006741C4">
        <w:t xml:space="preserve"> года № 297</w:t>
      </w:r>
      <w:r w:rsidRPr="003F2915">
        <w:t>;</w:t>
      </w:r>
    </w:p>
    <w:p w:rsidR="003369D4" w:rsidRPr="003F2915" w:rsidRDefault="003369D4" w:rsidP="00303E37">
      <w:pPr>
        <w:pStyle w:val="a"/>
        <w:numPr>
          <w:ilvl w:val="0"/>
          <w:numId w:val="17"/>
        </w:numPr>
      </w:pPr>
      <w:r w:rsidRPr="003F2915">
        <w:t>Федеральный стандарт оценки № 2, утвержден приказом Минэкономразвития Р</w:t>
      </w:r>
      <w:r>
        <w:t>Ф</w:t>
      </w:r>
      <w:r w:rsidRPr="003F2915">
        <w:t xml:space="preserve"> от </w:t>
      </w:r>
      <w:r w:rsidR="006741C4" w:rsidRPr="006741C4">
        <w:t xml:space="preserve">20 мая 2015 </w:t>
      </w:r>
      <w:r w:rsidRPr="003F2915">
        <w:t xml:space="preserve"> года № 2</w:t>
      </w:r>
      <w:r w:rsidR="006741C4">
        <w:t>98</w:t>
      </w:r>
      <w:r w:rsidRPr="003F2915">
        <w:t>;</w:t>
      </w:r>
    </w:p>
    <w:p w:rsidR="003369D4" w:rsidRDefault="003369D4" w:rsidP="00303E37">
      <w:pPr>
        <w:pStyle w:val="a"/>
        <w:numPr>
          <w:ilvl w:val="0"/>
          <w:numId w:val="17"/>
        </w:numPr>
      </w:pPr>
      <w:r w:rsidRPr="003F2915">
        <w:t>Федеральный стандарт оценки № 3, утвержден приказом Минэкономразвития Р</w:t>
      </w:r>
      <w:r>
        <w:t>Ф</w:t>
      </w:r>
      <w:r w:rsidRPr="003F2915">
        <w:t xml:space="preserve"> от </w:t>
      </w:r>
      <w:r w:rsidR="006741C4" w:rsidRPr="006741C4">
        <w:t xml:space="preserve">20 мая 2015 </w:t>
      </w:r>
      <w:r w:rsidRPr="004C4A09">
        <w:t xml:space="preserve"> года № 2</w:t>
      </w:r>
      <w:r w:rsidR="006741C4">
        <w:t>99</w:t>
      </w:r>
      <w:r w:rsidRPr="004C4A09">
        <w:t>;</w:t>
      </w:r>
    </w:p>
    <w:p w:rsidR="006568BA" w:rsidRDefault="006568BA" w:rsidP="006568BA">
      <w:pPr>
        <w:pStyle w:val="a"/>
        <w:numPr>
          <w:ilvl w:val="0"/>
          <w:numId w:val="17"/>
        </w:numPr>
      </w:pPr>
      <w:r w:rsidRPr="006568BA">
        <w:t>Федеральный стандарт оценки № 3, утвержден приказом Минэкономразвития РФ от 2</w:t>
      </w:r>
      <w:r>
        <w:t>5</w:t>
      </w:r>
      <w:r w:rsidRPr="006568BA">
        <w:t xml:space="preserve"> </w:t>
      </w:r>
      <w:r>
        <w:t>сентября</w:t>
      </w:r>
      <w:r w:rsidRPr="006568BA">
        <w:t xml:space="preserve"> 201</w:t>
      </w:r>
      <w:r>
        <w:t>4</w:t>
      </w:r>
      <w:r w:rsidRPr="006568BA">
        <w:t xml:space="preserve">  года № </w:t>
      </w:r>
      <w:r>
        <w:t>611</w:t>
      </w:r>
    </w:p>
    <w:p w:rsidR="000A4482" w:rsidRDefault="000A4482" w:rsidP="00303E37">
      <w:pPr>
        <w:pStyle w:val="a"/>
        <w:numPr>
          <w:ilvl w:val="0"/>
          <w:numId w:val="17"/>
        </w:numPr>
      </w:pPr>
      <w:r w:rsidRPr="000A4482">
        <w:t xml:space="preserve">Федеральный стандарт оценки </w:t>
      </w:r>
      <w:r>
        <w:t>№ 10</w:t>
      </w:r>
      <w:r w:rsidRPr="000A4482">
        <w:t xml:space="preserve"> утвержден приказом Минэкономразвития РФ от </w:t>
      </w:r>
      <w:r>
        <w:t xml:space="preserve">01 июня 2015 </w:t>
      </w:r>
      <w:r w:rsidRPr="000A4482">
        <w:t>№ 328</w:t>
      </w:r>
      <w:r w:rsidR="003369D4">
        <w:t>.</w:t>
      </w:r>
      <w:r w:rsidR="006741C4">
        <w:t xml:space="preserve"> </w:t>
      </w:r>
    </w:p>
    <w:p w:rsidR="00C12562" w:rsidRPr="000A4482" w:rsidRDefault="00C12562" w:rsidP="00303E37">
      <w:pPr>
        <w:pStyle w:val="a"/>
        <w:numPr>
          <w:ilvl w:val="0"/>
          <w:numId w:val="17"/>
        </w:numPr>
      </w:pPr>
      <w:r w:rsidRPr="000A4482">
        <w:t>Стандарты и правила оценочной деятельности, установленные НП СРО «НКСО»:</w:t>
      </w:r>
    </w:p>
    <w:p w:rsidR="00C12562" w:rsidRPr="009E14D4" w:rsidRDefault="00C12562" w:rsidP="00303E37">
      <w:pPr>
        <w:numPr>
          <w:ilvl w:val="0"/>
          <w:numId w:val="39"/>
        </w:numPr>
        <w:tabs>
          <w:tab w:val="num" w:pos="426"/>
        </w:tabs>
        <w:autoSpaceDE w:val="0"/>
        <w:autoSpaceDN w:val="0"/>
        <w:adjustRightInd w:val="0"/>
        <w:spacing w:before="120" w:after="120"/>
        <w:ind w:left="709"/>
        <w:jc w:val="both"/>
        <w:rPr>
          <w:rFonts w:ascii="Bookman Old Style" w:hAnsi="Bookman Old Style"/>
          <w:sz w:val="20"/>
          <w:szCs w:val="20"/>
        </w:rPr>
      </w:pPr>
      <w:r w:rsidRPr="009E14D4">
        <w:rPr>
          <w:rFonts w:ascii="Bookman Old Style" w:hAnsi="Bookman Old Style"/>
          <w:bCs/>
          <w:sz w:val="20"/>
          <w:szCs w:val="20"/>
        </w:rPr>
        <w:lastRenderedPageBreak/>
        <w:t>«Основополагающий (базовый) стандарт», СТО СДС СРО НКСО 1.1-2007, утвержден Советом (Правлением) Некоммерческого партнерства «Саморегулируемая организация «Национальная коллегия специалистов-оценщиков», Протокол № 4 от «17» сентября 2007 г.;</w:t>
      </w:r>
    </w:p>
    <w:p w:rsidR="00C12562" w:rsidRPr="009E14D4" w:rsidRDefault="00C12562" w:rsidP="00303E37">
      <w:pPr>
        <w:numPr>
          <w:ilvl w:val="0"/>
          <w:numId w:val="39"/>
        </w:numPr>
        <w:tabs>
          <w:tab w:val="num" w:pos="426"/>
        </w:tabs>
        <w:autoSpaceDE w:val="0"/>
        <w:autoSpaceDN w:val="0"/>
        <w:adjustRightInd w:val="0"/>
        <w:spacing w:before="120" w:after="120"/>
        <w:ind w:left="709"/>
        <w:jc w:val="both"/>
        <w:rPr>
          <w:rFonts w:ascii="Bookman Old Style" w:hAnsi="Bookman Old Style"/>
          <w:sz w:val="20"/>
          <w:szCs w:val="20"/>
        </w:rPr>
      </w:pPr>
      <w:r w:rsidRPr="009E14D4">
        <w:rPr>
          <w:rFonts w:ascii="Bookman Old Style" w:hAnsi="Bookman Old Style"/>
          <w:bCs/>
          <w:sz w:val="20"/>
          <w:szCs w:val="20"/>
        </w:rPr>
        <w:t xml:space="preserve">«Общие понятия оценки, подходы и требования к проведению оценки», СТО </w:t>
      </w:r>
      <w:r w:rsidRPr="009E14D4">
        <w:rPr>
          <w:rFonts w:ascii="Bookman Old Style" w:hAnsi="Bookman Old Style"/>
          <w:bCs/>
          <w:sz w:val="20"/>
          <w:szCs w:val="20"/>
          <w:lang w:val="en-US"/>
        </w:rPr>
        <w:t>C</w:t>
      </w:r>
      <w:r w:rsidRPr="009E14D4">
        <w:rPr>
          <w:rFonts w:ascii="Bookman Old Style" w:hAnsi="Bookman Old Style"/>
          <w:bCs/>
          <w:sz w:val="20"/>
          <w:szCs w:val="20"/>
        </w:rPr>
        <w:t>ДС СРО НКСО 3.1-2015, утвержден Правлением Ассоциации саморегулируемой организации «Национальная коллегия специалистов- оценщиков», Протокол № 26 от «24» сентября 2015 года;</w:t>
      </w:r>
    </w:p>
    <w:p w:rsidR="00C12562" w:rsidRPr="009E14D4" w:rsidRDefault="00C12562" w:rsidP="00303E37">
      <w:pPr>
        <w:numPr>
          <w:ilvl w:val="0"/>
          <w:numId w:val="39"/>
        </w:numPr>
        <w:tabs>
          <w:tab w:val="num" w:pos="426"/>
        </w:tabs>
        <w:autoSpaceDE w:val="0"/>
        <w:autoSpaceDN w:val="0"/>
        <w:adjustRightInd w:val="0"/>
        <w:spacing w:before="120" w:after="120"/>
        <w:ind w:left="709"/>
        <w:jc w:val="both"/>
        <w:rPr>
          <w:rFonts w:ascii="Bookman Old Style" w:hAnsi="Bookman Old Style"/>
          <w:sz w:val="20"/>
          <w:szCs w:val="20"/>
        </w:rPr>
      </w:pPr>
      <w:r w:rsidRPr="009E14D4">
        <w:rPr>
          <w:rFonts w:ascii="Bookman Old Style" w:hAnsi="Bookman Old Style"/>
          <w:bCs/>
          <w:sz w:val="20"/>
          <w:szCs w:val="20"/>
        </w:rPr>
        <w:t xml:space="preserve">«Цель оценки и виды стоимости», СТО </w:t>
      </w:r>
      <w:r w:rsidRPr="009E14D4">
        <w:rPr>
          <w:rFonts w:ascii="Bookman Old Style" w:hAnsi="Bookman Old Style"/>
          <w:bCs/>
          <w:sz w:val="20"/>
          <w:szCs w:val="20"/>
          <w:lang w:val="en-US"/>
        </w:rPr>
        <w:t>C</w:t>
      </w:r>
      <w:r w:rsidRPr="009E14D4">
        <w:rPr>
          <w:rFonts w:ascii="Bookman Old Style" w:hAnsi="Bookman Old Style"/>
          <w:bCs/>
          <w:sz w:val="20"/>
          <w:szCs w:val="20"/>
        </w:rPr>
        <w:t>ДС СРО НКСО 3.2-2015, утвержден Правлением Ассоциации саморегулируемой организации «Национальная коллегия специалистов- оценщиков», Протокол № 26 от «24» сентября 2015 года;</w:t>
      </w:r>
    </w:p>
    <w:p w:rsidR="00C12562" w:rsidRPr="00110867" w:rsidRDefault="00C12562" w:rsidP="00303E37">
      <w:pPr>
        <w:numPr>
          <w:ilvl w:val="0"/>
          <w:numId w:val="39"/>
        </w:numPr>
        <w:tabs>
          <w:tab w:val="num" w:pos="426"/>
        </w:tabs>
        <w:autoSpaceDE w:val="0"/>
        <w:autoSpaceDN w:val="0"/>
        <w:adjustRightInd w:val="0"/>
        <w:spacing w:before="120" w:after="120"/>
        <w:ind w:left="709"/>
        <w:jc w:val="both"/>
        <w:rPr>
          <w:rFonts w:ascii="Bookman Old Style" w:hAnsi="Bookman Old Style"/>
          <w:sz w:val="20"/>
          <w:szCs w:val="20"/>
        </w:rPr>
      </w:pPr>
      <w:r w:rsidRPr="009E14D4">
        <w:rPr>
          <w:rFonts w:ascii="Bookman Old Style" w:hAnsi="Bookman Old Style"/>
          <w:bCs/>
          <w:sz w:val="20"/>
          <w:szCs w:val="20"/>
        </w:rPr>
        <w:t xml:space="preserve">«Требования к отчету об оценке», СТО </w:t>
      </w:r>
      <w:r w:rsidRPr="009E14D4">
        <w:rPr>
          <w:rFonts w:ascii="Bookman Old Style" w:hAnsi="Bookman Old Style"/>
          <w:bCs/>
          <w:sz w:val="20"/>
          <w:szCs w:val="20"/>
          <w:lang w:val="en-US"/>
        </w:rPr>
        <w:t>C</w:t>
      </w:r>
      <w:r w:rsidRPr="009E14D4">
        <w:rPr>
          <w:rFonts w:ascii="Bookman Old Style" w:hAnsi="Bookman Old Style"/>
          <w:bCs/>
          <w:sz w:val="20"/>
          <w:szCs w:val="20"/>
        </w:rPr>
        <w:t>ДС СРО НКСО 3.3-2015, утвержден Правлением Ассоциации саморегулируемой организации «Национальная коллегия специалистов- оценщиков», Протокол № 26 от «24» сентября 2015 года.</w:t>
      </w:r>
    </w:p>
    <w:p w:rsidR="00110867" w:rsidRPr="00AA51E2" w:rsidRDefault="00110867" w:rsidP="00303E37">
      <w:pPr>
        <w:numPr>
          <w:ilvl w:val="0"/>
          <w:numId w:val="39"/>
        </w:numPr>
        <w:tabs>
          <w:tab w:val="num" w:pos="426"/>
        </w:tabs>
        <w:autoSpaceDE w:val="0"/>
        <w:autoSpaceDN w:val="0"/>
        <w:adjustRightInd w:val="0"/>
        <w:spacing w:before="120" w:after="120"/>
        <w:ind w:left="709"/>
        <w:jc w:val="both"/>
        <w:rPr>
          <w:rFonts w:ascii="Bookman Old Style" w:hAnsi="Bookman Old Style"/>
          <w:sz w:val="20"/>
          <w:szCs w:val="20"/>
        </w:rPr>
      </w:pPr>
      <w:r w:rsidRPr="00110867">
        <w:rPr>
          <w:rFonts w:ascii="Bookman Old Style" w:hAnsi="Bookman Old Style"/>
          <w:bCs/>
          <w:sz w:val="20"/>
          <w:szCs w:val="20"/>
        </w:rPr>
        <w:t>«</w:t>
      </w:r>
      <w:r>
        <w:rPr>
          <w:rFonts w:ascii="Bookman Old Style" w:hAnsi="Bookman Old Style"/>
          <w:bCs/>
          <w:sz w:val="20"/>
          <w:szCs w:val="20"/>
        </w:rPr>
        <w:t>Оценка недвижимости</w:t>
      </w:r>
      <w:r w:rsidRPr="00110867">
        <w:rPr>
          <w:rFonts w:ascii="Bookman Old Style" w:hAnsi="Bookman Old Style"/>
          <w:bCs/>
          <w:sz w:val="20"/>
          <w:szCs w:val="20"/>
        </w:rPr>
        <w:t xml:space="preserve">», СТО </w:t>
      </w:r>
      <w:r w:rsidRPr="00110867">
        <w:rPr>
          <w:rFonts w:ascii="Bookman Old Style" w:hAnsi="Bookman Old Style"/>
          <w:bCs/>
          <w:sz w:val="20"/>
          <w:szCs w:val="20"/>
          <w:lang w:val="en-US"/>
        </w:rPr>
        <w:t>C</w:t>
      </w:r>
      <w:r w:rsidRPr="00110867">
        <w:rPr>
          <w:rFonts w:ascii="Bookman Old Style" w:hAnsi="Bookman Old Style"/>
          <w:bCs/>
          <w:sz w:val="20"/>
          <w:szCs w:val="20"/>
        </w:rPr>
        <w:t>ДС СРО НКСО 3.</w:t>
      </w:r>
      <w:r>
        <w:rPr>
          <w:rFonts w:ascii="Bookman Old Style" w:hAnsi="Bookman Old Style"/>
          <w:bCs/>
          <w:sz w:val="20"/>
          <w:szCs w:val="20"/>
        </w:rPr>
        <w:t>7</w:t>
      </w:r>
      <w:r w:rsidRPr="00110867">
        <w:rPr>
          <w:rFonts w:ascii="Bookman Old Style" w:hAnsi="Bookman Old Style"/>
          <w:bCs/>
          <w:sz w:val="20"/>
          <w:szCs w:val="20"/>
        </w:rPr>
        <w:t>-2015, утвержден Правлением Ассоциации саморегулируемой организации «Национальная коллегия специалистов- оценщиков», Протокол № 26 от «2</w:t>
      </w:r>
      <w:r>
        <w:rPr>
          <w:rFonts w:ascii="Bookman Old Style" w:hAnsi="Bookman Old Style"/>
          <w:bCs/>
          <w:sz w:val="20"/>
          <w:szCs w:val="20"/>
        </w:rPr>
        <w:t>4</w:t>
      </w:r>
      <w:r w:rsidRPr="00110867">
        <w:rPr>
          <w:rFonts w:ascii="Bookman Old Style" w:hAnsi="Bookman Old Style"/>
          <w:bCs/>
          <w:sz w:val="20"/>
          <w:szCs w:val="20"/>
        </w:rPr>
        <w:t>» сентября 2015 года.</w:t>
      </w:r>
    </w:p>
    <w:p w:rsidR="00C12562" w:rsidRPr="009E14D4" w:rsidRDefault="00C12562" w:rsidP="009948B1">
      <w:pPr>
        <w:autoSpaceDE w:val="0"/>
        <w:autoSpaceDN w:val="0"/>
        <w:adjustRightInd w:val="0"/>
        <w:spacing w:before="120" w:after="120"/>
        <w:ind w:left="714"/>
        <w:jc w:val="both"/>
        <w:rPr>
          <w:rFonts w:ascii="Bookman Old Style" w:hAnsi="Bookman Old Style"/>
          <w:sz w:val="20"/>
          <w:szCs w:val="20"/>
        </w:rPr>
      </w:pPr>
      <w:r w:rsidRPr="009E14D4">
        <w:rPr>
          <w:rFonts w:ascii="Bookman Old Style" w:hAnsi="Bookman Old Style"/>
          <w:sz w:val="20"/>
          <w:szCs w:val="20"/>
        </w:rPr>
        <w:t>Правила деловой и профессиональной этики:</w:t>
      </w:r>
    </w:p>
    <w:p w:rsidR="00C12562" w:rsidRPr="009E14D4" w:rsidRDefault="00C12562" w:rsidP="00303E37">
      <w:pPr>
        <w:numPr>
          <w:ilvl w:val="0"/>
          <w:numId w:val="15"/>
        </w:numPr>
        <w:autoSpaceDE w:val="0"/>
        <w:autoSpaceDN w:val="0"/>
        <w:adjustRightInd w:val="0"/>
        <w:spacing w:before="120" w:after="120"/>
        <w:ind w:left="714" w:hanging="357"/>
        <w:rPr>
          <w:rFonts w:ascii="Bookman Old Style" w:hAnsi="Bookman Old Style"/>
          <w:sz w:val="20"/>
          <w:szCs w:val="20"/>
        </w:rPr>
      </w:pPr>
      <w:r w:rsidRPr="009E14D4">
        <w:rPr>
          <w:rFonts w:ascii="Bookman Old Style" w:hAnsi="Bookman Old Style"/>
          <w:sz w:val="20"/>
          <w:szCs w:val="20"/>
        </w:rPr>
        <w:t>СТО СДС СРО НКСО 1.2-2007 «Основные правила деятельности членов СРО НКСО (кодекс этики)».</w:t>
      </w:r>
    </w:p>
    <w:p w:rsidR="00C12562" w:rsidRDefault="00C12562" w:rsidP="009948B1">
      <w:pPr>
        <w:pStyle w:val="aff2"/>
        <w:autoSpaceDE w:val="0"/>
        <w:autoSpaceDN w:val="0"/>
        <w:adjustRightInd w:val="0"/>
        <w:spacing w:before="120" w:after="120"/>
        <w:contextualSpacing w:val="0"/>
        <w:jc w:val="both"/>
        <w:rPr>
          <w:rFonts w:ascii="Bookman Old Style" w:hAnsi="Bookman Old Style"/>
          <w:sz w:val="20"/>
          <w:szCs w:val="20"/>
        </w:rPr>
      </w:pPr>
      <w:r w:rsidRPr="009E14D4">
        <w:rPr>
          <w:rFonts w:ascii="Bookman Old Style" w:hAnsi="Bookman Old Style"/>
          <w:sz w:val="20"/>
          <w:szCs w:val="20"/>
        </w:rPr>
        <w:t>Утвержден Советом (Правлением) Некоммерческого партнерства «Саморегулируемая организация «Национальная коллегия специалистов-оценщиков», Протокол № 4 от «17» сентября 2007 года</w:t>
      </w:r>
    </w:p>
    <w:p w:rsidR="00C12562" w:rsidRDefault="00C12562" w:rsidP="009948B1">
      <w:pPr>
        <w:pStyle w:val="aff2"/>
        <w:autoSpaceDE w:val="0"/>
        <w:autoSpaceDN w:val="0"/>
        <w:adjustRightInd w:val="0"/>
        <w:spacing w:before="120" w:after="120"/>
        <w:contextualSpacing w:val="0"/>
        <w:jc w:val="both"/>
        <w:rPr>
          <w:rFonts w:ascii="Bookman Old Style" w:hAnsi="Bookman Old Style"/>
          <w:bCs/>
          <w:sz w:val="20"/>
          <w:szCs w:val="20"/>
        </w:rPr>
      </w:pPr>
      <w:r>
        <w:rPr>
          <w:rFonts w:ascii="Bookman Old Style" w:hAnsi="Bookman Old Style"/>
          <w:bCs/>
          <w:sz w:val="20"/>
          <w:szCs w:val="20"/>
        </w:rPr>
        <w:t>Обоснование применения ФСО № 1,2,3,7 и Стандартов НП СРО «НКСО»:</w:t>
      </w:r>
    </w:p>
    <w:p w:rsidR="000B2FB9" w:rsidRPr="000B2FB9" w:rsidRDefault="00C12562" w:rsidP="009948B1">
      <w:pPr>
        <w:autoSpaceDE w:val="0"/>
        <w:autoSpaceDN w:val="0"/>
        <w:adjustRightInd w:val="0"/>
        <w:spacing w:before="120" w:after="120"/>
        <w:ind w:left="709" w:firstLine="11"/>
        <w:jc w:val="both"/>
        <w:rPr>
          <w:rFonts w:ascii="Bookman Old Style" w:hAnsi="Bookman Old Style"/>
          <w:sz w:val="20"/>
          <w:szCs w:val="20"/>
        </w:rPr>
      </w:pPr>
      <w:r>
        <w:rPr>
          <w:rFonts w:ascii="Bookman Old Style" w:hAnsi="Bookman Old Style" w:cs="Tahoma"/>
          <w:sz w:val="20"/>
          <w:szCs w:val="20"/>
        </w:rPr>
        <w:t>В</w:t>
      </w:r>
      <w:r w:rsidRPr="000B2FB9">
        <w:rPr>
          <w:rFonts w:ascii="Bookman Old Style" w:hAnsi="Bookman Old Style" w:cs="Tahoma"/>
          <w:sz w:val="20"/>
          <w:szCs w:val="20"/>
        </w:rPr>
        <w:t xml:space="preserve"> соответствии со ст. 15 Федерального закона «Об оценочной деятельности в Российской Федерации» от 29.07.1998 г. №135-ФЗ при осуществлении оценочной деятельности на территории Российской Федерации оценщик должен соблюдать требования Федеральных стандартов оценки, а также стандартов и правил оценочной деятельности, утвержденные саморегулируемой организацией оценщи</w:t>
      </w:r>
      <w:r>
        <w:rPr>
          <w:rFonts w:ascii="Bookman Old Style" w:hAnsi="Bookman Old Style" w:cs="Tahoma"/>
          <w:sz w:val="20"/>
          <w:szCs w:val="20"/>
        </w:rPr>
        <w:t>ков, членом которой он является»</w:t>
      </w:r>
      <w:r w:rsidR="00A47A8E">
        <w:rPr>
          <w:rFonts w:ascii="Bookman Old Style" w:hAnsi="Bookman Old Style" w:cs="Tahoma"/>
          <w:sz w:val="20"/>
          <w:szCs w:val="20"/>
        </w:rPr>
        <w:t xml:space="preserve"> </w:t>
      </w:r>
    </w:p>
    <w:p w:rsidR="008A2639" w:rsidRPr="00C7102F" w:rsidRDefault="008A2639" w:rsidP="009948B1">
      <w:pPr>
        <w:pStyle w:val="2"/>
        <w:spacing w:before="120" w:after="120"/>
        <w:jc w:val="left"/>
        <w:rPr>
          <w:rFonts w:ascii="Bookman Old Style" w:hAnsi="Bookman Old Style"/>
          <w:b/>
          <w:sz w:val="20"/>
          <w:szCs w:val="20"/>
        </w:rPr>
      </w:pPr>
      <w:bookmarkStart w:id="136" w:name="_Toc461206354"/>
      <w:r w:rsidRPr="00C7102F">
        <w:rPr>
          <w:rFonts w:ascii="Bookman Old Style" w:hAnsi="Bookman Old Style"/>
          <w:b/>
          <w:sz w:val="20"/>
          <w:szCs w:val="20"/>
        </w:rPr>
        <w:t xml:space="preserve">1.6. </w:t>
      </w:r>
      <w:bookmarkEnd w:id="135"/>
      <w:r w:rsidR="00197F69" w:rsidRPr="00197F69">
        <w:rPr>
          <w:rFonts w:ascii="Bookman Old Style" w:hAnsi="Bookman Old Style"/>
          <w:b/>
          <w:sz w:val="20"/>
          <w:szCs w:val="20"/>
        </w:rPr>
        <w:t>ПЕРЕЧЕНЬ ИСПОЛЬЗОВАННЫХ ПРИ ПРОВЕДЕНИИ ОЦЕНКИ ОБЪЕКТА ОЦЕНКИ ДАННЫХ С УКАЗАНИЕМ ИСТОЧНИКОВ ИХ ПОЛУЧЕНИЯ</w:t>
      </w:r>
      <w:bookmarkEnd w:id="136"/>
      <w:r w:rsidR="00197F69" w:rsidRPr="00197F69">
        <w:rPr>
          <w:rFonts w:ascii="Bookman Old Style" w:hAnsi="Bookman Old Style"/>
          <w:b/>
          <w:sz w:val="20"/>
          <w:szCs w:val="20"/>
          <w:vertAlign w:val="superscript"/>
        </w:rPr>
        <w:t xml:space="preserve"> </w:t>
      </w:r>
    </w:p>
    <w:p w:rsidR="00197F69" w:rsidRPr="00197F69" w:rsidRDefault="00C72E77" w:rsidP="009948B1">
      <w:pPr>
        <w:spacing w:before="120" w:after="120"/>
        <w:jc w:val="both"/>
        <w:rPr>
          <w:rFonts w:ascii="Bookman Old Style" w:hAnsi="Bookman Old Style"/>
          <w:sz w:val="20"/>
          <w:szCs w:val="20"/>
        </w:rPr>
      </w:pPr>
      <w:r w:rsidRPr="00197F69">
        <w:rPr>
          <w:rFonts w:ascii="Bookman Old Style" w:hAnsi="Bookman Old Style"/>
          <w:sz w:val="20"/>
          <w:szCs w:val="20"/>
        </w:rPr>
        <w:tab/>
      </w:r>
      <w:r w:rsidR="00197F69" w:rsidRPr="00197F69">
        <w:rPr>
          <w:rFonts w:ascii="Bookman Old Style" w:hAnsi="Bookman Old Style"/>
          <w:sz w:val="20"/>
          <w:szCs w:val="20"/>
        </w:rPr>
        <w:t>При проведении оценки использованы следующие данные, предоставленные Заказчиком Отчета об оценке</w:t>
      </w:r>
      <w:r w:rsidR="00667C3A" w:rsidRPr="00667C3A">
        <w:rPr>
          <w:rFonts w:ascii="Bookman Old Style" w:hAnsi="Bookman Old Style"/>
          <w:sz w:val="20"/>
          <w:szCs w:val="20"/>
          <w:vertAlign w:val="superscript"/>
        </w:rPr>
        <w:footnoteReference w:id="3"/>
      </w:r>
      <w:r w:rsidR="00197F69" w:rsidRPr="00197F69">
        <w:rPr>
          <w:rFonts w:ascii="Bookman Old Style" w:hAnsi="Bookman Old Style"/>
          <w:sz w:val="20"/>
          <w:szCs w:val="20"/>
        </w:rPr>
        <w:t>:</w:t>
      </w:r>
    </w:p>
    <w:p w:rsidR="00DB0AEE" w:rsidRDefault="00DB0AEE" w:rsidP="00DB0AEE">
      <w:pPr>
        <w:widowControl w:val="0"/>
        <w:numPr>
          <w:ilvl w:val="0"/>
          <w:numId w:val="8"/>
        </w:numPr>
        <w:autoSpaceDE w:val="0"/>
        <w:autoSpaceDN w:val="0"/>
        <w:adjustRightInd w:val="0"/>
        <w:spacing w:before="120" w:after="120"/>
        <w:ind w:left="1134"/>
        <w:rPr>
          <w:rFonts w:ascii="Bookman Old Style" w:hAnsi="Bookman Old Style"/>
          <w:sz w:val="20"/>
          <w:szCs w:val="20"/>
        </w:rPr>
      </w:pPr>
      <w:r w:rsidRPr="00DB0AEE">
        <w:rPr>
          <w:rFonts w:ascii="Bookman Old Style" w:hAnsi="Bookman Old Style"/>
          <w:sz w:val="20"/>
          <w:szCs w:val="20"/>
        </w:rPr>
        <w:t>Акт осмотра, идентификации и определения технического состояния имущества подлежащего оценке</w:t>
      </w:r>
      <w:r w:rsidRPr="00DB0AEE">
        <w:rPr>
          <w:rFonts w:ascii="Bookman Old Style" w:hAnsi="Bookman Old Style"/>
          <w:sz w:val="20"/>
          <w:szCs w:val="20"/>
          <w:vertAlign w:val="superscript"/>
        </w:rPr>
        <w:footnoteReference w:id="4"/>
      </w:r>
      <w:r w:rsidRPr="00DB0AEE">
        <w:rPr>
          <w:rFonts w:ascii="Bookman Old Style" w:hAnsi="Bookman Old Style"/>
          <w:sz w:val="20"/>
          <w:szCs w:val="20"/>
        </w:rPr>
        <w:t>;</w:t>
      </w:r>
      <w:r>
        <w:rPr>
          <w:rFonts w:ascii="Bookman Old Style" w:hAnsi="Bookman Old Style"/>
          <w:sz w:val="20"/>
          <w:szCs w:val="20"/>
        </w:rPr>
        <w:t xml:space="preserve"> </w:t>
      </w:r>
    </w:p>
    <w:p w:rsidR="000A4482" w:rsidRDefault="00C33B02" w:rsidP="00AB1FB9">
      <w:pPr>
        <w:widowControl w:val="0"/>
        <w:numPr>
          <w:ilvl w:val="0"/>
          <w:numId w:val="8"/>
        </w:numPr>
        <w:autoSpaceDE w:val="0"/>
        <w:autoSpaceDN w:val="0"/>
        <w:adjustRightInd w:val="0"/>
        <w:spacing w:before="120" w:after="120"/>
        <w:ind w:left="1066" w:hanging="357"/>
        <w:rPr>
          <w:rFonts w:ascii="Bookman Old Style" w:hAnsi="Bookman Old Style"/>
          <w:sz w:val="20"/>
          <w:szCs w:val="20"/>
        </w:rPr>
      </w:pPr>
      <w:r>
        <w:rPr>
          <w:rFonts w:ascii="Bookman Old Style" w:hAnsi="Bookman Old Style"/>
          <w:sz w:val="20"/>
          <w:szCs w:val="20"/>
        </w:rPr>
        <w:t xml:space="preserve">Копия </w:t>
      </w:r>
      <w:r w:rsidR="000A4482">
        <w:rPr>
          <w:rFonts w:ascii="Bookman Old Style" w:hAnsi="Bookman Old Style"/>
          <w:sz w:val="20"/>
          <w:szCs w:val="20"/>
        </w:rPr>
        <w:t xml:space="preserve">инвентаризационных </w:t>
      </w:r>
      <w:r w:rsidR="00DB0AEE">
        <w:rPr>
          <w:rFonts w:ascii="Bookman Old Style" w:hAnsi="Bookman Old Style"/>
          <w:sz w:val="20"/>
          <w:szCs w:val="20"/>
        </w:rPr>
        <w:t>описей</w:t>
      </w:r>
      <w:r w:rsidR="000A4482" w:rsidRPr="00C33B02">
        <w:rPr>
          <w:rFonts w:ascii="Bookman Old Style" w:hAnsi="Bookman Old Style"/>
          <w:bCs/>
          <w:sz w:val="20"/>
          <w:szCs w:val="20"/>
          <w:vertAlign w:val="superscript"/>
        </w:rPr>
        <w:t xml:space="preserve"> </w:t>
      </w:r>
      <w:r w:rsidR="000A4482" w:rsidRPr="00284ACB">
        <w:rPr>
          <w:rFonts w:ascii="Bookman Old Style" w:hAnsi="Bookman Old Style"/>
          <w:sz w:val="20"/>
          <w:szCs w:val="20"/>
          <w:vertAlign w:val="superscript"/>
        </w:rPr>
        <w:footnoteReference w:id="5"/>
      </w:r>
      <w:r w:rsidR="000A4482" w:rsidRPr="00284ACB">
        <w:rPr>
          <w:rFonts w:ascii="Bookman Old Style" w:hAnsi="Bookman Old Style"/>
          <w:sz w:val="20"/>
          <w:szCs w:val="20"/>
        </w:rPr>
        <w:t>;</w:t>
      </w:r>
    </w:p>
    <w:p w:rsidR="00C33B02" w:rsidRDefault="00C33B02" w:rsidP="00AB1FB9">
      <w:pPr>
        <w:widowControl w:val="0"/>
        <w:numPr>
          <w:ilvl w:val="0"/>
          <w:numId w:val="8"/>
        </w:numPr>
        <w:autoSpaceDE w:val="0"/>
        <w:autoSpaceDN w:val="0"/>
        <w:adjustRightInd w:val="0"/>
        <w:spacing w:before="120" w:after="120"/>
        <w:ind w:left="1066" w:hanging="357"/>
        <w:rPr>
          <w:rFonts w:ascii="Bookman Old Style" w:hAnsi="Bookman Old Style"/>
          <w:sz w:val="20"/>
          <w:szCs w:val="20"/>
        </w:rPr>
      </w:pPr>
      <w:r w:rsidRPr="00C33B02">
        <w:rPr>
          <w:rFonts w:ascii="Bookman Old Style" w:hAnsi="Bookman Old Style"/>
          <w:sz w:val="20"/>
          <w:szCs w:val="20"/>
        </w:rPr>
        <w:t xml:space="preserve">Копия </w:t>
      </w:r>
      <w:r w:rsidRPr="00C33B02">
        <w:rPr>
          <w:rFonts w:ascii="Bookman Old Style" w:hAnsi="Bookman Old Style"/>
          <w:bCs/>
          <w:sz w:val="20"/>
          <w:szCs w:val="20"/>
        </w:rPr>
        <w:t>технических паспортов. Копия кадастрового паспорта</w:t>
      </w:r>
      <w:r w:rsidRPr="00C33B02">
        <w:rPr>
          <w:rFonts w:ascii="Bookman Old Style" w:hAnsi="Bookman Old Style"/>
          <w:sz w:val="20"/>
          <w:szCs w:val="20"/>
        </w:rPr>
        <w:t>.</w:t>
      </w:r>
      <w:r w:rsidRPr="00C33B02">
        <w:rPr>
          <w:rFonts w:ascii="Bookman Old Style" w:hAnsi="Bookman Old Style"/>
          <w:sz w:val="20"/>
          <w:szCs w:val="20"/>
          <w:vertAlign w:val="superscript"/>
        </w:rPr>
        <w:footnoteReference w:id="6"/>
      </w:r>
    </w:p>
    <w:p w:rsidR="000A4482" w:rsidRPr="00284ACB" w:rsidRDefault="000A4482" w:rsidP="00AB1FB9">
      <w:pPr>
        <w:widowControl w:val="0"/>
        <w:numPr>
          <w:ilvl w:val="0"/>
          <w:numId w:val="8"/>
        </w:numPr>
        <w:autoSpaceDE w:val="0"/>
        <w:autoSpaceDN w:val="0"/>
        <w:adjustRightInd w:val="0"/>
        <w:spacing w:before="120" w:after="120"/>
        <w:ind w:left="1066" w:hanging="357"/>
        <w:rPr>
          <w:rFonts w:ascii="Bookman Old Style" w:hAnsi="Bookman Old Style"/>
          <w:sz w:val="20"/>
          <w:szCs w:val="20"/>
        </w:rPr>
      </w:pPr>
      <w:r>
        <w:rPr>
          <w:rFonts w:ascii="Bookman Old Style" w:hAnsi="Bookman Old Style"/>
          <w:sz w:val="20"/>
          <w:szCs w:val="20"/>
        </w:rPr>
        <w:t>Копия договора купли-продажи оборудования</w:t>
      </w:r>
      <w:r w:rsidRPr="000A4482">
        <w:rPr>
          <w:rFonts w:ascii="Bookman Old Style" w:hAnsi="Bookman Old Style"/>
          <w:sz w:val="20"/>
          <w:szCs w:val="20"/>
        </w:rPr>
        <w:t>.</w:t>
      </w:r>
      <w:r w:rsidRPr="000A4482">
        <w:rPr>
          <w:rFonts w:ascii="Bookman Old Style" w:hAnsi="Bookman Old Style"/>
          <w:sz w:val="20"/>
          <w:szCs w:val="20"/>
          <w:vertAlign w:val="superscript"/>
        </w:rPr>
        <w:footnoteReference w:id="7"/>
      </w:r>
    </w:p>
    <w:p w:rsidR="00197F69" w:rsidRPr="00197F69" w:rsidRDefault="00197F69" w:rsidP="009948B1">
      <w:pPr>
        <w:pStyle w:val="a"/>
        <w:numPr>
          <w:ilvl w:val="0"/>
          <w:numId w:val="0"/>
        </w:numPr>
        <w:ind w:left="709"/>
        <w:jc w:val="both"/>
      </w:pPr>
      <w:r w:rsidRPr="00197F69">
        <w:t>Прочие источники информации, используемые оценщиком при проведении оценки</w:t>
      </w:r>
      <w:r w:rsidRPr="00197F69">
        <w:rPr>
          <w:vertAlign w:val="superscript"/>
        </w:rPr>
        <w:footnoteReference w:id="8"/>
      </w:r>
      <w:r w:rsidRPr="00197F69">
        <w:t>:</w:t>
      </w:r>
    </w:p>
    <w:p w:rsidR="009E5808" w:rsidRDefault="00611BBE" w:rsidP="009948B1">
      <w:pPr>
        <w:pStyle w:val="a"/>
        <w:jc w:val="both"/>
      </w:pPr>
      <w:r>
        <w:t>Книги и периодические издания подтверждающие методики применяемые при проведении оценки;</w:t>
      </w:r>
    </w:p>
    <w:p w:rsidR="00611BBE" w:rsidRDefault="00611BBE" w:rsidP="009948B1">
      <w:pPr>
        <w:pStyle w:val="a"/>
        <w:jc w:val="both"/>
      </w:pPr>
      <w:r>
        <w:t>Данные риэлтерских агентств;</w:t>
      </w:r>
    </w:p>
    <w:p w:rsidR="00197F69" w:rsidRDefault="00197F69" w:rsidP="009948B1">
      <w:pPr>
        <w:pStyle w:val="a"/>
        <w:jc w:val="both"/>
      </w:pPr>
      <w:r w:rsidRPr="00197F69">
        <w:t>Данные интернет ресурсов;</w:t>
      </w:r>
    </w:p>
    <w:p w:rsidR="00197F69" w:rsidRDefault="00611BBE" w:rsidP="009948B1">
      <w:pPr>
        <w:pStyle w:val="a"/>
        <w:jc w:val="both"/>
      </w:pPr>
      <w:r>
        <w:t>Т</w:t>
      </w:r>
      <w:r w:rsidR="00197F69" w:rsidRPr="00197F69">
        <w:t>ехнические и нормативные материалы не</w:t>
      </w:r>
      <w:r w:rsidR="00667C3A">
        <w:t>обходимые при проведении оценки.</w:t>
      </w:r>
    </w:p>
    <w:p w:rsidR="006A5323" w:rsidRPr="00833849" w:rsidRDefault="006A5323" w:rsidP="009948B1">
      <w:pPr>
        <w:pStyle w:val="2"/>
        <w:spacing w:before="120" w:after="120"/>
        <w:rPr>
          <w:rFonts w:ascii="Bookman Old Style" w:hAnsi="Bookman Old Style"/>
          <w:b/>
          <w:sz w:val="20"/>
          <w:szCs w:val="20"/>
        </w:rPr>
      </w:pPr>
      <w:bookmarkStart w:id="137" w:name="_Toc197327043"/>
      <w:bookmarkStart w:id="138" w:name="_Toc200179622"/>
      <w:bookmarkStart w:id="139" w:name="_Toc461206355"/>
      <w:r w:rsidRPr="00833849">
        <w:rPr>
          <w:rFonts w:ascii="Bookman Old Style" w:hAnsi="Bookman Old Style"/>
          <w:b/>
          <w:sz w:val="20"/>
          <w:szCs w:val="20"/>
        </w:rPr>
        <w:lastRenderedPageBreak/>
        <w:t>1.</w:t>
      </w:r>
      <w:r w:rsidR="008A2639" w:rsidRPr="00833849">
        <w:rPr>
          <w:rFonts w:ascii="Bookman Old Style" w:hAnsi="Bookman Old Style"/>
          <w:b/>
          <w:sz w:val="20"/>
          <w:szCs w:val="20"/>
        </w:rPr>
        <w:t>7</w:t>
      </w:r>
      <w:r w:rsidRPr="00833849">
        <w:rPr>
          <w:rFonts w:ascii="Bookman Old Style" w:hAnsi="Bookman Old Style"/>
          <w:b/>
          <w:sz w:val="20"/>
          <w:szCs w:val="20"/>
        </w:rPr>
        <w:t>. ЗАЯВЛЕНИЕ ОЦЕНЩИКА</w:t>
      </w:r>
      <w:bookmarkEnd w:id="137"/>
      <w:bookmarkEnd w:id="138"/>
      <w:bookmarkEnd w:id="139"/>
    </w:p>
    <w:p w:rsidR="006A5323" w:rsidRPr="00FB22D3" w:rsidRDefault="006A5323" w:rsidP="009948B1">
      <w:pPr>
        <w:autoSpaceDE w:val="0"/>
        <w:autoSpaceDN w:val="0"/>
        <w:adjustRightInd w:val="0"/>
        <w:spacing w:before="120" w:after="120"/>
        <w:ind w:firstLine="709"/>
        <w:jc w:val="both"/>
        <w:rPr>
          <w:rFonts w:ascii="Bookman Old Style" w:hAnsi="Bookman Old Style"/>
          <w:sz w:val="20"/>
          <w:szCs w:val="20"/>
        </w:rPr>
      </w:pPr>
      <w:r w:rsidRPr="00FB22D3">
        <w:rPr>
          <w:rFonts w:ascii="Bookman Old Style" w:hAnsi="Bookman Old Style"/>
          <w:sz w:val="20"/>
          <w:szCs w:val="20"/>
        </w:rPr>
        <w:t>Подписавший настоящий Отчет</w:t>
      </w:r>
      <w:r w:rsidR="00A858FF">
        <w:rPr>
          <w:rFonts w:ascii="Bookman Old Style" w:hAnsi="Bookman Old Style"/>
          <w:sz w:val="20"/>
          <w:szCs w:val="20"/>
        </w:rPr>
        <w:t xml:space="preserve"> об оценке</w:t>
      </w:r>
      <w:r w:rsidRPr="00FB22D3">
        <w:rPr>
          <w:rFonts w:ascii="Bookman Old Style" w:hAnsi="Bookman Old Style"/>
          <w:sz w:val="20"/>
          <w:szCs w:val="20"/>
        </w:rPr>
        <w:t xml:space="preserve"> Оценщик настоящим удостоверяет:</w:t>
      </w:r>
    </w:p>
    <w:p w:rsidR="006A5323" w:rsidRPr="00FB22D3" w:rsidRDefault="006A5323" w:rsidP="009948B1">
      <w:pPr>
        <w:numPr>
          <w:ilvl w:val="0"/>
          <w:numId w:val="2"/>
        </w:numPr>
        <w:spacing w:before="120" w:after="120"/>
        <w:jc w:val="both"/>
        <w:rPr>
          <w:rFonts w:ascii="Bookman Old Style" w:hAnsi="Bookman Old Style"/>
          <w:sz w:val="20"/>
          <w:szCs w:val="20"/>
        </w:rPr>
      </w:pPr>
      <w:r w:rsidRPr="00FB22D3">
        <w:rPr>
          <w:rFonts w:ascii="Bookman Old Style" w:hAnsi="Bookman Old Style"/>
          <w:sz w:val="20"/>
          <w:szCs w:val="20"/>
        </w:rPr>
        <w:t xml:space="preserve">Оценщик не является учредителем, собственником, акционером, должностным лицом или работником юридического лица - заказчика, лицом, имеющим имущественный интерес в Объекте оценки, либо состоит с указанными лицами в близком родстве или свойстве. </w:t>
      </w:r>
    </w:p>
    <w:p w:rsidR="006A5323" w:rsidRPr="00FB22D3" w:rsidRDefault="006A5323" w:rsidP="009948B1">
      <w:pPr>
        <w:numPr>
          <w:ilvl w:val="0"/>
          <w:numId w:val="2"/>
        </w:numPr>
        <w:spacing w:before="120" w:after="120"/>
        <w:jc w:val="both"/>
        <w:rPr>
          <w:rFonts w:ascii="Bookman Old Style" w:hAnsi="Bookman Old Style"/>
          <w:sz w:val="20"/>
          <w:szCs w:val="20"/>
        </w:rPr>
      </w:pPr>
      <w:r w:rsidRPr="00FB22D3">
        <w:rPr>
          <w:rFonts w:ascii="Bookman Old Style" w:hAnsi="Bookman Old Style"/>
          <w:sz w:val="20"/>
          <w:szCs w:val="20"/>
        </w:rPr>
        <w:t xml:space="preserve">Оценщик не имеет вещных или обязательственных прав вне договора, относительно </w:t>
      </w:r>
      <w:r w:rsidR="00A858FF">
        <w:rPr>
          <w:rFonts w:ascii="Bookman Old Style" w:hAnsi="Bookman Old Style"/>
          <w:sz w:val="20"/>
          <w:szCs w:val="20"/>
        </w:rPr>
        <w:t>О</w:t>
      </w:r>
      <w:r w:rsidRPr="00FB22D3">
        <w:rPr>
          <w:rFonts w:ascii="Bookman Old Style" w:hAnsi="Bookman Old Style"/>
          <w:sz w:val="20"/>
          <w:szCs w:val="20"/>
        </w:rPr>
        <w:t>бъекта оценки;</w:t>
      </w:r>
    </w:p>
    <w:p w:rsidR="006A5323" w:rsidRPr="00FB22D3" w:rsidRDefault="006A5323" w:rsidP="009948B1">
      <w:pPr>
        <w:numPr>
          <w:ilvl w:val="0"/>
          <w:numId w:val="2"/>
        </w:numPr>
        <w:spacing w:before="120" w:after="120"/>
        <w:jc w:val="both"/>
        <w:rPr>
          <w:rFonts w:ascii="Bookman Old Style" w:hAnsi="Bookman Old Style"/>
          <w:sz w:val="20"/>
          <w:szCs w:val="20"/>
        </w:rPr>
      </w:pPr>
      <w:r w:rsidRPr="00FB22D3">
        <w:rPr>
          <w:rFonts w:ascii="Bookman Old Style" w:hAnsi="Bookman Old Style"/>
          <w:sz w:val="20"/>
          <w:szCs w:val="20"/>
        </w:rPr>
        <w:t>Оценщик не является участником (членом) или кредитором юридического лица – заказчика и юридическое лицо не является кредитором или страховщиком оценщика.</w:t>
      </w:r>
    </w:p>
    <w:p w:rsidR="006A5323" w:rsidRPr="00FB22D3" w:rsidRDefault="006A5323" w:rsidP="009948B1">
      <w:pPr>
        <w:numPr>
          <w:ilvl w:val="0"/>
          <w:numId w:val="2"/>
        </w:numPr>
        <w:spacing w:before="120" w:after="120"/>
        <w:jc w:val="both"/>
        <w:rPr>
          <w:rFonts w:ascii="Bookman Old Style" w:hAnsi="Bookman Old Style"/>
          <w:sz w:val="20"/>
          <w:szCs w:val="20"/>
        </w:rPr>
      </w:pPr>
      <w:r w:rsidRPr="00FB22D3">
        <w:rPr>
          <w:rFonts w:ascii="Bookman Old Style" w:hAnsi="Bookman Old Style"/>
          <w:sz w:val="20"/>
          <w:szCs w:val="20"/>
        </w:rPr>
        <w:t>Размер оплаты</w:t>
      </w:r>
      <w:r w:rsidR="00DE4C52">
        <w:rPr>
          <w:rFonts w:ascii="Bookman Old Style" w:hAnsi="Bookman Old Style"/>
          <w:sz w:val="20"/>
          <w:szCs w:val="20"/>
        </w:rPr>
        <w:t xml:space="preserve"> Оценщика за проведение оценки О</w:t>
      </w:r>
      <w:r w:rsidRPr="00FB22D3">
        <w:rPr>
          <w:rFonts w:ascii="Bookman Old Style" w:hAnsi="Bookman Old Style"/>
          <w:sz w:val="20"/>
          <w:szCs w:val="20"/>
        </w:rPr>
        <w:t>бъекта оценки не зависит от итоговой вел</w:t>
      </w:r>
      <w:r w:rsidR="00A858FF">
        <w:rPr>
          <w:rFonts w:ascii="Bookman Old Style" w:hAnsi="Bookman Old Style"/>
          <w:sz w:val="20"/>
          <w:szCs w:val="20"/>
        </w:rPr>
        <w:t>ичины стоимости Объекта оценки.</w:t>
      </w:r>
    </w:p>
    <w:p w:rsidR="00BB6065" w:rsidRPr="00B21788" w:rsidRDefault="00B21788" w:rsidP="009948B1">
      <w:pPr>
        <w:numPr>
          <w:ilvl w:val="0"/>
          <w:numId w:val="2"/>
        </w:numPr>
        <w:autoSpaceDE w:val="0"/>
        <w:autoSpaceDN w:val="0"/>
        <w:adjustRightInd w:val="0"/>
        <w:spacing w:before="120" w:after="120"/>
        <w:jc w:val="both"/>
        <w:rPr>
          <w:rFonts w:ascii="Bookman Old Style" w:hAnsi="Bookman Old Style"/>
          <w:sz w:val="20"/>
          <w:szCs w:val="20"/>
        </w:rPr>
      </w:pPr>
      <w:r w:rsidRPr="00B21788">
        <w:rPr>
          <w:rFonts w:ascii="Bookman Old Style" w:hAnsi="Bookman Old Style"/>
          <w:sz w:val="20"/>
          <w:szCs w:val="20"/>
        </w:rPr>
        <w:t>Оценщик осуществлял личный осмотр Объекта оценки. Осмотр и идентификация имущества проводился с привлечением сотрудников конкурсного управляющего. Оценщик провел анализ достаточности и достоверности полученной в результате осмотра информации, использование дополнительной информации не ведет к изменению итоговой величины стоимости Объекта оценки</w:t>
      </w:r>
      <w:r w:rsidR="0056394F" w:rsidRPr="00B21788">
        <w:rPr>
          <w:rFonts w:ascii="Bookman Old Style" w:hAnsi="Bookman Old Style"/>
          <w:sz w:val="20"/>
          <w:szCs w:val="20"/>
        </w:rPr>
        <w:t>.</w:t>
      </w:r>
    </w:p>
    <w:p w:rsidR="00B21788" w:rsidRDefault="00B21788" w:rsidP="009948B1">
      <w:pPr>
        <w:spacing w:before="120" w:after="120"/>
        <w:jc w:val="both"/>
        <w:rPr>
          <w:rFonts w:ascii="Bookman Old Style" w:hAnsi="Bookman Old Style"/>
          <w:sz w:val="20"/>
          <w:szCs w:val="20"/>
        </w:rPr>
      </w:pPr>
    </w:p>
    <w:p w:rsidR="009948B1" w:rsidRDefault="009948B1" w:rsidP="009948B1">
      <w:pPr>
        <w:spacing w:before="120" w:after="120"/>
        <w:jc w:val="both"/>
        <w:rPr>
          <w:rFonts w:ascii="Bookman Old Style" w:hAnsi="Bookman Old Style"/>
          <w:sz w:val="20"/>
          <w:szCs w:val="20"/>
        </w:rPr>
      </w:pPr>
    </w:p>
    <w:p w:rsidR="006A5323" w:rsidRPr="00BE6191" w:rsidRDefault="00D154C6" w:rsidP="00BE6191">
      <w:pPr>
        <w:jc w:val="both"/>
        <w:rPr>
          <w:rFonts w:ascii="Bookman Old Style" w:hAnsi="Bookman Old Style"/>
          <w:sz w:val="20"/>
          <w:szCs w:val="20"/>
        </w:rPr>
      </w:pPr>
      <w:r>
        <w:rPr>
          <w:rFonts w:ascii="Bookman Old Style" w:hAnsi="Bookman Old Style"/>
          <w:sz w:val="20"/>
          <w:szCs w:val="20"/>
        </w:rPr>
        <w:t>О</w:t>
      </w:r>
      <w:r w:rsidR="00BE6191" w:rsidRPr="00BE6191">
        <w:rPr>
          <w:rFonts w:ascii="Bookman Old Style" w:hAnsi="Bookman Old Style"/>
          <w:sz w:val="20"/>
          <w:szCs w:val="20"/>
        </w:rPr>
        <w:t>ценщик</w:t>
      </w:r>
    </w:p>
    <w:p w:rsidR="00BE6191" w:rsidRPr="00BE6191" w:rsidRDefault="00BE6191" w:rsidP="00BE6191">
      <w:pPr>
        <w:jc w:val="both"/>
        <w:rPr>
          <w:rFonts w:ascii="Bookman Old Style" w:hAnsi="Bookman Old Style"/>
          <w:sz w:val="20"/>
          <w:szCs w:val="20"/>
        </w:rPr>
      </w:pPr>
      <w:r w:rsidRPr="00BE6191">
        <w:rPr>
          <w:rFonts w:ascii="Bookman Old Style" w:hAnsi="Bookman Old Style"/>
          <w:sz w:val="20"/>
          <w:szCs w:val="20"/>
        </w:rPr>
        <w:t>ООО «Агентство оценки собственности</w:t>
      </w:r>
    </w:p>
    <w:p w:rsidR="00E03117" w:rsidRDefault="00BE6191" w:rsidP="00D154C6">
      <w:pPr>
        <w:jc w:val="both"/>
        <w:rPr>
          <w:rFonts w:ascii="Bookman Old Style" w:hAnsi="Bookman Old Style"/>
          <w:noProof/>
          <w:sz w:val="20"/>
          <w:szCs w:val="20"/>
        </w:rPr>
      </w:pPr>
      <w:r w:rsidRPr="00BE6191">
        <w:rPr>
          <w:rFonts w:ascii="Bookman Old Style" w:hAnsi="Bookman Old Style"/>
          <w:sz w:val="20"/>
          <w:szCs w:val="20"/>
        </w:rPr>
        <w:t>«Золотое правило»</w:t>
      </w:r>
      <w:r w:rsidR="00E80348">
        <w:rPr>
          <w:rFonts w:ascii="Bookman Old Style" w:hAnsi="Bookman Old Style"/>
          <w:b/>
          <w:noProof/>
          <w:sz w:val="20"/>
          <w:szCs w:val="20"/>
        </w:rPr>
        <w:t xml:space="preserve">                                                                       </w:t>
      </w:r>
      <w:r w:rsidR="00B86D63">
        <w:rPr>
          <w:rFonts w:ascii="Bookman Old Style" w:hAnsi="Bookman Old Style"/>
          <w:b/>
          <w:noProof/>
          <w:sz w:val="20"/>
          <w:szCs w:val="20"/>
        </w:rPr>
        <w:t xml:space="preserve">                            </w:t>
      </w:r>
      <w:r w:rsidR="00BC25F6">
        <w:rPr>
          <w:rFonts w:ascii="Bookman Old Style" w:hAnsi="Bookman Old Style"/>
          <w:noProof/>
          <w:sz w:val="20"/>
          <w:szCs w:val="20"/>
        </w:rPr>
        <w:t>О.С.Золотарев</w:t>
      </w:r>
    </w:p>
    <w:p w:rsidR="009948B1" w:rsidRDefault="006C4CCF" w:rsidP="00D154C6">
      <w:pPr>
        <w:jc w:val="both"/>
        <w:rPr>
          <w:rFonts w:ascii="Bookman Old Style" w:hAnsi="Bookman Old Style"/>
          <w:noProof/>
          <w:sz w:val="20"/>
          <w:szCs w:val="20"/>
        </w:rPr>
      </w:pPr>
      <w:r w:rsidRPr="006C4CCF">
        <w:rPr>
          <w:rFonts w:ascii="Bookman Old Style" w:hAnsi="Bookman Old Style"/>
          <w:b/>
          <w:noProof/>
          <w:sz w:val="20"/>
          <w:szCs w:val="20"/>
        </w:rPr>
        <w:pict>
          <v:line id="Line 127" o:spid="_x0000_s1049" style="position:absolute;left:0;text-align:left;z-index:251659776;visibility:visible" from="294.2pt,5.45pt" to="513.7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"/>
        </w:pict>
      </w:r>
    </w:p>
    <w:p w:rsidR="009948B1" w:rsidRDefault="009948B1" w:rsidP="00D154C6">
      <w:pPr>
        <w:jc w:val="both"/>
        <w:rPr>
          <w:rFonts w:ascii="Bookman Old Style" w:hAnsi="Bookman Old Style"/>
          <w:b/>
          <w:sz w:val="20"/>
          <w:szCs w:val="20"/>
        </w:rPr>
      </w:pPr>
    </w:p>
    <w:p w:rsidR="009948B1" w:rsidRDefault="009948B1" w:rsidP="00D154C6">
      <w:pPr>
        <w:jc w:val="both"/>
        <w:rPr>
          <w:rFonts w:ascii="Bookman Old Style" w:hAnsi="Bookman Old Style"/>
          <w:b/>
          <w:sz w:val="20"/>
          <w:szCs w:val="20"/>
        </w:rPr>
      </w:pPr>
    </w:p>
    <w:p w:rsidR="009948B1" w:rsidRDefault="009948B1" w:rsidP="00D154C6">
      <w:pPr>
        <w:jc w:val="both"/>
        <w:rPr>
          <w:rFonts w:ascii="Bookman Old Style" w:hAnsi="Bookman Old Style"/>
          <w:b/>
          <w:sz w:val="20"/>
          <w:szCs w:val="20"/>
        </w:rPr>
      </w:pPr>
    </w:p>
    <w:p w:rsidR="009948B1" w:rsidRDefault="009948B1" w:rsidP="00D154C6">
      <w:pPr>
        <w:jc w:val="both"/>
        <w:rPr>
          <w:rFonts w:ascii="Bookman Old Style" w:hAnsi="Bookman Old Style"/>
          <w:b/>
          <w:sz w:val="20"/>
          <w:szCs w:val="20"/>
        </w:rPr>
      </w:pPr>
    </w:p>
    <w:p w:rsidR="009948B1" w:rsidRDefault="009948B1" w:rsidP="00D154C6">
      <w:pPr>
        <w:jc w:val="both"/>
        <w:rPr>
          <w:rFonts w:ascii="Bookman Old Style" w:hAnsi="Bookman Old Style"/>
          <w:b/>
          <w:sz w:val="20"/>
          <w:szCs w:val="20"/>
        </w:rPr>
      </w:pPr>
    </w:p>
    <w:p w:rsidR="009948B1" w:rsidRDefault="009948B1" w:rsidP="00D154C6">
      <w:pPr>
        <w:jc w:val="both"/>
        <w:rPr>
          <w:rFonts w:ascii="Bookman Old Style" w:hAnsi="Bookman Old Style"/>
          <w:b/>
          <w:sz w:val="20"/>
          <w:szCs w:val="20"/>
        </w:rPr>
      </w:pPr>
    </w:p>
    <w:p w:rsidR="009948B1" w:rsidRDefault="009948B1" w:rsidP="00D154C6">
      <w:pPr>
        <w:jc w:val="both"/>
        <w:rPr>
          <w:rFonts w:ascii="Bookman Old Style" w:hAnsi="Bookman Old Style"/>
          <w:b/>
          <w:sz w:val="20"/>
          <w:szCs w:val="20"/>
        </w:rPr>
      </w:pPr>
    </w:p>
    <w:p w:rsidR="009948B1" w:rsidRDefault="009948B1" w:rsidP="00D154C6">
      <w:pPr>
        <w:jc w:val="both"/>
        <w:rPr>
          <w:rFonts w:ascii="Bookman Old Style" w:hAnsi="Bookman Old Style"/>
          <w:b/>
          <w:sz w:val="20"/>
          <w:szCs w:val="20"/>
        </w:rPr>
      </w:pPr>
    </w:p>
    <w:p w:rsidR="009948B1" w:rsidRDefault="009948B1" w:rsidP="00D154C6">
      <w:pPr>
        <w:jc w:val="both"/>
        <w:rPr>
          <w:rFonts w:ascii="Bookman Old Style" w:hAnsi="Bookman Old Style"/>
          <w:b/>
          <w:sz w:val="20"/>
          <w:szCs w:val="20"/>
        </w:rPr>
      </w:pPr>
    </w:p>
    <w:p w:rsidR="009948B1" w:rsidRDefault="009948B1" w:rsidP="00D154C6">
      <w:pPr>
        <w:jc w:val="both"/>
        <w:rPr>
          <w:rFonts w:ascii="Bookman Old Style" w:hAnsi="Bookman Old Style"/>
          <w:b/>
          <w:sz w:val="20"/>
          <w:szCs w:val="20"/>
        </w:rPr>
      </w:pPr>
    </w:p>
    <w:p w:rsidR="009948B1" w:rsidRDefault="009948B1" w:rsidP="00D154C6">
      <w:pPr>
        <w:jc w:val="both"/>
        <w:rPr>
          <w:rFonts w:ascii="Bookman Old Style" w:hAnsi="Bookman Old Style"/>
          <w:b/>
          <w:sz w:val="20"/>
          <w:szCs w:val="20"/>
        </w:rPr>
      </w:pPr>
    </w:p>
    <w:p w:rsidR="009948B1" w:rsidRDefault="009948B1" w:rsidP="00D154C6">
      <w:pPr>
        <w:jc w:val="both"/>
        <w:rPr>
          <w:rFonts w:ascii="Bookman Old Style" w:hAnsi="Bookman Old Style"/>
          <w:b/>
          <w:sz w:val="20"/>
          <w:szCs w:val="20"/>
        </w:rPr>
      </w:pPr>
    </w:p>
    <w:p w:rsidR="009948B1" w:rsidRDefault="009948B1" w:rsidP="00D154C6">
      <w:pPr>
        <w:jc w:val="both"/>
        <w:rPr>
          <w:rFonts w:ascii="Bookman Old Style" w:hAnsi="Bookman Old Style"/>
          <w:b/>
          <w:sz w:val="20"/>
          <w:szCs w:val="20"/>
        </w:rPr>
      </w:pPr>
    </w:p>
    <w:p w:rsidR="009948B1" w:rsidRDefault="009948B1" w:rsidP="00D154C6">
      <w:pPr>
        <w:jc w:val="both"/>
        <w:rPr>
          <w:rFonts w:ascii="Bookman Old Style" w:hAnsi="Bookman Old Style"/>
          <w:b/>
          <w:sz w:val="20"/>
          <w:szCs w:val="20"/>
        </w:rPr>
      </w:pPr>
    </w:p>
    <w:p w:rsidR="009948B1" w:rsidRDefault="009948B1" w:rsidP="00D154C6">
      <w:pPr>
        <w:jc w:val="both"/>
        <w:rPr>
          <w:rFonts w:ascii="Bookman Old Style" w:hAnsi="Bookman Old Style"/>
          <w:b/>
          <w:sz w:val="20"/>
          <w:szCs w:val="20"/>
        </w:rPr>
      </w:pPr>
    </w:p>
    <w:p w:rsidR="009948B1" w:rsidRDefault="009948B1" w:rsidP="00D154C6">
      <w:pPr>
        <w:jc w:val="both"/>
        <w:rPr>
          <w:rFonts w:ascii="Bookman Old Style" w:hAnsi="Bookman Old Style"/>
          <w:b/>
          <w:sz w:val="20"/>
          <w:szCs w:val="20"/>
        </w:rPr>
      </w:pPr>
    </w:p>
    <w:p w:rsidR="009948B1" w:rsidRDefault="009948B1" w:rsidP="00D154C6">
      <w:pPr>
        <w:jc w:val="both"/>
        <w:rPr>
          <w:rFonts w:ascii="Bookman Old Style" w:hAnsi="Bookman Old Style"/>
          <w:b/>
          <w:sz w:val="20"/>
          <w:szCs w:val="20"/>
        </w:rPr>
      </w:pPr>
    </w:p>
    <w:p w:rsidR="009948B1" w:rsidRDefault="009948B1" w:rsidP="00D154C6">
      <w:pPr>
        <w:jc w:val="both"/>
        <w:rPr>
          <w:rFonts w:ascii="Bookman Old Style" w:hAnsi="Bookman Old Style"/>
          <w:b/>
          <w:sz w:val="20"/>
          <w:szCs w:val="20"/>
        </w:rPr>
      </w:pPr>
    </w:p>
    <w:p w:rsidR="009948B1" w:rsidRDefault="009948B1" w:rsidP="00D154C6">
      <w:pPr>
        <w:jc w:val="both"/>
        <w:rPr>
          <w:rFonts w:ascii="Bookman Old Style" w:hAnsi="Bookman Old Style"/>
          <w:b/>
          <w:sz w:val="20"/>
          <w:szCs w:val="20"/>
        </w:rPr>
      </w:pPr>
    </w:p>
    <w:p w:rsidR="009948B1" w:rsidRDefault="009948B1" w:rsidP="00D154C6">
      <w:pPr>
        <w:jc w:val="both"/>
        <w:rPr>
          <w:rFonts w:ascii="Bookman Old Style" w:hAnsi="Bookman Old Style"/>
          <w:b/>
          <w:sz w:val="20"/>
          <w:szCs w:val="20"/>
        </w:rPr>
      </w:pPr>
    </w:p>
    <w:p w:rsidR="009948B1" w:rsidRDefault="009948B1" w:rsidP="00D154C6">
      <w:pPr>
        <w:jc w:val="both"/>
        <w:rPr>
          <w:rFonts w:ascii="Bookman Old Style" w:hAnsi="Bookman Old Style"/>
          <w:b/>
          <w:sz w:val="20"/>
          <w:szCs w:val="20"/>
        </w:rPr>
      </w:pPr>
    </w:p>
    <w:p w:rsidR="009948B1" w:rsidRDefault="009948B1" w:rsidP="00D154C6">
      <w:pPr>
        <w:jc w:val="both"/>
        <w:rPr>
          <w:rFonts w:ascii="Bookman Old Style" w:hAnsi="Bookman Old Style"/>
          <w:b/>
          <w:sz w:val="20"/>
          <w:szCs w:val="20"/>
        </w:rPr>
      </w:pPr>
    </w:p>
    <w:p w:rsidR="009948B1" w:rsidRDefault="009948B1" w:rsidP="00D154C6">
      <w:pPr>
        <w:jc w:val="both"/>
        <w:rPr>
          <w:rFonts w:ascii="Bookman Old Style" w:hAnsi="Bookman Old Style"/>
          <w:b/>
          <w:sz w:val="20"/>
          <w:szCs w:val="20"/>
        </w:rPr>
      </w:pPr>
    </w:p>
    <w:p w:rsidR="009948B1" w:rsidRDefault="009948B1" w:rsidP="00D154C6">
      <w:pPr>
        <w:jc w:val="both"/>
        <w:rPr>
          <w:rFonts w:ascii="Bookman Old Style" w:hAnsi="Bookman Old Style"/>
          <w:b/>
          <w:sz w:val="20"/>
          <w:szCs w:val="20"/>
        </w:rPr>
      </w:pPr>
    </w:p>
    <w:p w:rsidR="009948B1" w:rsidRDefault="009948B1" w:rsidP="00D154C6">
      <w:pPr>
        <w:jc w:val="both"/>
        <w:rPr>
          <w:rFonts w:ascii="Bookman Old Style" w:hAnsi="Bookman Old Style"/>
          <w:b/>
          <w:sz w:val="20"/>
          <w:szCs w:val="20"/>
        </w:rPr>
      </w:pPr>
    </w:p>
    <w:p w:rsidR="009948B1" w:rsidRDefault="009948B1" w:rsidP="00D154C6">
      <w:pPr>
        <w:jc w:val="both"/>
        <w:rPr>
          <w:rFonts w:ascii="Bookman Old Style" w:hAnsi="Bookman Old Style"/>
          <w:b/>
          <w:sz w:val="20"/>
          <w:szCs w:val="20"/>
        </w:rPr>
      </w:pPr>
    </w:p>
    <w:p w:rsidR="009948B1" w:rsidRDefault="009948B1" w:rsidP="00D154C6">
      <w:pPr>
        <w:jc w:val="both"/>
        <w:rPr>
          <w:rFonts w:ascii="Bookman Old Style" w:hAnsi="Bookman Old Style"/>
          <w:b/>
          <w:sz w:val="20"/>
          <w:szCs w:val="20"/>
        </w:rPr>
      </w:pPr>
    </w:p>
    <w:p w:rsidR="009948B1" w:rsidRDefault="009948B1" w:rsidP="00D154C6">
      <w:pPr>
        <w:jc w:val="both"/>
        <w:rPr>
          <w:rFonts w:ascii="Bookman Old Style" w:hAnsi="Bookman Old Style"/>
          <w:b/>
          <w:sz w:val="20"/>
          <w:szCs w:val="20"/>
        </w:rPr>
      </w:pPr>
    </w:p>
    <w:p w:rsidR="009948B1" w:rsidRDefault="009948B1" w:rsidP="00D154C6">
      <w:pPr>
        <w:jc w:val="both"/>
        <w:rPr>
          <w:rFonts w:ascii="Bookman Old Style" w:hAnsi="Bookman Old Style"/>
          <w:b/>
          <w:sz w:val="20"/>
          <w:szCs w:val="20"/>
        </w:rPr>
      </w:pPr>
    </w:p>
    <w:p w:rsidR="009948B1" w:rsidRDefault="009948B1" w:rsidP="00D154C6">
      <w:pPr>
        <w:jc w:val="both"/>
        <w:rPr>
          <w:rFonts w:ascii="Bookman Old Style" w:hAnsi="Bookman Old Style"/>
          <w:b/>
          <w:sz w:val="20"/>
          <w:szCs w:val="20"/>
        </w:rPr>
      </w:pPr>
    </w:p>
    <w:p w:rsidR="009948B1" w:rsidRDefault="009948B1" w:rsidP="00D154C6">
      <w:pPr>
        <w:jc w:val="both"/>
        <w:rPr>
          <w:rFonts w:ascii="Bookman Old Style" w:hAnsi="Bookman Old Style"/>
          <w:b/>
          <w:sz w:val="20"/>
          <w:szCs w:val="20"/>
        </w:rPr>
      </w:pPr>
    </w:p>
    <w:p w:rsidR="009948B1" w:rsidRDefault="009948B1" w:rsidP="00D154C6">
      <w:pPr>
        <w:jc w:val="both"/>
        <w:rPr>
          <w:rFonts w:ascii="Bookman Old Style" w:hAnsi="Bookman Old Style"/>
          <w:b/>
          <w:sz w:val="20"/>
          <w:szCs w:val="20"/>
        </w:rPr>
      </w:pPr>
    </w:p>
    <w:p w:rsidR="009948B1" w:rsidRDefault="009948B1" w:rsidP="00D154C6">
      <w:pPr>
        <w:jc w:val="both"/>
        <w:rPr>
          <w:rFonts w:ascii="Bookman Old Style" w:hAnsi="Bookman Old Style"/>
          <w:b/>
          <w:sz w:val="20"/>
          <w:szCs w:val="20"/>
        </w:rPr>
      </w:pPr>
    </w:p>
    <w:p w:rsidR="009948B1" w:rsidRDefault="000A4482" w:rsidP="000A4482">
      <w:pPr>
        <w:tabs>
          <w:tab w:val="left" w:pos="3734"/>
        </w:tabs>
        <w:jc w:val="both"/>
        <w:rPr>
          <w:rFonts w:ascii="Bookman Old Style" w:hAnsi="Bookman Old Style"/>
          <w:b/>
          <w:sz w:val="20"/>
          <w:szCs w:val="20"/>
        </w:rPr>
      </w:pPr>
      <w:r>
        <w:rPr>
          <w:rFonts w:ascii="Bookman Old Style" w:hAnsi="Bookman Old Style"/>
          <w:b/>
          <w:sz w:val="20"/>
          <w:szCs w:val="20"/>
        </w:rPr>
        <w:tab/>
      </w:r>
    </w:p>
    <w:p w:rsidR="00BD32C8" w:rsidRPr="00300E68" w:rsidRDefault="00BD32C8" w:rsidP="00300E68">
      <w:pPr>
        <w:pStyle w:val="1"/>
        <w:jc w:val="center"/>
        <w:rPr>
          <w:rFonts w:ascii="Bookman Old Style" w:hAnsi="Bookman Old Style"/>
        </w:rPr>
      </w:pPr>
      <w:bookmarkStart w:id="140" w:name="_Toc189989841"/>
      <w:bookmarkStart w:id="141" w:name="_Toc197327044"/>
      <w:bookmarkStart w:id="142" w:name="_Toc200179623"/>
      <w:bookmarkStart w:id="143" w:name="_Toc461206356"/>
      <w:bookmarkStart w:id="144" w:name="_Toc133200872"/>
      <w:bookmarkStart w:id="145" w:name="_Toc170273667"/>
      <w:bookmarkStart w:id="146" w:name="_Toc200193947"/>
      <w:bookmarkEnd w:id="31"/>
      <w:bookmarkEnd w:id="32"/>
      <w:r w:rsidRPr="00300E68">
        <w:rPr>
          <w:rFonts w:ascii="Bookman Old Style" w:hAnsi="Bookman Old Style"/>
        </w:rPr>
        <w:lastRenderedPageBreak/>
        <w:t>2. ПОСЛЕДОВАТЕЛЬНОСТЬ ОПРЕДЕЛЕНИЯ СТОИМОСТИ</w:t>
      </w:r>
      <w:bookmarkEnd w:id="140"/>
      <w:bookmarkEnd w:id="141"/>
      <w:bookmarkEnd w:id="142"/>
      <w:bookmarkEnd w:id="143"/>
    </w:p>
    <w:p w:rsidR="00BD32C8" w:rsidRPr="00300E68" w:rsidRDefault="00BD32C8" w:rsidP="00300E68">
      <w:pPr>
        <w:pStyle w:val="2"/>
        <w:spacing w:before="120" w:after="120"/>
        <w:rPr>
          <w:rFonts w:ascii="Bookman Old Style" w:hAnsi="Bookman Old Style"/>
          <w:b/>
          <w:sz w:val="20"/>
          <w:szCs w:val="20"/>
        </w:rPr>
      </w:pPr>
      <w:bookmarkStart w:id="147" w:name="_Toc189989842"/>
      <w:bookmarkStart w:id="148" w:name="_Toc197327045"/>
      <w:bookmarkStart w:id="149" w:name="_Toc200179624"/>
      <w:bookmarkStart w:id="150" w:name="_Toc461206357"/>
      <w:r w:rsidRPr="00300E68">
        <w:rPr>
          <w:rFonts w:ascii="Bookman Old Style" w:hAnsi="Bookman Old Style"/>
          <w:b/>
          <w:sz w:val="20"/>
          <w:szCs w:val="20"/>
        </w:rPr>
        <w:t>2.1. ОБЪЕМ И ЭТАПЫ ИССЛЕДОВАНИЯ</w:t>
      </w:r>
      <w:bookmarkEnd w:id="147"/>
      <w:bookmarkEnd w:id="148"/>
      <w:bookmarkEnd w:id="149"/>
      <w:bookmarkEnd w:id="150"/>
    </w:p>
    <w:p w:rsidR="00BD32C8" w:rsidRPr="00FB22D3" w:rsidRDefault="00BD32C8" w:rsidP="000A1998">
      <w:pPr>
        <w:autoSpaceDE w:val="0"/>
        <w:autoSpaceDN w:val="0"/>
        <w:adjustRightInd w:val="0"/>
        <w:spacing w:before="120" w:after="120"/>
        <w:ind w:firstLine="708"/>
        <w:jc w:val="both"/>
        <w:rPr>
          <w:rFonts w:ascii="Bookman Old Style" w:hAnsi="Bookman Old Style"/>
          <w:sz w:val="20"/>
          <w:szCs w:val="20"/>
        </w:rPr>
      </w:pPr>
      <w:r w:rsidRPr="00FB22D3">
        <w:rPr>
          <w:rFonts w:ascii="Bookman Old Style" w:hAnsi="Bookman Old Style"/>
          <w:sz w:val="20"/>
          <w:szCs w:val="20"/>
        </w:rPr>
        <w:t>Объем и этапы исследований</w:t>
      </w:r>
      <w:r w:rsidR="000A1998">
        <w:rPr>
          <w:rFonts w:ascii="Bookman Old Style" w:hAnsi="Bookman Old Style"/>
          <w:sz w:val="20"/>
          <w:szCs w:val="20"/>
        </w:rPr>
        <w:t xml:space="preserve"> при проведении оценки</w:t>
      </w:r>
      <w:r w:rsidRPr="00FB22D3">
        <w:rPr>
          <w:rFonts w:ascii="Bookman Old Style" w:hAnsi="Bookman Old Style"/>
          <w:sz w:val="20"/>
          <w:szCs w:val="20"/>
        </w:rPr>
        <w:t xml:space="preserve"> включают в себя:</w:t>
      </w:r>
    </w:p>
    <w:p w:rsidR="00BD32C8" w:rsidRPr="000A1998" w:rsidRDefault="00BD32C8" w:rsidP="00AB1FB9">
      <w:pPr>
        <w:pStyle w:val="aff2"/>
        <w:numPr>
          <w:ilvl w:val="0"/>
          <w:numId w:val="11"/>
        </w:numPr>
        <w:spacing w:before="120" w:after="120"/>
        <w:ind w:left="714" w:hanging="357"/>
        <w:contextualSpacing w:val="0"/>
        <w:jc w:val="both"/>
        <w:rPr>
          <w:rFonts w:ascii="Bookman Old Style" w:hAnsi="Bookman Old Style"/>
          <w:sz w:val="20"/>
          <w:szCs w:val="20"/>
        </w:rPr>
      </w:pPr>
      <w:r w:rsidRPr="000A1998">
        <w:rPr>
          <w:rFonts w:ascii="Bookman Old Style" w:hAnsi="Bookman Old Style"/>
          <w:sz w:val="20"/>
          <w:szCs w:val="20"/>
        </w:rPr>
        <w:t>Заключение договора на проведение оценки, включающего задание на оценку;</w:t>
      </w:r>
    </w:p>
    <w:p w:rsidR="00BD32C8" w:rsidRPr="000A1998" w:rsidRDefault="00BD32C8" w:rsidP="00AB1FB9">
      <w:pPr>
        <w:pStyle w:val="aff2"/>
        <w:numPr>
          <w:ilvl w:val="0"/>
          <w:numId w:val="11"/>
        </w:numPr>
        <w:spacing w:before="120" w:after="120"/>
        <w:ind w:left="714" w:hanging="357"/>
        <w:contextualSpacing w:val="0"/>
        <w:jc w:val="both"/>
        <w:rPr>
          <w:rFonts w:ascii="Bookman Old Style" w:hAnsi="Bookman Old Style"/>
          <w:sz w:val="20"/>
          <w:szCs w:val="20"/>
        </w:rPr>
      </w:pPr>
      <w:r w:rsidRPr="000A1998">
        <w:rPr>
          <w:rFonts w:ascii="Bookman Old Style" w:hAnsi="Bookman Old Style"/>
          <w:sz w:val="20"/>
          <w:szCs w:val="20"/>
        </w:rPr>
        <w:t>Сбор и анализ информации, необходимой для проведения оценки;</w:t>
      </w:r>
    </w:p>
    <w:p w:rsidR="00BD32C8" w:rsidRPr="000A1998" w:rsidRDefault="00BD32C8" w:rsidP="00AB1FB9">
      <w:pPr>
        <w:pStyle w:val="aff2"/>
        <w:numPr>
          <w:ilvl w:val="0"/>
          <w:numId w:val="11"/>
        </w:numPr>
        <w:spacing w:before="120" w:after="120"/>
        <w:ind w:left="714" w:hanging="357"/>
        <w:contextualSpacing w:val="0"/>
        <w:rPr>
          <w:rFonts w:ascii="Bookman Old Style" w:hAnsi="Bookman Old Style"/>
          <w:sz w:val="20"/>
          <w:szCs w:val="20"/>
        </w:rPr>
      </w:pPr>
      <w:r w:rsidRPr="000A1998">
        <w:rPr>
          <w:rFonts w:ascii="Bookman Old Style" w:hAnsi="Bookman Old Style"/>
          <w:sz w:val="20"/>
          <w:szCs w:val="20"/>
        </w:rPr>
        <w:t>Применение подходов к оценке, включая выбор методов оценки и осуществление необходимых расчетов;</w:t>
      </w:r>
    </w:p>
    <w:p w:rsidR="00BD32C8" w:rsidRPr="000A1998" w:rsidRDefault="00BD32C8" w:rsidP="00AB1FB9">
      <w:pPr>
        <w:pStyle w:val="aff2"/>
        <w:numPr>
          <w:ilvl w:val="0"/>
          <w:numId w:val="11"/>
        </w:numPr>
        <w:spacing w:before="120" w:after="120"/>
        <w:ind w:left="714" w:hanging="357"/>
        <w:contextualSpacing w:val="0"/>
        <w:jc w:val="both"/>
        <w:rPr>
          <w:rFonts w:ascii="Bookman Old Style" w:hAnsi="Bookman Old Style"/>
          <w:sz w:val="20"/>
          <w:szCs w:val="20"/>
        </w:rPr>
      </w:pPr>
      <w:r w:rsidRPr="000A1998">
        <w:rPr>
          <w:rFonts w:ascii="Bookman Old Style" w:hAnsi="Bookman Old Style"/>
          <w:sz w:val="20"/>
          <w:szCs w:val="20"/>
        </w:rPr>
        <w:t>Согласование (обобщение) результатов применения подходов к оценке и определение итоговой величины стоимости объекта оценки;</w:t>
      </w:r>
    </w:p>
    <w:p w:rsidR="00BD32C8" w:rsidRPr="000A1998" w:rsidRDefault="00BD32C8" w:rsidP="00AB1FB9">
      <w:pPr>
        <w:pStyle w:val="aff2"/>
        <w:numPr>
          <w:ilvl w:val="0"/>
          <w:numId w:val="11"/>
        </w:numPr>
        <w:spacing w:before="120" w:after="120"/>
        <w:ind w:left="714" w:hanging="357"/>
        <w:contextualSpacing w:val="0"/>
        <w:jc w:val="both"/>
        <w:rPr>
          <w:rFonts w:ascii="Bookman Old Style" w:hAnsi="Bookman Old Style"/>
          <w:sz w:val="20"/>
          <w:szCs w:val="20"/>
        </w:rPr>
      </w:pPr>
      <w:r w:rsidRPr="000A1998">
        <w:rPr>
          <w:rFonts w:ascii="Bookman Old Style" w:hAnsi="Bookman Old Style"/>
          <w:sz w:val="20"/>
          <w:szCs w:val="20"/>
        </w:rPr>
        <w:t>Составление отчета об оценке.</w:t>
      </w:r>
    </w:p>
    <w:p w:rsidR="00BD32C8" w:rsidRPr="00300E68" w:rsidRDefault="00BD32C8" w:rsidP="00300E68">
      <w:pPr>
        <w:pStyle w:val="2"/>
        <w:rPr>
          <w:rFonts w:ascii="Bookman Old Style" w:hAnsi="Bookman Old Style"/>
          <w:b/>
          <w:sz w:val="20"/>
          <w:szCs w:val="20"/>
        </w:rPr>
      </w:pPr>
      <w:bookmarkStart w:id="151" w:name="_Toc189989843"/>
      <w:bookmarkStart w:id="152" w:name="_Toc197327046"/>
      <w:bookmarkStart w:id="153" w:name="_Toc200179625"/>
      <w:bookmarkStart w:id="154" w:name="_Toc461206358"/>
      <w:r w:rsidRPr="00300E68">
        <w:rPr>
          <w:rFonts w:ascii="Bookman Old Style" w:hAnsi="Bookman Old Style"/>
          <w:b/>
          <w:sz w:val="20"/>
          <w:szCs w:val="20"/>
        </w:rPr>
        <w:t>2.2. ВИД ОПРЕДЕЛЯЕМОЙ СТОИМОСТИ</w:t>
      </w:r>
      <w:bookmarkEnd w:id="151"/>
      <w:bookmarkEnd w:id="152"/>
      <w:bookmarkEnd w:id="153"/>
      <w:bookmarkEnd w:id="154"/>
    </w:p>
    <w:p w:rsidR="00FE6D64" w:rsidRPr="00FE6D64" w:rsidRDefault="00FE6D64" w:rsidP="00FE6D64">
      <w:pPr>
        <w:autoSpaceDE w:val="0"/>
        <w:autoSpaceDN w:val="0"/>
        <w:adjustRightInd w:val="0"/>
        <w:spacing w:before="120" w:after="120"/>
        <w:ind w:firstLine="709"/>
        <w:jc w:val="both"/>
        <w:rPr>
          <w:rFonts w:ascii="Bookman Old Style" w:hAnsi="Bookman Old Style"/>
          <w:sz w:val="20"/>
          <w:szCs w:val="20"/>
        </w:rPr>
      </w:pPr>
      <w:bookmarkStart w:id="155" w:name="_Toc189989844"/>
      <w:bookmarkStart w:id="156" w:name="_Toc197327047"/>
      <w:bookmarkStart w:id="157" w:name="_Toc200179626"/>
      <w:r w:rsidRPr="00FE6D64">
        <w:rPr>
          <w:rFonts w:ascii="Bookman Old Style" w:hAnsi="Bookman Old Style"/>
          <w:sz w:val="20"/>
          <w:szCs w:val="20"/>
        </w:rPr>
        <w:t xml:space="preserve">Согласно Договору на проведение оценки и Задания на оценку, в процессе работы определялась величина рыночной стоимости Объекта оценки. </w:t>
      </w:r>
    </w:p>
    <w:p w:rsidR="00FE6D64" w:rsidRPr="00FE6D64" w:rsidRDefault="00FE6D64" w:rsidP="00FE6D64">
      <w:pPr>
        <w:autoSpaceDE w:val="0"/>
        <w:autoSpaceDN w:val="0"/>
        <w:adjustRightInd w:val="0"/>
        <w:spacing w:before="120" w:after="120"/>
        <w:ind w:firstLine="709"/>
        <w:jc w:val="both"/>
        <w:rPr>
          <w:rFonts w:ascii="Bookman Old Style" w:hAnsi="Bookman Old Style"/>
          <w:sz w:val="20"/>
          <w:szCs w:val="20"/>
        </w:rPr>
      </w:pPr>
      <w:r w:rsidRPr="00FE6D64">
        <w:rPr>
          <w:rFonts w:ascii="Bookman Old Style" w:hAnsi="Bookman Old Style"/>
          <w:sz w:val="20"/>
          <w:szCs w:val="20"/>
        </w:rPr>
        <w:t>Под рыночной стоимостью понимается</w:t>
      </w:r>
      <w:r w:rsidRPr="00FE6D64">
        <w:rPr>
          <w:rFonts w:ascii="Bookman Old Style" w:hAnsi="Bookman Old Style"/>
          <w:sz w:val="20"/>
          <w:szCs w:val="20"/>
          <w:vertAlign w:val="superscript"/>
        </w:rPr>
        <w:footnoteReference w:id="9"/>
      </w:r>
      <w:r w:rsidRPr="00FE6D64">
        <w:rPr>
          <w:rFonts w:ascii="Bookman Old Style" w:hAnsi="Bookman Old Style"/>
          <w:sz w:val="20"/>
          <w:szCs w:val="20"/>
        </w:rPr>
        <w:t>:</w:t>
      </w:r>
    </w:p>
    <w:p w:rsidR="00FE6D64" w:rsidRPr="00FE6D64" w:rsidRDefault="00FE6D64" w:rsidP="00FE6D64">
      <w:pPr>
        <w:autoSpaceDE w:val="0"/>
        <w:autoSpaceDN w:val="0"/>
        <w:adjustRightInd w:val="0"/>
        <w:spacing w:before="120" w:after="120"/>
        <w:jc w:val="both"/>
        <w:rPr>
          <w:rFonts w:ascii="Bookman Old Style" w:hAnsi="Bookman Old Style"/>
          <w:sz w:val="20"/>
          <w:szCs w:val="20"/>
        </w:rPr>
      </w:pPr>
      <w:r w:rsidRPr="00FE6D64">
        <w:rPr>
          <w:rFonts w:ascii="Bookman Old Style" w:hAnsi="Bookman Old Style"/>
          <w:sz w:val="20"/>
          <w:szCs w:val="20"/>
        </w:rPr>
        <w:t>наиболее вероятная цена, по которой данный объект оценки может быть отчужден на открытом рынке в условиях конкуренции, когда стороны сделки действуют разумно, располагая всей необходимой информацией, а на величине цены сделки не отражаются какие-либо чрезвычайные обстоятельства, то есть когда:</w:t>
      </w:r>
    </w:p>
    <w:p w:rsidR="00FE6D64" w:rsidRPr="00FE6D64" w:rsidRDefault="00FE6D64" w:rsidP="00AB1FB9">
      <w:pPr>
        <w:numPr>
          <w:ilvl w:val="0"/>
          <w:numId w:val="10"/>
        </w:numPr>
        <w:autoSpaceDE w:val="0"/>
        <w:autoSpaceDN w:val="0"/>
        <w:adjustRightInd w:val="0"/>
        <w:spacing w:before="120" w:after="120"/>
        <w:ind w:left="714" w:hanging="357"/>
        <w:rPr>
          <w:rFonts w:ascii="Bookman Old Style" w:hAnsi="Bookman Old Style"/>
          <w:sz w:val="20"/>
          <w:szCs w:val="20"/>
        </w:rPr>
      </w:pPr>
      <w:r w:rsidRPr="00FE6D64">
        <w:rPr>
          <w:rFonts w:ascii="Bookman Old Style" w:hAnsi="Bookman Old Style"/>
          <w:sz w:val="20"/>
          <w:szCs w:val="20"/>
        </w:rPr>
        <w:t>одна из сторон сделки не обязана отчуждать объект оценки, а другая сторона не обязана принимать исполнение;</w:t>
      </w:r>
    </w:p>
    <w:p w:rsidR="00FE6D64" w:rsidRPr="00FE6D64" w:rsidRDefault="00FE6D64" w:rsidP="00AB1FB9">
      <w:pPr>
        <w:numPr>
          <w:ilvl w:val="0"/>
          <w:numId w:val="10"/>
        </w:numPr>
        <w:autoSpaceDE w:val="0"/>
        <w:autoSpaceDN w:val="0"/>
        <w:adjustRightInd w:val="0"/>
        <w:spacing w:before="120" w:after="120"/>
        <w:ind w:left="714" w:hanging="357"/>
        <w:rPr>
          <w:rFonts w:ascii="Bookman Old Style" w:hAnsi="Bookman Old Style"/>
          <w:sz w:val="20"/>
          <w:szCs w:val="20"/>
        </w:rPr>
      </w:pPr>
      <w:r w:rsidRPr="00FE6D64">
        <w:rPr>
          <w:rFonts w:ascii="Bookman Old Style" w:hAnsi="Bookman Old Style"/>
          <w:sz w:val="20"/>
          <w:szCs w:val="20"/>
        </w:rPr>
        <w:t>стороны сделки хорошо осведомлены о предмете сделки и действуют в своих интересах;</w:t>
      </w:r>
    </w:p>
    <w:p w:rsidR="00FE6D64" w:rsidRPr="00FE6D64" w:rsidRDefault="00FE6D64" w:rsidP="00AB1FB9">
      <w:pPr>
        <w:numPr>
          <w:ilvl w:val="0"/>
          <w:numId w:val="10"/>
        </w:numPr>
        <w:autoSpaceDE w:val="0"/>
        <w:autoSpaceDN w:val="0"/>
        <w:adjustRightInd w:val="0"/>
        <w:spacing w:before="120" w:after="120"/>
        <w:ind w:left="714" w:hanging="357"/>
        <w:rPr>
          <w:rFonts w:ascii="Bookman Old Style" w:hAnsi="Bookman Old Style"/>
          <w:sz w:val="20"/>
          <w:szCs w:val="20"/>
        </w:rPr>
      </w:pPr>
      <w:r w:rsidRPr="00FE6D64">
        <w:rPr>
          <w:rFonts w:ascii="Bookman Old Style" w:hAnsi="Bookman Old Style"/>
          <w:sz w:val="20"/>
          <w:szCs w:val="20"/>
        </w:rPr>
        <w:t>объект оценки представлен на открытом рынке посредством публичной оферты, типичной для аналогичных объектов оценки;</w:t>
      </w:r>
    </w:p>
    <w:p w:rsidR="00FE6D64" w:rsidRPr="00FE6D64" w:rsidRDefault="00FE6D64" w:rsidP="00AB1FB9">
      <w:pPr>
        <w:numPr>
          <w:ilvl w:val="0"/>
          <w:numId w:val="10"/>
        </w:numPr>
        <w:autoSpaceDE w:val="0"/>
        <w:autoSpaceDN w:val="0"/>
        <w:adjustRightInd w:val="0"/>
        <w:spacing w:before="120" w:after="120"/>
        <w:ind w:left="714" w:hanging="357"/>
        <w:rPr>
          <w:rFonts w:ascii="Bookman Old Style" w:hAnsi="Bookman Old Style"/>
          <w:sz w:val="20"/>
          <w:szCs w:val="20"/>
        </w:rPr>
      </w:pPr>
      <w:r w:rsidRPr="00FE6D64">
        <w:rPr>
          <w:rFonts w:ascii="Bookman Old Style" w:hAnsi="Bookman Old Style"/>
          <w:sz w:val="20"/>
          <w:szCs w:val="20"/>
        </w:rPr>
        <w:t>цена сделки представляет собой разумное вознаграждение за объект оценки и принуждения к совершению сделки в отношении сторон сделки с чьей-либо стороны не было;</w:t>
      </w:r>
    </w:p>
    <w:p w:rsidR="00FE6D64" w:rsidRPr="00FE6D64" w:rsidRDefault="00FE6D64" w:rsidP="00AB1FB9">
      <w:pPr>
        <w:numPr>
          <w:ilvl w:val="0"/>
          <w:numId w:val="10"/>
        </w:numPr>
        <w:autoSpaceDE w:val="0"/>
        <w:autoSpaceDN w:val="0"/>
        <w:adjustRightInd w:val="0"/>
        <w:spacing w:before="120" w:after="120"/>
        <w:ind w:left="714" w:hanging="357"/>
        <w:rPr>
          <w:rFonts w:ascii="Bookman Old Style" w:hAnsi="Bookman Old Style"/>
          <w:sz w:val="20"/>
          <w:szCs w:val="20"/>
        </w:rPr>
      </w:pPr>
      <w:r w:rsidRPr="00FE6D64">
        <w:rPr>
          <w:rFonts w:ascii="Bookman Old Style" w:hAnsi="Bookman Old Style"/>
          <w:sz w:val="20"/>
          <w:szCs w:val="20"/>
        </w:rPr>
        <w:t>платеж за объект оценки выражен в денежной форме.</w:t>
      </w:r>
    </w:p>
    <w:p w:rsidR="00FE6D64" w:rsidRPr="00FE6D64" w:rsidRDefault="00FE6D64" w:rsidP="00FE6D64">
      <w:pPr>
        <w:spacing w:before="120" w:after="120"/>
        <w:ind w:firstLine="708"/>
        <w:jc w:val="both"/>
        <w:rPr>
          <w:rFonts w:ascii="Bookman Old Style" w:hAnsi="Bookman Old Style"/>
          <w:sz w:val="20"/>
          <w:szCs w:val="20"/>
        </w:rPr>
      </w:pPr>
      <w:r w:rsidRPr="00FE6D64">
        <w:rPr>
          <w:rFonts w:ascii="Bookman Old Style" w:hAnsi="Bookman Old Style"/>
          <w:sz w:val="20"/>
          <w:szCs w:val="20"/>
        </w:rPr>
        <w:t>Возможность отчуждения на открытом рынке означает, что объект оценки представлен на открытом рынке посредством публичной оферты, типичной для аналогичных объектов, при этом срок экспозиции объекта на рынке должен быть достаточным для привлечения внимания достаточного числа потенциальных покупателей.</w:t>
      </w:r>
    </w:p>
    <w:p w:rsidR="00FE6D64" w:rsidRPr="00FE6D64" w:rsidRDefault="00FE6D64" w:rsidP="00FE6D64">
      <w:pPr>
        <w:spacing w:before="120" w:after="120"/>
        <w:ind w:firstLine="708"/>
        <w:jc w:val="both"/>
        <w:rPr>
          <w:rFonts w:ascii="Bookman Old Style" w:hAnsi="Bookman Old Style"/>
          <w:sz w:val="20"/>
          <w:szCs w:val="20"/>
        </w:rPr>
      </w:pPr>
      <w:r w:rsidRPr="00FE6D64">
        <w:rPr>
          <w:rFonts w:ascii="Bookman Old Style" w:hAnsi="Bookman Old Style"/>
          <w:sz w:val="20"/>
          <w:szCs w:val="20"/>
        </w:rPr>
        <w:t>Разумность действий сторон сделки означает, что цена сделки - наибольшая из достижимых по разумным соображениям цен для продавца и наименьшая из достижимых по разумным соображениям цен для покупателя.</w:t>
      </w:r>
    </w:p>
    <w:p w:rsidR="00FE6D64" w:rsidRPr="00FE6D64" w:rsidRDefault="00FE6D64" w:rsidP="00FE6D64">
      <w:pPr>
        <w:spacing w:before="120" w:after="120"/>
        <w:ind w:firstLine="708"/>
        <w:jc w:val="both"/>
        <w:rPr>
          <w:rFonts w:ascii="Bookman Old Style" w:hAnsi="Bookman Old Style"/>
          <w:sz w:val="20"/>
          <w:szCs w:val="20"/>
        </w:rPr>
      </w:pPr>
      <w:r w:rsidRPr="00FE6D64">
        <w:rPr>
          <w:rFonts w:ascii="Bookman Old Style" w:hAnsi="Bookman Old Style"/>
          <w:sz w:val="20"/>
          <w:szCs w:val="20"/>
        </w:rPr>
        <w:t>Полнота располагаемой информации означает, что стороны сделки в достаточной степени информированы о предмете сделки, действуют, стремясь достичь условий сделки, наилучших с точки зрения каждой из сторон, в соответствии с полным объемом информации о состоянии рынка и объекте оценки, доступным на дату оценки.</w:t>
      </w:r>
    </w:p>
    <w:p w:rsidR="00FE6D64" w:rsidRDefault="00FE6D64" w:rsidP="00FE6D64">
      <w:pPr>
        <w:spacing w:before="120" w:after="120"/>
        <w:ind w:firstLine="708"/>
        <w:jc w:val="both"/>
        <w:rPr>
          <w:rFonts w:ascii="Bookman Old Style" w:hAnsi="Bookman Old Style"/>
          <w:sz w:val="20"/>
          <w:szCs w:val="20"/>
        </w:rPr>
      </w:pPr>
      <w:r w:rsidRPr="00FE6D64">
        <w:rPr>
          <w:rFonts w:ascii="Bookman Old Style" w:hAnsi="Bookman Old Style"/>
          <w:sz w:val="20"/>
          <w:szCs w:val="20"/>
        </w:rPr>
        <w:t>Отсутствие чрезвычайных обстоятельств означает, что у каждой из сторон сделки имеются мотивы для совершения сделки, при этом в отношении сторон нет принуждения совершить сделку.</w:t>
      </w:r>
    </w:p>
    <w:p w:rsidR="007C5CFA" w:rsidRDefault="007C5CFA" w:rsidP="00FE6D64">
      <w:pPr>
        <w:spacing w:before="120" w:after="120"/>
        <w:ind w:firstLine="708"/>
        <w:jc w:val="both"/>
        <w:rPr>
          <w:rFonts w:ascii="Bookman Old Style" w:hAnsi="Bookman Old Style"/>
          <w:sz w:val="20"/>
          <w:szCs w:val="20"/>
        </w:rPr>
      </w:pPr>
    </w:p>
    <w:p w:rsidR="007C5CFA" w:rsidRDefault="007C5CFA" w:rsidP="00FE6D64">
      <w:pPr>
        <w:spacing w:before="120" w:after="120"/>
        <w:ind w:firstLine="708"/>
        <w:jc w:val="both"/>
        <w:rPr>
          <w:rFonts w:ascii="Bookman Old Style" w:hAnsi="Bookman Old Style"/>
          <w:sz w:val="20"/>
          <w:szCs w:val="20"/>
        </w:rPr>
      </w:pPr>
    </w:p>
    <w:p w:rsidR="007C5CFA" w:rsidRDefault="007C5CFA" w:rsidP="00FE6D64">
      <w:pPr>
        <w:spacing w:before="120" w:after="120"/>
        <w:ind w:firstLine="708"/>
        <w:jc w:val="both"/>
        <w:rPr>
          <w:rFonts w:ascii="Bookman Old Style" w:hAnsi="Bookman Old Style"/>
          <w:sz w:val="20"/>
          <w:szCs w:val="20"/>
        </w:rPr>
      </w:pPr>
    </w:p>
    <w:p w:rsidR="0035733F" w:rsidRDefault="0035733F" w:rsidP="00FE6D64">
      <w:pPr>
        <w:spacing w:before="120" w:after="120"/>
        <w:ind w:firstLine="708"/>
        <w:jc w:val="both"/>
        <w:rPr>
          <w:rFonts w:ascii="Bookman Old Style" w:hAnsi="Bookman Old Style"/>
          <w:sz w:val="20"/>
          <w:szCs w:val="20"/>
        </w:rPr>
      </w:pPr>
    </w:p>
    <w:p w:rsidR="00A0696A" w:rsidRDefault="00A0696A" w:rsidP="00FE6D64">
      <w:pPr>
        <w:spacing w:before="120" w:after="120"/>
        <w:ind w:firstLine="708"/>
        <w:jc w:val="both"/>
        <w:rPr>
          <w:rFonts w:ascii="Bookman Old Style" w:hAnsi="Bookman Old Style"/>
          <w:sz w:val="20"/>
          <w:szCs w:val="20"/>
        </w:rPr>
      </w:pPr>
    </w:p>
    <w:p w:rsidR="007D0A44" w:rsidRPr="00271EAA" w:rsidRDefault="007D0A44" w:rsidP="007D0A44">
      <w:pPr>
        <w:pStyle w:val="1"/>
        <w:jc w:val="center"/>
        <w:rPr>
          <w:rFonts w:ascii="Bookman Old Style" w:hAnsi="Bookman Old Style"/>
        </w:rPr>
      </w:pPr>
      <w:bookmarkStart w:id="158" w:name="_Toc461206359"/>
      <w:bookmarkStart w:id="159" w:name="_Toc205022806"/>
      <w:bookmarkStart w:id="160" w:name="_Toc293317440"/>
      <w:bookmarkStart w:id="161" w:name="_Toc293401534"/>
      <w:bookmarkStart w:id="162" w:name="_Toc163366344"/>
      <w:r>
        <w:rPr>
          <w:rFonts w:ascii="Bookman Old Style" w:hAnsi="Bookman Old Style"/>
        </w:rPr>
        <w:lastRenderedPageBreak/>
        <w:t>3</w:t>
      </w:r>
      <w:r w:rsidRPr="00271EAA">
        <w:rPr>
          <w:rFonts w:ascii="Bookman Old Style" w:hAnsi="Bookman Old Style"/>
        </w:rPr>
        <w:t xml:space="preserve">. </w:t>
      </w:r>
      <w:r w:rsidR="00D93DC5" w:rsidRPr="00D93DC5">
        <w:rPr>
          <w:rFonts w:ascii="Bookman Old Style" w:hAnsi="Bookman Old Style"/>
        </w:rPr>
        <w:t>ОПИСАНИЕ ОБЪЕКТА ОЦЕНКИ С ПРИВЕДЕНИЕМ ССЫЛОК НА ДОКУМЕНТЫ, УСТАНАВЛИВАЮЩИЕ КОЛИЧЕСТВЕННЫЕ И КАЧЕСТВЕННЫЕ ХАРАКТЕРИСТИКИ ОБЪЕКТА ОЦЕНКИ</w:t>
      </w:r>
      <w:bookmarkEnd w:id="158"/>
    </w:p>
    <w:p w:rsidR="007D0A44" w:rsidRPr="0031307C" w:rsidRDefault="007D0A44" w:rsidP="007D0A44">
      <w:pPr>
        <w:pStyle w:val="2"/>
        <w:spacing w:before="120"/>
        <w:rPr>
          <w:rFonts w:ascii="Bookman Old Style" w:hAnsi="Bookman Old Style"/>
          <w:b/>
          <w:sz w:val="20"/>
          <w:szCs w:val="20"/>
        </w:rPr>
      </w:pPr>
      <w:bookmarkStart w:id="163" w:name="_Toc461206360"/>
      <w:r>
        <w:rPr>
          <w:rFonts w:ascii="Bookman Old Style" w:hAnsi="Bookman Old Style"/>
          <w:b/>
          <w:sz w:val="20"/>
          <w:szCs w:val="20"/>
        </w:rPr>
        <w:t>3</w:t>
      </w:r>
      <w:r w:rsidRPr="0031307C">
        <w:rPr>
          <w:rFonts w:ascii="Bookman Old Style" w:hAnsi="Bookman Old Style"/>
          <w:b/>
          <w:sz w:val="20"/>
          <w:szCs w:val="20"/>
        </w:rPr>
        <w:t>.1. СВЕДЕНИЯ О ИМУЩЕСТВЕННЫХ ПРАВАХ И ОБРЕМЕНЕНИЯХ</w:t>
      </w:r>
      <w:bookmarkEnd w:id="163"/>
    </w:p>
    <w:p w:rsidR="0089581A" w:rsidRDefault="0089581A" w:rsidP="0089581A">
      <w:pPr>
        <w:pStyle w:val="3"/>
        <w:spacing w:after="120"/>
        <w:rPr>
          <w:rFonts w:ascii="Bookman Old Style" w:hAnsi="Bookman Old Style"/>
          <w:sz w:val="20"/>
          <w:szCs w:val="20"/>
        </w:rPr>
      </w:pPr>
      <w:bookmarkStart w:id="164" w:name="_Toc461206361"/>
      <w:r>
        <w:rPr>
          <w:rFonts w:ascii="Bookman Old Style" w:hAnsi="Bookman Old Style"/>
          <w:sz w:val="20"/>
          <w:szCs w:val="20"/>
        </w:rPr>
        <w:t>3.1</w:t>
      </w:r>
      <w:r w:rsidRPr="00093E84">
        <w:rPr>
          <w:rFonts w:ascii="Bookman Old Style" w:hAnsi="Bookman Old Style"/>
          <w:sz w:val="20"/>
          <w:szCs w:val="20"/>
        </w:rPr>
        <w:t>.</w:t>
      </w:r>
      <w:r w:rsidR="00467865">
        <w:rPr>
          <w:rFonts w:ascii="Bookman Old Style" w:hAnsi="Bookman Old Style"/>
          <w:sz w:val="20"/>
          <w:szCs w:val="20"/>
        </w:rPr>
        <w:t>1</w:t>
      </w:r>
      <w:r w:rsidRPr="00093E84">
        <w:rPr>
          <w:rFonts w:ascii="Bookman Old Style" w:hAnsi="Bookman Old Style"/>
          <w:sz w:val="20"/>
          <w:szCs w:val="20"/>
        </w:rPr>
        <w:t xml:space="preserve">. </w:t>
      </w:r>
      <w:r>
        <w:rPr>
          <w:rFonts w:ascii="Bookman Old Style" w:hAnsi="Bookman Old Style"/>
          <w:sz w:val="20"/>
          <w:szCs w:val="20"/>
        </w:rPr>
        <w:t>Сведения об имущественных правах</w:t>
      </w:r>
      <w:bookmarkEnd w:id="164"/>
      <w:r>
        <w:rPr>
          <w:rFonts w:ascii="Bookman Old Style" w:hAnsi="Bookman Old Style"/>
          <w:sz w:val="20"/>
          <w:szCs w:val="20"/>
        </w:rPr>
        <w:t xml:space="preserve"> </w:t>
      </w:r>
    </w:p>
    <w:p w:rsidR="005D4B32" w:rsidRDefault="005D4B32" w:rsidP="005D4B32">
      <w:pPr>
        <w:autoSpaceDE w:val="0"/>
        <w:autoSpaceDN w:val="0"/>
        <w:adjustRightInd w:val="0"/>
        <w:spacing w:before="120" w:after="120"/>
        <w:ind w:left="360" w:firstLine="349"/>
        <w:jc w:val="both"/>
        <w:rPr>
          <w:rFonts w:ascii="Bookman Old Style" w:hAnsi="Bookman Old Style"/>
          <w:sz w:val="20"/>
          <w:szCs w:val="20"/>
        </w:rPr>
      </w:pPr>
      <w:r w:rsidRPr="00E31846">
        <w:rPr>
          <w:rFonts w:ascii="Bookman Old Style" w:hAnsi="Bookman Old Style"/>
          <w:sz w:val="20"/>
          <w:szCs w:val="20"/>
        </w:rPr>
        <w:t>Объект</w:t>
      </w:r>
      <w:r>
        <w:rPr>
          <w:rFonts w:ascii="Bookman Old Style" w:hAnsi="Bookman Old Style"/>
          <w:sz w:val="20"/>
          <w:szCs w:val="20"/>
        </w:rPr>
        <w:t xml:space="preserve">ом </w:t>
      </w:r>
      <w:r w:rsidRPr="00E31846">
        <w:rPr>
          <w:rFonts w:ascii="Bookman Old Style" w:hAnsi="Bookman Old Style"/>
          <w:sz w:val="20"/>
          <w:szCs w:val="20"/>
        </w:rPr>
        <w:t>оценки</w:t>
      </w:r>
      <w:r>
        <w:rPr>
          <w:rFonts w:ascii="Bookman Old Style" w:hAnsi="Bookman Old Style"/>
          <w:sz w:val="20"/>
          <w:szCs w:val="20"/>
        </w:rPr>
        <w:t xml:space="preserve"> является</w:t>
      </w:r>
      <w:r w:rsidRPr="00E31846">
        <w:rPr>
          <w:rFonts w:ascii="Bookman Old Style" w:hAnsi="Bookman Old Style"/>
          <w:sz w:val="20"/>
          <w:szCs w:val="20"/>
        </w:rPr>
        <w:t xml:space="preserve">: </w:t>
      </w:r>
    </w:p>
    <w:p w:rsidR="000A4482" w:rsidRPr="000A4482" w:rsidRDefault="000A4482" w:rsidP="000A4482">
      <w:pPr>
        <w:pStyle w:val="aff2"/>
        <w:spacing w:before="120" w:after="120"/>
        <w:contextualSpacing w:val="0"/>
        <w:jc w:val="both"/>
        <w:rPr>
          <w:rFonts w:ascii="Bookman Old Style" w:hAnsi="Bookman Old Style"/>
          <w:sz w:val="20"/>
          <w:szCs w:val="20"/>
        </w:rPr>
      </w:pPr>
      <w:r w:rsidRPr="000A4482">
        <w:rPr>
          <w:rFonts w:ascii="Bookman Old Style" w:hAnsi="Bookman Old Style"/>
          <w:sz w:val="20"/>
          <w:szCs w:val="20"/>
        </w:rPr>
        <w:t>Недвижимое и движимое имущество ООО «Окно», находящееся в залоге у Открытого акционерного общества Акционерный коммерческий банк «Банк Москвы», в составе элементов:</w:t>
      </w:r>
    </w:p>
    <w:p w:rsidR="000A4482" w:rsidRPr="000A4482" w:rsidRDefault="000A4482" w:rsidP="00AB1FB9">
      <w:pPr>
        <w:pStyle w:val="aff2"/>
        <w:numPr>
          <w:ilvl w:val="0"/>
          <w:numId w:val="13"/>
        </w:numPr>
        <w:spacing w:before="120" w:after="120"/>
        <w:ind w:left="1134" w:hanging="357"/>
        <w:contextualSpacing w:val="0"/>
        <w:jc w:val="both"/>
        <w:rPr>
          <w:rFonts w:ascii="Bookman Old Style" w:hAnsi="Bookman Old Style"/>
          <w:sz w:val="20"/>
          <w:szCs w:val="20"/>
        </w:rPr>
      </w:pPr>
      <w:r w:rsidRPr="000A4482">
        <w:rPr>
          <w:rFonts w:ascii="Bookman Old Style" w:hAnsi="Bookman Old Style"/>
          <w:sz w:val="20"/>
          <w:szCs w:val="20"/>
        </w:rPr>
        <w:t xml:space="preserve">Нежилое здание, назначение: 2- этажный (подземных этажей -1), общая площадь 4216,7 кв. м.,  инв.№ 04:401:001:015107160:0001, лит. В3, в,в1,В2,В4,В5,В6, адрес: г. Красноярск, ул. Айвазовского, 37 «А» Кадастровый номер: 24:50:0500203:386 </w:t>
      </w:r>
    </w:p>
    <w:p w:rsidR="000A4482" w:rsidRPr="000A4482" w:rsidRDefault="000A4482" w:rsidP="00AB1FB9">
      <w:pPr>
        <w:pStyle w:val="aff2"/>
        <w:numPr>
          <w:ilvl w:val="0"/>
          <w:numId w:val="13"/>
        </w:numPr>
        <w:spacing w:before="120" w:after="120"/>
        <w:ind w:left="1134" w:hanging="357"/>
        <w:contextualSpacing w:val="0"/>
        <w:jc w:val="both"/>
        <w:rPr>
          <w:rFonts w:ascii="Bookman Old Style" w:hAnsi="Bookman Old Style"/>
          <w:sz w:val="20"/>
          <w:szCs w:val="20"/>
        </w:rPr>
      </w:pPr>
      <w:r w:rsidRPr="000A4482">
        <w:rPr>
          <w:rFonts w:ascii="Bookman Old Style" w:hAnsi="Bookman Old Style"/>
          <w:sz w:val="20"/>
          <w:szCs w:val="20"/>
        </w:rPr>
        <w:t>Холодный склад, назначение: нежилое, 1- этажный,  общая площадь 1002,2 кв. метра, инв. № 01:3396:013795, лит. В1, адрес: г. Красноярск, ул. Айвазовского, 37 «А», строение 3. Кадастровый номер: 24:50:0500203:398</w:t>
      </w:r>
    </w:p>
    <w:p w:rsidR="000A4482" w:rsidRPr="000A4482" w:rsidRDefault="000A4482" w:rsidP="00AB1FB9">
      <w:pPr>
        <w:pStyle w:val="aff2"/>
        <w:numPr>
          <w:ilvl w:val="0"/>
          <w:numId w:val="13"/>
        </w:numPr>
        <w:spacing w:before="120" w:after="120"/>
        <w:ind w:left="1134" w:hanging="357"/>
        <w:contextualSpacing w:val="0"/>
        <w:jc w:val="both"/>
        <w:rPr>
          <w:rFonts w:ascii="Bookman Old Style" w:hAnsi="Bookman Old Style"/>
          <w:sz w:val="20"/>
          <w:szCs w:val="20"/>
        </w:rPr>
      </w:pPr>
      <w:r w:rsidRPr="000A4482">
        <w:rPr>
          <w:rFonts w:ascii="Bookman Old Style" w:hAnsi="Bookman Old Style"/>
          <w:sz w:val="20"/>
          <w:szCs w:val="20"/>
        </w:rPr>
        <w:t>Склад готовой продукции, назначение: нежилое, 1-этажный, общая площадь 1497,2 кв. м.,  инв. № 01:3237:012895, лит. В3,  адрес: г. Красноярск, ул. Айвазовского,37 «А», строен. 1, Кадастровый номер 24:50:0000000:0:105432</w:t>
      </w:r>
    </w:p>
    <w:p w:rsidR="000A4482" w:rsidRPr="000A4482" w:rsidRDefault="000A4482" w:rsidP="00AB1FB9">
      <w:pPr>
        <w:pStyle w:val="aff2"/>
        <w:numPr>
          <w:ilvl w:val="0"/>
          <w:numId w:val="13"/>
        </w:numPr>
        <w:spacing w:before="120" w:after="120"/>
        <w:ind w:left="1134" w:hanging="357"/>
        <w:contextualSpacing w:val="0"/>
        <w:jc w:val="both"/>
        <w:rPr>
          <w:rFonts w:ascii="Bookman Old Style" w:hAnsi="Bookman Old Style"/>
          <w:sz w:val="20"/>
          <w:szCs w:val="20"/>
        </w:rPr>
      </w:pPr>
      <w:r w:rsidRPr="000A4482">
        <w:rPr>
          <w:rFonts w:ascii="Bookman Old Style" w:hAnsi="Bookman Old Style"/>
          <w:sz w:val="20"/>
          <w:szCs w:val="20"/>
        </w:rPr>
        <w:t>Земельный участок, категория земель: земли населенных пунктов, разрешенное использование: занимаемый производственной базой, общая площадь 12774 кв. м., адрес: г. Красноярск, ул. Айвазовского,37 «А». Кадастровый номер: 24:50:0500203:458</w:t>
      </w:r>
    </w:p>
    <w:p w:rsidR="000A4482" w:rsidRPr="000A4482" w:rsidRDefault="000A4482" w:rsidP="00AB1FB9">
      <w:pPr>
        <w:pStyle w:val="aff2"/>
        <w:numPr>
          <w:ilvl w:val="0"/>
          <w:numId w:val="13"/>
        </w:numPr>
        <w:spacing w:before="120" w:after="120"/>
        <w:ind w:left="1134" w:hanging="357"/>
        <w:contextualSpacing w:val="0"/>
        <w:jc w:val="both"/>
        <w:rPr>
          <w:rFonts w:ascii="Bookman Old Style" w:hAnsi="Bookman Old Style"/>
          <w:sz w:val="20"/>
          <w:szCs w:val="20"/>
        </w:rPr>
      </w:pPr>
      <w:r w:rsidRPr="000A4482">
        <w:rPr>
          <w:rFonts w:ascii="Bookman Old Style" w:hAnsi="Bookman Old Style"/>
          <w:sz w:val="20"/>
          <w:szCs w:val="20"/>
        </w:rPr>
        <w:t>Центр обработки и нарезания ПВХ профилей  KABAN Makina FA 1030</w:t>
      </w:r>
    </w:p>
    <w:p w:rsidR="000A4482" w:rsidRPr="000A4482" w:rsidRDefault="000A4482" w:rsidP="00AB1FB9">
      <w:pPr>
        <w:pStyle w:val="aff2"/>
        <w:numPr>
          <w:ilvl w:val="0"/>
          <w:numId w:val="13"/>
        </w:numPr>
        <w:spacing w:before="120" w:after="120"/>
        <w:ind w:left="1134" w:hanging="357"/>
        <w:contextualSpacing w:val="0"/>
        <w:jc w:val="both"/>
        <w:rPr>
          <w:rFonts w:ascii="Bookman Old Style" w:hAnsi="Bookman Old Style"/>
          <w:sz w:val="20"/>
          <w:szCs w:val="20"/>
        </w:rPr>
      </w:pPr>
      <w:r w:rsidRPr="000A4482">
        <w:rPr>
          <w:rFonts w:ascii="Bookman Old Style" w:hAnsi="Bookman Old Style"/>
          <w:sz w:val="20"/>
          <w:szCs w:val="20"/>
        </w:rPr>
        <w:t>Станок для рубки армирования  KABAN Makina КС1010</w:t>
      </w:r>
    </w:p>
    <w:p w:rsidR="000A4482" w:rsidRPr="000A4482" w:rsidRDefault="000A4482" w:rsidP="00AB1FB9">
      <w:pPr>
        <w:pStyle w:val="aff2"/>
        <w:numPr>
          <w:ilvl w:val="0"/>
          <w:numId w:val="13"/>
        </w:numPr>
        <w:spacing w:before="120" w:after="120"/>
        <w:ind w:left="1134" w:hanging="357"/>
        <w:contextualSpacing w:val="0"/>
        <w:jc w:val="both"/>
        <w:rPr>
          <w:rFonts w:ascii="Bookman Old Style" w:hAnsi="Bookman Old Style"/>
          <w:sz w:val="20"/>
          <w:szCs w:val="20"/>
        </w:rPr>
      </w:pPr>
      <w:r w:rsidRPr="000A4482">
        <w:rPr>
          <w:rFonts w:ascii="Bookman Old Style" w:hAnsi="Bookman Old Style"/>
          <w:sz w:val="20"/>
          <w:szCs w:val="20"/>
        </w:rPr>
        <w:t>Цифровая система измерения  KABAN Makina DS500</w:t>
      </w:r>
    </w:p>
    <w:p w:rsidR="000A4482" w:rsidRPr="000A4482" w:rsidRDefault="000A4482" w:rsidP="00AB1FB9">
      <w:pPr>
        <w:pStyle w:val="aff2"/>
        <w:numPr>
          <w:ilvl w:val="0"/>
          <w:numId w:val="13"/>
        </w:numPr>
        <w:spacing w:before="120" w:after="120"/>
        <w:ind w:left="1134" w:hanging="357"/>
        <w:contextualSpacing w:val="0"/>
        <w:jc w:val="both"/>
        <w:rPr>
          <w:rFonts w:ascii="Bookman Old Style" w:hAnsi="Bookman Old Style"/>
          <w:sz w:val="20"/>
          <w:szCs w:val="20"/>
        </w:rPr>
      </w:pPr>
      <w:r w:rsidRPr="000A4482">
        <w:rPr>
          <w:rFonts w:ascii="Bookman Old Style" w:hAnsi="Bookman Old Style"/>
          <w:sz w:val="20"/>
          <w:szCs w:val="20"/>
        </w:rPr>
        <w:t>Цифровой измерительный компас KABAN Makina DК 100</w:t>
      </w:r>
    </w:p>
    <w:p w:rsidR="000A4482" w:rsidRPr="000A4482" w:rsidRDefault="000A4482" w:rsidP="00AB1FB9">
      <w:pPr>
        <w:pStyle w:val="aff2"/>
        <w:numPr>
          <w:ilvl w:val="0"/>
          <w:numId w:val="13"/>
        </w:numPr>
        <w:spacing w:before="120" w:after="120"/>
        <w:ind w:left="1134" w:hanging="357"/>
        <w:contextualSpacing w:val="0"/>
        <w:jc w:val="both"/>
        <w:rPr>
          <w:rFonts w:ascii="Bookman Old Style" w:hAnsi="Bookman Old Style"/>
          <w:sz w:val="20"/>
          <w:szCs w:val="20"/>
        </w:rPr>
      </w:pPr>
      <w:r w:rsidRPr="000A4482">
        <w:rPr>
          <w:rFonts w:ascii="Bookman Old Style" w:hAnsi="Bookman Old Style"/>
          <w:sz w:val="20"/>
          <w:szCs w:val="20"/>
        </w:rPr>
        <w:t>Станок одноголовочный сварочный   KABAN Makina ВА2030</w:t>
      </w:r>
    </w:p>
    <w:p w:rsidR="000A4482" w:rsidRPr="000A4482" w:rsidRDefault="000A4482" w:rsidP="00AB1FB9">
      <w:pPr>
        <w:pStyle w:val="aff2"/>
        <w:numPr>
          <w:ilvl w:val="0"/>
          <w:numId w:val="13"/>
        </w:numPr>
        <w:spacing w:before="120" w:after="120"/>
        <w:ind w:left="1134" w:hanging="357"/>
        <w:contextualSpacing w:val="0"/>
        <w:jc w:val="both"/>
        <w:rPr>
          <w:rFonts w:ascii="Bookman Old Style" w:hAnsi="Bookman Old Style"/>
          <w:sz w:val="20"/>
          <w:szCs w:val="20"/>
        </w:rPr>
      </w:pPr>
      <w:r w:rsidRPr="000A4482">
        <w:rPr>
          <w:rFonts w:ascii="Bookman Old Style" w:hAnsi="Bookman Old Style"/>
          <w:sz w:val="20"/>
          <w:szCs w:val="20"/>
        </w:rPr>
        <w:t>Автоматический копировально-фрезерный станок для фрезерования отверстий  под ручку и фурнитуру KABAN Makina DE 4060</w:t>
      </w:r>
    </w:p>
    <w:p w:rsidR="000A4482" w:rsidRPr="000A4482" w:rsidRDefault="000A4482" w:rsidP="00AB1FB9">
      <w:pPr>
        <w:pStyle w:val="aff2"/>
        <w:numPr>
          <w:ilvl w:val="0"/>
          <w:numId w:val="13"/>
        </w:numPr>
        <w:spacing w:before="120" w:after="120"/>
        <w:ind w:left="1134" w:hanging="357"/>
        <w:contextualSpacing w:val="0"/>
        <w:jc w:val="both"/>
        <w:rPr>
          <w:rFonts w:ascii="Bookman Old Style" w:hAnsi="Bookman Old Style"/>
          <w:sz w:val="20"/>
          <w:szCs w:val="20"/>
        </w:rPr>
      </w:pPr>
      <w:r w:rsidRPr="000A4482">
        <w:rPr>
          <w:rFonts w:ascii="Bookman Old Style" w:hAnsi="Bookman Old Style"/>
          <w:sz w:val="20"/>
          <w:szCs w:val="20"/>
        </w:rPr>
        <w:t>Механический  копировально-фрезерный  станок  KABAN Makina DF4060</w:t>
      </w:r>
    </w:p>
    <w:p w:rsidR="00C834FF" w:rsidRPr="00BC25F6" w:rsidRDefault="000A4482" w:rsidP="00AB1FB9">
      <w:pPr>
        <w:pStyle w:val="aff2"/>
        <w:numPr>
          <w:ilvl w:val="0"/>
          <w:numId w:val="13"/>
        </w:numPr>
        <w:spacing w:before="120" w:after="120"/>
        <w:ind w:left="1134" w:hanging="357"/>
        <w:contextualSpacing w:val="0"/>
        <w:jc w:val="both"/>
        <w:rPr>
          <w:rFonts w:ascii="Bookman Old Style" w:hAnsi="Bookman Old Style"/>
          <w:sz w:val="20"/>
          <w:szCs w:val="20"/>
        </w:rPr>
      </w:pPr>
      <w:r w:rsidRPr="000A4482">
        <w:rPr>
          <w:rFonts w:ascii="Bookman Old Style" w:hAnsi="Bookman Old Style"/>
          <w:sz w:val="20"/>
          <w:szCs w:val="20"/>
        </w:rPr>
        <w:t>Автоматический станок для обработки импоста  KABAN Makina СF3060</w:t>
      </w:r>
    </w:p>
    <w:p w:rsidR="00BC25F6" w:rsidRPr="00BC25F6" w:rsidRDefault="000A4482" w:rsidP="00BC25F6">
      <w:pPr>
        <w:autoSpaceDE w:val="0"/>
        <w:autoSpaceDN w:val="0"/>
        <w:adjustRightInd w:val="0"/>
        <w:spacing w:before="120" w:after="120"/>
        <w:ind w:firstLine="709"/>
        <w:jc w:val="both"/>
        <w:rPr>
          <w:rFonts w:ascii="Bookman Old Style" w:hAnsi="Bookman Old Style"/>
          <w:bCs/>
          <w:sz w:val="20"/>
          <w:szCs w:val="20"/>
        </w:rPr>
      </w:pPr>
      <w:r>
        <w:rPr>
          <w:rFonts w:ascii="Bookman Old Style" w:hAnsi="Bookman Old Style"/>
          <w:bCs/>
          <w:sz w:val="20"/>
          <w:szCs w:val="20"/>
        </w:rPr>
        <w:t xml:space="preserve">Элементы </w:t>
      </w:r>
      <w:r w:rsidR="00BC25F6" w:rsidRPr="00BC25F6">
        <w:rPr>
          <w:rFonts w:ascii="Bookman Old Style" w:hAnsi="Bookman Old Style"/>
          <w:bCs/>
          <w:sz w:val="20"/>
          <w:szCs w:val="20"/>
        </w:rPr>
        <w:t>Объект</w:t>
      </w:r>
      <w:r>
        <w:rPr>
          <w:rFonts w:ascii="Bookman Old Style" w:hAnsi="Bookman Old Style"/>
          <w:bCs/>
          <w:sz w:val="20"/>
          <w:szCs w:val="20"/>
        </w:rPr>
        <w:t>а</w:t>
      </w:r>
      <w:r w:rsidR="00BC25F6" w:rsidRPr="00BC25F6">
        <w:rPr>
          <w:rFonts w:ascii="Bookman Old Style" w:hAnsi="Bookman Old Style"/>
          <w:bCs/>
          <w:sz w:val="20"/>
          <w:szCs w:val="20"/>
        </w:rPr>
        <w:t xml:space="preserve"> оценки принадлеж</w:t>
      </w:r>
      <w:r>
        <w:rPr>
          <w:rFonts w:ascii="Bookman Old Style" w:hAnsi="Bookman Old Style"/>
          <w:bCs/>
          <w:sz w:val="20"/>
          <w:szCs w:val="20"/>
        </w:rPr>
        <w:t>а</w:t>
      </w:r>
      <w:r w:rsidR="00BC25F6" w:rsidRPr="00BC25F6">
        <w:rPr>
          <w:rFonts w:ascii="Bookman Old Style" w:hAnsi="Bookman Old Style"/>
          <w:bCs/>
          <w:sz w:val="20"/>
          <w:szCs w:val="20"/>
        </w:rPr>
        <w:t>т ООО «</w:t>
      </w:r>
      <w:r>
        <w:rPr>
          <w:rFonts w:ascii="Bookman Old Style" w:hAnsi="Bookman Old Style"/>
          <w:bCs/>
          <w:sz w:val="20"/>
          <w:szCs w:val="20"/>
        </w:rPr>
        <w:t>Окно</w:t>
      </w:r>
      <w:r w:rsidR="00BC25F6" w:rsidRPr="00BC25F6">
        <w:rPr>
          <w:rFonts w:ascii="Bookman Old Style" w:hAnsi="Bookman Old Style"/>
          <w:bCs/>
          <w:sz w:val="20"/>
          <w:szCs w:val="20"/>
        </w:rPr>
        <w:t>» на праве собственности, что подтверждается предоставленными Заказчиком документами:</w:t>
      </w:r>
    </w:p>
    <w:p w:rsidR="00BC25F6" w:rsidRDefault="00C33B02" w:rsidP="00AB1FB9">
      <w:pPr>
        <w:pStyle w:val="aff2"/>
        <w:numPr>
          <w:ilvl w:val="0"/>
          <w:numId w:val="13"/>
        </w:numPr>
        <w:autoSpaceDE w:val="0"/>
        <w:autoSpaceDN w:val="0"/>
        <w:adjustRightInd w:val="0"/>
        <w:spacing w:before="120" w:after="120"/>
        <w:ind w:left="714" w:hanging="357"/>
        <w:contextualSpacing w:val="0"/>
        <w:jc w:val="both"/>
        <w:rPr>
          <w:rFonts w:ascii="Bookman Old Style" w:hAnsi="Bookman Old Style"/>
          <w:bCs/>
          <w:sz w:val="20"/>
          <w:szCs w:val="20"/>
        </w:rPr>
      </w:pPr>
      <w:r>
        <w:rPr>
          <w:rFonts w:ascii="Bookman Old Style" w:hAnsi="Bookman Old Style"/>
          <w:bCs/>
          <w:sz w:val="20"/>
          <w:szCs w:val="20"/>
        </w:rPr>
        <w:t xml:space="preserve">Копия </w:t>
      </w:r>
      <w:r w:rsidR="000A4482">
        <w:rPr>
          <w:rFonts w:ascii="Bookman Old Style" w:hAnsi="Bookman Old Style"/>
          <w:bCs/>
          <w:sz w:val="20"/>
          <w:szCs w:val="20"/>
        </w:rPr>
        <w:t>инвентаризационных</w:t>
      </w:r>
      <w:r>
        <w:rPr>
          <w:rFonts w:ascii="Bookman Old Style" w:hAnsi="Bookman Old Style"/>
          <w:bCs/>
          <w:sz w:val="20"/>
          <w:szCs w:val="20"/>
        </w:rPr>
        <w:t xml:space="preserve"> опис</w:t>
      </w:r>
      <w:r w:rsidR="000A4482">
        <w:rPr>
          <w:rFonts w:ascii="Bookman Old Style" w:hAnsi="Bookman Old Style"/>
          <w:bCs/>
          <w:sz w:val="20"/>
          <w:szCs w:val="20"/>
        </w:rPr>
        <w:t>ей</w:t>
      </w:r>
      <w:r w:rsidR="00526C57" w:rsidRPr="00526C57">
        <w:rPr>
          <w:rFonts w:ascii="Bookman Old Style" w:hAnsi="Bookman Old Style"/>
          <w:bCs/>
          <w:sz w:val="20"/>
          <w:szCs w:val="20"/>
          <w:vertAlign w:val="superscript"/>
        </w:rPr>
        <w:t xml:space="preserve"> </w:t>
      </w:r>
      <w:r w:rsidR="00526C57" w:rsidRPr="00526C57">
        <w:rPr>
          <w:rFonts w:ascii="Bookman Old Style" w:hAnsi="Bookman Old Style"/>
          <w:bCs/>
          <w:sz w:val="20"/>
          <w:szCs w:val="20"/>
          <w:vertAlign w:val="superscript"/>
        </w:rPr>
        <w:footnoteReference w:id="10"/>
      </w:r>
      <w:r w:rsidR="00526C57" w:rsidRPr="00526C57">
        <w:rPr>
          <w:rFonts w:ascii="Bookman Old Style" w:hAnsi="Bookman Old Style"/>
          <w:bCs/>
          <w:sz w:val="20"/>
          <w:szCs w:val="20"/>
        </w:rPr>
        <w:t>;</w:t>
      </w:r>
    </w:p>
    <w:p w:rsidR="000A4482" w:rsidRPr="00526C57" w:rsidRDefault="000A4482" w:rsidP="00AB1FB9">
      <w:pPr>
        <w:pStyle w:val="aff2"/>
        <w:numPr>
          <w:ilvl w:val="0"/>
          <w:numId w:val="13"/>
        </w:numPr>
        <w:autoSpaceDE w:val="0"/>
        <w:autoSpaceDN w:val="0"/>
        <w:adjustRightInd w:val="0"/>
        <w:spacing w:before="120" w:after="120"/>
        <w:ind w:left="714" w:hanging="357"/>
        <w:contextualSpacing w:val="0"/>
        <w:jc w:val="both"/>
        <w:rPr>
          <w:rFonts w:ascii="Bookman Old Style" w:hAnsi="Bookman Old Style"/>
          <w:bCs/>
          <w:sz w:val="20"/>
          <w:szCs w:val="20"/>
        </w:rPr>
      </w:pPr>
      <w:r>
        <w:rPr>
          <w:rFonts w:ascii="Bookman Old Style" w:hAnsi="Bookman Old Style"/>
          <w:bCs/>
          <w:sz w:val="20"/>
          <w:szCs w:val="20"/>
        </w:rPr>
        <w:t>Копия договора купли-продажи оборудования</w:t>
      </w:r>
      <w:r w:rsidRPr="00526C57">
        <w:rPr>
          <w:rFonts w:ascii="Bookman Old Style" w:hAnsi="Bookman Old Style"/>
          <w:bCs/>
          <w:sz w:val="20"/>
          <w:szCs w:val="20"/>
          <w:vertAlign w:val="superscript"/>
        </w:rPr>
        <w:t xml:space="preserve"> </w:t>
      </w:r>
      <w:r w:rsidRPr="00526C57">
        <w:rPr>
          <w:rFonts w:ascii="Bookman Old Style" w:hAnsi="Bookman Old Style"/>
          <w:bCs/>
          <w:sz w:val="20"/>
          <w:szCs w:val="20"/>
          <w:vertAlign w:val="superscript"/>
        </w:rPr>
        <w:footnoteReference w:id="11"/>
      </w:r>
      <w:r w:rsidRPr="00526C57">
        <w:rPr>
          <w:rFonts w:ascii="Bookman Old Style" w:hAnsi="Bookman Old Style"/>
          <w:bCs/>
          <w:sz w:val="20"/>
          <w:szCs w:val="20"/>
        </w:rPr>
        <w:t>;</w:t>
      </w:r>
    </w:p>
    <w:p w:rsidR="00B21788" w:rsidRDefault="00B21788" w:rsidP="00B21788">
      <w:pPr>
        <w:autoSpaceDE w:val="0"/>
        <w:autoSpaceDN w:val="0"/>
        <w:adjustRightInd w:val="0"/>
        <w:spacing w:before="120" w:after="120"/>
        <w:ind w:firstLine="709"/>
        <w:jc w:val="both"/>
        <w:rPr>
          <w:rFonts w:ascii="Bookman Old Style" w:hAnsi="Bookman Old Style"/>
          <w:bCs/>
          <w:sz w:val="20"/>
          <w:szCs w:val="20"/>
        </w:rPr>
      </w:pPr>
      <w:r>
        <w:rPr>
          <w:rFonts w:ascii="Bookman Old Style" w:hAnsi="Bookman Old Style"/>
          <w:bCs/>
          <w:sz w:val="20"/>
          <w:szCs w:val="20"/>
        </w:rPr>
        <w:t>Реквизиты собственника Объекта оценки представлены в пункте 1.3.1.</w:t>
      </w:r>
    </w:p>
    <w:p w:rsidR="00B21788" w:rsidRPr="005D48D3" w:rsidRDefault="00177A72" w:rsidP="00B21788">
      <w:pPr>
        <w:autoSpaceDE w:val="0"/>
        <w:autoSpaceDN w:val="0"/>
        <w:adjustRightInd w:val="0"/>
        <w:spacing w:before="120" w:after="120"/>
        <w:ind w:firstLine="708"/>
        <w:jc w:val="both"/>
        <w:rPr>
          <w:rFonts w:ascii="Bookman Old Style" w:hAnsi="Bookman Old Style"/>
          <w:bCs/>
          <w:sz w:val="20"/>
          <w:szCs w:val="20"/>
        </w:rPr>
      </w:pPr>
      <w:r>
        <w:rPr>
          <w:rFonts w:ascii="Bookman Old Style" w:hAnsi="Bookman Old Style"/>
          <w:bCs/>
          <w:sz w:val="20"/>
          <w:szCs w:val="20"/>
        </w:rPr>
        <w:t xml:space="preserve">Решением </w:t>
      </w:r>
      <w:r w:rsidR="00B21788" w:rsidRPr="00B21788">
        <w:rPr>
          <w:rFonts w:ascii="Bookman Old Style" w:hAnsi="Bookman Old Style"/>
          <w:bCs/>
          <w:sz w:val="20"/>
          <w:szCs w:val="20"/>
        </w:rPr>
        <w:t xml:space="preserve">Арбитражного суда Красноярского края по делу </w:t>
      </w:r>
      <w:r w:rsidR="000A4482" w:rsidRPr="000A4482">
        <w:rPr>
          <w:rFonts w:ascii="Bookman Old Style" w:hAnsi="Bookman Old Style"/>
          <w:bCs/>
          <w:sz w:val="20"/>
          <w:szCs w:val="20"/>
        </w:rPr>
        <w:t xml:space="preserve">А33-20224/2015 </w:t>
      </w:r>
      <w:r w:rsidR="00AA51E2" w:rsidRPr="00AA51E2">
        <w:rPr>
          <w:rFonts w:ascii="Bookman Old Style" w:hAnsi="Bookman Old Style"/>
          <w:bCs/>
          <w:sz w:val="20"/>
          <w:szCs w:val="20"/>
        </w:rPr>
        <w:t>от 14.0</w:t>
      </w:r>
      <w:r w:rsidR="000A4482">
        <w:rPr>
          <w:rFonts w:ascii="Bookman Old Style" w:hAnsi="Bookman Old Style"/>
          <w:bCs/>
          <w:sz w:val="20"/>
          <w:szCs w:val="20"/>
        </w:rPr>
        <w:t>6</w:t>
      </w:r>
      <w:r w:rsidR="00AA51E2" w:rsidRPr="00AA51E2">
        <w:rPr>
          <w:rFonts w:ascii="Bookman Old Style" w:hAnsi="Bookman Old Style"/>
          <w:bCs/>
          <w:sz w:val="20"/>
          <w:szCs w:val="20"/>
        </w:rPr>
        <w:t>.2016</w:t>
      </w:r>
      <w:r w:rsidR="00AA51E2">
        <w:rPr>
          <w:rFonts w:ascii="Bookman Old Style" w:hAnsi="Bookman Old Style"/>
          <w:bCs/>
          <w:sz w:val="20"/>
          <w:szCs w:val="20"/>
        </w:rPr>
        <w:t xml:space="preserve"> года</w:t>
      </w:r>
      <w:r w:rsidR="00B21788" w:rsidRPr="005D48D3">
        <w:rPr>
          <w:rFonts w:ascii="Bookman Old Style" w:hAnsi="Bookman Old Style"/>
          <w:bCs/>
          <w:sz w:val="20"/>
          <w:szCs w:val="20"/>
        </w:rPr>
        <w:t>,</w:t>
      </w:r>
      <w:r w:rsidR="00B21788">
        <w:rPr>
          <w:rFonts w:ascii="Bookman Old Style" w:hAnsi="Bookman Old Style"/>
          <w:bCs/>
          <w:sz w:val="20"/>
          <w:szCs w:val="20"/>
        </w:rPr>
        <w:t xml:space="preserve"> ООО «</w:t>
      </w:r>
      <w:r w:rsidR="000A4482">
        <w:rPr>
          <w:rFonts w:ascii="Bookman Old Style" w:hAnsi="Bookman Old Style"/>
          <w:bCs/>
          <w:sz w:val="20"/>
          <w:szCs w:val="20"/>
        </w:rPr>
        <w:t>Окно</w:t>
      </w:r>
      <w:r w:rsidR="00B21788">
        <w:rPr>
          <w:rFonts w:ascii="Bookman Old Style" w:hAnsi="Bookman Old Style"/>
          <w:bCs/>
          <w:sz w:val="20"/>
          <w:szCs w:val="20"/>
        </w:rPr>
        <w:t>»</w:t>
      </w:r>
      <w:r w:rsidR="00B21788" w:rsidRPr="005D48D3">
        <w:rPr>
          <w:rFonts w:ascii="Bookman Old Style" w:hAnsi="Bookman Old Style"/>
          <w:bCs/>
          <w:sz w:val="20"/>
          <w:szCs w:val="20"/>
        </w:rPr>
        <w:t xml:space="preserve"> признано банкротом,</w:t>
      </w:r>
      <w:r w:rsidR="00B21788">
        <w:rPr>
          <w:rFonts w:ascii="Bookman Old Style" w:hAnsi="Bookman Old Style"/>
          <w:bCs/>
          <w:sz w:val="20"/>
          <w:szCs w:val="20"/>
        </w:rPr>
        <w:t xml:space="preserve"> в отношении предприятия введена процедура конкурсного</w:t>
      </w:r>
      <w:r w:rsidR="00B21788" w:rsidRPr="005D48D3">
        <w:rPr>
          <w:rFonts w:ascii="Bookman Old Style" w:hAnsi="Bookman Old Style"/>
          <w:bCs/>
          <w:sz w:val="20"/>
          <w:szCs w:val="20"/>
        </w:rPr>
        <w:t xml:space="preserve"> производств</w:t>
      </w:r>
      <w:r w:rsidR="00B21788">
        <w:rPr>
          <w:rFonts w:ascii="Bookman Old Style" w:hAnsi="Bookman Old Style"/>
          <w:bCs/>
          <w:sz w:val="20"/>
          <w:szCs w:val="20"/>
        </w:rPr>
        <w:t xml:space="preserve">а, </w:t>
      </w:r>
      <w:r w:rsidR="00B21788" w:rsidRPr="005D48D3">
        <w:rPr>
          <w:rFonts w:ascii="Bookman Old Style" w:hAnsi="Bookman Old Style"/>
          <w:bCs/>
          <w:sz w:val="20"/>
          <w:szCs w:val="20"/>
        </w:rPr>
        <w:t xml:space="preserve">конкурсным управляющим утверждён </w:t>
      </w:r>
      <w:r w:rsidR="000A4482">
        <w:rPr>
          <w:rFonts w:ascii="Bookman Old Style" w:hAnsi="Bookman Old Style"/>
          <w:bCs/>
          <w:sz w:val="20"/>
          <w:szCs w:val="20"/>
        </w:rPr>
        <w:t>Епифанова</w:t>
      </w:r>
      <w:r w:rsidR="000A4482" w:rsidRPr="000A4482">
        <w:rPr>
          <w:rFonts w:ascii="Bookman Old Style" w:hAnsi="Bookman Old Style"/>
          <w:bCs/>
          <w:sz w:val="20"/>
          <w:szCs w:val="20"/>
        </w:rPr>
        <w:t xml:space="preserve"> Лин</w:t>
      </w:r>
      <w:r w:rsidR="000A4482">
        <w:rPr>
          <w:rFonts w:ascii="Bookman Old Style" w:hAnsi="Bookman Old Style"/>
          <w:bCs/>
          <w:sz w:val="20"/>
          <w:szCs w:val="20"/>
        </w:rPr>
        <w:t>а</w:t>
      </w:r>
      <w:r w:rsidR="000A4482" w:rsidRPr="000A4482">
        <w:rPr>
          <w:rFonts w:ascii="Bookman Old Style" w:hAnsi="Bookman Old Style"/>
          <w:bCs/>
          <w:sz w:val="20"/>
          <w:szCs w:val="20"/>
        </w:rPr>
        <w:t xml:space="preserve"> Алексеевн</w:t>
      </w:r>
      <w:r w:rsidR="000A4482">
        <w:rPr>
          <w:rFonts w:ascii="Bookman Old Style" w:hAnsi="Bookman Old Style"/>
          <w:bCs/>
          <w:sz w:val="20"/>
          <w:szCs w:val="20"/>
        </w:rPr>
        <w:t>а</w:t>
      </w:r>
    </w:p>
    <w:p w:rsidR="00B21788" w:rsidRDefault="00B21788" w:rsidP="00B21788">
      <w:pPr>
        <w:spacing w:before="120" w:after="120"/>
        <w:ind w:firstLine="708"/>
        <w:jc w:val="both"/>
        <w:rPr>
          <w:rFonts w:ascii="Bookman Old Style" w:hAnsi="Bookman Old Style"/>
          <w:color w:val="000000"/>
          <w:sz w:val="20"/>
          <w:szCs w:val="20"/>
        </w:rPr>
      </w:pPr>
      <w:r>
        <w:rPr>
          <w:rFonts w:ascii="Bookman Old Style" w:hAnsi="Bookman Old Style"/>
          <w:color w:val="000000"/>
          <w:sz w:val="20"/>
          <w:szCs w:val="20"/>
        </w:rPr>
        <w:t>С даты утверждения конкурсного управляющего, он осуществляет полномочия руководителя должника и иных органов управления должника</w:t>
      </w:r>
      <w:r>
        <w:rPr>
          <w:rStyle w:val="aff0"/>
          <w:rFonts w:ascii="Bookman Old Style" w:hAnsi="Bookman Old Style"/>
          <w:color w:val="000000"/>
          <w:sz w:val="20"/>
          <w:szCs w:val="20"/>
        </w:rPr>
        <w:footnoteReference w:id="12"/>
      </w:r>
      <w:r>
        <w:rPr>
          <w:rFonts w:ascii="Bookman Old Style" w:hAnsi="Bookman Old Style"/>
          <w:color w:val="000000"/>
          <w:sz w:val="20"/>
          <w:szCs w:val="20"/>
        </w:rPr>
        <w:t>.</w:t>
      </w:r>
    </w:p>
    <w:p w:rsidR="00B21788" w:rsidRDefault="00B21788" w:rsidP="00B21788">
      <w:pPr>
        <w:spacing w:before="120" w:after="120"/>
        <w:ind w:firstLine="708"/>
        <w:jc w:val="both"/>
        <w:rPr>
          <w:rFonts w:ascii="Bookman Old Style" w:hAnsi="Bookman Old Style"/>
          <w:color w:val="000000"/>
          <w:sz w:val="20"/>
          <w:szCs w:val="20"/>
        </w:rPr>
      </w:pPr>
      <w:r>
        <w:rPr>
          <w:rFonts w:ascii="Bookman Old Style" w:hAnsi="Bookman Old Style"/>
          <w:color w:val="000000"/>
          <w:sz w:val="20"/>
          <w:szCs w:val="20"/>
        </w:rPr>
        <w:t>Оцениваемое имущество</w:t>
      </w:r>
      <w:r w:rsidRPr="00BC4174">
        <w:rPr>
          <w:rFonts w:ascii="Bookman Old Style" w:hAnsi="Bookman Old Style"/>
          <w:color w:val="000000"/>
          <w:sz w:val="20"/>
          <w:szCs w:val="20"/>
        </w:rPr>
        <w:t xml:space="preserve"> подлежит реализации, согласно </w:t>
      </w:r>
      <w:r>
        <w:rPr>
          <w:rFonts w:ascii="Bookman Old Style" w:hAnsi="Bookman Old Style"/>
          <w:color w:val="000000"/>
          <w:sz w:val="20"/>
          <w:szCs w:val="20"/>
        </w:rPr>
        <w:t xml:space="preserve">порядку утвержденному </w:t>
      </w:r>
      <w:r w:rsidRPr="00BC4174">
        <w:rPr>
          <w:rFonts w:ascii="Bookman Old Style" w:hAnsi="Bookman Old Style"/>
          <w:color w:val="000000"/>
          <w:sz w:val="20"/>
          <w:szCs w:val="20"/>
        </w:rPr>
        <w:t>Федеральн</w:t>
      </w:r>
      <w:r>
        <w:rPr>
          <w:rFonts w:ascii="Bookman Old Style" w:hAnsi="Bookman Old Style"/>
          <w:color w:val="000000"/>
          <w:sz w:val="20"/>
          <w:szCs w:val="20"/>
        </w:rPr>
        <w:t>ым</w:t>
      </w:r>
      <w:r w:rsidRPr="00BC4174">
        <w:rPr>
          <w:rFonts w:ascii="Bookman Old Style" w:hAnsi="Bookman Old Style"/>
          <w:color w:val="000000"/>
          <w:sz w:val="20"/>
          <w:szCs w:val="20"/>
        </w:rPr>
        <w:t xml:space="preserve"> закон</w:t>
      </w:r>
      <w:r>
        <w:rPr>
          <w:rFonts w:ascii="Bookman Old Style" w:hAnsi="Bookman Old Style"/>
          <w:color w:val="000000"/>
          <w:sz w:val="20"/>
          <w:szCs w:val="20"/>
        </w:rPr>
        <w:t>ом</w:t>
      </w:r>
      <w:r w:rsidRPr="00BC4174">
        <w:rPr>
          <w:rFonts w:ascii="Bookman Old Style" w:hAnsi="Bookman Old Style"/>
          <w:color w:val="000000"/>
          <w:sz w:val="20"/>
          <w:szCs w:val="20"/>
        </w:rPr>
        <w:t xml:space="preserve"> № 127-ФЗ «О несостоятельности (банкротстве)»</w:t>
      </w:r>
      <w:r>
        <w:rPr>
          <w:rFonts w:ascii="Bookman Old Style" w:hAnsi="Bookman Old Style"/>
          <w:color w:val="000000"/>
          <w:sz w:val="20"/>
          <w:szCs w:val="20"/>
        </w:rPr>
        <w:t>, путём проведения торгов.</w:t>
      </w:r>
    </w:p>
    <w:p w:rsidR="00B21788" w:rsidRPr="00B21788" w:rsidRDefault="00B21788" w:rsidP="00B21788">
      <w:pPr>
        <w:spacing w:before="120" w:after="120"/>
        <w:ind w:firstLine="708"/>
        <w:jc w:val="both"/>
        <w:rPr>
          <w:rFonts w:ascii="Bookman Old Style" w:hAnsi="Bookman Old Style"/>
          <w:color w:val="000000"/>
          <w:sz w:val="20"/>
          <w:szCs w:val="20"/>
        </w:rPr>
      </w:pPr>
      <w:r>
        <w:rPr>
          <w:rFonts w:ascii="Bookman Old Style" w:hAnsi="Bookman Old Style"/>
          <w:color w:val="000000"/>
          <w:sz w:val="20"/>
          <w:szCs w:val="20"/>
        </w:rPr>
        <w:t xml:space="preserve">Согласно, статьи 130 </w:t>
      </w:r>
      <w:r w:rsidRPr="00016D77">
        <w:rPr>
          <w:rFonts w:ascii="Bookman Old Style" w:hAnsi="Bookman Old Style"/>
          <w:color w:val="000000"/>
          <w:sz w:val="20"/>
          <w:szCs w:val="20"/>
        </w:rPr>
        <w:t>Федеральн</w:t>
      </w:r>
      <w:r>
        <w:rPr>
          <w:rFonts w:ascii="Bookman Old Style" w:hAnsi="Bookman Old Style"/>
          <w:color w:val="000000"/>
          <w:sz w:val="20"/>
          <w:szCs w:val="20"/>
        </w:rPr>
        <w:t>ого</w:t>
      </w:r>
      <w:r w:rsidRPr="00016D77">
        <w:rPr>
          <w:rFonts w:ascii="Bookman Old Style" w:hAnsi="Bookman Old Style"/>
          <w:color w:val="000000"/>
          <w:sz w:val="20"/>
          <w:szCs w:val="20"/>
        </w:rPr>
        <w:t xml:space="preserve"> закон</w:t>
      </w:r>
      <w:r>
        <w:rPr>
          <w:rFonts w:ascii="Bookman Old Style" w:hAnsi="Bookman Old Style"/>
          <w:color w:val="000000"/>
          <w:sz w:val="20"/>
          <w:szCs w:val="20"/>
        </w:rPr>
        <w:t>а</w:t>
      </w:r>
      <w:r w:rsidRPr="00016D77">
        <w:rPr>
          <w:rFonts w:ascii="Bookman Old Style" w:hAnsi="Bookman Old Style"/>
          <w:color w:val="000000"/>
          <w:sz w:val="20"/>
          <w:szCs w:val="20"/>
        </w:rPr>
        <w:t xml:space="preserve"> «О несостоятельности (банкротстве)» № 127-ФЗ</w:t>
      </w:r>
      <w:r>
        <w:rPr>
          <w:rFonts w:ascii="Bookman Old Style" w:hAnsi="Bookman Old Style"/>
          <w:color w:val="000000"/>
          <w:sz w:val="20"/>
          <w:szCs w:val="20"/>
        </w:rPr>
        <w:t xml:space="preserve">, конкурсным управляющим привлечены оценщики ООО «Агентство оценки собственности «Золотое правило», для проведения оценки имущества выявленного в результате проведённой </w:t>
      </w:r>
      <w:r>
        <w:rPr>
          <w:rFonts w:ascii="Bookman Old Style" w:hAnsi="Bookman Old Style"/>
          <w:color w:val="000000"/>
          <w:sz w:val="20"/>
          <w:szCs w:val="20"/>
        </w:rPr>
        <w:lastRenderedPageBreak/>
        <w:t>инвентаризации, для установления начальной стоимости имущества при организации торгов по его продаже.</w:t>
      </w:r>
    </w:p>
    <w:p w:rsidR="007D0A44" w:rsidRPr="00710741" w:rsidRDefault="007D0A44" w:rsidP="00DB0E6C">
      <w:pPr>
        <w:pStyle w:val="3"/>
        <w:spacing w:after="120"/>
        <w:rPr>
          <w:rFonts w:ascii="Bookman Old Style" w:hAnsi="Bookman Old Style"/>
          <w:sz w:val="20"/>
          <w:szCs w:val="20"/>
        </w:rPr>
      </w:pPr>
      <w:bookmarkStart w:id="165" w:name="_Toc461206362"/>
      <w:r w:rsidRPr="00AB7D4A">
        <w:rPr>
          <w:rFonts w:ascii="Bookman Old Style" w:hAnsi="Bookman Old Style"/>
          <w:sz w:val="20"/>
          <w:szCs w:val="20"/>
        </w:rPr>
        <w:t xml:space="preserve">3.1.2. Сведения </w:t>
      </w:r>
      <w:r w:rsidR="00A41301" w:rsidRPr="00AB7D4A">
        <w:rPr>
          <w:rFonts w:ascii="Bookman Old Style" w:hAnsi="Bookman Old Style"/>
          <w:sz w:val="20"/>
          <w:szCs w:val="20"/>
        </w:rPr>
        <w:t>об</w:t>
      </w:r>
      <w:r w:rsidRPr="00AB7D4A">
        <w:rPr>
          <w:rFonts w:ascii="Bookman Old Style" w:hAnsi="Bookman Old Style"/>
          <w:sz w:val="20"/>
          <w:szCs w:val="20"/>
        </w:rPr>
        <w:t xml:space="preserve"> обременениях</w:t>
      </w:r>
      <w:bookmarkEnd w:id="165"/>
      <w:r w:rsidRPr="00710741">
        <w:rPr>
          <w:rFonts w:ascii="Bookman Old Style" w:hAnsi="Bookman Old Style"/>
          <w:sz w:val="20"/>
          <w:szCs w:val="20"/>
        </w:rPr>
        <w:t xml:space="preserve"> </w:t>
      </w:r>
    </w:p>
    <w:p w:rsidR="0073342D" w:rsidRPr="0073342D" w:rsidRDefault="0073342D" w:rsidP="00DB0E6C">
      <w:pPr>
        <w:spacing w:before="120" w:after="120"/>
        <w:ind w:firstLine="709"/>
        <w:jc w:val="both"/>
        <w:rPr>
          <w:rFonts w:ascii="Bookman Old Style" w:hAnsi="Bookman Old Style"/>
          <w:sz w:val="20"/>
          <w:szCs w:val="20"/>
        </w:rPr>
      </w:pPr>
      <w:r w:rsidRPr="0073342D">
        <w:rPr>
          <w:rFonts w:ascii="Bookman Old Style" w:hAnsi="Bookman Old Style"/>
          <w:sz w:val="20"/>
          <w:szCs w:val="20"/>
        </w:rPr>
        <w:t>Сведения, влияющие на стоимость Объекта оценки, о наличии существующих ограничений и обременений</w:t>
      </w:r>
      <w:r w:rsidR="00AB7D4A">
        <w:rPr>
          <w:rFonts w:ascii="Bookman Old Style" w:hAnsi="Bookman Old Style"/>
          <w:sz w:val="20"/>
          <w:szCs w:val="20"/>
        </w:rPr>
        <w:t xml:space="preserve"> элементов Объекта оценки</w:t>
      </w:r>
      <w:r w:rsidRPr="0073342D">
        <w:rPr>
          <w:rFonts w:ascii="Bookman Old Style" w:hAnsi="Bookman Old Style"/>
          <w:sz w:val="20"/>
          <w:szCs w:val="20"/>
        </w:rPr>
        <w:t>, отсутствуют.</w:t>
      </w:r>
    </w:p>
    <w:p w:rsidR="007D0A44" w:rsidRPr="00FF631A" w:rsidRDefault="007D0A44" w:rsidP="00DB0E6C">
      <w:pPr>
        <w:pStyle w:val="3"/>
        <w:spacing w:after="120"/>
        <w:rPr>
          <w:rFonts w:ascii="Bookman Old Style" w:hAnsi="Bookman Old Style"/>
          <w:sz w:val="20"/>
          <w:szCs w:val="20"/>
        </w:rPr>
      </w:pPr>
      <w:bookmarkStart w:id="166" w:name="_Toc461206363"/>
      <w:r>
        <w:rPr>
          <w:rFonts w:ascii="Bookman Old Style" w:hAnsi="Bookman Old Style"/>
          <w:sz w:val="20"/>
          <w:szCs w:val="20"/>
        </w:rPr>
        <w:t>3</w:t>
      </w:r>
      <w:r w:rsidRPr="006F12CA">
        <w:rPr>
          <w:rFonts w:ascii="Bookman Old Style" w:hAnsi="Bookman Old Style"/>
          <w:sz w:val="20"/>
          <w:szCs w:val="20"/>
        </w:rPr>
        <w:t xml:space="preserve">.1.3. </w:t>
      </w:r>
      <w:r w:rsidR="00A41301">
        <w:rPr>
          <w:rFonts w:ascii="Bookman Old Style" w:hAnsi="Bookman Old Style"/>
          <w:sz w:val="20"/>
          <w:szCs w:val="20"/>
        </w:rPr>
        <w:t>Сведения о балансовой стоимости Объект</w:t>
      </w:r>
      <w:r w:rsidR="00F83E31">
        <w:rPr>
          <w:rFonts w:ascii="Bookman Old Style" w:hAnsi="Bookman Old Style"/>
          <w:sz w:val="20"/>
          <w:szCs w:val="20"/>
        </w:rPr>
        <w:t xml:space="preserve">а </w:t>
      </w:r>
      <w:r w:rsidR="00A41301">
        <w:rPr>
          <w:rFonts w:ascii="Bookman Old Style" w:hAnsi="Bookman Old Style"/>
          <w:sz w:val="20"/>
          <w:szCs w:val="20"/>
        </w:rPr>
        <w:t>оценки</w:t>
      </w:r>
      <w:bookmarkEnd w:id="166"/>
    </w:p>
    <w:p w:rsidR="00526C57" w:rsidRDefault="000A4482" w:rsidP="00DB0E6C">
      <w:pPr>
        <w:autoSpaceDE w:val="0"/>
        <w:autoSpaceDN w:val="0"/>
        <w:adjustRightInd w:val="0"/>
        <w:spacing w:before="120" w:after="120"/>
        <w:ind w:firstLine="708"/>
        <w:jc w:val="both"/>
        <w:rPr>
          <w:rFonts w:ascii="Bookman Old Style" w:hAnsi="Bookman Old Style"/>
          <w:bCs/>
          <w:sz w:val="20"/>
          <w:szCs w:val="20"/>
        </w:rPr>
      </w:pPr>
      <w:r w:rsidRPr="000A4482">
        <w:rPr>
          <w:rFonts w:ascii="Bookman Old Style" w:hAnsi="Bookman Old Style"/>
          <w:bCs/>
          <w:sz w:val="20"/>
          <w:szCs w:val="20"/>
        </w:rPr>
        <w:t>Согласно сведениям, представленным конкурсным управляющим ООО «</w:t>
      </w:r>
      <w:r>
        <w:rPr>
          <w:rFonts w:ascii="Bookman Old Style" w:hAnsi="Bookman Old Style"/>
          <w:bCs/>
          <w:sz w:val="20"/>
          <w:szCs w:val="20"/>
        </w:rPr>
        <w:t>Окно</w:t>
      </w:r>
      <w:r w:rsidRPr="000A4482">
        <w:rPr>
          <w:rFonts w:ascii="Bookman Old Style" w:hAnsi="Bookman Old Style"/>
          <w:bCs/>
          <w:sz w:val="20"/>
          <w:szCs w:val="20"/>
        </w:rPr>
        <w:t>», оцениваемое имущество обременено залоговым обязательством. На основании положений законодательства о банкротстве начальная продажная цена предмета залога – недвижимого</w:t>
      </w:r>
      <w:r>
        <w:rPr>
          <w:rFonts w:ascii="Bookman Old Style" w:hAnsi="Bookman Old Style"/>
          <w:bCs/>
          <w:sz w:val="20"/>
          <w:szCs w:val="20"/>
        </w:rPr>
        <w:t xml:space="preserve"> и движимого</w:t>
      </w:r>
      <w:r w:rsidRPr="000A4482">
        <w:rPr>
          <w:rFonts w:ascii="Bookman Old Style" w:hAnsi="Bookman Old Style"/>
          <w:bCs/>
          <w:sz w:val="20"/>
          <w:szCs w:val="20"/>
        </w:rPr>
        <w:t xml:space="preserve">  имущества устанавливается в размере 80% от рыночной стоимости. При проведении расчета рыночной стоимости данный фактор не учитывается, т.к. согласно данным Задания на оценку, проводится расчет рыночной стоимости без учета дополнительных скидок установленных законодательством при реализации предмета залога</w:t>
      </w:r>
      <w:r w:rsidR="00526C57">
        <w:rPr>
          <w:rFonts w:ascii="Bookman Old Style" w:hAnsi="Bookman Old Style"/>
          <w:bCs/>
          <w:sz w:val="20"/>
          <w:szCs w:val="20"/>
        </w:rPr>
        <w:t>.</w:t>
      </w:r>
    </w:p>
    <w:p w:rsidR="00724FB4" w:rsidRPr="00D93DC5" w:rsidRDefault="007D0A44" w:rsidP="00DB0E6C">
      <w:pPr>
        <w:pStyle w:val="2"/>
        <w:spacing w:before="120" w:after="120"/>
        <w:rPr>
          <w:rFonts w:ascii="Bookman Old Style" w:hAnsi="Bookman Old Style"/>
          <w:b/>
          <w:sz w:val="20"/>
          <w:szCs w:val="20"/>
        </w:rPr>
      </w:pPr>
      <w:bookmarkStart w:id="167" w:name="_Toc461206364"/>
      <w:bookmarkEnd w:id="159"/>
      <w:bookmarkEnd w:id="160"/>
      <w:bookmarkEnd w:id="161"/>
      <w:bookmarkEnd w:id="162"/>
      <w:r w:rsidRPr="00D93DC5">
        <w:rPr>
          <w:rFonts w:ascii="Bookman Old Style" w:hAnsi="Bookman Old Style"/>
          <w:b/>
          <w:sz w:val="20"/>
          <w:szCs w:val="20"/>
        </w:rPr>
        <w:t xml:space="preserve">3.2. </w:t>
      </w:r>
      <w:r w:rsidR="00D93DC5" w:rsidRPr="00D93DC5">
        <w:rPr>
          <w:rFonts w:ascii="Bookman Old Style" w:hAnsi="Bookman Old Style"/>
          <w:b/>
          <w:sz w:val="20"/>
          <w:szCs w:val="20"/>
        </w:rPr>
        <w:t>КОЛИ</w:t>
      </w:r>
      <w:r w:rsidR="00D93DC5">
        <w:rPr>
          <w:rFonts w:ascii="Bookman Old Style" w:hAnsi="Bookman Old Style"/>
          <w:b/>
          <w:sz w:val="20"/>
          <w:szCs w:val="20"/>
        </w:rPr>
        <w:t>ЧЕСТВЕННЫЕ И</w:t>
      </w:r>
      <w:r w:rsidR="00354B03">
        <w:rPr>
          <w:rFonts w:ascii="Bookman Old Style" w:hAnsi="Bookman Old Style"/>
          <w:b/>
          <w:sz w:val="20"/>
          <w:szCs w:val="20"/>
        </w:rPr>
        <w:t xml:space="preserve"> </w:t>
      </w:r>
      <w:r w:rsidR="00D93DC5">
        <w:rPr>
          <w:rFonts w:ascii="Bookman Old Style" w:hAnsi="Bookman Old Style"/>
          <w:b/>
          <w:sz w:val="20"/>
          <w:szCs w:val="20"/>
        </w:rPr>
        <w:t>КАЧЕСТВЕННЫЕ ХАРАКТЕРИСТИКИ ОБЪЕКТА ОЦЕНКИ</w:t>
      </w:r>
      <w:bookmarkEnd w:id="167"/>
    </w:p>
    <w:p w:rsidR="007D0A44" w:rsidRPr="00D773CE" w:rsidRDefault="007D0A44" w:rsidP="00DB0E6C">
      <w:pPr>
        <w:pStyle w:val="3"/>
        <w:spacing w:after="120"/>
        <w:rPr>
          <w:rFonts w:ascii="Bookman Old Style" w:hAnsi="Bookman Old Style"/>
          <w:sz w:val="20"/>
          <w:szCs w:val="20"/>
        </w:rPr>
      </w:pPr>
      <w:bookmarkStart w:id="168" w:name="_Toc240097220"/>
      <w:bookmarkStart w:id="169" w:name="_Toc293317446"/>
      <w:bookmarkStart w:id="170" w:name="_Toc293401540"/>
      <w:bookmarkStart w:id="171" w:name="_Toc461206365"/>
      <w:r w:rsidRPr="00D773CE">
        <w:rPr>
          <w:rFonts w:ascii="Bookman Old Style" w:hAnsi="Bookman Old Style"/>
          <w:sz w:val="20"/>
          <w:szCs w:val="20"/>
        </w:rPr>
        <w:t xml:space="preserve">3.2.1. </w:t>
      </w:r>
      <w:bookmarkEnd w:id="168"/>
      <w:bookmarkEnd w:id="169"/>
      <w:bookmarkEnd w:id="170"/>
      <w:r w:rsidR="0015113A">
        <w:rPr>
          <w:rFonts w:ascii="Bookman Old Style" w:hAnsi="Bookman Old Style"/>
          <w:sz w:val="20"/>
          <w:szCs w:val="20"/>
        </w:rPr>
        <w:t>Ссылки на документы, используемые при установлении характеристик</w:t>
      </w:r>
      <w:bookmarkEnd w:id="171"/>
    </w:p>
    <w:p w:rsidR="00467865" w:rsidRPr="001620E2" w:rsidRDefault="00467865" w:rsidP="00DB0E6C">
      <w:pPr>
        <w:spacing w:before="120" w:after="120"/>
        <w:ind w:firstLine="709"/>
        <w:jc w:val="both"/>
        <w:rPr>
          <w:rFonts w:ascii="Bookman Old Style" w:hAnsi="Bookman Old Style"/>
          <w:sz w:val="20"/>
          <w:szCs w:val="20"/>
        </w:rPr>
      </w:pPr>
      <w:r w:rsidRPr="001620E2">
        <w:rPr>
          <w:rFonts w:ascii="Bookman Old Style" w:hAnsi="Bookman Old Style"/>
          <w:sz w:val="20"/>
          <w:szCs w:val="20"/>
        </w:rPr>
        <w:t>Источники информации:</w:t>
      </w:r>
    </w:p>
    <w:p w:rsidR="00DB0AEE" w:rsidRDefault="00DB0AEE" w:rsidP="00DB0AEE">
      <w:pPr>
        <w:widowControl w:val="0"/>
        <w:numPr>
          <w:ilvl w:val="0"/>
          <w:numId w:val="8"/>
        </w:numPr>
        <w:autoSpaceDE w:val="0"/>
        <w:autoSpaceDN w:val="0"/>
        <w:adjustRightInd w:val="0"/>
        <w:spacing w:before="100" w:after="100"/>
        <w:ind w:left="1066" w:hanging="357"/>
        <w:rPr>
          <w:rFonts w:ascii="Bookman Old Style" w:hAnsi="Bookman Old Style"/>
          <w:sz w:val="20"/>
          <w:szCs w:val="20"/>
        </w:rPr>
      </w:pPr>
      <w:r w:rsidRPr="00DB0AEE">
        <w:rPr>
          <w:rFonts w:ascii="Bookman Old Style" w:hAnsi="Bookman Old Style"/>
          <w:sz w:val="20"/>
          <w:szCs w:val="20"/>
        </w:rPr>
        <w:t>Акт осмотра, идентификации и определения технического состоян</w:t>
      </w:r>
      <w:r>
        <w:rPr>
          <w:rFonts w:ascii="Bookman Old Style" w:hAnsi="Bookman Old Style"/>
          <w:sz w:val="20"/>
          <w:szCs w:val="20"/>
        </w:rPr>
        <w:t>ия имущества подлежащего оценке</w:t>
      </w:r>
      <w:r w:rsidRPr="00284ACB">
        <w:rPr>
          <w:rFonts w:ascii="Bookman Old Style" w:hAnsi="Bookman Old Style"/>
          <w:sz w:val="20"/>
          <w:szCs w:val="20"/>
          <w:vertAlign w:val="superscript"/>
        </w:rPr>
        <w:footnoteReference w:id="13"/>
      </w:r>
      <w:r w:rsidRPr="00284ACB">
        <w:rPr>
          <w:rFonts w:ascii="Bookman Old Style" w:hAnsi="Bookman Old Style"/>
          <w:sz w:val="20"/>
          <w:szCs w:val="20"/>
        </w:rPr>
        <w:t>;</w:t>
      </w:r>
    </w:p>
    <w:p w:rsidR="00C33B02" w:rsidRDefault="00C33B02" w:rsidP="00DB0AEE">
      <w:pPr>
        <w:widowControl w:val="0"/>
        <w:numPr>
          <w:ilvl w:val="0"/>
          <w:numId w:val="8"/>
        </w:numPr>
        <w:autoSpaceDE w:val="0"/>
        <w:autoSpaceDN w:val="0"/>
        <w:adjustRightInd w:val="0"/>
        <w:spacing w:before="100" w:after="100"/>
        <w:ind w:left="1066" w:hanging="357"/>
        <w:rPr>
          <w:rFonts w:ascii="Bookman Old Style" w:hAnsi="Bookman Old Style"/>
          <w:sz w:val="20"/>
          <w:szCs w:val="20"/>
        </w:rPr>
      </w:pPr>
      <w:r w:rsidRPr="00C33B02">
        <w:rPr>
          <w:rFonts w:ascii="Bookman Old Style" w:hAnsi="Bookman Old Style"/>
          <w:bCs/>
          <w:sz w:val="20"/>
          <w:szCs w:val="20"/>
        </w:rPr>
        <w:t>Копия инвентаризационн</w:t>
      </w:r>
      <w:r w:rsidR="000A4482">
        <w:rPr>
          <w:rFonts w:ascii="Bookman Old Style" w:hAnsi="Bookman Old Style"/>
          <w:bCs/>
          <w:sz w:val="20"/>
          <w:szCs w:val="20"/>
        </w:rPr>
        <w:t>ых</w:t>
      </w:r>
      <w:r w:rsidRPr="00C33B02">
        <w:rPr>
          <w:rFonts w:ascii="Bookman Old Style" w:hAnsi="Bookman Old Style"/>
          <w:bCs/>
          <w:sz w:val="20"/>
          <w:szCs w:val="20"/>
        </w:rPr>
        <w:t xml:space="preserve"> опис</w:t>
      </w:r>
      <w:r w:rsidR="000A4482">
        <w:rPr>
          <w:rFonts w:ascii="Bookman Old Style" w:hAnsi="Bookman Old Style"/>
          <w:bCs/>
          <w:sz w:val="20"/>
          <w:szCs w:val="20"/>
        </w:rPr>
        <w:t>ей</w:t>
      </w:r>
      <w:r w:rsidRPr="00C33B02">
        <w:rPr>
          <w:rFonts w:ascii="Bookman Old Style" w:hAnsi="Bookman Old Style"/>
          <w:bCs/>
          <w:sz w:val="20"/>
          <w:szCs w:val="20"/>
          <w:vertAlign w:val="superscript"/>
        </w:rPr>
        <w:t xml:space="preserve"> </w:t>
      </w:r>
      <w:r w:rsidRPr="00284ACB">
        <w:rPr>
          <w:rFonts w:ascii="Bookman Old Style" w:hAnsi="Bookman Old Style"/>
          <w:sz w:val="20"/>
          <w:szCs w:val="20"/>
          <w:vertAlign w:val="superscript"/>
        </w:rPr>
        <w:footnoteReference w:id="14"/>
      </w:r>
      <w:r w:rsidRPr="00284ACB">
        <w:rPr>
          <w:rFonts w:ascii="Bookman Old Style" w:hAnsi="Bookman Old Style"/>
          <w:sz w:val="20"/>
          <w:szCs w:val="20"/>
        </w:rPr>
        <w:t xml:space="preserve">; </w:t>
      </w:r>
    </w:p>
    <w:p w:rsidR="006A107F" w:rsidRDefault="00C33B02" w:rsidP="00AB1FB9">
      <w:pPr>
        <w:widowControl w:val="0"/>
        <w:numPr>
          <w:ilvl w:val="0"/>
          <w:numId w:val="8"/>
        </w:numPr>
        <w:autoSpaceDE w:val="0"/>
        <w:autoSpaceDN w:val="0"/>
        <w:adjustRightInd w:val="0"/>
        <w:spacing w:before="100" w:after="100"/>
        <w:ind w:left="1066" w:hanging="357"/>
        <w:rPr>
          <w:rFonts w:ascii="Bookman Old Style" w:hAnsi="Bookman Old Style"/>
          <w:sz w:val="20"/>
          <w:szCs w:val="20"/>
        </w:rPr>
      </w:pPr>
      <w:r w:rsidRPr="00C33B02">
        <w:rPr>
          <w:rFonts w:ascii="Bookman Old Style" w:hAnsi="Bookman Old Style"/>
          <w:sz w:val="20"/>
          <w:szCs w:val="20"/>
        </w:rPr>
        <w:t xml:space="preserve">Копия </w:t>
      </w:r>
      <w:r w:rsidRPr="00C33B02">
        <w:rPr>
          <w:rFonts w:ascii="Bookman Old Style" w:hAnsi="Bookman Old Style"/>
          <w:bCs/>
          <w:sz w:val="20"/>
          <w:szCs w:val="20"/>
        </w:rPr>
        <w:t>технических паспортов. Копия кадастрового паспорта</w:t>
      </w:r>
      <w:r w:rsidRPr="00C33B02">
        <w:rPr>
          <w:rFonts w:ascii="Bookman Old Style" w:hAnsi="Bookman Old Style"/>
          <w:sz w:val="20"/>
          <w:szCs w:val="20"/>
        </w:rPr>
        <w:t>.</w:t>
      </w:r>
      <w:r w:rsidRPr="00C33B02">
        <w:rPr>
          <w:rFonts w:ascii="Bookman Old Style" w:hAnsi="Bookman Old Style"/>
          <w:sz w:val="20"/>
          <w:szCs w:val="20"/>
          <w:vertAlign w:val="superscript"/>
        </w:rPr>
        <w:footnoteReference w:id="15"/>
      </w:r>
      <w:r w:rsidR="006A107F" w:rsidRPr="00C33B02">
        <w:rPr>
          <w:rFonts w:ascii="Bookman Old Style" w:hAnsi="Bookman Old Style"/>
          <w:sz w:val="20"/>
          <w:szCs w:val="20"/>
        </w:rPr>
        <w:t>;</w:t>
      </w:r>
    </w:p>
    <w:p w:rsidR="000A4482" w:rsidRPr="00C33B02" w:rsidRDefault="000A4482" w:rsidP="00AB1FB9">
      <w:pPr>
        <w:widowControl w:val="0"/>
        <w:numPr>
          <w:ilvl w:val="0"/>
          <w:numId w:val="8"/>
        </w:numPr>
        <w:autoSpaceDE w:val="0"/>
        <w:autoSpaceDN w:val="0"/>
        <w:adjustRightInd w:val="0"/>
        <w:spacing w:before="100" w:after="100"/>
        <w:ind w:left="1066" w:hanging="357"/>
        <w:rPr>
          <w:rFonts w:ascii="Bookman Old Style" w:hAnsi="Bookman Old Style"/>
          <w:sz w:val="20"/>
          <w:szCs w:val="20"/>
        </w:rPr>
      </w:pPr>
      <w:r>
        <w:rPr>
          <w:rFonts w:ascii="Bookman Old Style" w:hAnsi="Bookman Old Style"/>
          <w:sz w:val="20"/>
          <w:szCs w:val="20"/>
        </w:rPr>
        <w:t>Копия договора купли-продажи оборудования</w:t>
      </w:r>
      <w:r w:rsidRPr="00C33B02">
        <w:rPr>
          <w:rFonts w:ascii="Bookman Old Style" w:hAnsi="Bookman Old Style"/>
          <w:sz w:val="20"/>
          <w:szCs w:val="20"/>
          <w:vertAlign w:val="superscript"/>
        </w:rPr>
        <w:footnoteReference w:id="16"/>
      </w:r>
      <w:r w:rsidRPr="00C33B02">
        <w:rPr>
          <w:rFonts w:ascii="Bookman Old Style" w:hAnsi="Bookman Old Style"/>
          <w:sz w:val="20"/>
          <w:szCs w:val="20"/>
        </w:rPr>
        <w:t>;</w:t>
      </w:r>
    </w:p>
    <w:p w:rsidR="00526C57" w:rsidRPr="006A107F" w:rsidRDefault="00526C57" w:rsidP="00AB1FB9">
      <w:pPr>
        <w:widowControl w:val="0"/>
        <w:numPr>
          <w:ilvl w:val="0"/>
          <w:numId w:val="8"/>
        </w:numPr>
        <w:autoSpaceDE w:val="0"/>
        <w:autoSpaceDN w:val="0"/>
        <w:adjustRightInd w:val="0"/>
        <w:spacing w:before="120" w:after="120"/>
        <w:ind w:left="1066" w:hanging="357"/>
        <w:rPr>
          <w:rFonts w:ascii="Bookman Old Style" w:hAnsi="Bookman Old Style"/>
          <w:sz w:val="20"/>
          <w:szCs w:val="20"/>
        </w:rPr>
      </w:pPr>
      <w:r w:rsidRPr="00526C57">
        <w:rPr>
          <w:rFonts w:ascii="Bookman Old Style" w:hAnsi="Bookman Old Style"/>
          <w:sz w:val="20"/>
          <w:szCs w:val="20"/>
        </w:rPr>
        <w:t>Техническая и нормативная документации, прочие источники информации</w:t>
      </w:r>
      <w:r w:rsidRPr="00526C57">
        <w:rPr>
          <w:rFonts w:ascii="Bookman Old Style" w:hAnsi="Bookman Old Style"/>
          <w:sz w:val="20"/>
          <w:szCs w:val="20"/>
          <w:vertAlign w:val="superscript"/>
        </w:rPr>
        <w:footnoteReference w:id="17"/>
      </w:r>
    </w:p>
    <w:p w:rsidR="00352A3F" w:rsidRDefault="00D773CE" w:rsidP="00DB0E6C">
      <w:pPr>
        <w:spacing w:before="120" w:after="120"/>
        <w:ind w:firstLine="709"/>
        <w:jc w:val="both"/>
        <w:rPr>
          <w:rFonts w:ascii="Bookman Old Style" w:hAnsi="Bookman Old Style"/>
          <w:sz w:val="20"/>
          <w:szCs w:val="20"/>
        </w:rPr>
      </w:pPr>
      <w:r w:rsidRPr="00D773CE">
        <w:rPr>
          <w:rFonts w:ascii="Bookman Old Style" w:hAnsi="Bookman Old Style"/>
          <w:sz w:val="20"/>
          <w:szCs w:val="20"/>
        </w:rPr>
        <w:t>В результате анализа информации</w:t>
      </w:r>
      <w:r w:rsidR="001B5B88">
        <w:rPr>
          <w:rFonts w:ascii="Bookman Old Style" w:hAnsi="Bookman Old Style"/>
          <w:sz w:val="20"/>
          <w:szCs w:val="20"/>
        </w:rPr>
        <w:t xml:space="preserve"> полученной</w:t>
      </w:r>
      <w:r w:rsidR="001449C8">
        <w:rPr>
          <w:rFonts w:ascii="Bookman Old Style" w:hAnsi="Bookman Old Style"/>
          <w:sz w:val="20"/>
          <w:szCs w:val="20"/>
        </w:rPr>
        <w:t xml:space="preserve"> из указанных</w:t>
      </w:r>
      <w:r w:rsidR="001B5B88">
        <w:rPr>
          <w:rFonts w:ascii="Bookman Old Style" w:hAnsi="Bookman Old Style"/>
          <w:sz w:val="20"/>
          <w:szCs w:val="20"/>
        </w:rPr>
        <w:t xml:space="preserve"> информационных</w:t>
      </w:r>
      <w:r w:rsidR="001449C8">
        <w:rPr>
          <w:rFonts w:ascii="Bookman Old Style" w:hAnsi="Bookman Old Style"/>
          <w:sz w:val="20"/>
          <w:szCs w:val="20"/>
        </w:rPr>
        <w:t xml:space="preserve"> источников</w:t>
      </w:r>
      <w:r w:rsidRPr="00D773CE">
        <w:rPr>
          <w:rFonts w:ascii="Bookman Old Style" w:hAnsi="Bookman Old Style"/>
          <w:sz w:val="20"/>
          <w:szCs w:val="20"/>
        </w:rPr>
        <w:t>, определены основные характеристики Объект</w:t>
      </w:r>
      <w:r w:rsidR="00F83E31">
        <w:rPr>
          <w:rFonts w:ascii="Bookman Old Style" w:hAnsi="Bookman Old Style"/>
          <w:sz w:val="20"/>
          <w:szCs w:val="20"/>
        </w:rPr>
        <w:t>а</w:t>
      </w:r>
      <w:r w:rsidRPr="00D773CE">
        <w:rPr>
          <w:rFonts w:ascii="Bookman Old Style" w:hAnsi="Bookman Old Style"/>
          <w:sz w:val="20"/>
          <w:szCs w:val="20"/>
        </w:rPr>
        <w:t xml:space="preserve"> оценки</w:t>
      </w:r>
      <w:r w:rsidR="006A2361">
        <w:rPr>
          <w:rFonts w:ascii="Bookman Old Style" w:hAnsi="Bookman Old Style"/>
          <w:sz w:val="20"/>
          <w:szCs w:val="20"/>
        </w:rPr>
        <w:t xml:space="preserve"> в составе его элементов</w:t>
      </w:r>
      <w:r w:rsidRPr="00D773CE">
        <w:rPr>
          <w:rFonts w:ascii="Bookman Old Style" w:hAnsi="Bookman Old Style"/>
          <w:sz w:val="20"/>
          <w:szCs w:val="20"/>
        </w:rPr>
        <w:t>.</w:t>
      </w:r>
    </w:p>
    <w:p w:rsidR="00526C57" w:rsidRPr="003F76D5" w:rsidRDefault="00526C57" w:rsidP="00526C57">
      <w:pPr>
        <w:pStyle w:val="3"/>
        <w:spacing w:after="120"/>
        <w:rPr>
          <w:rFonts w:ascii="Bookman Old Style" w:hAnsi="Bookman Old Style"/>
          <w:sz w:val="20"/>
          <w:szCs w:val="20"/>
        </w:rPr>
      </w:pPr>
      <w:bookmarkStart w:id="172" w:name="_Toc440540756"/>
      <w:bookmarkStart w:id="173" w:name="_Toc461206366"/>
      <w:r w:rsidRPr="003F76D5">
        <w:rPr>
          <w:rFonts w:ascii="Bookman Old Style" w:hAnsi="Bookman Old Style"/>
          <w:sz w:val="20"/>
          <w:szCs w:val="20"/>
        </w:rPr>
        <w:t>3.2.</w:t>
      </w:r>
      <w:r>
        <w:rPr>
          <w:rFonts w:ascii="Bookman Old Style" w:hAnsi="Bookman Old Style"/>
          <w:sz w:val="20"/>
          <w:szCs w:val="20"/>
        </w:rPr>
        <w:t>2</w:t>
      </w:r>
      <w:r w:rsidRPr="003F76D5">
        <w:rPr>
          <w:rFonts w:ascii="Bookman Old Style" w:hAnsi="Bookman Old Style"/>
          <w:sz w:val="20"/>
          <w:szCs w:val="20"/>
        </w:rPr>
        <w:t xml:space="preserve">. </w:t>
      </w:r>
      <w:r w:rsidRPr="00F14D9D">
        <w:rPr>
          <w:rFonts w:ascii="Bookman Old Style" w:hAnsi="Bookman Old Style"/>
          <w:sz w:val="20"/>
          <w:szCs w:val="20"/>
        </w:rPr>
        <w:t>Информация о местоположении имущества</w:t>
      </w:r>
      <w:r w:rsidRPr="00F14D9D">
        <w:rPr>
          <w:rFonts w:ascii="Bookman Old Style" w:hAnsi="Bookman Old Style"/>
          <w:sz w:val="20"/>
          <w:szCs w:val="20"/>
          <w:vertAlign w:val="superscript"/>
        </w:rPr>
        <w:t xml:space="preserve"> </w:t>
      </w:r>
      <w:r w:rsidRPr="00F14D9D">
        <w:rPr>
          <w:rFonts w:ascii="Bookman Old Style" w:hAnsi="Bookman Old Style"/>
          <w:sz w:val="20"/>
          <w:szCs w:val="20"/>
          <w:vertAlign w:val="superscript"/>
        </w:rPr>
        <w:footnoteReference w:id="18"/>
      </w:r>
      <w:bookmarkEnd w:id="172"/>
      <w:bookmarkEnd w:id="173"/>
      <w:r w:rsidRPr="00F14D9D">
        <w:rPr>
          <w:rFonts w:ascii="Bookman Old Style" w:hAnsi="Bookman Old Style"/>
          <w:sz w:val="20"/>
          <w:szCs w:val="20"/>
          <w:vertAlign w:val="superscript"/>
        </w:rPr>
        <w:t xml:space="preserve"> </w:t>
      </w:r>
      <w:r>
        <w:rPr>
          <w:rFonts w:ascii="Bookman Old Style" w:hAnsi="Bookman Old Style"/>
          <w:sz w:val="20"/>
          <w:szCs w:val="20"/>
        </w:rPr>
        <w:t xml:space="preserve"> </w:t>
      </w:r>
    </w:p>
    <w:p w:rsidR="00C33B02" w:rsidRDefault="00C33B02" w:rsidP="00526C57">
      <w:pPr>
        <w:tabs>
          <w:tab w:val="left" w:pos="9214"/>
        </w:tabs>
        <w:spacing w:before="120" w:after="120"/>
        <w:ind w:firstLine="709"/>
        <w:jc w:val="both"/>
        <w:rPr>
          <w:rFonts w:ascii="Bookman Old Style" w:hAnsi="Bookman Old Style"/>
          <w:bCs/>
          <w:sz w:val="20"/>
          <w:szCs w:val="20"/>
        </w:rPr>
      </w:pPr>
      <w:r>
        <w:rPr>
          <w:rFonts w:ascii="Bookman Old Style" w:hAnsi="Bookman Old Style"/>
          <w:bCs/>
          <w:sz w:val="20"/>
          <w:szCs w:val="20"/>
        </w:rPr>
        <w:t xml:space="preserve">Элементы </w:t>
      </w:r>
      <w:r w:rsidR="00526C57">
        <w:rPr>
          <w:rFonts w:ascii="Bookman Old Style" w:hAnsi="Bookman Old Style"/>
          <w:bCs/>
          <w:sz w:val="20"/>
          <w:szCs w:val="20"/>
        </w:rPr>
        <w:t>Объект</w:t>
      </w:r>
      <w:r>
        <w:rPr>
          <w:rFonts w:ascii="Bookman Old Style" w:hAnsi="Bookman Old Style"/>
          <w:bCs/>
          <w:sz w:val="20"/>
          <w:szCs w:val="20"/>
        </w:rPr>
        <w:t>а</w:t>
      </w:r>
      <w:r w:rsidR="00526C57" w:rsidRPr="00526C57">
        <w:rPr>
          <w:rFonts w:ascii="Bookman Old Style" w:hAnsi="Bookman Old Style"/>
          <w:bCs/>
          <w:sz w:val="20"/>
          <w:szCs w:val="20"/>
        </w:rPr>
        <w:t xml:space="preserve"> оценки расположен</w:t>
      </w:r>
      <w:r>
        <w:rPr>
          <w:rFonts w:ascii="Bookman Old Style" w:hAnsi="Bookman Old Style"/>
          <w:bCs/>
          <w:sz w:val="20"/>
          <w:szCs w:val="20"/>
        </w:rPr>
        <w:t>ы</w:t>
      </w:r>
      <w:r w:rsidR="00526C57" w:rsidRPr="00526C57">
        <w:rPr>
          <w:rFonts w:ascii="Bookman Old Style" w:hAnsi="Bookman Old Style"/>
          <w:bCs/>
          <w:sz w:val="20"/>
          <w:szCs w:val="20"/>
        </w:rPr>
        <w:t xml:space="preserve"> в </w:t>
      </w:r>
      <w:r w:rsidR="000A4482">
        <w:rPr>
          <w:rFonts w:ascii="Bookman Old Style" w:hAnsi="Bookman Old Style"/>
          <w:bCs/>
          <w:sz w:val="20"/>
          <w:szCs w:val="20"/>
        </w:rPr>
        <w:t>Ленинском</w:t>
      </w:r>
      <w:r>
        <w:rPr>
          <w:rFonts w:ascii="Bookman Old Style" w:hAnsi="Bookman Old Style"/>
          <w:bCs/>
          <w:sz w:val="20"/>
          <w:szCs w:val="20"/>
        </w:rPr>
        <w:t xml:space="preserve"> районе г. Красноярска. </w:t>
      </w:r>
    </w:p>
    <w:p w:rsidR="000A4482" w:rsidRPr="000A4482" w:rsidRDefault="000A4482" w:rsidP="000A4482">
      <w:pPr>
        <w:tabs>
          <w:tab w:val="left" w:pos="9214"/>
        </w:tabs>
        <w:spacing w:before="120" w:after="120"/>
        <w:ind w:firstLine="709"/>
        <w:jc w:val="both"/>
        <w:rPr>
          <w:rFonts w:ascii="Bookman Old Style" w:hAnsi="Bookman Old Style"/>
          <w:bCs/>
          <w:sz w:val="20"/>
          <w:szCs w:val="20"/>
        </w:rPr>
      </w:pPr>
      <w:r w:rsidRPr="000A4482">
        <w:rPr>
          <w:rFonts w:ascii="Bookman Old Style" w:hAnsi="Bookman Old Style"/>
          <w:bCs/>
          <w:sz w:val="20"/>
          <w:szCs w:val="20"/>
        </w:rPr>
        <w:t xml:space="preserve">Ленинский район расположен на правобережье города Красноярска, характеризуется как промышленный. </w:t>
      </w:r>
    </w:p>
    <w:p w:rsidR="000A4482" w:rsidRPr="000A4482" w:rsidRDefault="000A4482" w:rsidP="000A4482">
      <w:pPr>
        <w:tabs>
          <w:tab w:val="left" w:pos="9214"/>
        </w:tabs>
        <w:spacing w:before="120" w:after="120"/>
        <w:ind w:firstLine="709"/>
        <w:jc w:val="both"/>
        <w:rPr>
          <w:rFonts w:ascii="Bookman Old Style" w:hAnsi="Bookman Old Style"/>
          <w:bCs/>
          <w:sz w:val="20"/>
          <w:szCs w:val="20"/>
        </w:rPr>
      </w:pPr>
      <w:r w:rsidRPr="000A4482">
        <w:rPr>
          <w:rFonts w:ascii="Bookman Old Style" w:hAnsi="Bookman Old Style"/>
          <w:bCs/>
          <w:sz w:val="20"/>
          <w:szCs w:val="20"/>
        </w:rPr>
        <w:t>Сегодня район занимает территорию размером 58,44 кв. км, где расположились 92 улицы. Район граничит с Кировским районом города Красноярска и Березовским районом Красноярского края. Численность населения составляет 146,3 тыс. человек.</w:t>
      </w:r>
    </w:p>
    <w:p w:rsidR="000A4482" w:rsidRPr="000A4482" w:rsidRDefault="000A4482" w:rsidP="000A4482">
      <w:pPr>
        <w:tabs>
          <w:tab w:val="left" w:pos="9214"/>
        </w:tabs>
        <w:spacing w:before="120" w:after="120"/>
        <w:ind w:firstLine="709"/>
        <w:jc w:val="both"/>
        <w:rPr>
          <w:rFonts w:ascii="Bookman Old Style" w:hAnsi="Bookman Old Style"/>
          <w:bCs/>
          <w:sz w:val="20"/>
          <w:szCs w:val="20"/>
        </w:rPr>
      </w:pPr>
      <w:r w:rsidRPr="000A4482">
        <w:rPr>
          <w:rFonts w:ascii="Bookman Old Style" w:hAnsi="Bookman Old Style"/>
          <w:bCs/>
          <w:sz w:val="20"/>
          <w:szCs w:val="20"/>
        </w:rPr>
        <w:t>На территории района расположено 20 школ, 7 учреждений дополнительного образования, 9 высших и средних учебных заведений, 9 объектов физической культуры и спорта, 16 учреждений культуры. 15 лечебно-профилактических учреждений и 16 аптек. 249 магазинов и торговых комплексов и 47 предприятий общественного питания.</w:t>
      </w:r>
    </w:p>
    <w:p w:rsidR="00E7167E" w:rsidRDefault="000A4482" w:rsidP="000A4482">
      <w:pPr>
        <w:tabs>
          <w:tab w:val="left" w:pos="9214"/>
        </w:tabs>
        <w:spacing w:before="120" w:after="120"/>
        <w:ind w:firstLine="709"/>
        <w:jc w:val="both"/>
        <w:rPr>
          <w:rFonts w:ascii="Bookman Old Style" w:hAnsi="Bookman Old Style"/>
          <w:bCs/>
          <w:sz w:val="20"/>
          <w:szCs w:val="20"/>
        </w:rPr>
      </w:pPr>
      <w:r w:rsidRPr="000A4482">
        <w:rPr>
          <w:rFonts w:ascii="Bookman Old Style" w:hAnsi="Bookman Old Style"/>
          <w:bCs/>
          <w:sz w:val="20"/>
          <w:szCs w:val="20"/>
        </w:rPr>
        <w:t>Но прежде всего, Ленинский район был и остается промышленным центром Красноярска. Именно здесь сосредоточены крупнейшие предприятия города, в том числе такие известные на весь мир гиганты как Красноярский машиностроительный завод и Красноярский завод цветных металлов им. В.Н. Гулидова, чья производственная деятельность является значимым фактором экономического роста и финансового благополучия города.</w:t>
      </w:r>
    </w:p>
    <w:p w:rsidR="000A4482" w:rsidRDefault="000A4482" w:rsidP="000A4482">
      <w:pPr>
        <w:tabs>
          <w:tab w:val="left" w:pos="9214"/>
        </w:tabs>
        <w:spacing w:before="120" w:after="120"/>
        <w:ind w:firstLine="709"/>
        <w:jc w:val="both"/>
        <w:rPr>
          <w:rFonts w:ascii="Bookman Old Style" w:hAnsi="Bookman Old Style"/>
          <w:bCs/>
          <w:sz w:val="20"/>
          <w:szCs w:val="20"/>
        </w:rPr>
      </w:pPr>
      <w:r w:rsidRPr="000A4482">
        <w:rPr>
          <w:rFonts w:ascii="Bookman Old Style" w:hAnsi="Bookman Old Style"/>
          <w:bCs/>
          <w:sz w:val="20"/>
          <w:szCs w:val="20"/>
        </w:rPr>
        <w:t xml:space="preserve">На территории района также действуют 17 крупных и средних предприятий, осуществляющих производственную деятельность, наиболее крупные из них: ОАО «Красноярский </w:t>
      </w:r>
      <w:r w:rsidRPr="000A4482">
        <w:rPr>
          <w:rFonts w:ascii="Bookman Old Style" w:hAnsi="Bookman Old Style"/>
          <w:bCs/>
          <w:sz w:val="20"/>
          <w:szCs w:val="20"/>
        </w:rPr>
        <w:lastRenderedPageBreak/>
        <w:t>завод СК», ОАО «Германий», ООО ЗТО «Бирюса», ОАО КХК «Бирюса», ОАО «Гамбит», ООО «Котельный завод» и другие</w:t>
      </w:r>
      <w:r>
        <w:rPr>
          <w:rFonts w:ascii="Bookman Old Style" w:hAnsi="Bookman Old Style"/>
          <w:bCs/>
          <w:sz w:val="20"/>
          <w:szCs w:val="20"/>
        </w:rPr>
        <w:t>.</w:t>
      </w:r>
    </w:p>
    <w:p w:rsidR="00526C57" w:rsidRDefault="00526C57" w:rsidP="00526C57">
      <w:pPr>
        <w:spacing w:before="120" w:after="120"/>
        <w:jc w:val="center"/>
        <w:rPr>
          <w:rFonts w:asciiTheme="majorHAnsi" w:hAnsiTheme="majorHAnsi"/>
          <w:i/>
          <w:noProof/>
          <w:sz w:val="20"/>
          <w:szCs w:val="20"/>
        </w:rPr>
      </w:pPr>
      <w:r w:rsidRPr="00526C57">
        <w:rPr>
          <w:rFonts w:asciiTheme="majorHAnsi" w:hAnsiTheme="majorHAnsi"/>
          <w:i/>
          <w:noProof/>
          <w:sz w:val="20"/>
          <w:szCs w:val="20"/>
        </w:rPr>
        <w:t>Рисунок 3.2.2.1. Местоположение Объекта оценки в структуре г. Красноярска</w:t>
      </w:r>
    </w:p>
    <w:p w:rsidR="000A4482" w:rsidRDefault="006C4CCF" w:rsidP="00526C57">
      <w:pPr>
        <w:spacing w:before="120" w:after="120"/>
        <w:jc w:val="center"/>
        <w:rPr>
          <w:rFonts w:asciiTheme="majorHAnsi" w:hAnsiTheme="majorHAnsi"/>
          <w:i/>
          <w:noProof/>
          <w:sz w:val="20"/>
          <w:szCs w:val="20"/>
        </w:rPr>
      </w:pPr>
      <w:r w:rsidRPr="006C4CCF">
        <w:rPr>
          <w:rFonts w:ascii="Bookman Old Style" w:hAnsi="Bookman Old Style"/>
          <w:bCs/>
          <w:noProof/>
          <w:sz w:val="20"/>
          <w:szCs w:val="20"/>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213" o:spid="_x0000_s1044" type="#_x0000_t62" style="position:absolute;left:0;text-align:left;margin-left:294pt;margin-top:199.05pt;width:138.8pt;height:21.25pt;z-index:251712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" adj="2989,-66460">
            <v:textbox>
              <w:txbxContent>
                <w:p w:rsidR="008A4DCE" w:rsidRPr="0021097F" w:rsidRDefault="000A4482" w:rsidP="00C33B02">
                  <w:pPr>
                    <w:jc w:val="center"/>
                    <w:rPr>
                      <w:rFonts w:ascii="Bookman Old Style" w:hAnsi="Bookman Old Style"/>
                      <w:sz w:val="16"/>
                      <w:szCs w:val="16"/>
                    </w:rPr>
                  </w:pPr>
                  <w:r>
                    <w:rPr>
                      <w:rFonts w:ascii="Bookman Old Style" w:hAnsi="Bookman Old Style"/>
                      <w:sz w:val="16"/>
                      <w:szCs w:val="16"/>
                    </w:rPr>
                    <w:t>Элементы Объекта оценки</w:t>
                  </w:r>
                </w:p>
              </w:txbxContent>
            </v:textbox>
          </v:shape>
        </w:pict>
      </w:r>
      <w:r w:rsidR="000A4482">
        <w:rPr>
          <w:rFonts w:asciiTheme="majorHAnsi" w:hAnsiTheme="majorHAnsi"/>
          <w:i/>
          <w:noProof/>
          <w:sz w:val="20"/>
          <w:szCs w:val="20"/>
        </w:rPr>
        <w:drawing>
          <wp:inline distT="0" distB="0" distL="0" distR="0">
            <wp:extent cx="6480175" cy="3288665"/>
            <wp:effectExtent l="0" t="0" r="0" b="698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20B4E2.tmp"/>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480175" cy="3288665"/>
                    </a:xfrm>
                    <a:prstGeom prst="rect">
                      <a:avLst/>
                    </a:prstGeom>
                  </pic:spPr>
                </pic:pic>
              </a:graphicData>
            </a:graphic>
          </wp:inline>
        </w:drawing>
      </w:r>
    </w:p>
    <w:p w:rsidR="000A4482" w:rsidRDefault="000A4482" w:rsidP="00526C57">
      <w:pPr>
        <w:spacing w:before="120" w:after="120"/>
        <w:ind w:firstLine="709"/>
        <w:jc w:val="both"/>
        <w:rPr>
          <w:rFonts w:ascii="Bookman Old Style" w:hAnsi="Bookman Old Style"/>
          <w:bCs/>
          <w:sz w:val="20"/>
          <w:szCs w:val="20"/>
        </w:rPr>
      </w:pPr>
      <w:r w:rsidRPr="000A4482">
        <w:rPr>
          <w:rFonts w:ascii="Bookman Old Style" w:hAnsi="Bookman Old Style"/>
          <w:bCs/>
          <w:sz w:val="20"/>
          <w:szCs w:val="20"/>
        </w:rPr>
        <w:t>Наряду с промышленностью в последние годы в районе стремительно развивается торговля. Потребительский рынок района насчитывает более 800 предприятий и представлен: предприятиями розничной торговли по реализации продовольственных и непродовольственных товаров, предприятиями по оказанию услуг общественного питания и бытового обслуживания населения, предприятиями мелкорозничной торговли, продовольственными рынками и торговыми комплексами.</w:t>
      </w:r>
      <w:r>
        <w:rPr>
          <w:rFonts w:ascii="Bookman Old Style" w:hAnsi="Bookman Old Style"/>
          <w:bCs/>
          <w:sz w:val="20"/>
          <w:szCs w:val="20"/>
        </w:rPr>
        <w:t xml:space="preserve"> </w:t>
      </w:r>
    </w:p>
    <w:p w:rsidR="00526C57" w:rsidRDefault="00526C57" w:rsidP="00526C57">
      <w:pPr>
        <w:spacing w:before="120" w:after="120"/>
        <w:ind w:firstLine="709"/>
        <w:jc w:val="both"/>
        <w:rPr>
          <w:rFonts w:ascii="Bookman Old Style" w:hAnsi="Bookman Old Style"/>
          <w:sz w:val="20"/>
          <w:szCs w:val="20"/>
        </w:rPr>
      </w:pPr>
      <w:r w:rsidRPr="00526C57">
        <w:rPr>
          <w:rFonts w:ascii="Bookman Old Style" w:hAnsi="Bookman Old Style"/>
          <w:bCs/>
          <w:sz w:val="20"/>
          <w:szCs w:val="20"/>
        </w:rPr>
        <w:t xml:space="preserve">Элементы Объекта оценки находятся в </w:t>
      </w:r>
      <w:r w:rsidR="000A4482">
        <w:rPr>
          <w:rFonts w:ascii="Bookman Old Style" w:hAnsi="Bookman Old Style"/>
          <w:bCs/>
          <w:sz w:val="20"/>
          <w:szCs w:val="20"/>
        </w:rPr>
        <w:t>промышленной</w:t>
      </w:r>
      <w:r w:rsidR="009E1C70">
        <w:rPr>
          <w:rFonts w:ascii="Bookman Old Style" w:hAnsi="Bookman Old Style"/>
          <w:bCs/>
          <w:sz w:val="20"/>
          <w:szCs w:val="20"/>
        </w:rPr>
        <w:t xml:space="preserve"> части района, о</w:t>
      </w:r>
      <w:r w:rsidRPr="00526C57">
        <w:rPr>
          <w:rFonts w:ascii="Bookman Old Style" w:hAnsi="Bookman Old Style"/>
          <w:bCs/>
          <w:sz w:val="20"/>
          <w:szCs w:val="20"/>
        </w:rPr>
        <w:t>сновной тип застройки</w:t>
      </w:r>
      <w:r w:rsidR="00E7167E">
        <w:rPr>
          <w:rFonts w:ascii="Bookman Old Style" w:hAnsi="Bookman Old Style"/>
          <w:bCs/>
          <w:sz w:val="20"/>
          <w:szCs w:val="20"/>
        </w:rPr>
        <w:t xml:space="preserve"> </w:t>
      </w:r>
      <w:r w:rsidR="000A4482">
        <w:rPr>
          <w:rFonts w:ascii="Bookman Old Style" w:hAnsi="Bookman Old Style"/>
          <w:bCs/>
          <w:sz w:val="20"/>
          <w:szCs w:val="20"/>
        </w:rPr>
        <w:t>административные, производственные и хозяйственные корпуса</w:t>
      </w:r>
      <w:r w:rsidR="009E1C70">
        <w:rPr>
          <w:rFonts w:ascii="Bookman Old Style" w:hAnsi="Bookman Old Style"/>
          <w:bCs/>
          <w:sz w:val="20"/>
          <w:szCs w:val="20"/>
        </w:rPr>
        <w:t>.</w:t>
      </w:r>
    </w:p>
    <w:p w:rsidR="00FA2AF4" w:rsidRPr="003F76D5" w:rsidRDefault="00FA2AF4" w:rsidP="00DB0E6C">
      <w:pPr>
        <w:pStyle w:val="3"/>
        <w:spacing w:after="120"/>
        <w:rPr>
          <w:rFonts w:ascii="Bookman Old Style" w:hAnsi="Bookman Old Style"/>
          <w:sz w:val="20"/>
          <w:szCs w:val="20"/>
        </w:rPr>
      </w:pPr>
      <w:bookmarkStart w:id="174" w:name="_Toc461206367"/>
      <w:bookmarkStart w:id="175" w:name="_Toc404078803"/>
      <w:r w:rsidRPr="003F76D5">
        <w:rPr>
          <w:rFonts w:ascii="Bookman Old Style" w:hAnsi="Bookman Old Style"/>
          <w:sz w:val="20"/>
          <w:szCs w:val="20"/>
        </w:rPr>
        <w:t>3.2.</w:t>
      </w:r>
      <w:r w:rsidR="00A21E6E">
        <w:rPr>
          <w:rFonts w:ascii="Bookman Old Style" w:hAnsi="Bookman Old Style"/>
          <w:sz w:val="20"/>
          <w:szCs w:val="20"/>
        </w:rPr>
        <w:t>3</w:t>
      </w:r>
      <w:r w:rsidRPr="003F76D5">
        <w:rPr>
          <w:rFonts w:ascii="Bookman Old Style" w:hAnsi="Bookman Old Style"/>
          <w:sz w:val="20"/>
          <w:szCs w:val="20"/>
        </w:rPr>
        <w:t xml:space="preserve">. </w:t>
      </w:r>
      <w:r>
        <w:rPr>
          <w:rFonts w:ascii="Bookman Old Style" w:hAnsi="Bookman Old Style"/>
          <w:sz w:val="20"/>
          <w:szCs w:val="20"/>
        </w:rPr>
        <w:t>Количественные и качественные характеристики элементов Объекта оценки</w:t>
      </w:r>
      <w:bookmarkEnd w:id="174"/>
      <w:r>
        <w:rPr>
          <w:rFonts w:ascii="Bookman Old Style" w:hAnsi="Bookman Old Style"/>
          <w:sz w:val="20"/>
          <w:szCs w:val="20"/>
        </w:rPr>
        <w:t xml:space="preserve"> </w:t>
      </w:r>
    </w:p>
    <w:p w:rsidR="009E1C70" w:rsidRDefault="00C33B02" w:rsidP="00DB0E6C">
      <w:pPr>
        <w:spacing w:before="120" w:after="120"/>
        <w:ind w:firstLine="709"/>
        <w:jc w:val="both"/>
        <w:rPr>
          <w:rFonts w:ascii="Bookman Old Style" w:hAnsi="Bookman Old Style"/>
          <w:sz w:val="20"/>
          <w:szCs w:val="20"/>
        </w:rPr>
      </w:pPr>
      <w:r w:rsidRPr="00C33B02">
        <w:rPr>
          <w:rFonts w:ascii="Bookman Old Style" w:hAnsi="Bookman Old Style"/>
          <w:sz w:val="20"/>
          <w:szCs w:val="20"/>
        </w:rPr>
        <w:t>В результате анализа информации полученной из техническ</w:t>
      </w:r>
      <w:r w:rsidR="000A4482">
        <w:rPr>
          <w:rFonts w:ascii="Bookman Old Style" w:hAnsi="Bookman Old Style"/>
          <w:sz w:val="20"/>
          <w:szCs w:val="20"/>
        </w:rPr>
        <w:t>их и кадастрового</w:t>
      </w:r>
      <w:r w:rsidRPr="00C33B02">
        <w:rPr>
          <w:rFonts w:ascii="Bookman Old Style" w:hAnsi="Bookman Old Style"/>
          <w:sz w:val="20"/>
          <w:szCs w:val="20"/>
        </w:rPr>
        <w:t xml:space="preserve"> паспорт</w:t>
      </w:r>
      <w:r w:rsidR="000A4482">
        <w:rPr>
          <w:rFonts w:ascii="Bookman Old Style" w:hAnsi="Bookman Old Style"/>
          <w:sz w:val="20"/>
          <w:szCs w:val="20"/>
        </w:rPr>
        <w:t>ов</w:t>
      </w:r>
      <w:r w:rsidRPr="00C33B02">
        <w:rPr>
          <w:rFonts w:ascii="Bookman Old Style" w:hAnsi="Bookman Old Style"/>
          <w:sz w:val="20"/>
          <w:szCs w:val="20"/>
        </w:rPr>
        <w:t xml:space="preserve"> </w:t>
      </w:r>
      <w:r w:rsidR="000A4482">
        <w:rPr>
          <w:rFonts w:ascii="Bookman Old Style" w:hAnsi="Bookman Old Style"/>
          <w:sz w:val="20"/>
          <w:szCs w:val="20"/>
        </w:rPr>
        <w:t xml:space="preserve">элементов </w:t>
      </w:r>
      <w:r w:rsidRPr="00C33B02">
        <w:rPr>
          <w:rFonts w:ascii="Bookman Old Style" w:hAnsi="Bookman Old Style"/>
          <w:sz w:val="20"/>
          <w:szCs w:val="20"/>
        </w:rPr>
        <w:t>Объекта оценки,</w:t>
      </w:r>
      <w:r w:rsidR="000A4482">
        <w:rPr>
          <w:rFonts w:ascii="Bookman Old Style" w:hAnsi="Bookman Old Style"/>
          <w:sz w:val="20"/>
          <w:szCs w:val="20"/>
        </w:rPr>
        <w:t xml:space="preserve"> а</w:t>
      </w:r>
      <w:r w:rsidRPr="00C33B02">
        <w:rPr>
          <w:rFonts w:ascii="Bookman Old Style" w:hAnsi="Bookman Old Style"/>
          <w:sz w:val="20"/>
          <w:szCs w:val="20"/>
        </w:rPr>
        <w:t xml:space="preserve"> также используя: результаты визуального осмотра и прочую информацию предоставленную Заказчиком по Объекту оценки, определены основные характеристики</w:t>
      </w:r>
      <w:r>
        <w:rPr>
          <w:rFonts w:ascii="Bookman Old Style" w:hAnsi="Bookman Old Style"/>
          <w:sz w:val="20"/>
          <w:szCs w:val="20"/>
        </w:rPr>
        <w:t xml:space="preserve"> элементов </w:t>
      </w:r>
      <w:r w:rsidRPr="00C33B02">
        <w:rPr>
          <w:rFonts w:ascii="Bookman Old Style" w:hAnsi="Bookman Old Style"/>
          <w:sz w:val="20"/>
          <w:szCs w:val="20"/>
        </w:rPr>
        <w:t>Объекта оценки</w:t>
      </w:r>
    </w:p>
    <w:p w:rsidR="00A276AF" w:rsidRPr="003F76D5" w:rsidRDefault="00A276AF" w:rsidP="00A276AF">
      <w:pPr>
        <w:pStyle w:val="3"/>
        <w:spacing w:after="120"/>
        <w:rPr>
          <w:rFonts w:ascii="Bookman Old Style" w:hAnsi="Bookman Old Style"/>
          <w:sz w:val="20"/>
          <w:szCs w:val="20"/>
        </w:rPr>
      </w:pPr>
      <w:bookmarkStart w:id="176" w:name="_Toc461206368"/>
      <w:r w:rsidRPr="003F76D5">
        <w:rPr>
          <w:rFonts w:ascii="Bookman Old Style" w:hAnsi="Bookman Old Style"/>
          <w:sz w:val="20"/>
          <w:szCs w:val="20"/>
        </w:rPr>
        <w:t>3.2.</w:t>
      </w:r>
      <w:r>
        <w:rPr>
          <w:rFonts w:ascii="Bookman Old Style" w:hAnsi="Bookman Old Style"/>
          <w:sz w:val="20"/>
          <w:szCs w:val="20"/>
        </w:rPr>
        <w:t>3.1.</w:t>
      </w:r>
      <w:r w:rsidRPr="003F76D5">
        <w:rPr>
          <w:rFonts w:ascii="Bookman Old Style" w:hAnsi="Bookman Old Style"/>
          <w:sz w:val="20"/>
          <w:szCs w:val="20"/>
        </w:rPr>
        <w:t xml:space="preserve"> </w:t>
      </w:r>
      <w:r>
        <w:rPr>
          <w:rFonts w:ascii="Bookman Old Style" w:hAnsi="Bookman Old Style"/>
          <w:sz w:val="20"/>
          <w:szCs w:val="20"/>
        </w:rPr>
        <w:t>Количественные и качественные характеристики недвижимого имущества</w:t>
      </w:r>
      <w:bookmarkEnd w:id="176"/>
      <w:r>
        <w:rPr>
          <w:rFonts w:ascii="Bookman Old Style" w:hAnsi="Bookman Old Style"/>
          <w:sz w:val="20"/>
          <w:szCs w:val="20"/>
        </w:rPr>
        <w:t xml:space="preserve"> </w:t>
      </w:r>
    </w:p>
    <w:p w:rsidR="009E1C70" w:rsidRDefault="000A4482" w:rsidP="00303E37">
      <w:pPr>
        <w:pStyle w:val="aff2"/>
        <w:numPr>
          <w:ilvl w:val="0"/>
          <w:numId w:val="40"/>
        </w:numPr>
        <w:spacing w:before="120" w:after="120"/>
        <w:jc w:val="both"/>
        <w:rPr>
          <w:rFonts w:ascii="Bookman Old Style" w:hAnsi="Bookman Old Style"/>
          <w:bCs/>
          <w:sz w:val="20"/>
          <w:szCs w:val="20"/>
        </w:rPr>
      </w:pPr>
      <w:r w:rsidRPr="000A4482">
        <w:rPr>
          <w:rFonts w:ascii="Bookman Old Style" w:hAnsi="Bookman Old Style"/>
          <w:bCs/>
          <w:sz w:val="20"/>
          <w:szCs w:val="20"/>
        </w:rPr>
        <w:t>Нежилое здание, назначение: 2- этажный (подземных этажей -1), общая площадь 4216,7 кв. м.,  инв.№ 04:401:001:015107160:0001, лит. В3, в,в1,В2,В4,В5,В6, адрес: г. Красноярск, ул. Айвазовского, 37 «А» Кадастровый номер: 24:50:0500203:386</w:t>
      </w:r>
    </w:p>
    <w:tbl>
      <w:tblPr>
        <w:tblW w:w="1032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4"/>
        <w:gridCol w:w="1329"/>
        <w:gridCol w:w="1715"/>
        <w:gridCol w:w="1715"/>
        <w:gridCol w:w="1715"/>
        <w:gridCol w:w="1715"/>
        <w:gridCol w:w="1715"/>
      </w:tblGrid>
      <w:tr w:rsidR="000A4482" w:rsidRPr="000A4482" w:rsidTr="000A4482">
        <w:trPr>
          <w:cantSplit/>
          <w:trHeight w:val="170"/>
        </w:trPr>
        <w:tc>
          <w:tcPr>
            <w:tcW w:w="424" w:type="dxa"/>
            <w:shd w:val="clear" w:color="000000" w:fill="F2F2F2"/>
            <w:vAlign w:val="center"/>
            <w:hideMark/>
          </w:tcPr>
          <w:p w:rsidR="000A4482" w:rsidRPr="000A4482" w:rsidRDefault="000A4482" w:rsidP="000A4482">
            <w:pPr>
              <w:jc w:val="center"/>
              <w:rPr>
                <w:rFonts w:ascii="Cambria" w:hAnsi="Cambria"/>
                <w:b/>
                <w:bCs/>
                <w:color w:val="000000"/>
                <w:sz w:val="16"/>
                <w:szCs w:val="16"/>
              </w:rPr>
            </w:pPr>
            <w:r>
              <w:rPr>
                <w:rFonts w:ascii="Cambria" w:hAnsi="Cambria"/>
                <w:b/>
                <w:bCs/>
                <w:color w:val="000000"/>
                <w:sz w:val="16"/>
                <w:szCs w:val="16"/>
              </w:rPr>
              <w:t>№ п.п</w:t>
            </w:r>
          </w:p>
        </w:tc>
        <w:tc>
          <w:tcPr>
            <w:tcW w:w="1329" w:type="dxa"/>
            <w:shd w:val="clear" w:color="000000" w:fill="F2F2F2"/>
            <w:vAlign w:val="center"/>
            <w:hideMark/>
          </w:tcPr>
          <w:p w:rsidR="000A4482" w:rsidRPr="000A4482" w:rsidRDefault="000A4482" w:rsidP="000A4482">
            <w:pPr>
              <w:jc w:val="center"/>
              <w:rPr>
                <w:rFonts w:ascii="Cambria" w:hAnsi="Cambria"/>
                <w:b/>
                <w:bCs/>
                <w:color w:val="000000"/>
                <w:sz w:val="16"/>
                <w:szCs w:val="16"/>
              </w:rPr>
            </w:pPr>
            <w:r w:rsidRPr="000A4482">
              <w:rPr>
                <w:rFonts w:ascii="Cambria" w:hAnsi="Cambria"/>
                <w:b/>
                <w:bCs/>
                <w:color w:val="000000"/>
                <w:sz w:val="16"/>
                <w:szCs w:val="16"/>
              </w:rPr>
              <w:t>Наименование параметра</w:t>
            </w:r>
          </w:p>
        </w:tc>
        <w:tc>
          <w:tcPr>
            <w:tcW w:w="8575" w:type="dxa"/>
            <w:gridSpan w:val="5"/>
            <w:shd w:val="clear" w:color="000000" w:fill="F2F2F2"/>
            <w:vAlign w:val="center"/>
            <w:hideMark/>
          </w:tcPr>
          <w:p w:rsidR="000A4482" w:rsidRPr="000A4482" w:rsidRDefault="000A4482" w:rsidP="000A4482">
            <w:pPr>
              <w:jc w:val="center"/>
              <w:rPr>
                <w:rFonts w:ascii="Cambria" w:hAnsi="Cambria"/>
                <w:b/>
                <w:bCs/>
                <w:color w:val="000000"/>
                <w:sz w:val="16"/>
                <w:szCs w:val="16"/>
              </w:rPr>
            </w:pPr>
            <w:r w:rsidRPr="000A4482">
              <w:rPr>
                <w:rFonts w:ascii="Cambria" w:hAnsi="Cambria"/>
                <w:b/>
                <w:bCs/>
                <w:color w:val="000000"/>
                <w:sz w:val="16"/>
                <w:szCs w:val="16"/>
              </w:rPr>
              <w:t>Значение</w:t>
            </w:r>
          </w:p>
        </w:tc>
      </w:tr>
      <w:tr w:rsidR="000A4482" w:rsidRPr="000A4482" w:rsidTr="000A4482">
        <w:trPr>
          <w:cantSplit/>
          <w:trHeight w:val="170"/>
        </w:trPr>
        <w:tc>
          <w:tcPr>
            <w:tcW w:w="10328" w:type="dxa"/>
            <w:gridSpan w:val="7"/>
            <w:shd w:val="clear" w:color="000000" w:fill="F2F2F2"/>
            <w:noWrap/>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Общие сведения</w:t>
            </w:r>
          </w:p>
        </w:tc>
      </w:tr>
      <w:tr w:rsidR="000A4482" w:rsidRPr="000A4482" w:rsidTr="000A4482">
        <w:trPr>
          <w:cantSplit/>
          <w:trHeight w:val="170"/>
        </w:trPr>
        <w:tc>
          <w:tcPr>
            <w:tcW w:w="424" w:type="dxa"/>
            <w:shd w:val="clear" w:color="auto" w:fill="auto"/>
            <w:noWrap/>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1</w:t>
            </w:r>
          </w:p>
        </w:tc>
        <w:tc>
          <w:tcPr>
            <w:tcW w:w="1329" w:type="dxa"/>
            <w:shd w:val="clear" w:color="auto" w:fill="auto"/>
            <w:vAlign w:val="center"/>
            <w:hideMark/>
          </w:tcPr>
          <w:p w:rsidR="000A4482" w:rsidRPr="000A4482" w:rsidRDefault="000A4482" w:rsidP="000A4482">
            <w:pPr>
              <w:rPr>
                <w:rFonts w:ascii="Cambria" w:hAnsi="Cambria"/>
                <w:color w:val="000000"/>
                <w:sz w:val="16"/>
                <w:szCs w:val="16"/>
              </w:rPr>
            </w:pPr>
            <w:r w:rsidRPr="000A4482">
              <w:rPr>
                <w:rFonts w:ascii="Cambria" w:hAnsi="Cambria"/>
                <w:color w:val="000000"/>
                <w:sz w:val="16"/>
                <w:szCs w:val="16"/>
              </w:rPr>
              <w:t>Наименование здания (назначение здания)</w:t>
            </w:r>
          </w:p>
        </w:tc>
        <w:tc>
          <w:tcPr>
            <w:tcW w:w="8575" w:type="dxa"/>
            <w:gridSpan w:val="5"/>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Нежилое здание</w:t>
            </w:r>
          </w:p>
        </w:tc>
      </w:tr>
      <w:tr w:rsidR="000A4482" w:rsidRPr="000A4482" w:rsidTr="000A4482">
        <w:trPr>
          <w:cantSplit/>
          <w:trHeight w:val="170"/>
        </w:trPr>
        <w:tc>
          <w:tcPr>
            <w:tcW w:w="424" w:type="dxa"/>
            <w:shd w:val="clear" w:color="auto" w:fill="auto"/>
            <w:noWrap/>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2</w:t>
            </w:r>
          </w:p>
        </w:tc>
        <w:tc>
          <w:tcPr>
            <w:tcW w:w="1329" w:type="dxa"/>
            <w:shd w:val="clear" w:color="auto" w:fill="auto"/>
            <w:vAlign w:val="center"/>
            <w:hideMark/>
          </w:tcPr>
          <w:p w:rsidR="000A4482" w:rsidRPr="000A4482" w:rsidRDefault="000A4482" w:rsidP="000A4482">
            <w:pPr>
              <w:rPr>
                <w:rFonts w:ascii="Cambria" w:hAnsi="Cambria"/>
                <w:color w:val="000000"/>
                <w:sz w:val="16"/>
                <w:szCs w:val="16"/>
              </w:rPr>
            </w:pPr>
            <w:r w:rsidRPr="000A4482">
              <w:rPr>
                <w:rFonts w:ascii="Cambria" w:hAnsi="Cambria"/>
                <w:color w:val="000000"/>
                <w:sz w:val="16"/>
                <w:szCs w:val="16"/>
              </w:rPr>
              <w:t>Адрес местоположения</w:t>
            </w:r>
          </w:p>
        </w:tc>
        <w:tc>
          <w:tcPr>
            <w:tcW w:w="8575" w:type="dxa"/>
            <w:gridSpan w:val="5"/>
            <w:shd w:val="clear" w:color="000000" w:fill="FFFFFF"/>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Россия, Красноярский край, г. Красноярск, ул. Айвазовского, 37а</w:t>
            </w:r>
          </w:p>
        </w:tc>
      </w:tr>
      <w:tr w:rsidR="000A4482" w:rsidRPr="000A4482" w:rsidTr="000A4482">
        <w:trPr>
          <w:cantSplit/>
          <w:trHeight w:val="170"/>
        </w:trPr>
        <w:tc>
          <w:tcPr>
            <w:tcW w:w="424" w:type="dxa"/>
            <w:shd w:val="clear" w:color="auto" w:fill="auto"/>
            <w:noWrap/>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3</w:t>
            </w:r>
          </w:p>
        </w:tc>
        <w:tc>
          <w:tcPr>
            <w:tcW w:w="1329" w:type="dxa"/>
            <w:shd w:val="clear" w:color="auto" w:fill="auto"/>
            <w:vAlign w:val="center"/>
            <w:hideMark/>
          </w:tcPr>
          <w:p w:rsidR="000A4482" w:rsidRPr="000A4482" w:rsidRDefault="000A4482" w:rsidP="000A4482">
            <w:pPr>
              <w:rPr>
                <w:rFonts w:ascii="Cambria" w:hAnsi="Cambria"/>
                <w:color w:val="000000"/>
                <w:sz w:val="16"/>
                <w:szCs w:val="16"/>
              </w:rPr>
            </w:pPr>
            <w:r w:rsidRPr="000A4482">
              <w:rPr>
                <w:rFonts w:ascii="Cambria" w:hAnsi="Cambria"/>
                <w:color w:val="000000"/>
                <w:sz w:val="16"/>
                <w:szCs w:val="16"/>
              </w:rPr>
              <w:t>Кадастровый номер</w:t>
            </w:r>
          </w:p>
        </w:tc>
        <w:tc>
          <w:tcPr>
            <w:tcW w:w="8575" w:type="dxa"/>
            <w:gridSpan w:val="5"/>
            <w:shd w:val="clear" w:color="auto" w:fill="auto"/>
            <w:noWrap/>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 xml:space="preserve">24:50:0500203:386 </w:t>
            </w:r>
          </w:p>
        </w:tc>
      </w:tr>
      <w:tr w:rsidR="000A4482" w:rsidRPr="000A4482" w:rsidTr="000A4482">
        <w:trPr>
          <w:cantSplit/>
          <w:trHeight w:val="170"/>
        </w:trPr>
        <w:tc>
          <w:tcPr>
            <w:tcW w:w="424" w:type="dxa"/>
            <w:shd w:val="clear" w:color="auto" w:fill="auto"/>
            <w:noWrap/>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 </w:t>
            </w:r>
          </w:p>
        </w:tc>
        <w:tc>
          <w:tcPr>
            <w:tcW w:w="1329" w:type="dxa"/>
            <w:shd w:val="clear" w:color="auto" w:fill="auto"/>
            <w:vAlign w:val="center"/>
            <w:hideMark/>
          </w:tcPr>
          <w:p w:rsidR="000A4482" w:rsidRPr="000A4482" w:rsidRDefault="000A4482" w:rsidP="000A4482">
            <w:pPr>
              <w:rPr>
                <w:rFonts w:ascii="Cambria" w:hAnsi="Cambria"/>
                <w:color w:val="000000"/>
                <w:sz w:val="16"/>
                <w:szCs w:val="16"/>
              </w:rPr>
            </w:pPr>
            <w:r w:rsidRPr="000A4482">
              <w:rPr>
                <w:rFonts w:ascii="Cambria" w:hAnsi="Cambria"/>
                <w:color w:val="000000"/>
                <w:sz w:val="16"/>
                <w:szCs w:val="16"/>
              </w:rPr>
              <w:t>Количество надземных этажей</w:t>
            </w:r>
          </w:p>
        </w:tc>
        <w:tc>
          <w:tcPr>
            <w:tcW w:w="8575" w:type="dxa"/>
            <w:gridSpan w:val="5"/>
            <w:shd w:val="clear" w:color="000000" w:fill="FFFFFF"/>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2</w:t>
            </w:r>
          </w:p>
        </w:tc>
      </w:tr>
      <w:tr w:rsidR="000A4482" w:rsidRPr="000A4482" w:rsidTr="000A4482">
        <w:trPr>
          <w:cantSplit/>
          <w:trHeight w:val="170"/>
        </w:trPr>
        <w:tc>
          <w:tcPr>
            <w:tcW w:w="424" w:type="dxa"/>
            <w:shd w:val="clear" w:color="auto" w:fill="auto"/>
            <w:noWrap/>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 </w:t>
            </w:r>
          </w:p>
        </w:tc>
        <w:tc>
          <w:tcPr>
            <w:tcW w:w="1329" w:type="dxa"/>
            <w:shd w:val="clear" w:color="auto" w:fill="auto"/>
            <w:vAlign w:val="center"/>
            <w:hideMark/>
          </w:tcPr>
          <w:p w:rsidR="000A4482" w:rsidRPr="000A4482" w:rsidRDefault="000A4482" w:rsidP="000A4482">
            <w:pPr>
              <w:rPr>
                <w:rFonts w:ascii="Cambria" w:hAnsi="Cambria"/>
                <w:color w:val="000000"/>
                <w:sz w:val="16"/>
                <w:szCs w:val="16"/>
              </w:rPr>
            </w:pPr>
            <w:r w:rsidRPr="000A4482">
              <w:rPr>
                <w:rFonts w:ascii="Cambria" w:hAnsi="Cambria"/>
                <w:color w:val="000000"/>
                <w:sz w:val="16"/>
                <w:szCs w:val="16"/>
              </w:rPr>
              <w:t>Количество подземных этажей</w:t>
            </w:r>
          </w:p>
        </w:tc>
        <w:tc>
          <w:tcPr>
            <w:tcW w:w="8575" w:type="dxa"/>
            <w:gridSpan w:val="5"/>
            <w:shd w:val="clear" w:color="000000" w:fill="FFFFFF"/>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1</w:t>
            </w:r>
          </w:p>
        </w:tc>
      </w:tr>
      <w:tr w:rsidR="000A4482" w:rsidRPr="000A4482" w:rsidTr="000A4482">
        <w:trPr>
          <w:cantSplit/>
          <w:trHeight w:val="170"/>
        </w:trPr>
        <w:tc>
          <w:tcPr>
            <w:tcW w:w="424" w:type="dxa"/>
            <w:shd w:val="clear" w:color="auto" w:fill="auto"/>
            <w:noWrap/>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lastRenderedPageBreak/>
              <w:t>4</w:t>
            </w:r>
          </w:p>
        </w:tc>
        <w:tc>
          <w:tcPr>
            <w:tcW w:w="1329" w:type="dxa"/>
            <w:shd w:val="clear" w:color="auto" w:fill="auto"/>
            <w:vAlign w:val="center"/>
            <w:hideMark/>
          </w:tcPr>
          <w:p w:rsidR="000A4482" w:rsidRPr="000A4482" w:rsidRDefault="000A4482" w:rsidP="000A4482">
            <w:pPr>
              <w:rPr>
                <w:rFonts w:ascii="Cambria" w:hAnsi="Cambria"/>
                <w:color w:val="000000"/>
                <w:sz w:val="16"/>
                <w:szCs w:val="16"/>
              </w:rPr>
            </w:pPr>
            <w:r w:rsidRPr="000A4482">
              <w:rPr>
                <w:rFonts w:ascii="Cambria" w:hAnsi="Cambria"/>
                <w:color w:val="000000"/>
                <w:sz w:val="16"/>
                <w:szCs w:val="16"/>
              </w:rPr>
              <w:t>Год постройки</w:t>
            </w:r>
          </w:p>
        </w:tc>
        <w:tc>
          <w:tcPr>
            <w:tcW w:w="8575" w:type="dxa"/>
            <w:gridSpan w:val="5"/>
            <w:shd w:val="clear" w:color="auto" w:fill="auto"/>
            <w:noWrap/>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2010</w:t>
            </w:r>
          </w:p>
        </w:tc>
      </w:tr>
      <w:tr w:rsidR="000A4482" w:rsidRPr="000A4482" w:rsidTr="000A4482">
        <w:trPr>
          <w:cantSplit/>
          <w:trHeight w:val="170"/>
        </w:trPr>
        <w:tc>
          <w:tcPr>
            <w:tcW w:w="424" w:type="dxa"/>
            <w:shd w:val="clear" w:color="auto" w:fill="auto"/>
            <w:noWrap/>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5</w:t>
            </w:r>
          </w:p>
        </w:tc>
        <w:tc>
          <w:tcPr>
            <w:tcW w:w="1329" w:type="dxa"/>
            <w:shd w:val="clear" w:color="auto" w:fill="auto"/>
            <w:vAlign w:val="center"/>
            <w:hideMark/>
          </w:tcPr>
          <w:p w:rsidR="000A4482" w:rsidRPr="000A4482" w:rsidRDefault="000A4482" w:rsidP="000A4482">
            <w:pPr>
              <w:rPr>
                <w:rFonts w:ascii="Cambria" w:hAnsi="Cambria"/>
                <w:color w:val="000000"/>
                <w:sz w:val="16"/>
                <w:szCs w:val="16"/>
              </w:rPr>
            </w:pPr>
            <w:r w:rsidRPr="000A4482">
              <w:rPr>
                <w:rFonts w:ascii="Cambria" w:hAnsi="Cambria"/>
                <w:color w:val="000000"/>
                <w:sz w:val="16"/>
                <w:szCs w:val="16"/>
              </w:rPr>
              <w:t>Общая площадь, кв.м.</w:t>
            </w:r>
          </w:p>
        </w:tc>
        <w:tc>
          <w:tcPr>
            <w:tcW w:w="8575" w:type="dxa"/>
            <w:gridSpan w:val="5"/>
            <w:shd w:val="clear" w:color="auto" w:fill="auto"/>
            <w:noWrap/>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4216,7</w:t>
            </w:r>
          </w:p>
        </w:tc>
      </w:tr>
      <w:tr w:rsidR="000A4482" w:rsidRPr="000A4482" w:rsidTr="000A4482">
        <w:trPr>
          <w:cantSplit/>
          <w:trHeight w:val="170"/>
        </w:trPr>
        <w:tc>
          <w:tcPr>
            <w:tcW w:w="424" w:type="dxa"/>
            <w:shd w:val="clear" w:color="auto" w:fill="auto"/>
            <w:noWrap/>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 </w:t>
            </w:r>
            <w:r w:rsidR="00A276AF">
              <w:rPr>
                <w:rFonts w:ascii="Cambria" w:hAnsi="Cambria"/>
                <w:color w:val="000000"/>
                <w:sz w:val="16"/>
                <w:szCs w:val="16"/>
              </w:rPr>
              <w:t>6</w:t>
            </w:r>
          </w:p>
        </w:tc>
        <w:tc>
          <w:tcPr>
            <w:tcW w:w="1329" w:type="dxa"/>
            <w:shd w:val="clear" w:color="auto" w:fill="auto"/>
            <w:vAlign w:val="center"/>
            <w:hideMark/>
          </w:tcPr>
          <w:p w:rsidR="000A4482" w:rsidRPr="000A4482" w:rsidRDefault="000A4482" w:rsidP="000A4482">
            <w:pPr>
              <w:rPr>
                <w:rFonts w:ascii="Cambria" w:hAnsi="Cambria"/>
                <w:color w:val="000000"/>
                <w:sz w:val="16"/>
                <w:szCs w:val="16"/>
              </w:rPr>
            </w:pPr>
            <w:r w:rsidRPr="000A4482">
              <w:rPr>
                <w:rFonts w:ascii="Cambria" w:hAnsi="Cambria"/>
                <w:color w:val="000000"/>
                <w:sz w:val="16"/>
                <w:szCs w:val="16"/>
              </w:rPr>
              <w:t>Строительный объем, куб. м.</w:t>
            </w:r>
          </w:p>
        </w:tc>
        <w:tc>
          <w:tcPr>
            <w:tcW w:w="8575" w:type="dxa"/>
            <w:gridSpan w:val="5"/>
            <w:shd w:val="clear" w:color="000000" w:fill="FFFFFF"/>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26126</w:t>
            </w:r>
          </w:p>
        </w:tc>
      </w:tr>
      <w:tr w:rsidR="000A4482" w:rsidRPr="000A4482" w:rsidTr="000A4482">
        <w:trPr>
          <w:cantSplit/>
          <w:trHeight w:val="170"/>
        </w:trPr>
        <w:tc>
          <w:tcPr>
            <w:tcW w:w="424" w:type="dxa"/>
            <w:shd w:val="clear" w:color="auto" w:fill="auto"/>
            <w:noWrap/>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6</w:t>
            </w:r>
          </w:p>
        </w:tc>
        <w:tc>
          <w:tcPr>
            <w:tcW w:w="1329" w:type="dxa"/>
            <w:shd w:val="clear" w:color="auto" w:fill="auto"/>
            <w:vAlign w:val="center"/>
            <w:hideMark/>
          </w:tcPr>
          <w:p w:rsidR="000A4482" w:rsidRPr="000A4482" w:rsidRDefault="000A4482" w:rsidP="000A4482">
            <w:pPr>
              <w:rPr>
                <w:rFonts w:ascii="Cambria" w:hAnsi="Cambria"/>
                <w:color w:val="000000"/>
                <w:sz w:val="16"/>
                <w:szCs w:val="16"/>
              </w:rPr>
            </w:pPr>
            <w:r w:rsidRPr="000A4482">
              <w:rPr>
                <w:rFonts w:ascii="Cambria" w:hAnsi="Cambria"/>
                <w:color w:val="000000"/>
                <w:sz w:val="16"/>
                <w:szCs w:val="16"/>
              </w:rPr>
              <w:t>Площадь застройки, кв.м.</w:t>
            </w:r>
          </w:p>
        </w:tc>
        <w:tc>
          <w:tcPr>
            <w:tcW w:w="8575" w:type="dxa"/>
            <w:gridSpan w:val="5"/>
            <w:shd w:val="clear" w:color="auto" w:fill="auto"/>
            <w:noWrap/>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3134,7</w:t>
            </w:r>
          </w:p>
        </w:tc>
      </w:tr>
      <w:tr w:rsidR="000A4482" w:rsidRPr="000A4482" w:rsidTr="000A4482">
        <w:trPr>
          <w:cantSplit/>
          <w:trHeight w:val="170"/>
        </w:trPr>
        <w:tc>
          <w:tcPr>
            <w:tcW w:w="10328" w:type="dxa"/>
            <w:gridSpan w:val="7"/>
            <w:shd w:val="clear" w:color="000000" w:fill="F2F2F2"/>
            <w:noWrap/>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Конструктивные элементы здания</w:t>
            </w:r>
          </w:p>
        </w:tc>
      </w:tr>
      <w:tr w:rsidR="000A4482" w:rsidRPr="000A4482" w:rsidTr="000A4482">
        <w:trPr>
          <w:cantSplit/>
          <w:trHeight w:val="170"/>
        </w:trPr>
        <w:tc>
          <w:tcPr>
            <w:tcW w:w="424" w:type="dxa"/>
            <w:shd w:val="clear" w:color="000000" w:fill="FFFFFF"/>
            <w:noWrap/>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 </w:t>
            </w:r>
          </w:p>
        </w:tc>
        <w:tc>
          <w:tcPr>
            <w:tcW w:w="1329" w:type="dxa"/>
            <w:shd w:val="clear" w:color="000000" w:fill="FFFFFF"/>
            <w:noWrap/>
            <w:vAlign w:val="center"/>
            <w:hideMark/>
          </w:tcPr>
          <w:p w:rsidR="000A4482" w:rsidRPr="000A4482" w:rsidRDefault="000A4482" w:rsidP="000A4482">
            <w:pPr>
              <w:rPr>
                <w:rFonts w:ascii="Cambria" w:hAnsi="Cambria"/>
                <w:color w:val="000000"/>
                <w:sz w:val="16"/>
                <w:szCs w:val="16"/>
              </w:rPr>
            </w:pPr>
            <w:r w:rsidRPr="000A4482">
              <w:rPr>
                <w:rFonts w:ascii="Cambria" w:hAnsi="Cambria"/>
                <w:color w:val="000000"/>
                <w:sz w:val="16"/>
                <w:szCs w:val="16"/>
              </w:rPr>
              <w:t>Литер</w:t>
            </w:r>
          </w:p>
        </w:tc>
        <w:tc>
          <w:tcPr>
            <w:tcW w:w="1715" w:type="dxa"/>
            <w:shd w:val="clear" w:color="000000" w:fill="FFFFFF"/>
            <w:noWrap/>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В2</w:t>
            </w:r>
          </w:p>
        </w:tc>
        <w:tc>
          <w:tcPr>
            <w:tcW w:w="1715" w:type="dxa"/>
            <w:shd w:val="clear" w:color="auto" w:fill="auto"/>
            <w:noWrap/>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В3</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В4</w:t>
            </w:r>
          </w:p>
        </w:tc>
        <w:tc>
          <w:tcPr>
            <w:tcW w:w="1715" w:type="dxa"/>
            <w:shd w:val="clear" w:color="auto" w:fill="auto"/>
            <w:noWrap/>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В5</w:t>
            </w:r>
          </w:p>
        </w:tc>
        <w:tc>
          <w:tcPr>
            <w:tcW w:w="1715" w:type="dxa"/>
            <w:shd w:val="clear" w:color="auto" w:fill="auto"/>
            <w:noWrap/>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В6</w:t>
            </w:r>
          </w:p>
        </w:tc>
      </w:tr>
      <w:tr w:rsidR="000A4482" w:rsidRPr="000A4482" w:rsidTr="000A4482">
        <w:trPr>
          <w:cantSplit/>
          <w:trHeight w:val="170"/>
        </w:trPr>
        <w:tc>
          <w:tcPr>
            <w:tcW w:w="424" w:type="dxa"/>
            <w:shd w:val="clear" w:color="auto" w:fill="auto"/>
            <w:noWrap/>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1</w:t>
            </w:r>
          </w:p>
        </w:tc>
        <w:tc>
          <w:tcPr>
            <w:tcW w:w="1329" w:type="dxa"/>
            <w:shd w:val="clear" w:color="auto" w:fill="auto"/>
            <w:vAlign w:val="center"/>
            <w:hideMark/>
          </w:tcPr>
          <w:p w:rsidR="000A4482" w:rsidRPr="000A4482" w:rsidRDefault="000A4482" w:rsidP="000A4482">
            <w:pPr>
              <w:rPr>
                <w:rFonts w:ascii="Cambria" w:hAnsi="Cambria"/>
                <w:color w:val="000000"/>
                <w:sz w:val="16"/>
                <w:szCs w:val="16"/>
              </w:rPr>
            </w:pPr>
            <w:r w:rsidRPr="000A4482">
              <w:rPr>
                <w:rFonts w:ascii="Cambria" w:hAnsi="Cambria"/>
                <w:color w:val="000000"/>
                <w:sz w:val="16"/>
                <w:szCs w:val="16"/>
              </w:rPr>
              <w:t>Фундамент</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Железобетонный ленточный</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Железобетонный свайный</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Железобетонный свайный</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Бетонный ленточный</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Железобетонный свайный</w:t>
            </w:r>
          </w:p>
        </w:tc>
      </w:tr>
      <w:tr w:rsidR="000A4482" w:rsidRPr="000A4482" w:rsidTr="000A4482">
        <w:trPr>
          <w:cantSplit/>
          <w:trHeight w:val="170"/>
        </w:trPr>
        <w:tc>
          <w:tcPr>
            <w:tcW w:w="424" w:type="dxa"/>
            <w:shd w:val="clear" w:color="auto" w:fill="auto"/>
            <w:noWrap/>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2</w:t>
            </w:r>
          </w:p>
        </w:tc>
        <w:tc>
          <w:tcPr>
            <w:tcW w:w="1329" w:type="dxa"/>
            <w:shd w:val="clear" w:color="auto" w:fill="auto"/>
            <w:vAlign w:val="center"/>
            <w:hideMark/>
          </w:tcPr>
          <w:p w:rsidR="000A4482" w:rsidRPr="000A4482" w:rsidRDefault="000A4482" w:rsidP="000A4482">
            <w:pPr>
              <w:rPr>
                <w:rFonts w:ascii="Cambria" w:hAnsi="Cambria"/>
                <w:color w:val="000000"/>
                <w:sz w:val="16"/>
                <w:szCs w:val="16"/>
              </w:rPr>
            </w:pPr>
            <w:r w:rsidRPr="000A4482">
              <w:rPr>
                <w:rFonts w:ascii="Cambria" w:hAnsi="Cambria"/>
                <w:color w:val="000000"/>
                <w:sz w:val="16"/>
                <w:szCs w:val="16"/>
              </w:rPr>
              <w:t>Стены</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Кирпичные</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Железобетонные</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Железобетонные, кирпичные</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Кирпичные</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Железобетонные монолитные</w:t>
            </w:r>
          </w:p>
        </w:tc>
      </w:tr>
      <w:tr w:rsidR="000A4482" w:rsidRPr="000A4482" w:rsidTr="000A4482">
        <w:trPr>
          <w:cantSplit/>
          <w:trHeight w:val="170"/>
        </w:trPr>
        <w:tc>
          <w:tcPr>
            <w:tcW w:w="424" w:type="dxa"/>
            <w:shd w:val="clear" w:color="auto" w:fill="auto"/>
            <w:noWrap/>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3</w:t>
            </w:r>
          </w:p>
        </w:tc>
        <w:tc>
          <w:tcPr>
            <w:tcW w:w="1329" w:type="dxa"/>
            <w:shd w:val="clear" w:color="auto" w:fill="auto"/>
            <w:vAlign w:val="center"/>
            <w:hideMark/>
          </w:tcPr>
          <w:p w:rsidR="000A4482" w:rsidRPr="000A4482" w:rsidRDefault="000A4482" w:rsidP="000A4482">
            <w:pPr>
              <w:rPr>
                <w:rFonts w:ascii="Cambria" w:hAnsi="Cambria"/>
                <w:color w:val="000000"/>
                <w:sz w:val="16"/>
                <w:szCs w:val="16"/>
              </w:rPr>
            </w:pPr>
            <w:r w:rsidRPr="000A4482">
              <w:rPr>
                <w:rFonts w:ascii="Cambria" w:hAnsi="Cambria"/>
                <w:color w:val="000000"/>
                <w:sz w:val="16"/>
                <w:szCs w:val="16"/>
              </w:rPr>
              <w:t>Перегородки</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Кирпичные</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Кирпичные, из прочих материалов</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Кирпичные, из прочих материалов</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Кирпичные, из прочих материалов</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Кирпичные, из прочих материалов</w:t>
            </w:r>
          </w:p>
        </w:tc>
      </w:tr>
      <w:tr w:rsidR="000A4482" w:rsidRPr="000A4482" w:rsidTr="000A4482">
        <w:trPr>
          <w:cantSplit/>
          <w:trHeight w:val="170"/>
        </w:trPr>
        <w:tc>
          <w:tcPr>
            <w:tcW w:w="424" w:type="dxa"/>
            <w:shd w:val="clear" w:color="auto" w:fill="auto"/>
            <w:noWrap/>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4</w:t>
            </w:r>
          </w:p>
        </w:tc>
        <w:tc>
          <w:tcPr>
            <w:tcW w:w="1329" w:type="dxa"/>
            <w:shd w:val="clear" w:color="auto" w:fill="auto"/>
            <w:vAlign w:val="center"/>
            <w:hideMark/>
          </w:tcPr>
          <w:p w:rsidR="000A4482" w:rsidRPr="000A4482" w:rsidRDefault="000A4482" w:rsidP="000A4482">
            <w:pPr>
              <w:rPr>
                <w:rFonts w:ascii="Cambria" w:hAnsi="Cambria"/>
                <w:color w:val="000000"/>
                <w:sz w:val="16"/>
                <w:szCs w:val="16"/>
              </w:rPr>
            </w:pPr>
            <w:r w:rsidRPr="000A4482">
              <w:rPr>
                <w:rFonts w:ascii="Cambria" w:hAnsi="Cambria"/>
                <w:color w:val="000000"/>
                <w:sz w:val="16"/>
                <w:szCs w:val="16"/>
              </w:rPr>
              <w:t>Перекрытие чердачное</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Деревянные</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Железобетонное</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Железобетонное</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Железобетонное</w:t>
            </w:r>
          </w:p>
        </w:tc>
        <w:tc>
          <w:tcPr>
            <w:tcW w:w="1715" w:type="dxa"/>
            <w:shd w:val="clear" w:color="auto" w:fill="auto"/>
            <w:noWrap/>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w:t>
            </w:r>
          </w:p>
        </w:tc>
      </w:tr>
      <w:tr w:rsidR="000A4482" w:rsidRPr="000A4482" w:rsidTr="000A4482">
        <w:trPr>
          <w:cantSplit/>
          <w:trHeight w:val="170"/>
        </w:trPr>
        <w:tc>
          <w:tcPr>
            <w:tcW w:w="424" w:type="dxa"/>
            <w:shd w:val="clear" w:color="auto" w:fill="auto"/>
            <w:noWrap/>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5</w:t>
            </w:r>
          </w:p>
        </w:tc>
        <w:tc>
          <w:tcPr>
            <w:tcW w:w="1329" w:type="dxa"/>
            <w:shd w:val="clear" w:color="auto" w:fill="auto"/>
            <w:vAlign w:val="center"/>
            <w:hideMark/>
          </w:tcPr>
          <w:p w:rsidR="000A4482" w:rsidRPr="000A4482" w:rsidRDefault="000A4482" w:rsidP="000A4482">
            <w:pPr>
              <w:rPr>
                <w:rFonts w:ascii="Cambria" w:hAnsi="Cambria"/>
                <w:color w:val="000000"/>
                <w:sz w:val="16"/>
                <w:szCs w:val="16"/>
              </w:rPr>
            </w:pPr>
            <w:r w:rsidRPr="000A4482">
              <w:rPr>
                <w:rFonts w:ascii="Cambria" w:hAnsi="Cambria"/>
                <w:color w:val="000000"/>
                <w:sz w:val="16"/>
                <w:szCs w:val="16"/>
              </w:rPr>
              <w:t>Перекрытие междуэтажное</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Монолитное, железобетонное</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Железобетонное</w:t>
            </w:r>
          </w:p>
        </w:tc>
        <w:tc>
          <w:tcPr>
            <w:tcW w:w="1715" w:type="dxa"/>
            <w:shd w:val="clear" w:color="auto" w:fill="auto"/>
            <w:noWrap/>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w:t>
            </w:r>
          </w:p>
        </w:tc>
      </w:tr>
      <w:tr w:rsidR="000A4482" w:rsidRPr="000A4482" w:rsidTr="000A4482">
        <w:trPr>
          <w:cantSplit/>
          <w:trHeight w:val="170"/>
        </w:trPr>
        <w:tc>
          <w:tcPr>
            <w:tcW w:w="424" w:type="dxa"/>
            <w:shd w:val="clear" w:color="auto" w:fill="auto"/>
            <w:noWrap/>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6</w:t>
            </w:r>
          </w:p>
        </w:tc>
        <w:tc>
          <w:tcPr>
            <w:tcW w:w="1329" w:type="dxa"/>
            <w:shd w:val="clear" w:color="auto" w:fill="auto"/>
            <w:vAlign w:val="center"/>
            <w:hideMark/>
          </w:tcPr>
          <w:p w:rsidR="000A4482" w:rsidRPr="000A4482" w:rsidRDefault="000A4482" w:rsidP="000A4482">
            <w:pPr>
              <w:rPr>
                <w:rFonts w:ascii="Cambria" w:hAnsi="Cambria"/>
                <w:color w:val="000000"/>
                <w:sz w:val="16"/>
                <w:szCs w:val="16"/>
              </w:rPr>
            </w:pPr>
            <w:r w:rsidRPr="000A4482">
              <w:rPr>
                <w:rFonts w:ascii="Cambria" w:hAnsi="Cambria"/>
                <w:color w:val="000000"/>
                <w:sz w:val="16"/>
                <w:szCs w:val="16"/>
              </w:rPr>
              <w:t>Перекрытие подвальное</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w:t>
            </w:r>
          </w:p>
        </w:tc>
        <w:tc>
          <w:tcPr>
            <w:tcW w:w="1715" w:type="dxa"/>
            <w:shd w:val="clear" w:color="auto" w:fill="auto"/>
            <w:noWrap/>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Железобетонное монолитное</w:t>
            </w:r>
          </w:p>
        </w:tc>
      </w:tr>
      <w:tr w:rsidR="000A4482" w:rsidRPr="000A4482" w:rsidTr="000A4482">
        <w:trPr>
          <w:cantSplit/>
          <w:trHeight w:val="170"/>
        </w:trPr>
        <w:tc>
          <w:tcPr>
            <w:tcW w:w="424" w:type="dxa"/>
            <w:shd w:val="clear" w:color="auto" w:fill="auto"/>
            <w:noWrap/>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7</w:t>
            </w:r>
          </w:p>
        </w:tc>
        <w:tc>
          <w:tcPr>
            <w:tcW w:w="1329" w:type="dxa"/>
            <w:shd w:val="clear" w:color="auto" w:fill="auto"/>
            <w:vAlign w:val="center"/>
            <w:hideMark/>
          </w:tcPr>
          <w:p w:rsidR="000A4482" w:rsidRPr="000A4482" w:rsidRDefault="000A4482" w:rsidP="000A4482">
            <w:pPr>
              <w:rPr>
                <w:rFonts w:ascii="Cambria" w:hAnsi="Cambria"/>
                <w:color w:val="000000"/>
                <w:sz w:val="16"/>
                <w:szCs w:val="16"/>
              </w:rPr>
            </w:pPr>
            <w:r w:rsidRPr="000A4482">
              <w:rPr>
                <w:rFonts w:ascii="Cambria" w:hAnsi="Cambria"/>
                <w:color w:val="000000"/>
                <w:sz w:val="16"/>
                <w:szCs w:val="16"/>
              </w:rPr>
              <w:t>Крыша</w:t>
            </w:r>
          </w:p>
        </w:tc>
        <w:tc>
          <w:tcPr>
            <w:tcW w:w="1715" w:type="dxa"/>
            <w:shd w:val="clear" w:color="000000" w:fill="FFFFFF"/>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Металлическая</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Деревянная стропильная, асбестоцементная</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Деревянная стропильная, асбестоцементная</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Деревянная стропильная, асбестоцементная</w:t>
            </w:r>
          </w:p>
        </w:tc>
        <w:tc>
          <w:tcPr>
            <w:tcW w:w="1715" w:type="dxa"/>
            <w:shd w:val="clear" w:color="auto" w:fill="auto"/>
            <w:noWrap/>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w:t>
            </w:r>
          </w:p>
        </w:tc>
      </w:tr>
      <w:tr w:rsidR="000A4482" w:rsidRPr="000A4482" w:rsidTr="000A4482">
        <w:trPr>
          <w:cantSplit/>
          <w:trHeight w:val="170"/>
        </w:trPr>
        <w:tc>
          <w:tcPr>
            <w:tcW w:w="424" w:type="dxa"/>
            <w:shd w:val="clear" w:color="auto" w:fill="auto"/>
            <w:noWrap/>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8</w:t>
            </w:r>
          </w:p>
        </w:tc>
        <w:tc>
          <w:tcPr>
            <w:tcW w:w="1329" w:type="dxa"/>
            <w:shd w:val="clear" w:color="auto" w:fill="auto"/>
            <w:vAlign w:val="center"/>
            <w:hideMark/>
          </w:tcPr>
          <w:p w:rsidR="000A4482" w:rsidRPr="000A4482" w:rsidRDefault="000A4482" w:rsidP="000A4482">
            <w:pPr>
              <w:rPr>
                <w:rFonts w:ascii="Cambria" w:hAnsi="Cambria"/>
                <w:color w:val="000000"/>
                <w:sz w:val="16"/>
                <w:szCs w:val="16"/>
              </w:rPr>
            </w:pPr>
            <w:r w:rsidRPr="000A4482">
              <w:rPr>
                <w:rFonts w:ascii="Cambria" w:hAnsi="Cambria"/>
                <w:color w:val="000000"/>
                <w:sz w:val="16"/>
                <w:szCs w:val="16"/>
              </w:rPr>
              <w:t>Полы</w:t>
            </w:r>
          </w:p>
        </w:tc>
        <w:tc>
          <w:tcPr>
            <w:tcW w:w="1715" w:type="dxa"/>
            <w:shd w:val="clear" w:color="000000" w:fill="FFFFFF"/>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Бетонные, рулонные</w:t>
            </w:r>
          </w:p>
        </w:tc>
        <w:tc>
          <w:tcPr>
            <w:tcW w:w="1715" w:type="dxa"/>
            <w:shd w:val="clear" w:color="000000" w:fill="FFFFFF"/>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Бетонные</w:t>
            </w:r>
          </w:p>
        </w:tc>
        <w:tc>
          <w:tcPr>
            <w:tcW w:w="1715" w:type="dxa"/>
            <w:shd w:val="clear" w:color="000000" w:fill="FFFFFF"/>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Бетонные, керамические, рулонные</w:t>
            </w:r>
          </w:p>
        </w:tc>
        <w:tc>
          <w:tcPr>
            <w:tcW w:w="1715" w:type="dxa"/>
            <w:shd w:val="clear" w:color="000000" w:fill="FFFFFF"/>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Бетонные, керамические, рулонные</w:t>
            </w:r>
          </w:p>
        </w:tc>
        <w:tc>
          <w:tcPr>
            <w:tcW w:w="1715" w:type="dxa"/>
            <w:shd w:val="clear" w:color="000000" w:fill="FFFFFF"/>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Бетонные, керамические,</w:t>
            </w:r>
          </w:p>
        </w:tc>
      </w:tr>
      <w:tr w:rsidR="000A4482" w:rsidRPr="000A4482" w:rsidTr="000A4482">
        <w:trPr>
          <w:cantSplit/>
          <w:trHeight w:val="170"/>
        </w:trPr>
        <w:tc>
          <w:tcPr>
            <w:tcW w:w="424" w:type="dxa"/>
            <w:shd w:val="clear" w:color="auto" w:fill="auto"/>
            <w:noWrap/>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9</w:t>
            </w:r>
          </w:p>
        </w:tc>
        <w:tc>
          <w:tcPr>
            <w:tcW w:w="1329" w:type="dxa"/>
            <w:shd w:val="clear" w:color="auto" w:fill="auto"/>
            <w:vAlign w:val="center"/>
            <w:hideMark/>
          </w:tcPr>
          <w:p w:rsidR="000A4482" w:rsidRPr="000A4482" w:rsidRDefault="000A4482" w:rsidP="000A4482">
            <w:pPr>
              <w:rPr>
                <w:rFonts w:ascii="Cambria" w:hAnsi="Cambria"/>
                <w:color w:val="000000"/>
                <w:sz w:val="16"/>
                <w:szCs w:val="16"/>
              </w:rPr>
            </w:pPr>
            <w:r w:rsidRPr="000A4482">
              <w:rPr>
                <w:rFonts w:ascii="Cambria" w:hAnsi="Cambria"/>
                <w:color w:val="000000"/>
                <w:sz w:val="16"/>
                <w:szCs w:val="16"/>
              </w:rPr>
              <w:t>Окна</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Стеклопакет</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Стеклопакет</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Стеклопакет</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Стеклопакет</w:t>
            </w:r>
          </w:p>
        </w:tc>
        <w:tc>
          <w:tcPr>
            <w:tcW w:w="1715" w:type="dxa"/>
            <w:shd w:val="clear" w:color="auto" w:fill="auto"/>
            <w:noWrap/>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w:t>
            </w:r>
          </w:p>
        </w:tc>
      </w:tr>
      <w:tr w:rsidR="000A4482" w:rsidRPr="000A4482" w:rsidTr="000A4482">
        <w:trPr>
          <w:cantSplit/>
          <w:trHeight w:val="170"/>
        </w:trPr>
        <w:tc>
          <w:tcPr>
            <w:tcW w:w="424" w:type="dxa"/>
            <w:shd w:val="clear" w:color="auto" w:fill="auto"/>
            <w:noWrap/>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10</w:t>
            </w:r>
          </w:p>
        </w:tc>
        <w:tc>
          <w:tcPr>
            <w:tcW w:w="1329" w:type="dxa"/>
            <w:shd w:val="clear" w:color="auto" w:fill="auto"/>
            <w:vAlign w:val="center"/>
            <w:hideMark/>
          </w:tcPr>
          <w:p w:rsidR="000A4482" w:rsidRPr="000A4482" w:rsidRDefault="000A4482" w:rsidP="000A4482">
            <w:pPr>
              <w:rPr>
                <w:rFonts w:ascii="Cambria" w:hAnsi="Cambria"/>
                <w:color w:val="000000"/>
                <w:sz w:val="16"/>
                <w:szCs w:val="16"/>
              </w:rPr>
            </w:pPr>
            <w:r w:rsidRPr="000A4482">
              <w:rPr>
                <w:rFonts w:ascii="Cambria" w:hAnsi="Cambria"/>
                <w:color w:val="000000"/>
                <w:sz w:val="16"/>
                <w:szCs w:val="16"/>
              </w:rPr>
              <w:t>Двери</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Металл</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Металл ,пластик</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Металл ,пластик</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Металл ,пластик</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Металл</w:t>
            </w:r>
          </w:p>
        </w:tc>
      </w:tr>
      <w:tr w:rsidR="000A4482" w:rsidRPr="000A4482" w:rsidTr="000A4482">
        <w:trPr>
          <w:cantSplit/>
          <w:trHeight w:val="170"/>
        </w:trPr>
        <w:tc>
          <w:tcPr>
            <w:tcW w:w="424" w:type="dxa"/>
            <w:shd w:val="clear" w:color="auto" w:fill="auto"/>
            <w:noWrap/>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11</w:t>
            </w:r>
          </w:p>
        </w:tc>
        <w:tc>
          <w:tcPr>
            <w:tcW w:w="1329" w:type="dxa"/>
            <w:shd w:val="clear" w:color="auto" w:fill="auto"/>
            <w:vAlign w:val="center"/>
            <w:hideMark/>
          </w:tcPr>
          <w:p w:rsidR="000A4482" w:rsidRPr="000A4482" w:rsidRDefault="000A4482" w:rsidP="000A4482">
            <w:pPr>
              <w:rPr>
                <w:rFonts w:ascii="Cambria" w:hAnsi="Cambria"/>
                <w:color w:val="000000"/>
                <w:sz w:val="16"/>
                <w:szCs w:val="16"/>
              </w:rPr>
            </w:pPr>
            <w:r w:rsidRPr="000A4482">
              <w:rPr>
                <w:rFonts w:ascii="Cambria" w:hAnsi="Cambria"/>
                <w:color w:val="000000"/>
                <w:sz w:val="16"/>
                <w:szCs w:val="16"/>
              </w:rPr>
              <w:t>Отделка</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Простая</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Простая</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Простая</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Простая</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Простая</w:t>
            </w:r>
          </w:p>
        </w:tc>
      </w:tr>
      <w:tr w:rsidR="000A4482" w:rsidRPr="000A4482" w:rsidTr="000A4482">
        <w:trPr>
          <w:cantSplit/>
          <w:trHeight w:val="170"/>
        </w:trPr>
        <w:tc>
          <w:tcPr>
            <w:tcW w:w="424" w:type="dxa"/>
            <w:shd w:val="clear" w:color="auto" w:fill="auto"/>
            <w:noWrap/>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12</w:t>
            </w:r>
          </w:p>
        </w:tc>
        <w:tc>
          <w:tcPr>
            <w:tcW w:w="1329" w:type="dxa"/>
            <w:shd w:val="clear" w:color="auto" w:fill="auto"/>
            <w:vAlign w:val="center"/>
            <w:hideMark/>
          </w:tcPr>
          <w:p w:rsidR="000A4482" w:rsidRPr="000A4482" w:rsidRDefault="000A4482" w:rsidP="000A4482">
            <w:pPr>
              <w:rPr>
                <w:rFonts w:ascii="Cambria" w:hAnsi="Cambria"/>
                <w:color w:val="000000"/>
                <w:sz w:val="16"/>
                <w:szCs w:val="16"/>
              </w:rPr>
            </w:pPr>
            <w:r w:rsidRPr="000A4482">
              <w:rPr>
                <w:rFonts w:ascii="Cambria" w:hAnsi="Cambria"/>
                <w:color w:val="000000"/>
                <w:sz w:val="16"/>
                <w:szCs w:val="16"/>
              </w:rPr>
              <w:t>Инженерно-техническое обеспечение</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Отопление, вентиляция</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Отопление, электроосвещение</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Отопление, водопровод, электроосвещение, горячее водоснабжение, вентиляция, канализация</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Отопление, водопровод, электроосвещение, горячее водоснабжение, вентиляция, канализация</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Отопление, водопровод, электроосвещение, горячее водоснабжение, вентиляция, канализация</w:t>
            </w:r>
          </w:p>
        </w:tc>
      </w:tr>
      <w:tr w:rsidR="000A4482" w:rsidRPr="000A4482" w:rsidTr="000A4482">
        <w:trPr>
          <w:cantSplit/>
          <w:trHeight w:val="170"/>
        </w:trPr>
        <w:tc>
          <w:tcPr>
            <w:tcW w:w="10328" w:type="dxa"/>
            <w:gridSpan w:val="7"/>
            <w:shd w:val="clear" w:color="000000" w:fill="F2F2F2"/>
            <w:noWrap/>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Техническое состояние</w:t>
            </w:r>
          </w:p>
        </w:tc>
      </w:tr>
      <w:tr w:rsidR="000A4482" w:rsidRPr="000A4482" w:rsidTr="000A4482">
        <w:trPr>
          <w:cantSplit/>
          <w:trHeight w:val="170"/>
        </w:trPr>
        <w:tc>
          <w:tcPr>
            <w:tcW w:w="424" w:type="dxa"/>
            <w:shd w:val="clear" w:color="auto" w:fill="auto"/>
            <w:noWrap/>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1</w:t>
            </w:r>
          </w:p>
        </w:tc>
        <w:tc>
          <w:tcPr>
            <w:tcW w:w="1329" w:type="dxa"/>
            <w:shd w:val="clear" w:color="auto" w:fill="auto"/>
            <w:vAlign w:val="center"/>
            <w:hideMark/>
          </w:tcPr>
          <w:p w:rsidR="000A4482" w:rsidRPr="000A4482" w:rsidRDefault="000A4482" w:rsidP="000A4482">
            <w:pPr>
              <w:rPr>
                <w:rFonts w:ascii="Cambria" w:hAnsi="Cambria"/>
                <w:color w:val="000000"/>
                <w:sz w:val="16"/>
                <w:szCs w:val="16"/>
              </w:rPr>
            </w:pPr>
            <w:r w:rsidRPr="000A4482">
              <w:rPr>
                <w:rFonts w:ascii="Cambria" w:hAnsi="Cambria"/>
                <w:color w:val="000000"/>
                <w:sz w:val="16"/>
                <w:szCs w:val="16"/>
              </w:rPr>
              <w:t>Физическое состояние объекта</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Требуется косметический ремонт</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Требуется косметический ремонт</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Требуется косметический ремонт</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Требуется косметический ремонт</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Требуется косметический ремонт</w:t>
            </w:r>
          </w:p>
        </w:tc>
      </w:tr>
      <w:tr w:rsidR="000A4482" w:rsidRPr="000A4482" w:rsidTr="000A4482">
        <w:trPr>
          <w:cantSplit/>
          <w:trHeight w:val="170"/>
        </w:trPr>
        <w:tc>
          <w:tcPr>
            <w:tcW w:w="424" w:type="dxa"/>
            <w:shd w:val="clear" w:color="auto" w:fill="auto"/>
            <w:noWrap/>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2</w:t>
            </w:r>
          </w:p>
        </w:tc>
        <w:tc>
          <w:tcPr>
            <w:tcW w:w="1329" w:type="dxa"/>
            <w:shd w:val="clear" w:color="auto" w:fill="auto"/>
            <w:vAlign w:val="center"/>
            <w:hideMark/>
          </w:tcPr>
          <w:p w:rsidR="000A4482" w:rsidRPr="000A4482" w:rsidRDefault="000A4482" w:rsidP="000A4482">
            <w:pPr>
              <w:rPr>
                <w:rFonts w:ascii="Cambria" w:hAnsi="Cambria"/>
                <w:color w:val="000000"/>
                <w:sz w:val="16"/>
                <w:szCs w:val="16"/>
              </w:rPr>
            </w:pPr>
            <w:r w:rsidRPr="000A4482">
              <w:rPr>
                <w:rFonts w:ascii="Cambria" w:hAnsi="Cambria"/>
                <w:color w:val="000000"/>
                <w:sz w:val="16"/>
                <w:szCs w:val="16"/>
              </w:rPr>
              <w:t>Износ по техническому паспорту, %</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10,00%</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10,00%</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10,00%</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10,00%</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10,00%</w:t>
            </w:r>
          </w:p>
        </w:tc>
      </w:tr>
      <w:tr w:rsidR="000A4482" w:rsidRPr="000A4482" w:rsidTr="000A4482">
        <w:trPr>
          <w:cantSplit/>
          <w:trHeight w:val="170"/>
        </w:trPr>
        <w:tc>
          <w:tcPr>
            <w:tcW w:w="424" w:type="dxa"/>
            <w:shd w:val="clear" w:color="auto" w:fill="auto"/>
            <w:noWrap/>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3</w:t>
            </w:r>
          </w:p>
        </w:tc>
        <w:tc>
          <w:tcPr>
            <w:tcW w:w="1329" w:type="dxa"/>
            <w:shd w:val="clear" w:color="auto" w:fill="auto"/>
            <w:vAlign w:val="center"/>
            <w:hideMark/>
          </w:tcPr>
          <w:p w:rsidR="000A4482" w:rsidRPr="000A4482" w:rsidRDefault="000A4482" w:rsidP="000A4482">
            <w:pPr>
              <w:rPr>
                <w:rFonts w:ascii="Cambria" w:hAnsi="Cambria"/>
                <w:color w:val="0000FF"/>
                <w:sz w:val="16"/>
                <w:szCs w:val="16"/>
                <w:u w:val="single"/>
              </w:rPr>
            </w:pPr>
            <w:r w:rsidRPr="00433753">
              <w:rPr>
                <w:rFonts w:ascii="Cambria" w:hAnsi="Cambria"/>
                <w:spacing w:val="-5"/>
                <w:sz w:val="16"/>
                <w:szCs w:val="16"/>
              </w:rPr>
              <w:t>Экспертно определенный износ, %</w:t>
            </w:r>
            <w:r w:rsidRPr="00433753">
              <w:rPr>
                <w:rFonts w:ascii="Cambria" w:hAnsi="Cambria"/>
                <w:spacing w:val="-5"/>
                <w:sz w:val="16"/>
                <w:szCs w:val="16"/>
                <w:vertAlign w:val="superscript"/>
              </w:rPr>
              <w:footnoteReference w:id="19"/>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3</w:t>
            </w:r>
            <w:r>
              <w:rPr>
                <w:rFonts w:ascii="Cambria" w:hAnsi="Cambria"/>
                <w:color w:val="000000"/>
                <w:sz w:val="16"/>
                <w:szCs w:val="16"/>
              </w:rPr>
              <w:t>0</w:t>
            </w:r>
            <w:r w:rsidRPr="000A4482">
              <w:rPr>
                <w:rFonts w:ascii="Cambria" w:hAnsi="Cambria"/>
                <w:color w:val="000000"/>
                <w:sz w:val="16"/>
                <w:szCs w:val="16"/>
              </w:rPr>
              <w:t>,00%</w:t>
            </w:r>
          </w:p>
        </w:tc>
        <w:tc>
          <w:tcPr>
            <w:tcW w:w="1715" w:type="dxa"/>
            <w:shd w:val="clear" w:color="auto" w:fill="auto"/>
            <w:vAlign w:val="center"/>
            <w:hideMark/>
          </w:tcPr>
          <w:p w:rsidR="000A4482" w:rsidRDefault="000A4482" w:rsidP="000A4482">
            <w:pPr>
              <w:jc w:val="center"/>
            </w:pPr>
            <w:r w:rsidRPr="000A4482">
              <w:rPr>
                <w:rFonts w:ascii="Cambria" w:hAnsi="Cambria"/>
                <w:color w:val="000000"/>
                <w:sz w:val="16"/>
                <w:szCs w:val="16"/>
              </w:rPr>
              <w:t>3</w:t>
            </w:r>
            <w:r w:rsidRPr="00C72C27">
              <w:rPr>
                <w:rFonts w:ascii="Cambria" w:hAnsi="Cambria"/>
                <w:color w:val="000000"/>
                <w:sz w:val="16"/>
                <w:szCs w:val="16"/>
              </w:rPr>
              <w:t>0</w:t>
            </w:r>
            <w:r w:rsidRPr="000A4482">
              <w:rPr>
                <w:rFonts w:ascii="Cambria" w:hAnsi="Cambria"/>
                <w:color w:val="000000"/>
                <w:sz w:val="16"/>
                <w:szCs w:val="16"/>
              </w:rPr>
              <w:t>,00%</w:t>
            </w:r>
          </w:p>
        </w:tc>
        <w:tc>
          <w:tcPr>
            <w:tcW w:w="1715" w:type="dxa"/>
            <w:shd w:val="clear" w:color="auto" w:fill="auto"/>
            <w:vAlign w:val="center"/>
            <w:hideMark/>
          </w:tcPr>
          <w:p w:rsidR="000A4482" w:rsidRDefault="000A4482" w:rsidP="000A4482">
            <w:pPr>
              <w:jc w:val="center"/>
            </w:pPr>
            <w:r w:rsidRPr="000A4482">
              <w:rPr>
                <w:rFonts w:ascii="Cambria" w:hAnsi="Cambria"/>
                <w:color w:val="000000"/>
                <w:sz w:val="16"/>
                <w:szCs w:val="16"/>
              </w:rPr>
              <w:t>3</w:t>
            </w:r>
            <w:r w:rsidRPr="00C72C27">
              <w:rPr>
                <w:rFonts w:ascii="Cambria" w:hAnsi="Cambria"/>
                <w:color w:val="000000"/>
                <w:sz w:val="16"/>
                <w:szCs w:val="16"/>
              </w:rPr>
              <w:t>0</w:t>
            </w:r>
            <w:r w:rsidRPr="000A4482">
              <w:rPr>
                <w:rFonts w:ascii="Cambria" w:hAnsi="Cambria"/>
                <w:color w:val="000000"/>
                <w:sz w:val="16"/>
                <w:szCs w:val="16"/>
              </w:rPr>
              <w:t>,00%</w:t>
            </w:r>
          </w:p>
        </w:tc>
        <w:tc>
          <w:tcPr>
            <w:tcW w:w="1715" w:type="dxa"/>
            <w:shd w:val="clear" w:color="auto" w:fill="auto"/>
            <w:vAlign w:val="center"/>
            <w:hideMark/>
          </w:tcPr>
          <w:p w:rsidR="000A4482" w:rsidRDefault="000A4482" w:rsidP="000A4482">
            <w:pPr>
              <w:jc w:val="center"/>
            </w:pPr>
            <w:r w:rsidRPr="000A4482">
              <w:rPr>
                <w:rFonts w:ascii="Cambria" w:hAnsi="Cambria"/>
                <w:color w:val="000000"/>
                <w:sz w:val="16"/>
                <w:szCs w:val="16"/>
              </w:rPr>
              <w:t>3</w:t>
            </w:r>
            <w:r w:rsidRPr="00C72C27">
              <w:rPr>
                <w:rFonts w:ascii="Cambria" w:hAnsi="Cambria"/>
                <w:color w:val="000000"/>
                <w:sz w:val="16"/>
                <w:szCs w:val="16"/>
              </w:rPr>
              <w:t>0</w:t>
            </w:r>
            <w:r w:rsidRPr="000A4482">
              <w:rPr>
                <w:rFonts w:ascii="Cambria" w:hAnsi="Cambria"/>
                <w:color w:val="000000"/>
                <w:sz w:val="16"/>
                <w:szCs w:val="16"/>
              </w:rPr>
              <w:t>,00%</w:t>
            </w:r>
          </w:p>
        </w:tc>
        <w:tc>
          <w:tcPr>
            <w:tcW w:w="1715" w:type="dxa"/>
            <w:shd w:val="clear" w:color="auto" w:fill="auto"/>
            <w:vAlign w:val="center"/>
            <w:hideMark/>
          </w:tcPr>
          <w:p w:rsidR="000A4482" w:rsidRDefault="000A4482" w:rsidP="000A4482">
            <w:pPr>
              <w:jc w:val="center"/>
            </w:pPr>
            <w:r w:rsidRPr="000A4482">
              <w:rPr>
                <w:rFonts w:ascii="Cambria" w:hAnsi="Cambria"/>
                <w:color w:val="000000"/>
                <w:sz w:val="16"/>
                <w:szCs w:val="16"/>
              </w:rPr>
              <w:t>3</w:t>
            </w:r>
            <w:r w:rsidRPr="00C72C27">
              <w:rPr>
                <w:rFonts w:ascii="Cambria" w:hAnsi="Cambria"/>
                <w:color w:val="000000"/>
                <w:sz w:val="16"/>
                <w:szCs w:val="16"/>
              </w:rPr>
              <w:t>0</w:t>
            </w:r>
            <w:r w:rsidRPr="000A4482">
              <w:rPr>
                <w:rFonts w:ascii="Cambria" w:hAnsi="Cambria"/>
                <w:color w:val="000000"/>
                <w:sz w:val="16"/>
                <w:szCs w:val="16"/>
              </w:rPr>
              <w:t>,00%</w:t>
            </w:r>
          </w:p>
        </w:tc>
      </w:tr>
      <w:tr w:rsidR="000A4482" w:rsidRPr="000A4482" w:rsidTr="000A4482">
        <w:trPr>
          <w:cantSplit/>
          <w:trHeight w:val="170"/>
        </w:trPr>
        <w:tc>
          <w:tcPr>
            <w:tcW w:w="424" w:type="dxa"/>
            <w:shd w:val="clear" w:color="auto" w:fill="auto"/>
            <w:noWrap/>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4</w:t>
            </w:r>
          </w:p>
        </w:tc>
        <w:tc>
          <w:tcPr>
            <w:tcW w:w="1329" w:type="dxa"/>
            <w:shd w:val="clear" w:color="auto" w:fill="auto"/>
            <w:vAlign w:val="center"/>
            <w:hideMark/>
          </w:tcPr>
          <w:p w:rsidR="000A4482" w:rsidRPr="000A4482" w:rsidRDefault="000A4482" w:rsidP="000A4482">
            <w:pPr>
              <w:rPr>
                <w:rFonts w:ascii="Cambria" w:hAnsi="Cambria"/>
                <w:color w:val="000000"/>
                <w:sz w:val="16"/>
                <w:szCs w:val="16"/>
              </w:rPr>
            </w:pPr>
            <w:r w:rsidRPr="000A4482">
              <w:rPr>
                <w:rFonts w:ascii="Cambria" w:hAnsi="Cambria"/>
                <w:color w:val="000000"/>
                <w:sz w:val="16"/>
                <w:szCs w:val="16"/>
              </w:rPr>
              <w:t>Состояние объекта</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 xml:space="preserve">"Удовлетворительное" </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 xml:space="preserve">"Удовлетворительное" </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 xml:space="preserve">"Удовлетворительное" </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 xml:space="preserve">"Удовлетворительное" </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 xml:space="preserve">"Удовлетворительное" </w:t>
            </w:r>
          </w:p>
        </w:tc>
      </w:tr>
      <w:tr w:rsidR="000A4482" w:rsidRPr="000A4482" w:rsidTr="000A4482">
        <w:trPr>
          <w:cantSplit/>
          <w:trHeight w:val="170"/>
        </w:trPr>
        <w:tc>
          <w:tcPr>
            <w:tcW w:w="424" w:type="dxa"/>
            <w:shd w:val="clear" w:color="auto" w:fill="auto"/>
            <w:noWrap/>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5 </w:t>
            </w:r>
          </w:p>
        </w:tc>
        <w:tc>
          <w:tcPr>
            <w:tcW w:w="1329" w:type="dxa"/>
            <w:shd w:val="clear" w:color="auto" w:fill="auto"/>
            <w:vAlign w:val="center"/>
            <w:hideMark/>
          </w:tcPr>
          <w:p w:rsidR="000A4482" w:rsidRPr="000A4482" w:rsidRDefault="000A4482" w:rsidP="000A4482">
            <w:pPr>
              <w:rPr>
                <w:rFonts w:ascii="Cambria" w:hAnsi="Cambria"/>
                <w:color w:val="000000"/>
                <w:sz w:val="16"/>
                <w:szCs w:val="16"/>
              </w:rPr>
            </w:pPr>
            <w:r w:rsidRPr="000A4482">
              <w:rPr>
                <w:rFonts w:ascii="Cambria" w:hAnsi="Cambria"/>
                <w:color w:val="000000"/>
                <w:sz w:val="16"/>
                <w:szCs w:val="16"/>
              </w:rPr>
              <w:t> Описание состояния объекта</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Конструктивные элементы в целом пригодны для эксплуатации, но  требуют некоторого капитального ремонта, который наиболее целесообразен именно на данной стадии.</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Конструктивные элементы в целом пригодны для эксплуатации, но  требуют некоторого капитального ремонта, который наиболее целесообразен именно на данной стадии.</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Конструктивные элементы в целом пригодны для эксплуатации, но  требуют некоторого капитального ремонта, который наиболее целесообразен именно на данной стадии.</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Конструктивные элементы в целом пригодны для эксплуатации, но  требуют некоторого капитального ремонта, который наиболее целесообразен именно на данной стадии.</w:t>
            </w:r>
          </w:p>
        </w:tc>
        <w:tc>
          <w:tcPr>
            <w:tcW w:w="1715" w:type="dxa"/>
            <w:shd w:val="clear" w:color="auto" w:fill="auto"/>
            <w:vAlign w:val="center"/>
            <w:hideMark/>
          </w:tcPr>
          <w:p w:rsidR="000A4482" w:rsidRPr="000A4482" w:rsidRDefault="000A4482" w:rsidP="000A4482">
            <w:pPr>
              <w:jc w:val="center"/>
              <w:rPr>
                <w:rFonts w:ascii="Cambria" w:hAnsi="Cambria"/>
                <w:color w:val="000000"/>
                <w:sz w:val="16"/>
                <w:szCs w:val="16"/>
              </w:rPr>
            </w:pPr>
            <w:r w:rsidRPr="000A4482">
              <w:rPr>
                <w:rFonts w:ascii="Cambria" w:hAnsi="Cambria"/>
                <w:color w:val="000000"/>
                <w:sz w:val="16"/>
                <w:szCs w:val="16"/>
              </w:rPr>
              <w:t>Конструктивные элементы в целом пригодны для эксплуатации, но  требуют некоторого капитального ремонта, который наиболее целесообразен именно на данной стадии.</w:t>
            </w:r>
          </w:p>
        </w:tc>
      </w:tr>
    </w:tbl>
    <w:p w:rsidR="000A4482" w:rsidRPr="00391CE3" w:rsidRDefault="000A4482" w:rsidP="000A4482">
      <w:pPr>
        <w:spacing w:before="120" w:after="120"/>
        <w:jc w:val="both"/>
        <w:rPr>
          <w:rFonts w:ascii="Bookman Old Style" w:hAnsi="Bookman Old Style"/>
          <w:bCs/>
          <w:i/>
          <w:sz w:val="20"/>
          <w:szCs w:val="20"/>
        </w:rPr>
      </w:pPr>
      <w:r w:rsidRPr="00391CE3">
        <w:rPr>
          <w:rFonts w:ascii="Bookman Old Style" w:hAnsi="Bookman Old Style"/>
          <w:bCs/>
          <w:i/>
          <w:sz w:val="20"/>
          <w:szCs w:val="20"/>
        </w:rPr>
        <w:t xml:space="preserve">Информация о текущем использовании </w:t>
      </w:r>
    </w:p>
    <w:p w:rsidR="000A4482" w:rsidRDefault="000A4482" w:rsidP="000A4482">
      <w:pPr>
        <w:spacing w:before="120" w:after="120"/>
        <w:ind w:firstLine="709"/>
        <w:jc w:val="both"/>
        <w:rPr>
          <w:rFonts w:ascii="Bookman Old Style" w:hAnsi="Bookman Old Style"/>
          <w:bCs/>
          <w:sz w:val="20"/>
          <w:szCs w:val="20"/>
        </w:rPr>
      </w:pPr>
      <w:r w:rsidRPr="00391CE3">
        <w:rPr>
          <w:rFonts w:ascii="Bookman Old Style" w:hAnsi="Bookman Old Style"/>
          <w:bCs/>
          <w:sz w:val="20"/>
          <w:szCs w:val="20"/>
        </w:rPr>
        <w:t xml:space="preserve">На дату оценки </w:t>
      </w:r>
      <w:r>
        <w:rPr>
          <w:rFonts w:ascii="Bookman Old Style" w:hAnsi="Bookman Old Style"/>
          <w:bCs/>
          <w:sz w:val="20"/>
          <w:szCs w:val="20"/>
        </w:rPr>
        <w:t>н</w:t>
      </w:r>
      <w:r w:rsidRPr="000A4482">
        <w:rPr>
          <w:rFonts w:ascii="Bookman Old Style" w:hAnsi="Bookman Old Style"/>
          <w:bCs/>
          <w:sz w:val="20"/>
          <w:szCs w:val="20"/>
        </w:rPr>
        <w:t xml:space="preserve">ежилое здание </w:t>
      </w:r>
      <w:r w:rsidRPr="00391CE3">
        <w:rPr>
          <w:rFonts w:ascii="Bookman Old Style" w:hAnsi="Bookman Old Style"/>
          <w:bCs/>
          <w:sz w:val="20"/>
          <w:szCs w:val="20"/>
        </w:rPr>
        <w:t>используется</w:t>
      </w:r>
      <w:r>
        <w:rPr>
          <w:rFonts w:ascii="Bookman Old Style" w:hAnsi="Bookman Old Style"/>
          <w:bCs/>
          <w:sz w:val="20"/>
          <w:szCs w:val="20"/>
        </w:rPr>
        <w:t xml:space="preserve"> согласно прямому функциональному назначению, в качестве здания с производственно-складскими и офисными помещениями</w:t>
      </w:r>
      <w:r w:rsidRPr="00391CE3">
        <w:rPr>
          <w:rFonts w:ascii="Bookman Old Style" w:hAnsi="Bookman Old Style"/>
          <w:bCs/>
          <w:sz w:val="20"/>
          <w:szCs w:val="20"/>
        </w:rPr>
        <w:t>.</w:t>
      </w:r>
    </w:p>
    <w:p w:rsidR="000A4482" w:rsidRDefault="000A4482" w:rsidP="000A4482">
      <w:pPr>
        <w:spacing w:before="120" w:after="120"/>
        <w:ind w:firstLine="709"/>
        <w:jc w:val="both"/>
        <w:rPr>
          <w:rFonts w:ascii="Bookman Old Style" w:hAnsi="Bookman Old Style"/>
          <w:bCs/>
          <w:sz w:val="20"/>
          <w:szCs w:val="20"/>
        </w:rPr>
      </w:pPr>
    </w:p>
    <w:p w:rsidR="000A4482" w:rsidRDefault="000A4482" w:rsidP="000A4482">
      <w:pPr>
        <w:spacing w:before="120" w:after="120"/>
        <w:ind w:firstLine="709"/>
        <w:jc w:val="both"/>
        <w:rPr>
          <w:rFonts w:ascii="Bookman Old Style" w:hAnsi="Bookman Old Style"/>
          <w:bCs/>
          <w:sz w:val="20"/>
          <w:szCs w:val="20"/>
        </w:rPr>
      </w:pPr>
    </w:p>
    <w:p w:rsidR="000A4482" w:rsidRDefault="000A4482" w:rsidP="000A4482">
      <w:pPr>
        <w:spacing w:before="120" w:after="120"/>
        <w:ind w:firstLine="709"/>
        <w:jc w:val="both"/>
        <w:rPr>
          <w:rFonts w:ascii="Bookman Old Style" w:hAnsi="Bookman Old Style"/>
          <w:bCs/>
          <w:sz w:val="20"/>
          <w:szCs w:val="20"/>
        </w:rPr>
      </w:pPr>
    </w:p>
    <w:p w:rsidR="000A4482" w:rsidRDefault="000A4482" w:rsidP="000A4482">
      <w:pPr>
        <w:spacing w:before="120" w:after="120"/>
        <w:ind w:firstLine="709"/>
        <w:jc w:val="both"/>
        <w:rPr>
          <w:rFonts w:ascii="Bookman Old Style" w:hAnsi="Bookman Old Style"/>
          <w:bCs/>
          <w:sz w:val="20"/>
          <w:szCs w:val="20"/>
        </w:rPr>
      </w:pPr>
    </w:p>
    <w:p w:rsidR="000A4482" w:rsidRDefault="000A4482" w:rsidP="000A4482">
      <w:pPr>
        <w:spacing w:before="120" w:after="120"/>
        <w:jc w:val="both"/>
        <w:rPr>
          <w:rFonts w:ascii="Bookman Old Style" w:hAnsi="Bookman Old Style"/>
          <w:bCs/>
          <w:i/>
          <w:sz w:val="20"/>
          <w:szCs w:val="20"/>
        </w:rPr>
      </w:pPr>
      <w:r>
        <w:rPr>
          <w:rFonts w:ascii="Bookman Old Style" w:hAnsi="Bookman Old Style"/>
          <w:bCs/>
          <w:i/>
          <w:sz w:val="20"/>
          <w:szCs w:val="20"/>
        </w:rPr>
        <w:lastRenderedPageBreak/>
        <w:t>Фото элемента Объекта оценки</w:t>
      </w:r>
    </w:p>
    <w:p w:rsidR="000A4482" w:rsidRDefault="000A4482" w:rsidP="000A4482">
      <w:pPr>
        <w:spacing w:before="120" w:after="120"/>
        <w:rPr>
          <w:rFonts w:ascii="Bookman Old Style" w:hAnsi="Bookman Old Style"/>
          <w:sz w:val="18"/>
          <w:szCs w:val="18"/>
        </w:rPr>
      </w:pPr>
      <w:r>
        <w:rPr>
          <w:rFonts w:ascii="Bookman Old Style" w:hAnsi="Bookman Old Style"/>
          <w:sz w:val="18"/>
          <w:szCs w:val="18"/>
        </w:rPr>
        <w:t xml:space="preserve">Фото № 1. Общий вид </w:t>
      </w: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t xml:space="preserve">      Фото № 2. Общий вид</w:t>
      </w:r>
    </w:p>
    <w:p w:rsidR="000A4482" w:rsidRDefault="000A4482" w:rsidP="000A4482">
      <w:pPr>
        <w:spacing w:before="120" w:after="120"/>
        <w:rPr>
          <w:rFonts w:ascii="Bookman Old Style" w:hAnsi="Bookman Old Style"/>
          <w:noProof/>
          <w:sz w:val="18"/>
          <w:szCs w:val="18"/>
        </w:rPr>
      </w:pPr>
      <w:r>
        <w:rPr>
          <w:rFonts w:ascii="Bookman Old Style" w:hAnsi="Bookman Old Style"/>
          <w:noProof/>
          <w:sz w:val="18"/>
          <w:szCs w:val="18"/>
        </w:rPr>
        <w:drawing>
          <wp:inline distT="0" distB="0" distL="0" distR="0">
            <wp:extent cx="3121660" cy="2341245"/>
            <wp:effectExtent l="0" t="0" r="2540" b="190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3121660" cy="2341245"/>
                    </a:xfrm>
                    <a:prstGeom prst="rect">
                      <a:avLst/>
                    </a:prstGeom>
                    <a:noFill/>
                  </pic:spPr>
                </pic:pic>
              </a:graphicData>
            </a:graphic>
          </wp:inline>
        </w:drawing>
      </w:r>
      <w:r>
        <w:rPr>
          <w:rFonts w:ascii="Bookman Old Style" w:hAnsi="Bookman Old Style"/>
          <w:noProof/>
          <w:sz w:val="18"/>
          <w:szCs w:val="18"/>
        </w:rPr>
        <w:t xml:space="preserve">      </w:t>
      </w:r>
      <w:r>
        <w:rPr>
          <w:rFonts w:ascii="Bookman Old Style" w:hAnsi="Bookman Old Style"/>
          <w:noProof/>
          <w:sz w:val="18"/>
          <w:szCs w:val="18"/>
        </w:rPr>
        <w:drawing>
          <wp:inline distT="0" distB="0" distL="0" distR="0">
            <wp:extent cx="3121660" cy="2341245"/>
            <wp:effectExtent l="0" t="0" r="2540" b="1905"/>
            <wp:docPr id="22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3121660" cy="2341245"/>
                    </a:xfrm>
                    <a:prstGeom prst="rect">
                      <a:avLst/>
                    </a:prstGeom>
                    <a:noFill/>
                  </pic:spPr>
                </pic:pic>
              </a:graphicData>
            </a:graphic>
          </wp:inline>
        </w:drawing>
      </w:r>
    </w:p>
    <w:p w:rsidR="000A4482" w:rsidRDefault="000A4482" w:rsidP="000A4482">
      <w:pPr>
        <w:spacing w:before="120" w:after="120"/>
        <w:rPr>
          <w:rFonts w:ascii="Bookman Old Style" w:hAnsi="Bookman Old Style"/>
          <w:sz w:val="18"/>
          <w:szCs w:val="18"/>
        </w:rPr>
      </w:pPr>
      <w:r>
        <w:rPr>
          <w:rFonts w:ascii="Bookman Old Style" w:hAnsi="Bookman Old Style"/>
          <w:sz w:val="18"/>
          <w:szCs w:val="18"/>
        </w:rPr>
        <w:t xml:space="preserve">Фото № 3. Производственно-складские помещения </w:t>
      </w:r>
      <w:r>
        <w:rPr>
          <w:rFonts w:ascii="Bookman Old Style" w:hAnsi="Bookman Old Style"/>
          <w:sz w:val="18"/>
          <w:szCs w:val="18"/>
        </w:rPr>
        <w:tab/>
        <w:t xml:space="preserve">     Фото № 4. </w:t>
      </w:r>
      <w:r w:rsidRPr="000A4482">
        <w:rPr>
          <w:rFonts w:ascii="Bookman Old Style" w:hAnsi="Bookman Old Style"/>
          <w:sz w:val="18"/>
          <w:szCs w:val="18"/>
        </w:rPr>
        <w:t>Производственно-складские помещения</w:t>
      </w:r>
    </w:p>
    <w:p w:rsidR="000A4482" w:rsidRDefault="000A4482" w:rsidP="000A4482">
      <w:pPr>
        <w:spacing w:before="120" w:after="120"/>
        <w:rPr>
          <w:rFonts w:ascii="Bookman Old Style" w:hAnsi="Bookman Old Style"/>
          <w:noProof/>
          <w:sz w:val="18"/>
          <w:szCs w:val="18"/>
        </w:rPr>
      </w:pPr>
      <w:r>
        <w:rPr>
          <w:rFonts w:ascii="Bookman Old Style" w:hAnsi="Bookman Old Style"/>
          <w:noProof/>
          <w:sz w:val="18"/>
          <w:szCs w:val="18"/>
        </w:rPr>
        <w:drawing>
          <wp:inline distT="0" distB="0" distL="0" distR="0">
            <wp:extent cx="3120000" cy="2340000"/>
            <wp:effectExtent l="0" t="0" r="4445" b="3175"/>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CER\Desktop\Саянпромстрой\Фото\IMG_1725.JPG"/>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3120000" cy="2340000"/>
                    </a:xfrm>
                    <a:prstGeom prst="rect">
                      <a:avLst/>
                    </a:prstGeom>
                    <a:noFill/>
                    <a:ln>
                      <a:noFill/>
                    </a:ln>
                  </pic:spPr>
                </pic:pic>
              </a:graphicData>
            </a:graphic>
          </wp:inline>
        </w:drawing>
      </w:r>
      <w:r>
        <w:rPr>
          <w:rFonts w:ascii="Bookman Old Style" w:hAnsi="Bookman Old Style"/>
          <w:noProof/>
          <w:sz w:val="18"/>
          <w:szCs w:val="18"/>
        </w:rPr>
        <w:t xml:space="preserve">      </w:t>
      </w:r>
      <w:r>
        <w:rPr>
          <w:rFonts w:ascii="Bookman Old Style" w:hAnsi="Bookman Old Style"/>
          <w:noProof/>
          <w:sz w:val="18"/>
          <w:szCs w:val="18"/>
        </w:rPr>
        <w:drawing>
          <wp:inline distT="0" distB="0" distL="0" distR="0">
            <wp:extent cx="3121660" cy="2341245"/>
            <wp:effectExtent l="0" t="0" r="2540" b="1905"/>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3121660" cy="2341245"/>
                    </a:xfrm>
                    <a:prstGeom prst="rect">
                      <a:avLst/>
                    </a:prstGeom>
                    <a:noFill/>
                  </pic:spPr>
                </pic:pic>
              </a:graphicData>
            </a:graphic>
          </wp:inline>
        </w:drawing>
      </w:r>
    </w:p>
    <w:p w:rsidR="000A4482" w:rsidRDefault="000A4482" w:rsidP="000A4482">
      <w:pPr>
        <w:spacing w:before="120" w:after="120"/>
        <w:rPr>
          <w:rFonts w:ascii="Bookman Old Style" w:hAnsi="Bookman Old Style"/>
          <w:sz w:val="18"/>
          <w:szCs w:val="18"/>
        </w:rPr>
      </w:pPr>
      <w:r>
        <w:rPr>
          <w:rFonts w:ascii="Bookman Old Style" w:hAnsi="Bookman Old Style"/>
          <w:sz w:val="18"/>
          <w:szCs w:val="18"/>
        </w:rPr>
        <w:t xml:space="preserve">Фото № 5. </w:t>
      </w:r>
      <w:r w:rsidRPr="000A4482">
        <w:rPr>
          <w:rFonts w:ascii="Bookman Old Style" w:hAnsi="Bookman Old Style"/>
          <w:sz w:val="18"/>
          <w:szCs w:val="18"/>
        </w:rPr>
        <w:t>Производственно-складские помещения</w:t>
      </w:r>
      <w:r>
        <w:rPr>
          <w:rFonts w:ascii="Bookman Old Style" w:hAnsi="Bookman Old Style"/>
          <w:sz w:val="18"/>
          <w:szCs w:val="18"/>
        </w:rPr>
        <w:tab/>
        <w:t xml:space="preserve">     Фото № 6. </w:t>
      </w:r>
      <w:r w:rsidRPr="000A4482">
        <w:rPr>
          <w:rFonts w:ascii="Bookman Old Style" w:hAnsi="Bookman Old Style"/>
          <w:sz w:val="18"/>
          <w:szCs w:val="18"/>
        </w:rPr>
        <w:t>Производственно-складские помещения</w:t>
      </w:r>
      <w:r>
        <w:rPr>
          <w:rFonts w:ascii="Bookman Old Style" w:hAnsi="Bookman Old Style"/>
          <w:sz w:val="18"/>
          <w:szCs w:val="18"/>
        </w:rPr>
        <w:t xml:space="preserve"> </w:t>
      </w:r>
    </w:p>
    <w:p w:rsidR="000A4482" w:rsidRDefault="000A4482" w:rsidP="000A4482">
      <w:pPr>
        <w:spacing w:before="120" w:after="120"/>
        <w:rPr>
          <w:rFonts w:ascii="Bookman Old Style" w:hAnsi="Bookman Old Style"/>
          <w:sz w:val="18"/>
          <w:szCs w:val="18"/>
        </w:rPr>
      </w:pPr>
      <w:r>
        <w:rPr>
          <w:rFonts w:ascii="Bookman Old Style" w:hAnsi="Bookman Old Style"/>
          <w:noProof/>
          <w:sz w:val="18"/>
          <w:szCs w:val="18"/>
        </w:rPr>
        <w:drawing>
          <wp:inline distT="0" distB="0" distL="0" distR="0">
            <wp:extent cx="3121660" cy="2341245"/>
            <wp:effectExtent l="0" t="0" r="2540" b="1905"/>
            <wp:docPr id="230"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3121660" cy="2341245"/>
                    </a:xfrm>
                    <a:prstGeom prst="rect">
                      <a:avLst/>
                    </a:prstGeom>
                    <a:noFill/>
                  </pic:spPr>
                </pic:pic>
              </a:graphicData>
            </a:graphic>
          </wp:inline>
        </w:drawing>
      </w:r>
      <w:r>
        <w:rPr>
          <w:rFonts w:ascii="Bookman Old Style" w:hAnsi="Bookman Old Style"/>
          <w:sz w:val="18"/>
          <w:szCs w:val="18"/>
        </w:rPr>
        <w:t xml:space="preserve">      </w:t>
      </w:r>
      <w:r>
        <w:rPr>
          <w:rFonts w:ascii="Bookman Old Style" w:hAnsi="Bookman Old Style"/>
          <w:noProof/>
          <w:sz w:val="18"/>
          <w:szCs w:val="18"/>
        </w:rPr>
        <w:drawing>
          <wp:inline distT="0" distB="0" distL="0" distR="0">
            <wp:extent cx="3121660" cy="2341245"/>
            <wp:effectExtent l="0" t="0" r="2540" b="1905"/>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3121660" cy="2341245"/>
                    </a:xfrm>
                    <a:prstGeom prst="rect">
                      <a:avLst/>
                    </a:prstGeom>
                    <a:noFill/>
                  </pic:spPr>
                </pic:pic>
              </a:graphicData>
            </a:graphic>
          </wp:inline>
        </w:drawing>
      </w:r>
    </w:p>
    <w:p w:rsidR="000A4482" w:rsidRDefault="000A4482" w:rsidP="000A4482">
      <w:pPr>
        <w:spacing w:before="120" w:after="120"/>
        <w:rPr>
          <w:rFonts w:ascii="Bookman Old Style" w:hAnsi="Bookman Old Style"/>
          <w:sz w:val="18"/>
          <w:szCs w:val="18"/>
        </w:rPr>
      </w:pPr>
    </w:p>
    <w:p w:rsidR="000A4482" w:rsidRDefault="000A4482" w:rsidP="000A4482">
      <w:pPr>
        <w:spacing w:before="120" w:after="120"/>
        <w:rPr>
          <w:rFonts w:ascii="Bookman Old Style" w:hAnsi="Bookman Old Style"/>
          <w:sz w:val="18"/>
          <w:szCs w:val="18"/>
        </w:rPr>
      </w:pPr>
    </w:p>
    <w:p w:rsidR="000A4482" w:rsidRDefault="000A4482" w:rsidP="000A4482">
      <w:pPr>
        <w:spacing w:before="120" w:after="120"/>
        <w:rPr>
          <w:rFonts w:ascii="Bookman Old Style" w:hAnsi="Bookman Old Style"/>
          <w:sz w:val="18"/>
          <w:szCs w:val="18"/>
        </w:rPr>
      </w:pPr>
    </w:p>
    <w:p w:rsidR="000A4482" w:rsidRDefault="000A4482" w:rsidP="000A4482">
      <w:pPr>
        <w:spacing w:before="120" w:after="120"/>
        <w:rPr>
          <w:rFonts w:ascii="Bookman Old Style" w:hAnsi="Bookman Old Style"/>
          <w:sz w:val="18"/>
          <w:szCs w:val="18"/>
        </w:rPr>
      </w:pPr>
    </w:p>
    <w:p w:rsidR="000A4482" w:rsidRDefault="000A4482" w:rsidP="000A4482">
      <w:pPr>
        <w:spacing w:before="120" w:after="120"/>
        <w:rPr>
          <w:rFonts w:ascii="Bookman Old Style" w:hAnsi="Bookman Old Style"/>
          <w:sz w:val="18"/>
          <w:szCs w:val="18"/>
        </w:rPr>
      </w:pPr>
    </w:p>
    <w:p w:rsidR="000A4482" w:rsidRDefault="000A4482" w:rsidP="000A4482">
      <w:pPr>
        <w:spacing w:before="120" w:after="120"/>
        <w:rPr>
          <w:rFonts w:ascii="Bookman Old Style" w:hAnsi="Bookman Old Style"/>
          <w:sz w:val="18"/>
          <w:szCs w:val="18"/>
        </w:rPr>
      </w:pPr>
    </w:p>
    <w:p w:rsidR="000A4482" w:rsidRDefault="000A4482" w:rsidP="000A4482">
      <w:pPr>
        <w:spacing w:before="120" w:after="120"/>
        <w:rPr>
          <w:rFonts w:ascii="Bookman Old Style" w:hAnsi="Bookman Old Style"/>
          <w:sz w:val="18"/>
          <w:szCs w:val="18"/>
        </w:rPr>
      </w:pPr>
      <w:r>
        <w:rPr>
          <w:rFonts w:ascii="Bookman Old Style" w:hAnsi="Bookman Old Style"/>
          <w:sz w:val="18"/>
          <w:szCs w:val="18"/>
        </w:rPr>
        <w:lastRenderedPageBreak/>
        <w:t xml:space="preserve">Фото № 7. Офисные помещения </w:t>
      </w:r>
      <w:r>
        <w:rPr>
          <w:rFonts w:ascii="Bookman Old Style" w:hAnsi="Bookman Old Style"/>
          <w:sz w:val="18"/>
          <w:szCs w:val="18"/>
        </w:rPr>
        <w:tab/>
        <w:t xml:space="preserve">                              Фото № 8. </w:t>
      </w:r>
      <w:r w:rsidRPr="000A4482">
        <w:rPr>
          <w:rFonts w:ascii="Bookman Old Style" w:hAnsi="Bookman Old Style"/>
          <w:sz w:val="18"/>
          <w:szCs w:val="18"/>
        </w:rPr>
        <w:t>Офисные помещения</w:t>
      </w:r>
    </w:p>
    <w:p w:rsidR="000A4482" w:rsidRDefault="000A4482" w:rsidP="000A4482">
      <w:pPr>
        <w:spacing w:before="120" w:after="120"/>
        <w:rPr>
          <w:rFonts w:ascii="Bookman Old Style" w:hAnsi="Bookman Old Style"/>
          <w:noProof/>
          <w:sz w:val="18"/>
          <w:szCs w:val="18"/>
        </w:rPr>
      </w:pPr>
      <w:r>
        <w:rPr>
          <w:rFonts w:ascii="Bookman Old Style" w:hAnsi="Bookman Old Style"/>
          <w:noProof/>
          <w:sz w:val="18"/>
          <w:szCs w:val="18"/>
        </w:rPr>
        <w:drawing>
          <wp:inline distT="0" distB="0" distL="0" distR="0">
            <wp:extent cx="3120000" cy="2340000"/>
            <wp:effectExtent l="0" t="0" r="4445" b="3175"/>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CER\Desktop\Саянпромстрой\Фото\IMG_1725.JPG"/>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3120000" cy="2340000"/>
                    </a:xfrm>
                    <a:prstGeom prst="rect">
                      <a:avLst/>
                    </a:prstGeom>
                    <a:noFill/>
                    <a:ln>
                      <a:noFill/>
                    </a:ln>
                  </pic:spPr>
                </pic:pic>
              </a:graphicData>
            </a:graphic>
          </wp:inline>
        </w:drawing>
      </w:r>
      <w:r>
        <w:rPr>
          <w:rFonts w:ascii="Bookman Old Style" w:hAnsi="Bookman Old Style"/>
          <w:noProof/>
          <w:sz w:val="18"/>
          <w:szCs w:val="18"/>
        </w:rPr>
        <w:t xml:space="preserve">      </w:t>
      </w:r>
      <w:r>
        <w:rPr>
          <w:rFonts w:ascii="Bookman Old Style" w:hAnsi="Bookman Old Style"/>
          <w:noProof/>
          <w:sz w:val="18"/>
          <w:szCs w:val="18"/>
        </w:rPr>
        <w:drawing>
          <wp:inline distT="0" distB="0" distL="0" distR="0">
            <wp:extent cx="3121660" cy="2341245"/>
            <wp:effectExtent l="0" t="0" r="2540" b="1905"/>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3121660" cy="2341245"/>
                    </a:xfrm>
                    <a:prstGeom prst="rect">
                      <a:avLst/>
                    </a:prstGeom>
                    <a:noFill/>
                  </pic:spPr>
                </pic:pic>
              </a:graphicData>
            </a:graphic>
          </wp:inline>
        </w:drawing>
      </w:r>
    </w:p>
    <w:p w:rsidR="000A4482" w:rsidRDefault="000A4482" w:rsidP="000A4482">
      <w:pPr>
        <w:spacing w:before="120" w:after="120"/>
        <w:rPr>
          <w:rFonts w:ascii="Bookman Old Style" w:hAnsi="Bookman Old Style"/>
          <w:sz w:val="18"/>
          <w:szCs w:val="18"/>
        </w:rPr>
      </w:pPr>
      <w:r>
        <w:rPr>
          <w:rFonts w:ascii="Bookman Old Style" w:hAnsi="Bookman Old Style"/>
          <w:sz w:val="18"/>
          <w:szCs w:val="18"/>
        </w:rPr>
        <w:t xml:space="preserve">Фото № 9. </w:t>
      </w:r>
      <w:r w:rsidRPr="000A4482">
        <w:rPr>
          <w:rFonts w:ascii="Bookman Old Style" w:hAnsi="Bookman Old Style"/>
          <w:sz w:val="18"/>
          <w:szCs w:val="18"/>
        </w:rPr>
        <w:t>Офисные помещения</w:t>
      </w:r>
      <w:r>
        <w:rPr>
          <w:rFonts w:ascii="Bookman Old Style" w:hAnsi="Bookman Old Style"/>
          <w:sz w:val="18"/>
          <w:szCs w:val="18"/>
        </w:rPr>
        <w:t xml:space="preserve">                        </w:t>
      </w:r>
      <w:r>
        <w:rPr>
          <w:rFonts w:ascii="Bookman Old Style" w:hAnsi="Bookman Old Style"/>
          <w:sz w:val="18"/>
          <w:szCs w:val="18"/>
        </w:rPr>
        <w:tab/>
        <w:t xml:space="preserve">     Фото № 10. Коридор</w:t>
      </w:r>
    </w:p>
    <w:p w:rsidR="000A4482" w:rsidRDefault="000A4482" w:rsidP="000A4482">
      <w:pPr>
        <w:spacing w:before="120" w:after="120"/>
        <w:rPr>
          <w:rFonts w:ascii="Bookman Old Style" w:hAnsi="Bookman Old Style"/>
          <w:sz w:val="18"/>
          <w:szCs w:val="18"/>
        </w:rPr>
      </w:pPr>
      <w:r>
        <w:rPr>
          <w:rFonts w:ascii="Bookman Old Style" w:hAnsi="Bookman Old Style"/>
          <w:noProof/>
          <w:sz w:val="18"/>
          <w:szCs w:val="18"/>
        </w:rPr>
        <w:drawing>
          <wp:inline distT="0" distB="0" distL="0" distR="0">
            <wp:extent cx="3121660" cy="2341245"/>
            <wp:effectExtent l="0" t="0" r="2540" b="1905"/>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3121660" cy="2341245"/>
                    </a:xfrm>
                    <a:prstGeom prst="rect">
                      <a:avLst/>
                    </a:prstGeom>
                    <a:noFill/>
                  </pic:spPr>
                </pic:pic>
              </a:graphicData>
            </a:graphic>
          </wp:inline>
        </w:drawing>
      </w:r>
      <w:r>
        <w:rPr>
          <w:rFonts w:ascii="Bookman Old Style" w:hAnsi="Bookman Old Style"/>
          <w:sz w:val="18"/>
          <w:szCs w:val="18"/>
        </w:rPr>
        <w:t xml:space="preserve">      </w:t>
      </w:r>
      <w:r>
        <w:rPr>
          <w:rFonts w:ascii="Bookman Old Style" w:hAnsi="Bookman Old Style"/>
          <w:noProof/>
          <w:sz w:val="18"/>
          <w:szCs w:val="18"/>
        </w:rPr>
        <w:drawing>
          <wp:inline distT="0" distB="0" distL="0" distR="0">
            <wp:extent cx="3121660" cy="2341245"/>
            <wp:effectExtent l="0" t="0" r="2540" b="1905"/>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3121660" cy="2341245"/>
                    </a:xfrm>
                    <a:prstGeom prst="rect">
                      <a:avLst/>
                    </a:prstGeom>
                    <a:noFill/>
                  </pic:spPr>
                </pic:pic>
              </a:graphicData>
            </a:graphic>
          </wp:inline>
        </w:drawing>
      </w:r>
    </w:p>
    <w:p w:rsidR="000A4482" w:rsidRDefault="000A4482" w:rsidP="000A4482">
      <w:pPr>
        <w:spacing w:before="120" w:after="120"/>
        <w:rPr>
          <w:rFonts w:ascii="Bookman Old Style" w:hAnsi="Bookman Old Style"/>
          <w:sz w:val="18"/>
          <w:szCs w:val="18"/>
        </w:rPr>
      </w:pPr>
      <w:r>
        <w:rPr>
          <w:rFonts w:ascii="Bookman Old Style" w:hAnsi="Bookman Old Style"/>
          <w:sz w:val="18"/>
          <w:szCs w:val="18"/>
        </w:rPr>
        <w:t xml:space="preserve">Фото № 11. </w:t>
      </w:r>
      <w:r w:rsidRPr="000A4482">
        <w:rPr>
          <w:rFonts w:ascii="Bookman Old Style" w:hAnsi="Bookman Old Style"/>
          <w:sz w:val="18"/>
          <w:szCs w:val="18"/>
        </w:rPr>
        <w:t>Офисные помещения</w:t>
      </w:r>
      <w:r>
        <w:rPr>
          <w:rFonts w:ascii="Bookman Old Style" w:hAnsi="Bookman Old Style"/>
          <w:sz w:val="18"/>
          <w:szCs w:val="18"/>
        </w:rPr>
        <w:t xml:space="preserve">                        </w:t>
      </w:r>
      <w:r>
        <w:rPr>
          <w:rFonts w:ascii="Bookman Old Style" w:hAnsi="Bookman Old Style"/>
          <w:sz w:val="18"/>
          <w:szCs w:val="18"/>
        </w:rPr>
        <w:tab/>
        <w:t xml:space="preserve">     Фото № 12. Коридор</w:t>
      </w:r>
    </w:p>
    <w:p w:rsidR="000A4482" w:rsidRDefault="000A4482" w:rsidP="000A4482">
      <w:pPr>
        <w:spacing w:before="120" w:after="120"/>
        <w:rPr>
          <w:rFonts w:ascii="Bookman Old Style" w:hAnsi="Bookman Old Style"/>
          <w:sz w:val="18"/>
          <w:szCs w:val="18"/>
        </w:rPr>
      </w:pPr>
      <w:r>
        <w:rPr>
          <w:rFonts w:ascii="Bookman Old Style" w:hAnsi="Bookman Old Style"/>
          <w:noProof/>
          <w:sz w:val="18"/>
          <w:szCs w:val="18"/>
        </w:rPr>
        <w:drawing>
          <wp:inline distT="0" distB="0" distL="0" distR="0">
            <wp:extent cx="3121660" cy="2341245"/>
            <wp:effectExtent l="0" t="0" r="2540" b="1905"/>
            <wp:docPr id="23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3121660" cy="2341245"/>
                    </a:xfrm>
                    <a:prstGeom prst="rect">
                      <a:avLst/>
                    </a:prstGeom>
                    <a:noFill/>
                  </pic:spPr>
                </pic:pic>
              </a:graphicData>
            </a:graphic>
          </wp:inline>
        </w:drawing>
      </w:r>
      <w:r>
        <w:rPr>
          <w:rFonts w:ascii="Bookman Old Style" w:hAnsi="Bookman Old Style"/>
          <w:sz w:val="18"/>
          <w:szCs w:val="18"/>
        </w:rPr>
        <w:t xml:space="preserve">      </w:t>
      </w:r>
      <w:r>
        <w:rPr>
          <w:rFonts w:ascii="Bookman Old Style" w:hAnsi="Bookman Old Style"/>
          <w:noProof/>
          <w:sz w:val="18"/>
          <w:szCs w:val="18"/>
        </w:rPr>
        <w:drawing>
          <wp:inline distT="0" distB="0" distL="0" distR="0">
            <wp:extent cx="3121660" cy="2341245"/>
            <wp:effectExtent l="0" t="0" r="2540" b="1905"/>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3121660" cy="2341245"/>
                    </a:xfrm>
                    <a:prstGeom prst="rect">
                      <a:avLst/>
                    </a:prstGeom>
                    <a:noFill/>
                  </pic:spPr>
                </pic:pic>
              </a:graphicData>
            </a:graphic>
          </wp:inline>
        </w:drawing>
      </w:r>
    </w:p>
    <w:bookmarkEnd w:id="175"/>
    <w:p w:rsidR="00181522" w:rsidRPr="009E1C70" w:rsidRDefault="000A4482" w:rsidP="00303E37">
      <w:pPr>
        <w:pStyle w:val="aff2"/>
        <w:numPr>
          <w:ilvl w:val="0"/>
          <w:numId w:val="40"/>
        </w:numPr>
        <w:spacing w:before="120" w:after="120"/>
        <w:jc w:val="both"/>
        <w:rPr>
          <w:rFonts w:ascii="Bookman Old Style" w:hAnsi="Bookman Old Style"/>
          <w:bCs/>
          <w:sz w:val="20"/>
          <w:szCs w:val="20"/>
        </w:rPr>
      </w:pPr>
      <w:r w:rsidRPr="000A4482">
        <w:rPr>
          <w:rFonts w:ascii="Bookman Old Style" w:hAnsi="Bookman Old Style"/>
          <w:bCs/>
          <w:sz w:val="20"/>
          <w:szCs w:val="20"/>
        </w:rPr>
        <w:t>Холодный склад, назначение: нежилое, 1- этажный,  общая площадь 1002,2 кв. метра, инв. № 01:3396:013795, лит. В1, адрес: г. Красноярск, ул. Айвазовского, 37 «А», строение 3. Кадастровый номер: 24:50:0500203:398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5"/>
        <w:gridCol w:w="4264"/>
        <w:gridCol w:w="5502"/>
      </w:tblGrid>
      <w:tr w:rsidR="00181522" w:rsidRPr="009E1C70" w:rsidTr="00A276AF">
        <w:trPr>
          <w:cantSplit/>
          <w:trHeight w:val="170"/>
        </w:trPr>
        <w:tc>
          <w:tcPr>
            <w:tcW w:w="314" w:type="pct"/>
            <w:shd w:val="clear" w:color="000000" w:fill="F2F2F2"/>
            <w:vAlign w:val="center"/>
            <w:hideMark/>
          </w:tcPr>
          <w:p w:rsidR="00181522" w:rsidRPr="009E1C70" w:rsidRDefault="00181522" w:rsidP="008A4DCE">
            <w:pPr>
              <w:jc w:val="center"/>
              <w:rPr>
                <w:rFonts w:ascii="Cambria" w:hAnsi="Cambria"/>
                <w:b/>
                <w:bCs/>
                <w:color w:val="000000"/>
                <w:sz w:val="16"/>
                <w:szCs w:val="16"/>
              </w:rPr>
            </w:pPr>
            <w:r w:rsidRPr="009E1C70">
              <w:rPr>
                <w:rFonts w:ascii="Cambria" w:hAnsi="Cambria"/>
                <w:b/>
                <w:bCs/>
                <w:color w:val="000000"/>
                <w:sz w:val="16"/>
                <w:szCs w:val="16"/>
              </w:rPr>
              <w:t>№ п.п.</w:t>
            </w:r>
          </w:p>
        </w:tc>
        <w:tc>
          <w:tcPr>
            <w:tcW w:w="2046" w:type="pct"/>
            <w:shd w:val="clear" w:color="000000" w:fill="F2F2F2"/>
            <w:vAlign w:val="center"/>
            <w:hideMark/>
          </w:tcPr>
          <w:p w:rsidR="00181522" w:rsidRPr="009E1C70" w:rsidRDefault="00181522" w:rsidP="008A4DCE">
            <w:pPr>
              <w:jc w:val="center"/>
              <w:rPr>
                <w:rFonts w:ascii="Cambria" w:hAnsi="Cambria"/>
                <w:b/>
                <w:bCs/>
                <w:color w:val="000000"/>
                <w:sz w:val="16"/>
                <w:szCs w:val="16"/>
              </w:rPr>
            </w:pPr>
            <w:r w:rsidRPr="009E1C70">
              <w:rPr>
                <w:rFonts w:ascii="Cambria" w:hAnsi="Cambria"/>
                <w:b/>
                <w:bCs/>
                <w:color w:val="000000"/>
                <w:sz w:val="16"/>
                <w:szCs w:val="16"/>
              </w:rPr>
              <w:t>Наименование параметра</w:t>
            </w:r>
          </w:p>
        </w:tc>
        <w:tc>
          <w:tcPr>
            <w:tcW w:w="2640" w:type="pct"/>
            <w:shd w:val="clear" w:color="000000" w:fill="F2F2F2"/>
            <w:vAlign w:val="center"/>
            <w:hideMark/>
          </w:tcPr>
          <w:p w:rsidR="00181522" w:rsidRPr="009E1C70" w:rsidRDefault="00181522" w:rsidP="008A4DCE">
            <w:pPr>
              <w:jc w:val="center"/>
              <w:rPr>
                <w:rFonts w:ascii="Cambria" w:hAnsi="Cambria"/>
                <w:b/>
                <w:bCs/>
                <w:color w:val="000000"/>
                <w:sz w:val="16"/>
                <w:szCs w:val="16"/>
              </w:rPr>
            </w:pPr>
            <w:r w:rsidRPr="009E1C70">
              <w:rPr>
                <w:rFonts w:ascii="Cambria" w:hAnsi="Cambria"/>
                <w:b/>
                <w:bCs/>
                <w:color w:val="000000"/>
                <w:sz w:val="16"/>
                <w:szCs w:val="16"/>
              </w:rPr>
              <w:t>Значение</w:t>
            </w:r>
          </w:p>
        </w:tc>
      </w:tr>
      <w:tr w:rsidR="00181522" w:rsidRPr="009E1C70" w:rsidTr="00A276AF">
        <w:trPr>
          <w:cantSplit/>
          <w:trHeight w:val="170"/>
        </w:trPr>
        <w:tc>
          <w:tcPr>
            <w:tcW w:w="5000" w:type="pct"/>
            <w:gridSpan w:val="3"/>
            <w:shd w:val="clear" w:color="000000" w:fill="F2F2F2"/>
            <w:noWrap/>
            <w:vAlign w:val="center"/>
            <w:hideMark/>
          </w:tcPr>
          <w:p w:rsidR="00181522" w:rsidRPr="009E1C70" w:rsidRDefault="00181522" w:rsidP="008A4DCE">
            <w:pPr>
              <w:jc w:val="center"/>
              <w:rPr>
                <w:rFonts w:ascii="Cambria" w:hAnsi="Cambria"/>
                <w:color w:val="000000"/>
                <w:sz w:val="16"/>
                <w:szCs w:val="16"/>
              </w:rPr>
            </w:pPr>
            <w:r w:rsidRPr="009E1C70">
              <w:rPr>
                <w:rFonts w:ascii="Cambria" w:hAnsi="Cambria"/>
                <w:color w:val="000000"/>
                <w:sz w:val="16"/>
                <w:szCs w:val="16"/>
              </w:rPr>
              <w:t>Общие сведения</w:t>
            </w:r>
          </w:p>
        </w:tc>
      </w:tr>
      <w:tr w:rsidR="00181522" w:rsidRPr="009E1C70" w:rsidTr="00A276AF">
        <w:trPr>
          <w:cantSplit/>
          <w:trHeight w:val="170"/>
        </w:trPr>
        <w:tc>
          <w:tcPr>
            <w:tcW w:w="314" w:type="pct"/>
            <w:shd w:val="clear" w:color="auto" w:fill="auto"/>
            <w:noWrap/>
            <w:vAlign w:val="center"/>
            <w:hideMark/>
          </w:tcPr>
          <w:p w:rsidR="00181522" w:rsidRPr="009E1C70" w:rsidRDefault="00181522" w:rsidP="008A4DCE">
            <w:pPr>
              <w:jc w:val="center"/>
              <w:rPr>
                <w:rFonts w:ascii="Cambria" w:hAnsi="Cambria"/>
                <w:color w:val="000000"/>
                <w:sz w:val="16"/>
                <w:szCs w:val="16"/>
              </w:rPr>
            </w:pPr>
            <w:r w:rsidRPr="009E1C70">
              <w:rPr>
                <w:rFonts w:ascii="Cambria" w:hAnsi="Cambria"/>
                <w:color w:val="000000"/>
                <w:sz w:val="16"/>
                <w:szCs w:val="16"/>
              </w:rPr>
              <w:t>1</w:t>
            </w:r>
          </w:p>
        </w:tc>
        <w:tc>
          <w:tcPr>
            <w:tcW w:w="2046" w:type="pct"/>
            <w:shd w:val="clear" w:color="auto" w:fill="auto"/>
            <w:vAlign w:val="center"/>
            <w:hideMark/>
          </w:tcPr>
          <w:p w:rsidR="00181522" w:rsidRPr="009E1C70" w:rsidRDefault="00181522" w:rsidP="008A4DCE">
            <w:pPr>
              <w:rPr>
                <w:rFonts w:ascii="Cambria" w:hAnsi="Cambria"/>
                <w:color w:val="000000"/>
                <w:sz w:val="16"/>
                <w:szCs w:val="16"/>
              </w:rPr>
            </w:pPr>
            <w:r w:rsidRPr="009E1C70">
              <w:rPr>
                <w:rFonts w:ascii="Cambria" w:hAnsi="Cambria"/>
                <w:color w:val="000000"/>
                <w:sz w:val="16"/>
                <w:szCs w:val="16"/>
              </w:rPr>
              <w:t>Наименование здания (назначение здания)</w:t>
            </w:r>
          </w:p>
        </w:tc>
        <w:tc>
          <w:tcPr>
            <w:tcW w:w="2640" w:type="pct"/>
            <w:shd w:val="clear" w:color="auto" w:fill="auto"/>
            <w:vAlign w:val="center"/>
            <w:hideMark/>
          </w:tcPr>
          <w:p w:rsidR="00181522" w:rsidRPr="009E1C70" w:rsidRDefault="000A4482" w:rsidP="008A4DCE">
            <w:pPr>
              <w:jc w:val="center"/>
              <w:rPr>
                <w:rFonts w:ascii="Cambria" w:hAnsi="Cambria"/>
                <w:color w:val="000000"/>
                <w:sz w:val="16"/>
                <w:szCs w:val="16"/>
              </w:rPr>
            </w:pPr>
            <w:r w:rsidRPr="000A4482">
              <w:rPr>
                <w:rFonts w:ascii="Cambria" w:hAnsi="Cambria"/>
                <w:color w:val="000000"/>
                <w:sz w:val="16"/>
                <w:szCs w:val="16"/>
              </w:rPr>
              <w:t>Холодный склад</w:t>
            </w:r>
          </w:p>
        </w:tc>
      </w:tr>
      <w:tr w:rsidR="00181522" w:rsidRPr="009E1C70" w:rsidTr="00A276AF">
        <w:trPr>
          <w:cantSplit/>
          <w:trHeight w:val="170"/>
        </w:trPr>
        <w:tc>
          <w:tcPr>
            <w:tcW w:w="314" w:type="pct"/>
            <w:shd w:val="clear" w:color="auto" w:fill="auto"/>
            <w:noWrap/>
            <w:vAlign w:val="center"/>
            <w:hideMark/>
          </w:tcPr>
          <w:p w:rsidR="00181522" w:rsidRPr="009E1C70" w:rsidRDefault="00181522" w:rsidP="008A4DCE">
            <w:pPr>
              <w:jc w:val="center"/>
              <w:rPr>
                <w:rFonts w:ascii="Cambria" w:hAnsi="Cambria"/>
                <w:color w:val="000000"/>
                <w:sz w:val="16"/>
                <w:szCs w:val="16"/>
              </w:rPr>
            </w:pPr>
            <w:r w:rsidRPr="009E1C70">
              <w:rPr>
                <w:rFonts w:ascii="Cambria" w:hAnsi="Cambria"/>
                <w:color w:val="000000"/>
                <w:sz w:val="16"/>
                <w:szCs w:val="16"/>
              </w:rPr>
              <w:t>2</w:t>
            </w:r>
          </w:p>
        </w:tc>
        <w:tc>
          <w:tcPr>
            <w:tcW w:w="2046" w:type="pct"/>
            <w:shd w:val="clear" w:color="auto" w:fill="auto"/>
            <w:vAlign w:val="center"/>
            <w:hideMark/>
          </w:tcPr>
          <w:p w:rsidR="00181522" w:rsidRPr="009E1C70" w:rsidRDefault="00181522" w:rsidP="008A4DCE">
            <w:pPr>
              <w:rPr>
                <w:rFonts w:ascii="Cambria" w:hAnsi="Cambria"/>
                <w:color w:val="000000"/>
                <w:sz w:val="16"/>
                <w:szCs w:val="16"/>
              </w:rPr>
            </w:pPr>
            <w:r w:rsidRPr="009E1C70">
              <w:rPr>
                <w:rFonts w:ascii="Cambria" w:hAnsi="Cambria"/>
                <w:color w:val="000000"/>
                <w:sz w:val="16"/>
                <w:szCs w:val="16"/>
              </w:rPr>
              <w:t>Адрес местоположения</w:t>
            </w:r>
          </w:p>
        </w:tc>
        <w:tc>
          <w:tcPr>
            <w:tcW w:w="2640" w:type="pct"/>
            <w:shd w:val="clear" w:color="000000" w:fill="FFFFFF"/>
            <w:vAlign w:val="center"/>
            <w:hideMark/>
          </w:tcPr>
          <w:p w:rsidR="00181522" w:rsidRPr="009E1C70" w:rsidRDefault="000A4482" w:rsidP="00181522">
            <w:pPr>
              <w:jc w:val="center"/>
              <w:rPr>
                <w:rFonts w:ascii="Cambria" w:hAnsi="Cambria"/>
                <w:color w:val="000000"/>
                <w:sz w:val="16"/>
                <w:szCs w:val="16"/>
              </w:rPr>
            </w:pPr>
            <w:r w:rsidRPr="000A4482">
              <w:rPr>
                <w:rFonts w:ascii="Cambria" w:hAnsi="Cambria"/>
                <w:color w:val="000000"/>
                <w:sz w:val="16"/>
                <w:szCs w:val="16"/>
              </w:rPr>
              <w:t>Россия, Красноярский край, г. Красноярск, ул. Айвазовского, 37а</w:t>
            </w:r>
            <w:r>
              <w:rPr>
                <w:rFonts w:ascii="Cambria" w:hAnsi="Cambria"/>
                <w:color w:val="000000"/>
                <w:sz w:val="16"/>
                <w:szCs w:val="16"/>
              </w:rPr>
              <w:t xml:space="preserve">, </w:t>
            </w:r>
            <w:r w:rsidRPr="000A4482">
              <w:rPr>
                <w:rFonts w:ascii="Cambria" w:hAnsi="Cambria"/>
                <w:bCs/>
                <w:color w:val="000000"/>
                <w:sz w:val="16"/>
                <w:szCs w:val="16"/>
              </w:rPr>
              <w:t>строение 3</w:t>
            </w:r>
          </w:p>
        </w:tc>
      </w:tr>
      <w:tr w:rsidR="00181522" w:rsidRPr="009E1C70" w:rsidTr="00A276AF">
        <w:trPr>
          <w:cantSplit/>
          <w:trHeight w:val="170"/>
        </w:trPr>
        <w:tc>
          <w:tcPr>
            <w:tcW w:w="314" w:type="pct"/>
            <w:shd w:val="clear" w:color="auto" w:fill="auto"/>
            <w:noWrap/>
            <w:vAlign w:val="center"/>
            <w:hideMark/>
          </w:tcPr>
          <w:p w:rsidR="00181522" w:rsidRPr="009E1C70" w:rsidRDefault="00181522" w:rsidP="008A4DCE">
            <w:pPr>
              <w:jc w:val="center"/>
              <w:rPr>
                <w:rFonts w:ascii="Cambria" w:hAnsi="Cambria"/>
                <w:color w:val="000000"/>
                <w:sz w:val="16"/>
                <w:szCs w:val="16"/>
              </w:rPr>
            </w:pPr>
            <w:r w:rsidRPr="009E1C70">
              <w:rPr>
                <w:rFonts w:ascii="Cambria" w:hAnsi="Cambria"/>
                <w:color w:val="000000"/>
                <w:sz w:val="16"/>
                <w:szCs w:val="16"/>
              </w:rPr>
              <w:t>3</w:t>
            </w:r>
          </w:p>
        </w:tc>
        <w:tc>
          <w:tcPr>
            <w:tcW w:w="2046" w:type="pct"/>
            <w:shd w:val="clear" w:color="auto" w:fill="auto"/>
            <w:vAlign w:val="center"/>
            <w:hideMark/>
          </w:tcPr>
          <w:p w:rsidR="00181522" w:rsidRPr="009E1C70" w:rsidRDefault="00181522" w:rsidP="008A4DCE">
            <w:pPr>
              <w:rPr>
                <w:rFonts w:ascii="Cambria" w:hAnsi="Cambria"/>
                <w:color w:val="000000"/>
                <w:sz w:val="16"/>
                <w:szCs w:val="16"/>
              </w:rPr>
            </w:pPr>
            <w:r w:rsidRPr="009E1C70">
              <w:rPr>
                <w:rFonts w:ascii="Cambria" w:hAnsi="Cambria"/>
                <w:color w:val="000000"/>
                <w:sz w:val="16"/>
                <w:szCs w:val="16"/>
              </w:rPr>
              <w:t>Кадастровый номер</w:t>
            </w:r>
          </w:p>
        </w:tc>
        <w:tc>
          <w:tcPr>
            <w:tcW w:w="2640" w:type="pct"/>
            <w:shd w:val="clear" w:color="auto" w:fill="auto"/>
            <w:noWrap/>
            <w:vAlign w:val="center"/>
            <w:hideMark/>
          </w:tcPr>
          <w:p w:rsidR="00181522" w:rsidRPr="009E1C70" w:rsidRDefault="000A4482" w:rsidP="008A4DCE">
            <w:pPr>
              <w:jc w:val="center"/>
              <w:rPr>
                <w:rFonts w:ascii="Cambria" w:hAnsi="Cambria"/>
                <w:color w:val="000000"/>
                <w:sz w:val="16"/>
                <w:szCs w:val="16"/>
              </w:rPr>
            </w:pPr>
            <w:r w:rsidRPr="000A4482">
              <w:rPr>
                <w:rFonts w:ascii="Cambria" w:hAnsi="Cambria"/>
                <w:bCs/>
                <w:color w:val="000000"/>
                <w:sz w:val="16"/>
                <w:szCs w:val="16"/>
              </w:rPr>
              <w:t>24:50:0500203:398</w:t>
            </w:r>
          </w:p>
        </w:tc>
      </w:tr>
      <w:tr w:rsidR="00181522" w:rsidRPr="009E1C70" w:rsidTr="00A276AF">
        <w:trPr>
          <w:cantSplit/>
          <w:trHeight w:val="170"/>
        </w:trPr>
        <w:tc>
          <w:tcPr>
            <w:tcW w:w="314" w:type="pct"/>
            <w:shd w:val="clear" w:color="auto" w:fill="auto"/>
            <w:noWrap/>
            <w:vAlign w:val="center"/>
            <w:hideMark/>
          </w:tcPr>
          <w:p w:rsidR="00181522" w:rsidRPr="009E1C70" w:rsidRDefault="00181522" w:rsidP="008A4DCE">
            <w:pPr>
              <w:jc w:val="center"/>
              <w:rPr>
                <w:rFonts w:ascii="Cambria" w:hAnsi="Cambria"/>
                <w:color w:val="000000"/>
                <w:sz w:val="16"/>
                <w:szCs w:val="16"/>
              </w:rPr>
            </w:pPr>
            <w:r w:rsidRPr="009E1C70">
              <w:rPr>
                <w:rFonts w:ascii="Cambria" w:hAnsi="Cambria"/>
                <w:color w:val="000000"/>
                <w:sz w:val="16"/>
                <w:szCs w:val="16"/>
              </w:rPr>
              <w:lastRenderedPageBreak/>
              <w:t>4</w:t>
            </w:r>
          </w:p>
        </w:tc>
        <w:tc>
          <w:tcPr>
            <w:tcW w:w="2046" w:type="pct"/>
            <w:shd w:val="clear" w:color="auto" w:fill="auto"/>
            <w:vAlign w:val="center"/>
            <w:hideMark/>
          </w:tcPr>
          <w:p w:rsidR="00181522" w:rsidRPr="009E1C70" w:rsidRDefault="00181522" w:rsidP="008A4DCE">
            <w:pPr>
              <w:rPr>
                <w:rFonts w:ascii="Cambria" w:hAnsi="Cambria"/>
                <w:color w:val="000000"/>
                <w:sz w:val="16"/>
                <w:szCs w:val="16"/>
              </w:rPr>
            </w:pPr>
            <w:r w:rsidRPr="009E1C70">
              <w:rPr>
                <w:rFonts w:ascii="Cambria" w:hAnsi="Cambria"/>
                <w:color w:val="000000"/>
                <w:sz w:val="16"/>
                <w:szCs w:val="16"/>
              </w:rPr>
              <w:t>Год постройки</w:t>
            </w:r>
          </w:p>
        </w:tc>
        <w:tc>
          <w:tcPr>
            <w:tcW w:w="2640" w:type="pct"/>
            <w:shd w:val="clear" w:color="000000" w:fill="FFFFFF"/>
            <w:vAlign w:val="center"/>
            <w:hideMark/>
          </w:tcPr>
          <w:p w:rsidR="00181522" w:rsidRPr="009E1C70" w:rsidRDefault="000A4482" w:rsidP="008A4DCE">
            <w:pPr>
              <w:jc w:val="center"/>
              <w:rPr>
                <w:rFonts w:ascii="Cambria" w:hAnsi="Cambria"/>
                <w:color w:val="000000"/>
                <w:sz w:val="16"/>
                <w:szCs w:val="16"/>
              </w:rPr>
            </w:pPr>
            <w:r>
              <w:rPr>
                <w:rFonts w:ascii="Cambria" w:hAnsi="Cambria"/>
                <w:color w:val="000000"/>
                <w:sz w:val="16"/>
                <w:szCs w:val="16"/>
              </w:rPr>
              <w:t>2010</w:t>
            </w:r>
          </w:p>
        </w:tc>
      </w:tr>
      <w:tr w:rsidR="00181522" w:rsidRPr="009E1C70" w:rsidTr="00A276AF">
        <w:trPr>
          <w:cantSplit/>
          <w:trHeight w:val="170"/>
        </w:trPr>
        <w:tc>
          <w:tcPr>
            <w:tcW w:w="314" w:type="pct"/>
            <w:shd w:val="clear" w:color="auto" w:fill="auto"/>
            <w:noWrap/>
            <w:vAlign w:val="center"/>
            <w:hideMark/>
          </w:tcPr>
          <w:p w:rsidR="00181522" w:rsidRPr="009E1C70" w:rsidRDefault="00181522" w:rsidP="008A4DCE">
            <w:pPr>
              <w:jc w:val="center"/>
              <w:rPr>
                <w:rFonts w:ascii="Cambria" w:hAnsi="Cambria"/>
                <w:color w:val="000000"/>
                <w:sz w:val="16"/>
                <w:szCs w:val="16"/>
              </w:rPr>
            </w:pPr>
            <w:r w:rsidRPr="009E1C70">
              <w:rPr>
                <w:rFonts w:ascii="Cambria" w:hAnsi="Cambria"/>
                <w:color w:val="000000"/>
                <w:sz w:val="16"/>
                <w:szCs w:val="16"/>
              </w:rPr>
              <w:t>5</w:t>
            </w:r>
          </w:p>
        </w:tc>
        <w:tc>
          <w:tcPr>
            <w:tcW w:w="2046" w:type="pct"/>
            <w:shd w:val="clear" w:color="auto" w:fill="auto"/>
            <w:vAlign w:val="center"/>
            <w:hideMark/>
          </w:tcPr>
          <w:p w:rsidR="00181522" w:rsidRPr="009E1C70" w:rsidRDefault="00181522" w:rsidP="008A4DCE">
            <w:pPr>
              <w:rPr>
                <w:rFonts w:ascii="Cambria" w:hAnsi="Cambria"/>
                <w:color w:val="000000"/>
                <w:sz w:val="16"/>
                <w:szCs w:val="16"/>
              </w:rPr>
            </w:pPr>
            <w:r w:rsidRPr="009E1C70">
              <w:rPr>
                <w:rFonts w:ascii="Cambria" w:hAnsi="Cambria"/>
                <w:color w:val="000000"/>
                <w:sz w:val="16"/>
                <w:szCs w:val="16"/>
              </w:rPr>
              <w:t>Общая площадь, кв.м.</w:t>
            </w:r>
          </w:p>
        </w:tc>
        <w:tc>
          <w:tcPr>
            <w:tcW w:w="2640" w:type="pct"/>
            <w:shd w:val="clear" w:color="000000" w:fill="FFFFFF"/>
            <w:vAlign w:val="center"/>
            <w:hideMark/>
          </w:tcPr>
          <w:p w:rsidR="00181522" w:rsidRPr="009E1C70" w:rsidRDefault="000A4482" w:rsidP="008A4DCE">
            <w:pPr>
              <w:jc w:val="center"/>
              <w:rPr>
                <w:rFonts w:ascii="Cambria" w:hAnsi="Cambria"/>
                <w:color w:val="000000"/>
                <w:sz w:val="16"/>
                <w:szCs w:val="16"/>
              </w:rPr>
            </w:pPr>
            <w:r>
              <w:rPr>
                <w:rFonts w:ascii="Cambria" w:hAnsi="Cambria"/>
                <w:color w:val="000000"/>
                <w:sz w:val="16"/>
                <w:szCs w:val="16"/>
              </w:rPr>
              <w:t>1002,2</w:t>
            </w:r>
          </w:p>
        </w:tc>
      </w:tr>
      <w:tr w:rsidR="00181522" w:rsidRPr="009E1C70" w:rsidTr="00A276AF">
        <w:trPr>
          <w:cantSplit/>
          <w:trHeight w:val="170"/>
        </w:trPr>
        <w:tc>
          <w:tcPr>
            <w:tcW w:w="314" w:type="pct"/>
            <w:shd w:val="clear" w:color="auto" w:fill="auto"/>
            <w:noWrap/>
            <w:vAlign w:val="center"/>
          </w:tcPr>
          <w:p w:rsidR="00181522" w:rsidRPr="009E1C70" w:rsidRDefault="00181522" w:rsidP="008A4DCE">
            <w:pPr>
              <w:jc w:val="center"/>
              <w:rPr>
                <w:rFonts w:ascii="Cambria" w:hAnsi="Cambria"/>
                <w:color w:val="000000"/>
                <w:sz w:val="16"/>
                <w:szCs w:val="16"/>
              </w:rPr>
            </w:pPr>
            <w:r>
              <w:rPr>
                <w:rFonts w:ascii="Cambria" w:hAnsi="Cambria"/>
                <w:color w:val="000000"/>
                <w:sz w:val="16"/>
                <w:szCs w:val="16"/>
              </w:rPr>
              <w:t>6</w:t>
            </w:r>
          </w:p>
        </w:tc>
        <w:tc>
          <w:tcPr>
            <w:tcW w:w="2046" w:type="pct"/>
            <w:shd w:val="clear" w:color="auto" w:fill="auto"/>
            <w:vAlign w:val="center"/>
          </w:tcPr>
          <w:p w:rsidR="00181522" w:rsidRPr="009E1C70" w:rsidRDefault="000A4482" w:rsidP="008A4DCE">
            <w:pPr>
              <w:rPr>
                <w:rFonts w:ascii="Cambria" w:hAnsi="Cambria"/>
                <w:color w:val="000000"/>
                <w:sz w:val="16"/>
                <w:szCs w:val="16"/>
              </w:rPr>
            </w:pPr>
            <w:r w:rsidRPr="000A4482">
              <w:rPr>
                <w:rFonts w:ascii="Cambria" w:hAnsi="Cambria"/>
                <w:color w:val="000000"/>
                <w:sz w:val="16"/>
                <w:szCs w:val="16"/>
              </w:rPr>
              <w:t>Площадь застройки, кв.м</w:t>
            </w:r>
          </w:p>
        </w:tc>
        <w:tc>
          <w:tcPr>
            <w:tcW w:w="2640" w:type="pct"/>
            <w:shd w:val="clear" w:color="000000" w:fill="FFFFFF"/>
            <w:vAlign w:val="center"/>
          </w:tcPr>
          <w:p w:rsidR="00181522" w:rsidRDefault="000A4482" w:rsidP="008A4DCE">
            <w:pPr>
              <w:jc w:val="center"/>
              <w:rPr>
                <w:rFonts w:ascii="Cambria" w:hAnsi="Cambria"/>
                <w:color w:val="000000"/>
                <w:sz w:val="16"/>
                <w:szCs w:val="16"/>
              </w:rPr>
            </w:pPr>
            <w:r>
              <w:rPr>
                <w:rFonts w:ascii="Cambria" w:hAnsi="Cambria"/>
                <w:color w:val="000000"/>
                <w:sz w:val="16"/>
                <w:szCs w:val="16"/>
              </w:rPr>
              <w:t>896,5</w:t>
            </w:r>
          </w:p>
        </w:tc>
      </w:tr>
      <w:tr w:rsidR="000A4482" w:rsidRPr="009E1C70" w:rsidTr="00A276AF">
        <w:trPr>
          <w:cantSplit/>
          <w:trHeight w:val="170"/>
        </w:trPr>
        <w:tc>
          <w:tcPr>
            <w:tcW w:w="314" w:type="pct"/>
            <w:shd w:val="clear" w:color="auto" w:fill="auto"/>
            <w:noWrap/>
            <w:vAlign w:val="center"/>
          </w:tcPr>
          <w:p w:rsidR="000A4482" w:rsidRDefault="000A4482" w:rsidP="008A4DCE">
            <w:pPr>
              <w:jc w:val="center"/>
              <w:rPr>
                <w:rFonts w:ascii="Cambria" w:hAnsi="Cambria"/>
                <w:color w:val="000000"/>
                <w:sz w:val="16"/>
                <w:szCs w:val="16"/>
              </w:rPr>
            </w:pPr>
            <w:r>
              <w:rPr>
                <w:rFonts w:ascii="Cambria" w:hAnsi="Cambria"/>
                <w:color w:val="000000"/>
                <w:sz w:val="16"/>
                <w:szCs w:val="16"/>
              </w:rPr>
              <w:t>7</w:t>
            </w:r>
          </w:p>
        </w:tc>
        <w:tc>
          <w:tcPr>
            <w:tcW w:w="2046" w:type="pct"/>
            <w:shd w:val="clear" w:color="auto" w:fill="auto"/>
            <w:vAlign w:val="center"/>
          </w:tcPr>
          <w:p w:rsidR="000A4482" w:rsidRPr="001D175E" w:rsidRDefault="000A4482" w:rsidP="00D70166">
            <w:pPr>
              <w:rPr>
                <w:rFonts w:asciiTheme="majorHAnsi" w:hAnsiTheme="majorHAnsi"/>
                <w:color w:val="000000"/>
                <w:sz w:val="16"/>
                <w:szCs w:val="16"/>
              </w:rPr>
            </w:pPr>
            <w:r w:rsidRPr="001D175E">
              <w:rPr>
                <w:rFonts w:asciiTheme="majorHAnsi" w:hAnsiTheme="majorHAnsi"/>
                <w:color w:val="000000"/>
                <w:sz w:val="16"/>
                <w:szCs w:val="16"/>
              </w:rPr>
              <w:t>Строительный объем, куб. м.</w:t>
            </w:r>
          </w:p>
        </w:tc>
        <w:tc>
          <w:tcPr>
            <w:tcW w:w="2640" w:type="pct"/>
            <w:shd w:val="clear" w:color="000000" w:fill="FFFFFF"/>
            <w:vAlign w:val="center"/>
          </w:tcPr>
          <w:p w:rsidR="000A4482" w:rsidRDefault="000A4482" w:rsidP="008A4DCE">
            <w:pPr>
              <w:jc w:val="center"/>
              <w:rPr>
                <w:rFonts w:ascii="Cambria" w:hAnsi="Cambria"/>
                <w:color w:val="000000"/>
                <w:sz w:val="16"/>
                <w:szCs w:val="16"/>
              </w:rPr>
            </w:pPr>
            <w:r>
              <w:rPr>
                <w:rFonts w:ascii="Cambria" w:hAnsi="Cambria"/>
                <w:color w:val="000000"/>
                <w:sz w:val="16"/>
                <w:szCs w:val="16"/>
              </w:rPr>
              <w:t>6584</w:t>
            </w:r>
          </w:p>
        </w:tc>
      </w:tr>
      <w:tr w:rsidR="000A4482" w:rsidRPr="009E1C70" w:rsidTr="00A276AF">
        <w:trPr>
          <w:cantSplit/>
          <w:trHeight w:val="170"/>
        </w:trPr>
        <w:tc>
          <w:tcPr>
            <w:tcW w:w="314" w:type="pct"/>
            <w:shd w:val="clear" w:color="auto" w:fill="auto"/>
            <w:noWrap/>
            <w:vAlign w:val="center"/>
          </w:tcPr>
          <w:p w:rsidR="000A4482" w:rsidRDefault="000A4482" w:rsidP="008A4DCE">
            <w:pPr>
              <w:jc w:val="center"/>
              <w:rPr>
                <w:rFonts w:ascii="Cambria" w:hAnsi="Cambria"/>
                <w:color w:val="000000"/>
                <w:sz w:val="16"/>
                <w:szCs w:val="16"/>
              </w:rPr>
            </w:pPr>
            <w:r>
              <w:rPr>
                <w:rFonts w:ascii="Cambria" w:hAnsi="Cambria"/>
                <w:color w:val="000000"/>
                <w:sz w:val="16"/>
                <w:szCs w:val="16"/>
              </w:rPr>
              <w:t>8</w:t>
            </w:r>
          </w:p>
        </w:tc>
        <w:tc>
          <w:tcPr>
            <w:tcW w:w="2046" w:type="pct"/>
            <w:shd w:val="clear" w:color="auto" w:fill="auto"/>
            <w:vAlign w:val="center"/>
          </w:tcPr>
          <w:p w:rsidR="000A4482" w:rsidRPr="001D175E" w:rsidRDefault="000A4482" w:rsidP="00D70166">
            <w:pPr>
              <w:rPr>
                <w:rFonts w:ascii="Cambria" w:hAnsi="Cambria"/>
                <w:color w:val="000000"/>
                <w:sz w:val="16"/>
                <w:szCs w:val="16"/>
              </w:rPr>
            </w:pPr>
            <w:r w:rsidRPr="001D175E">
              <w:rPr>
                <w:rFonts w:ascii="Cambria" w:hAnsi="Cambria"/>
                <w:color w:val="000000"/>
                <w:sz w:val="16"/>
                <w:szCs w:val="16"/>
              </w:rPr>
              <w:t>Количество надземных этажей</w:t>
            </w:r>
          </w:p>
        </w:tc>
        <w:tc>
          <w:tcPr>
            <w:tcW w:w="2640" w:type="pct"/>
            <w:shd w:val="clear" w:color="000000" w:fill="FFFFFF"/>
            <w:vAlign w:val="center"/>
          </w:tcPr>
          <w:p w:rsidR="000A4482" w:rsidRDefault="000A4482" w:rsidP="008A4DCE">
            <w:pPr>
              <w:jc w:val="center"/>
              <w:rPr>
                <w:rFonts w:ascii="Cambria" w:hAnsi="Cambria"/>
                <w:color w:val="000000"/>
                <w:sz w:val="16"/>
                <w:szCs w:val="16"/>
              </w:rPr>
            </w:pPr>
            <w:r>
              <w:rPr>
                <w:rFonts w:ascii="Cambria" w:hAnsi="Cambria"/>
                <w:color w:val="000000"/>
                <w:sz w:val="16"/>
                <w:szCs w:val="16"/>
              </w:rPr>
              <w:t>1</w:t>
            </w:r>
          </w:p>
        </w:tc>
      </w:tr>
      <w:tr w:rsidR="000A4482" w:rsidRPr="009E1C70" w:rsidTr="00A276AF">
        <w:trPr>
          <w:cantSplit/>
          <w:trHeight w:val="170"/>
        </w:trPr>
        <w:tc>
          <w:tcPr>
            <w:tcW w:w="5000" w:type="pct"/>
            <w:gridSpan w:val="3"/>
            <w:shd w:val="clear" w:color="000000" w:fill="F2F2F2"/>
            <w:noWrap/>
            <w:vAlign w:val="center"/>
            <w:hideMark/>
          </w:tcPr>
          <w:p w:rsidR="000A4482" w:rsidRPr="009E1C70" w:rsidRDefault="000A4482" w:rsidP="008A4DCE">
            <w:pPr>
              <w:jc w:val="center"/>
              <w:rPr>
                <w:rFonts w:ascii="Cambria" w:hAnsi="Cambria"/>
                <w:color w:val="000000"/>
                <w:sz w:val="16"/>
                <w:szCs w:val="16"/>
              </w:rPr>
            </w:pPr>
            <w:r w:rsidRPr="009E1C70">
              <w:rPr>
                <w:rFonts w:ascii="Cambria" w:hAnsi="Cambria"/>
                <w:color w:val="000000"/>
                <w:sz w:val="16"/>
                <w:szCs w:val="16"/>
              </w:rPr>
              <w:t>Конструктивные элементы здания</w:t>
            </w:r>
          </w:p>
        </w:tc>
      </w:tr>
      <w:tr w:rsidR="000A4482" w:rsidRPr="009E1C70" w:rsidTr="00A276AF">
        <w:trPr>
          <w:cantSplit/>
          <w:trHeight w:val="170"/>
        </w:trPr>
        <w:tc>
          <w:tcPr>
            <w:tcW w:w="314" w:type="pct"/>
            <w:shd w:val="clear" w:color="auto" w:fill="auto"/>
            <w:noWrap/>
            <w:vAlign w:val="center"/>
            <w:hideMark/>
          </w:tcPr>
          <w:p w:rsidR="000A4482" w:rsidRPr="009E1C70" w:rsidRDefault="000A4482" w:rsidP="008A4DCE">
            <w:pPr>
              <w:jc w:val="center"/>
              <w:rPr>
                <w:rFonts w:ascii="Cambria" w:hAnsi="Cambria"/>
                <w:color w:val="000000"/>
                <w:sz w:val="16"/>
                <w:szCs w:val="16"/>
              </w:rPr>
            </w:pPr>
            <w:r w:rsidRPr="009E1C70">
              <w:rPr>
                <w:rFonts w:ascii="Cambria" w:hAnsi="Cambria"/>
                <w:color w:val="000000"/>
                <w:sz w:val="16"/>
                <w:szCs w:val="16"/>
              </w:rPr>
              <w:t>1</w:t>
            </w:r>
          </w:p>
        </w:tc>
        <w:tc>
          <w:tcPr>
            <w:tcW w:w="2046" w:type="pct"/>
            <w:shd w:val="clear" w:color="auto" w:fill="auto"/>
            <w:vAlign w:val="center"/>
            <w:hideMark/>
          </w:tcPr>
          <w:p w:rsidR="000A4482" w:rsidRPr="009E1C70" w:rsidRDefault="000A4482" w:rsidP="008A4DCE">
            <w:pPr>
              <w:rPr>
                <w:rFonts w:ascii="Cambria" w:hAnsi="Cambria"/>
                <w:color w:val="000000"/>
                <w:sz w:val="16"/>
                <w:szCs w:val="16"/>
              </w:rPr>
            </w:pPr>
            <w:r w:rsidRPr="009E1C70">
              <w:rPr>
                <w:rFonts w:ascii="Cambria" w:hAnsi="Cambria"/>
                <w:color w:val="000000"/>
                <w:sz w:val="16"/>
                <w:szCs w:val="16"/>
              </w:rPr>
              <w:t>Фундамент</w:t>
            </w:r>
          </w:p>
        </w:tc>
        <w:tc>
          <w:tcPr>
            <w:tcW w:w="2640" w:type="pct"/>
            <w:shd w:val="clear" w:color="auto" w:fill="auto"/>
            <w:vAlign w:val="center"/>
            <w:hideMark/>
          </w:tcPr>
          <w:p w:rsidR="000A4482" w:rsidRPr="009E1C70" w:rsidRDefault="000A4482" w:rsidP="008A4DCE">
            <w:pPr>
              <w:jc w:val="center"/>
              <w:rPr>
                <w:rFonts w:ascii="Cambria" w:hAnsi="Cambria"/>
                <w:color w:val="000000"/>
                <w:sz w:val="16"/>
                <w:szCs w:val="16"/>
              </w:rPr>
            </w:pPr>
            <w:r>
              <w:rPr>
                <w:rFonts w:ascii="Cambria" w:hAnsi="Cambria"/>
                <w:color w:val="000000"/>
                <w:sz w:val="16"/>
                <w:szCs w:val="16"/>
              </w:rPr>
              <w:t>Железобетонный</w:t>
            </w:r>
          </w:p>
        </w:tc>
      </w:tr>
      <w:tr w:rsidR="000A4482" w:rsidRPr="009E1C70" w:rsidTr="00A276AF">
        <w:trPr>
          <w:cantSplit/>
          <w:trHeight w:val="170"/>
        </w:trPr>
        <w:tc>
          <w:tcPr>
            <w:tcW w:w="314" w:type="pct"/>
            <w:shd w:val="clear" w:color="auto" w:fill="auto"/>
            <w:noWrap/>
            <w:vAlign w:val="center"/>
            <w:hideMark/>
          </w:tcPr>
          <w:p w:rsidR="000A4482" w:rsidRPr="009E1C70" w:rsidRDefault="000A4482" w:rsidP="008A4DCE">
            <w:pPr>
              <w:jc w:val="center"/>
              <w:rPr>
                <w:rFonts w:ascii="Cambria" w:hAnsi="Cambria"/>
                <w:color w:val="000000"/>
                <w:sz w:val="16"/>
                <w:szCs w:val="16"/>
              </w:rPr>
            </w:pPr>
            <w:r w:rsidRPr="009E1C70">
              <w:rPr>
                <w:rFonts w:ascii="Cambria" w:hAnsi="Cambria"/>
                <w:color w:val="000000"/>
                <w:sz w:val="16"/>
                <w:szCs w:val="16"/>
              </w:rPr>
              <w:t>2</w:t>
            </w:r>
          </w:p>
        </w:tc>
        <w:tc>
          <w:tcPr>
            <w:tcW w:w="2046" w:type="pct"/>
            <w:shd w:val="clear" w:color="auto" w:fill="auto"/>
            <w:vAlign w:val="center"/>
            <w:hideMark/>
          </w:tcPr>
          <w:p w:rsidR="000A4482" w:rsidRPr="009E1C70" w:rsidRDefault="000A4482" w:rsidP="008A4DCE">
            <w:pPr>
              <w:rPr>
                <w:rFonts w:ascii="Cambria" w:hAnsi="Cambria"/>
                <w:color w:val="000000"/>
                <w:sz w:val="16"/>
                <w:szCs w:val="16"/>
              </w:rPr>
            </w:pPr>
            <w:r w:rsidRPr="009E1C70">
              <w:rPr>
                <w:rFonts w:ascii="Cambria" w:hAnsi="Cambria"/>
                <w:color w:val="000000"/>
                <w:sz w:val="16"/>
                <w:szCs w:val="16"/>
              </w:rPr>
              <w:t>Стены</w:t>
            </w:r>
          </w:p>
        </w:tc>
        <w:tc>
          <w:tcPr>
            <w:tcW w:w="2640" w:type="pct"/>
            <w:shd w:val="clear" w:color="auto" w:fill="auto"/>
            <w:vAlign w:val="center"/>
            <w:hideMark/>
          </w:tcPr>
          <w:p w:rsidR="000A4482" w:rsidRPr="009E1C70" w:rsidRDefault="000A4482" w:rsidP="008A4DCE">
            <w:pPr>
              <w:jc w:val="center"/>
              <w:rPr>
                <w:rFonts w:ascii="Cambria" w:hAnsi="Cambria"/>
                <w:color w:val="000000"/>
                <w:sz w:val="16"/>
                <w:szCs w:val="16"/>
              </w:rPr>
            </w:pPr>
            <w:r>
              <w:rPr>
                <w:rFonts w:ascii="Cambria" w:hAnsi="Cambria"/>
                <w:color w:val="000000"/>
                <w:sz w:val="16"/>
                <w:szCs w:val="16"/>
              </w:rPr>
              <w:t>Металлические, из прочих материалов</w:t>
            </w:r>
          </w:p>
        </w:tc>
      </w:tr>
      <w:tr w:rsidR="000A4482" w:rsidRPr="009E1C70" w:rsidTr="00A276AF">
        <w:trPr>
          <w:cantSplit/>
          <w:trHeight w:val="170"/>
        </w:trPr>
        <w:tc>
          <w:tcPr>
            <w:tcW w:w="314" w:type="pct"/>
            <w:shd w:val="clear" w:color="auto" w:fill="auto"/>
            <w:noWrap/>
            <w:vAlign w:val="center"/>
            <w:hideMark/>
          </w:tcPr>
          <w:p w:rsidR="000A4482" w:rsidRPr="009E1C70" w:rsidRDefault="000A4482" w:rsidP="008A4DCE">
            <w:pPr>
              <w:jc w:val="center"/>
              <w:rPr>
                <w:rFonts w:ascii="Cambria" w:hAnsi="Cambria"/>
                <w:color w:val="000000"/>
                <w:sz w:val="16"/>
                <w:szCs w:val="16"/>
              </w:rPr>
            </w:pPr>
            <w:r w:rsidRPr="009E1C70">
              <w:rPr>
                <w:rFonts w:ascii="Cambria" w:hAnsi="Cambria"/>
                <w:color w:val="000000"/>
                <w:sz w:val="16"/>
                <w:szCs w:val="16"/>
              </w:rPr>
              <w:t>3</w:t>
            </w:r>
          </w:p>
        </w:tc>
        <w:tc>
          <w:tcPr>
            <w:tcW w:w="2046" w:type="pct"/>
            <w:shd w:val="clear" w:color="auto" w:fill="auto"/>
            <w:vAlign w:val="center"/>
            <w:hideMark/>
          </w:tcPr>
          <w:p w:rsidR="000A4482" w:rsidRPr="009E1C70" w:rsidRDefault="000A4482" w:rsidP="008A4DCE">
            <w:pPr>
              <w:rPr>
                <w:rFonts w:ascii="Cambria" w:hAnsi="Cambria"/>
                <w:color w:val="000000"/>
                <w:sz w:val="16"/>
                <w:szCs w:val="16"/>
              </w:rPr>
            </w:pPr>
            <w:r w:rsidRPr="009E1C70">
              <w:rPr>
                <w:rFonts w:ascii="Cambria" w:hAnsi="Cambria"/>
                <w:color w:val="000000"/>
                <w:sz w:val="16"/>
                <w:szCs w:val="16"/>
              </w:rPr>
              <w:t>Перегородки</w:t>
            </w:r>
          </w:p>
        </w:tc>
        <w:tc>
          <w:tcPr>
            <w:tcW w:w="2640" w:type="pct"/>
            <w:shd w:val="clear" w:color="auto" w:fill="auto"/>
            <w:vAlign w:val="center"/>
            <w:hideMark/>
          </w:tcPr>
          <w:p w:rsidR="000A4482" w:rsidRPr="009E1C70" w:rsidRDefault="000A4482" w:rsidP="008A4DCE">
            <w:pPr>
              <w:jc w:val="center"/>
              <w:rPr>
                <w:rFonts w:ascii="Cambria" w:hAnsi="Cambria"/>
                <w:color w:val="000000"/>
                <w:sz w:val="16"/>
                <w:szCs w:val="16"/>
              </w:rPr>
            </w:pPr>
            <w:r>
              <w:rPr>
                <w:rFonts w:ascii="Cambria" w:hAnsi="Cambria"/>
                <w:color w:val="000000"/>
                <w:sz w:val="16"/>
                <w:szCs w:val="16"/>
              </w:rPr>
              <w:t>И</w:t>
            </w:r>
            <w:r w:rsidRPr="000A4482">
              <w:rPr>
                <w:rFonts w:ascii="Cambria" w:hAnsi="Cambria"/>
                <w:color w:val="000000"/>
                <w:sz w:val="16"/>
                <w:szCs w:val="16"/>
              </w:rPr>
              <w:t>з прочих материалов</w:t>
            </w:r>
          </w:p>
        </w:tc>
      </w:tr>
      <w:tr w:rsidR="000A4482" w:rsidRPr="009E1C70" w:rsidTr="00A276AF">
        <w:trPr>
          <w:cantSplit/>
          <w:trHeight w:val="170"/>
        </w:trPr>
        <w:tc>
          <w:tcPr>
            <w:tcW w:w="314" w:type="pct"/>
            <w:shd w:val="clear" w:color="auto" w:fill="auto"/>
            <w:noWrap/>
            <w:vAlign w:val="center"/>
          </w:tcPr>
          <w:p w:rsidR="000A4482" w:rsidRDefault="000A4482" w:rsidP="008A4DCE">
            <w:pPr>
              <w:jc w:val="center"/>
              <w:rPr>
                <w:rFonts w:ascii="Cambria" w:hAnsi="Cambria"/>
                <w:color w:val="000000"/>
                <w:sz w:val="16"/>
                <w:szCs w:val="16"/>
              </w:rPr>
            </w:pPr>
            <w:r>
              <w:rPr>
                <w:rFonts w:ascii="Cambria" w:hAnsi="Cambria"/>
                <w:color w:val="000000"/>
                <w:sz w:val="16"/>
                <w:szCs w:val="16"/>
              </w:rPr>
              <w:t>4</w:t>
            </w:r>
          </w:p>
        </w:tc>
        <w:tc>
          <w:tcPr>
            <w:tcW w:w="2046" w:type="pct"/>
            <w:shd w:val="clear" w:color="auto" w:fill="auto"/>
            <w:vAlign w:val="center"/>
          </w:tcPr>
          <w:p w:rsidR="000A4482" w:rsidRPr="009E1C70" w:rsidRDefault="000A4482" w:rsidP="008A4DCE">
            <w:pPr>
              <w:rPr>
                <w:rFonts w:ascii="Cambria" w:hAnsi="Cambria"/>
                <w:sz w:val="16"/>
                <w:szCs w:val="16"/>
              </w:rPr>
            </w:pPr>
            <w:r w:rsidRPr="000311B1">
              <w:rPr>
                <w:rFonts w:ascii="Cambria" w:hAnsi="Cambria"/>
                <w:sz w:val="16"/>
                <w:szCs w:val="16"/>
              </w:rPr>
              <w:t>Перекрытие</w:t>
            </w:r>
            <w:r>
              <w:rPr>
                <w:rFonts w:ascii="Cambria" w:hAnsi="Cambria"/>
                <w:sz w:val="16"/>
                <w:szCs w:val="16"/>
              </w:rPr>
              <w:t xml:space="preserve"> чердачное</w:t>
            </w:r>
          </w:p>
        </w:tc>
        <w:tc>
          <w:tcPr>
            <w:tcW w:w="2640" w:type="pct"/>
            <w:shd w:val="clear" w:color="auto" w:fill="auto"/>
            <w:vAlign w:val="center"/>
          </w:tcPr>
          <w:p w:rsidR="000A4482" w:rsidRDefault="000A4482" w:rsidP="008A4DCE">
            <w:pPr>
              <w:jc w:val="center"/>
              <w:rPr>
                <w:rFonts w:ascii="Cambria" w:hAnsi="Cambria"/>
                <w:color w:val="000000"/>
                <w:sz w:val="16"/>
                <w:szCs w:val="16"/>
              </w:rPr>
            </w:pPr>
            <w:r>
              <w:rPr>
                <w:rFonts w:ascii="Cambria" w:hAnsi="Cambria"/>
                <w:color w:val="000000"/>
                <w:sz w:val="16"/>
                <w:szCs w:val="16"/>
              </w:rPr>
              <w:t>-</w:t>
            </w:r>
          </w:p>
        </w:tc>
      </w:tr>
      <w:tr w:rsidR="000A4482" w:rsidRPr="009E1C70" w:rsidTr="00A276AF">
        <w:trPr>
          <w:cantSplit/>
          <w:trHeight w:val="170"/>
        </w:trPr>
        <w:tc>
          <w:tcPr>
            <w:tcW w:w="314" w:type="pct"/>
            <w:shd w:val="clear" w:color="auto" w:fill="auto"/>
            <w:noWrap/>
            <w:vAlign w:val="center"/>
            <w:hideMark/>
          </w:tcPr>
          <w:p w:rsidR="000A4482" w:rsidRPr="009E1C70" w:rsidRDefault="000A4482" w:rsidP="008A4DCE">
            <w:pPr>
              <w:jc w:val="center"/>
              <w:rPr>
                <w:rFonts w:ascii="Cambria" w:hAnsi="Cambria"/>
                <w:color w:val="000000"/>
                <w:sz w:val="16"/>
                <w:szCs w:val="16"/>
              </w:rPr>
            </w:pPr>
            <w:r>
              <w:rPr>
                <w:rFonts w:ascii="Cambria" w:hAnsi="Cambria"/>
                <w:color w:val="000000"/>
                <w:sz w:val="16"/>
                <w:szCs w:val="16"/>
              </w:rPr>
              <w:t>5</w:t>
            </w:r>
          </w:p>
        </w:tc>
        <w:tc>
          <w:tcPr>
            <w:tcW w:w="2046" w:type="pct"/>
            <w:shd w:val="clear" w:color="auto" w:fill="auto"/>
            <w:vAlign w:val="center"/>
            <w:hideMark/>
          </w:tcPr>
          <w:p w:rsidR="000A4482" w:rsidRPr="009E1C70" w:rsidRDefault="000A4482" w:rsidP="008A4DCE">
            <w:pPr>
              <w:rPr>
                <w:rFonts w:ascii="Cambria" w:hAnsi="Cambria"/>
                <w:sz w:val="16"/>
                <w:szCs w:val="16"/>
              </w:rPr>
            </w:pPr>
            <w:r w:rsidRPr="009E1C70">
              <w:rPr>
                <w:rFonts w:ascii="Cambria" w:hAnsi="Cambria"/>
                <w:sz w:val="16"/>
                <w:szCs w:val="16"/>
              </w:rPr>
              <w:t>Перекрытие междуэтажное</w:t>
            </w:r>
          </w:p>
        </w:tc>
        <w:tc>
          <w:tcPr>
            <w:tcW w:w="2640" w:type="pct"/>
            <w:shd w:val="clear" w:color="auto" w:fill="auto"/>
            <w:vAlign w:val="center"/>
            <w:hideMark/>
          </w:tcPr>
          <w:p w:rsidR="000A4482" w:rsidRPr="009E1C70" w:rsidRDefault="000A4482" w:rsidP="008A4DCE">
            <w:pPr>
              <w:jc w:val="center"/>
              <w:rPr>
                <w:rFonts w:ascii="Cambria" w:hAnsi="Cambria"/>
                <w:color w:val="000000"/>
                <w:sz w:val="16"/>
                <w:szCs w:val="16"/>
              </w:rPr>
            </w:pPr>
            <w:r>
              <w:rPr>
                <w:rFonts w:ascii="Cambria" w:hAnsi="Cambria"/>
                <w:color w:val="000000"/>
                <w:sz w:val="16"/>
                <w:szCs w:val="16"/>
              </w:rPr>
              <w:t>-</w:t>
            </w:r>
          </w:p>
        </w:tc>
      </w:tr>
      <w:tr w:rsidR="000A4482" w:rsidRPr="009E1C70" w:rsidTr="00A276AF">
        <w:trPr>
          <w:cantSplit/>
          <w:trHeight w:val="170"/>
        </w:trPr>
        <w:tc>
          <w:tcPr>
            <w:tcW w:w="314" w:type="pct"/>
            <w:shd w:val="clear" w:color="auto" w:fill="auto"/>
            <w:noWrap/>
            <w:vAlign w:val="center"/>
          </w:tcPr>
          <w:p w:rsidR="000A4482" w:rsidRPr="009E1C70" w:rsidRDefault="000A4482" w:rsidP="008A4DCE">
            <w:pPr>
              <w:jc w:val="center"/>
              <w:rPr>
                <w:rFonts w:ascii="Cambria" w:hAnsi="Cambria"/>
                <w:color w:val="000000"/>
                <w:sz w:val="16"/>
                <w:szCs w:val="16"/>
              </w:rPr>
            </w:pPr>
            <w:r>
              <w:rPr>
                <w:rFonts w:ascii="Cambria" w:hAnsi="Cambria"/>
                <w:color w:val="000000"/>
                <w:sz w:val="16"/>
                <w:szCs w:val="16"/>
              </w:rPr>
              <w:t>6</w:t>
            </w:r>
          </w:p>
        </w:tc>
        <w:tc>
          <w:tcPr>
            <w:tcW w:w="2046" w:type="pct"/>
            <w:shd w:val="clear" w:color="auto" w:fill="auto"/>
            <w:vAlign w:val="center"/>
          </w:tcPr>
          <w:p w:rsidR="000A4482" w:rsidRPr="009E1C70" w:rsidRDefault="000A4482" w:rsidP="008A4DCE">
            <w:pPr>
              <w:rPr>
                <w:rFonts w:ascii="Cambria" w:hAnsi="Cambria"/>
                <w:color w:val="000000"/>
                <w:sz w:val="16"/>
                <w:szCs w:val="16"/>
              </w:rPr>
            </w:pPr>
            <w:r w:rsidRPr="009E1C70">
              <w:rPr>
                <w:rFonts w:ascii="Cambria" w:hAnsi="Cambria"/>
                <w:color w:val="000000"/>
                <w:sz w:val="16"/>
                <w:szCs w:val="16"/>
              </w:rPr>
              <w:t>Крыша</w:t>
            </w:r>
          </w:p>
        </w:tc>
        <w:tc>
          <w:tcPr>
            <w:tcW w:w="2640" w:type="pct"/>
            <w:shd w:val="clear" w:color="000000" w:fill="FFFFFF"/>
            <w:vAlign w:val="center"/>
          </w:tcPr>
          <w:p w:rsidR="000A4482" w:rsidRPr="009E1C70" w:rsidRDefault="000A4482" w:rsidP="008A4DCE">
            <w:pPr>
              <w:jc w:val="center"/>
              <w:rPr>
                <w:rFonts w:ascii="Cambria" w:hAnsi="Cambria"/>
                <w:color w:val="000000"/>
                <w:sz w:val="16"/>
                <w:szCs w:val="16"/>
              </w:rPr>
            </w:pPr>
            <w:r>
              <w:rPr>
                <w:rFonts w:ascii="Cambria" w:hAnsi="Cambria"/>
                <w:color w:val="000000"/>
                <w:sz w:val="16"/>
                <w:szCs w:val="16"/>
              </w:rPr>
              <w:t>Металлическая</w:t>
            </w:r>
          </w:p>
        </w:tc>
      </w:tr>
      <w:tr w:rsidR="000A4482" w:rsidRPr="009E1C70" w:rsidTr="00A276AF">
        <w:trPr>
          <w:cantSplit/>
          <w:trHeight w:val="170"/>
        </w:trPr>
        <w:tc>
          <w:tcPr>
            <w:tcW w:w="314" w:type="pct"/>
            <w:shd w:val="clear" w:color="auto" w:fill="auto"/>
            <w:noWrap/>
            <w:vAlign w:val="center"/>
            <w:hideMark/>
          </w:tcPr>
          <w:p w:rsidR="000A4482" w:rsidRPr="009E1C70" w:rsidRDefault="000A4482" w:rsidP="008A4DCE">
            <w:pPr>
              <w:jc w:val="center"/>
              <w:rPr>
                <w:rFonts w:ascii="Cambria" w:hAnsi="Cambria"/>
                <w:color w:val="000000"/>
                <w:sz w:val="16"/>
                <w:szCs w:val="16"/>
              </w:rPr>
            </w:pPr>
            <w:r>
              <w:rPr>
                <w:rFonts w:ascii="Cambria" w:hAnsi="Cambria"/>
                <w:color w:val="000000"/>
                <w:sz w:val="16"/>
                <w:szCs w:val="16"/>
              </w:rPr>
              <w:t>7</w:t>
            </w:r>
          </w:p>
        </w:tc>
        <w:tc>
          <w:tcPr>
            <w:tcW w:w="2046" w:type="pct"/>
            <w:shd w:val="clear" w:color="auto" w:fill="auto"/>
            <w:vAlign w:val="center"/>
            <w:hideMark/>
          </w:tcPr>
          <w:p w:rsidR="000A4482" w:rsidRPr="009E1C70" w:rsidRDefault="000A4482" w:rsidP="008A4DCE">
            <w:pPr>
              <w:rPr>
                <w:rFonts w:ascii="Cambria" w:hAnsi="Cambria"/>
                <w:color w:val="000000"/>
                <w:sz w:val="16"/>
                <w:szCs w:val="16"/>
              </w:rPr>
            </w:pPr>
            <w:r w:rsidRPr="009E1C70">
              <w:rPr>
                <w:rFonts w:ascii="Cambria" w:hAnsi="Cambria"/>
                <w:color w:val="000000"/>
                <w:sz w:val="16"/>
                <w:szCs w:val="16"/>
              </w:rPr>
              <w:t>Полы</w:t>
            </w:r>
          </w:p>
        </w:tc>
        <w:tc>
          <w:tcPr>
            <w:tcW w:w="2640" w:type="pct"/>
            <w:shd w:val="clear" w:color="000000" w:fill="FFFFFF"/>
            <w:vAlign w:val="center"/>
            <w:hideMark/>
          </w:tcPr>
          <w:p w:rsidR="000A4482" w:rsidRPr="009E1C70" w:rsidRDefault="000A4482" w:rsidP="000A4482">
            <w:pPr>
              <w:jc w:val="center"/>
              <w:rPr>
                <w:rFonts w:ascii="Cambria" w:hAnsi="Cambria"/>
                <w:color w:val="000000"/>
                <w:sz w:val="16"/>
                <w:szCs w:val="16"/>
              </w:rPr>
            </w:pPr>
            <w:r>
              <w:rPr>
                <w:rFonts w:ascii="Cambria" w:hAnsi="Cambria"/>
                <w:color w:val="000000"/>
                <w:sz w:val="16"/>
                <w:szCs w:val="16"/>
              </w:rPr>
              <w:t>Бетонные</w:t>
            </w:r>
          </w:p>
        </w:tc>
      </w:tr>
      <w:tr w:rsidR="000A4482" w:rsidRPr="009E1C70" w:rsidTr="00A276AF">
        <w:trPr>
          <w:cantSplit/>
          <w:trHeight w:val="170"/>
        </w:trPr>
        <w:tc>
          <w:tcPr>
            <w:tcW w:w="314" w:type="pct"/>
            <w:shd w:val="clear" w:color="auto" w:fill="auto"/>
            <w:noWrap/>
            <w:vAlign w:val="center"/>
            <w:hideMark/>
          </w:tcPr>
          <w:p w:rsidR="000A4482" w:rsidRPr="009E1C70" w:rsidRDefault="000A4482" w:rsidP="008A4DCE">
            <w:pPr>
              <w:jc w:val="center"/>
              <w:rPr>
                <w:rFonts w:ascii="Cambria" w:hAnsi="Cambria"/>
                <w:color w:val="000000"/>
                <w:sz w:val="16"/>
                <w:szCs w:val="16"/>
              </w:rPr>
            </w:pPr>
            <w:r>
              <w:rPr>
                <w:rFonts w:ascii="Cambria" w:hAnsi="Cambria"/>
                <w:color w:val="000000"/>
                <w:sz w:val="16"/>
                <w:szCs w:val="16"/>
              </w:rPr>
              <w:t>8</w:t>
            </w:r>
          </w:p>
        </w:tc>
        <w:tc>
          <w:tcPr>
            <w:tcW w:w="2046" w:type="pct"/>
            <w:shd w:val="clear" w:color="auto" w:fill="auto"/>
            <w:vAlign w:val="center"/>
            <w:hideMark/>
          </w:tcPr>
          <w:p w:rsidR="000A4482" w:rsidRPr="009E1C70" w:rsidRDefault="000A4482" w:rsidP="008A4DCE">
            <w:pPr>
              <w:rPr>
                <w:rFonts w:ascii="Cambria" w:hAnsi="Cambria"/>
                <w:color w:val="000000"/>
                <w:sz w:val="16"/>
                <w:szCs w:val="16"/>
              </w:rPr>
            </w:pPr>
            <w:r w:rsidRPr="009E1C70">
              <w:rPr>
                <w:rFonts w:ascii="Cambria" w:hAnsi="Cambria"/>
                <w:color w:val="000000"/>
                <w:sz w:val="16"/>
                <w:szCs w:val="16"/>
              </w:rPr>
              <w:t>Окна</w:t>
            </w:r>
          </w:p>
        </w:tc>
        <w:tc>
          <w:tcPr>
            <w:tcW w:w="2640" w:type="pct"/>
            <w:shd w:val="clear" w:color="auto" w:fill="auto"/>
            <w:vAlign w:val="center"/>
            <w:hideMark/>
          </w:tcPr>
          <w:p w:rsidR="000A4482" w:rsidRDefault="000A4482" w:rsidP="008A4DCE">
            <w:pPr>
              <w:jc w:val="center"/>
            </w:pPr>
            <w:r>
              <w:rPr>
                <w:rFonts w:ascii="Cambria" w:hAnsi="Cambria"/>
                <w:color w:val="000000"/>
                <w:sz w:val="16"/>
                <w:szCs w:val="16"/>
              </w:rPr>
              <w:t>Пластиковые, стеклопакет</w:t>
            </w:r>
          </w:p>
        </w:tc>
      </w:tr>
      <w:tr w:rsidR="000A4482" w:rsidRPr="009E1C70" w:rsidTr="00A276AF">
        <w:trPr>
          <w:cantSplit/>
          <w:trHeight w:val="170"/>
        </w:trPr>
        <w:tc>
          <w:tcPr>
            <w:tcW w:w="314" w:type="pct"/>
            <w:shd w:val="clear" w:color="auto" w:fill="auto"/>
            <w:noWrap/>
            <w:vAlign w:val="center"/>
            <w:hideMark/>
          </w:tcPr>
          <w:p w:rsidR="000A4482" w:rsidRPr="009E1C70" w:rsidRDefault="000A4482" w:rsidP="008A4DCE">
            <w:pPr>
              <w:jc w:val="center"/>
              <w:rPr>
                <w:rFonts w:ascii="Cambria" w:hAnsi="Cambria"/>
                <w:color w:val="000000"/>
                <w:sz w:val="16"/>
                <w:szCs w:val="16"/>
              </w:rPr>
            </w:pPr>
            <w:r>
              <w:rPr>
                <w:rFonts w:ascii="Cambria" w:hAnsi="Cambria"/>
                <w:color w:val="000000"/>
                <w:sz w:val="16"/>
                <w:szCs w:val="16"/>
              </w:rPr>
              <w:t>9</w:t>
            </w:r>
          </w:p>
        </w:tc>
        <w:tc>
          <w:tcPr>
            <w:tcW w:w="2046" w:type="pct"/>
            <w:shd w:val="clear" w:color="auto" w:fill="auto"/>
            <w:vAlign w:val="center"/>
            <w:hideMark/>
          </w:tcPr>
          <w:p w:rsidR="000A4482" w:rsidRPr="009E1C70" w:rsidRDefault="000A4482" w:rsidP="008A4DCE">
            <w:pPr>
              <w:rPr>
                <w:rFonts w:ascii="Cambria" w:hAnsi="Cambria"/>
                <w:color w:val="000000"/>
                <w:sz w:val="16"/>
                <w:szCs w:val="16"/>
              </w:rPr>
            </w:pPr>
            <w:r w:rsidRPr="009E1C70">
              <w:rPr>
                <w:rFonts w:ascii="Cambria" w:hAnsi="Cambria"/>
                <w:color w:val="000000"/>
                <w:sz w:val="16"/>
                <w:szCs w:val="16"/>
              </w:rPr>
              <w:t>Двери</w:t>
            </w:r>
          </w:p>
        </w:tc>
        <w:tc>
          <w:tcPr>
            <w:tcW w:w="2640" w:type="pct"/>
            <w:shd w:val="clear" w:color="auto" w:fill="auto"/>
            <w:vAlign w:val="center"/>
            <w:hideMark/>
          </w:tcPr>
          <w:p w:rsidR="000A4482" w:rsidRDefault="000A4482" w:rsidP="008A4DCE">
            <w:pPr>
              <w:jc w:val="center"/>
            </w:pPr>
            <w:r>
              <w:rPr>
                <w:rFonts w:ascii="Cambria" w:hAnsi="Cambria"/>
                <w:color w:val="000000"/>
                <w:sz w:val="16"/>
                <w:szCs w:val="16"/>
              </w:rPr>
              <w:t>Ворота металлические распашные</w:t>
            </w:r>
          </w:p>
        </w:tc>
      </w:tr>
      <w:tr w:rsidR="000A4482" w:rsidRPr="009E1C70" w:rsidTr="00A276AF">
        <w:trPr>
          <w:cantSplit/>
          <w:trHeight w:val="170"/>
        </w:trPr>
        <w:tc>
          <w:tcPr>
            <w:tcW w:w="314" w:type="pct"/>
            <w:shd w:val="clear" w:color="auto" w:fill="auto"/>
            <w:noWrap/>
            <w:vAlign w:val="center"/>
            <w:hideMark/>
          </w:tcPr>
          <w:p w:rsidR="000A4482" w:rsidRPr="009E1C70" w:rsidRDefault="000A4482" w:rsidP="008A4DCE">
            <w:pPr>
              <w:jc w:val="center"/>
              <w:rPr>
                <w:rFonts w:ascii="Cambria" w:hAnsi="Cambria"/>
                <w:color w:val="000000"/>
                <w:sz w:val="16"/>
                <w:szCs w:val="16"/>
              </w:rPr>
            </w:pPr>
            <w:r>
              <w:rPr>
                <w:rFonts w:ascii="Cambria" w:hAnsi="Cambria"/>
                <w:color w:val="000000"/>
                <w:sz w:val="16"/>
                <w:szCs w:val="16"/>
              </w:rPr>
              <w:t>10</w:t>
            </w:r>
          </w:p>
        </w:tc>
        <w:tc>
          <w:tcPr>
            <w:tcW w:w="2046" w:type="pct"/>
            <w:shd w:val="clear" w:color="auto" w:fill="auto"/>
            <w:vAlign w:val="center"/>
            <w:hideMark/>
          </w:tcPr>
          <w:p w:rsidR="000A4482" w:rsidRPr="009E1C70" w:rsidRDefault="000A4482" w:rsidP="008A4DCE">
            <w:pPr>
              <w:rPr>
                <w:rFonts w:ascii="Cambria" w:hAnsi="Cambria"/>
                <w:color w:val="000000"/>
                <w:sz w:val="16"/>
                <w:szCs w:val="16"/>
              </w:rPr>
            </w:pPr>
            <w:r w:rsidRPr="009E1C70">
              <w:rPr>
                <w:rFonts w:ascii="Cambria" w:hAnsi="Cambria"/>
                <w:color w:val="000000"/>
                <w:sz w:val="16"/>
                <w:szCs w:val="16"/>
              </w:rPr>
              <w:t>Отделка</w:t>
            </w:r>
          </w:p>
        </w:tc>
        <w:tc>
          <w:tcPr>
            <w:tcW w:w="2640" w:type="pct"/>
            <w:shd w:val="clear" w:color="auto" w:fill="auto"/>
            <w:vAlign w:val="center"/>
            <w:hideMark/>
          </w:tcPr>
          <w:p w:rsidR="000A4482" w:rsidRDefault="000A4482" w:rsidP="008A4DCE">
            <w:pPr>
              <w:jc w:val="center"/>
            </w:pPr>
            <w:r>
              <w:rPr>
                <w:rFonts w:ascii="Cambria" w:hAnsi="Cambria"/>
                <w:color w:val="000000"/>
                <w:sz w:val="16"/>
                <w:szCs w:val="16"/>
              </w:rPr>
              <w:t>Отсутствует</w:t>
            </w:r>
          </w:p>
        </w:tc>
      </w:tr>
      <w:tr w:rsidR="000A4482" w:rsidRPr="009E1C70" w:rsidTr="00A276AF">
        <w:trPr>
          <w:cantSplit/>
          <w:trHeight w:val="170"/>
        </w:trPr>
        <w:tc>
          <w:tcPr>
            <w:tcW w:w="314" w:type="pct"/>
            <w:shd w:val="clear" w:color="auto" w:fill="auto"/>
            <w:noWrap/>
            <w:vAlign w:val="center"/>
            <w:hideMark/>
          </w:tcPr>
          <w:p w:rsidR="000A4482" w:rsidRPr="009E1C70" w:rsidRDefault="000A4482" w:rsidP="008A4DCE">
            <w:pPr>
              <w:jc w:val="center"/>
              <w:rPr>
                <w:rFonts w:ascii="Cambria" w:hAnsi="Cambria"/>
                <w:color w:val="000000"/>
                <w:sz w:val="16"/>
                <w:szCs w:val="16"/>
              </w:rPr>
            </w:pPr>
            <w:r>
              <w:rPr>
                <w:rFonts w:ascii="Cambria" w:hAnsi="Cambria"/>
                <w:color w:val="000000"/>
                <w:sz w:val="16"/>
                <w:szCs w:val="16"/>
              </w:rPr>
              <w:t>11</w:t>
            </w:r>
          </w:p>
        </w:tc>
        <w:tc>
          <w:tcPr>
            <w:tcW w:w="2046" w:type="pct"/>
            <w:shd w:val="clear" w:color="auto" w:fill="auto"/>
            <w:vAlign w:val="center"/>
            <w:hideMark/>
          </w:tcPr>
          <w:p w:rsidR="000A4482" w:rsidRPr="009E1C70" w:rsidRDefault="000A4482" w:rsidP="008A4DCE">
            <w:pPr>
              <w:rPr>
                <w:rFonts w:ascii="Cambria" w:hAnsi="Cambria"/>
                <w:color w:val="000000"/>
                <w:sz w:val="16"/>
                <w:szCs w:val="16"/>
              </w:rPr>
            </w:pPr>
            <w:r w:rsidRPr="009E1C70">
              <w:rPr>
                <w:rFonts w:ascii="Cambria" w:hAnsi="Cambria"/>
                <w:color w:val="000000"/>
                <w:sz w:val="16"/>
                <w:szCs w:val="16"/>
              </w:rPr>
              <w:t>Инженерно-техническое обеспечение</w:t>
            </w:r>
          </w:p>
        </w:tc>
        <w:tc>
          <w:tcPr>
            <w:tcW w:w="2640" w:type="pct"/>
            <w:shd w:val="clear" w:color="auto" w:fill="auto"/>
            <w:vAlign w:val="center"/>
            <w:hideMark/>
          </w:tcPr>
          <w:p w:rsidR="000A4482" w:rsidRDefault="000A4482" w:rsidP="000A4482">
            <w:pPr>
              <w:jc w:val="center"/>
            </w:pPr>
            <w:r>
              <w:rPr>
                <w:rFonts w:ascii="Cambria" w:hAnsi="Cambria"/>
                <w:color w:val="000000"/>
                <w:sz w:val="16"/>
                <w:szCs w:val="16"/>
              </w:rPr>
              <w:t>Электроосвещение,  вентиляция</w:t>
            </w:r>
          </w:p>
        </w:tc>
      </w:tr>
      <w:tr w:rsidR="000A4482" w:rsidRPr="009E1C70" w:rsidTr="00A276AF">
        <w:trPr>
          <w:cantSplit/>
          <w:trHeight w:val="170"/>
        </w:trPr>
        <w:tc>
          <w:tcPr>
            <w:tcW w:w="5000" w:type="pct"/>
            <w:gridSpan w:val="3"/>
            <w:shd w:val="clear" w:color="000000" w:fill="F2F2F2"/>
            <w:noWrap/>
            <w:vAlign w:val="center"/>
            <w:hideMark/>
          </w:tcPr>
          <w:p w:rsidR="000A4482" w:rsidRPr="009E1C70" w:rsidRDefault="000A4482" w:rsidP="008A4DCE">
            <w:pPr>
              <w:jc w:val="center"/>
              <w:rPr>
                <w:rFonts w:ascii="Cambria" w:hAnsi="Cambria"/>
                <w:color w:val="000000"/>
                <w:sz w:val="16"/>
                <w:szCs w:val="16"/>
              </w:rPr>
            </w:pPr>
            <w:r w:rsidRPr="009E1C70">
              <w:rPr>
                <w:rFonts w:ascii="Cambria" w:hAnsi="Cambria"/>
                <w:color w:val="000000"/>
                <w:sz w:val="16"/>
                <w:szCs w:val="16"/>
              </w:rPr>
              <w:t>Техническое состояние</w:t>
            </w:r>
          </w:p>
        </w:tc>
      </w:tr>
      <w:tr w:rsidR="000A4482" w:rsidRPr="009E1C70" w:rsidTr="00A276AF">
        <w:trPr>
          <w:cantSplit/>
          <w:trHeight w:val="170"/>
        </w:trPr>
        <w:tc>
          <w:tcPr>
            <w:tcW w:w="314" w:type="pct"/>
            <w:shd w:val="clear" w:color="auto" w:fill="auto"/>
            <w:noWrap/>
            <w:vAlign w:val="center"/>
            <w:hideMark/>
          </w:tcPr>
          <w:p w:rsidR="000A4482" w:rsidRDefault="000A4482" w:rsidP="008A4DCE">
            <w:pPr>
              <w:jc w:val="center"/>
              <w:rPr>
                <w:rFonts w:ascii="Cambria" w:hAnsi="Cambria"/>
                <w:color w:val="000000"/>
                <w:sz w:val="16"/>
                <w:szCs w:val="16"/>
              </w:rPr>
            </w:pPr>
            <w:r>
              <w:rPr>
                <w:rFonts w:ascii="Cambria" w:hAnsi="Cambria"/>
                <w:color w:val="000000"/>
                <w:sz w:val="16"/>
                <w:szCs w:val="16"/>
              </w:rPr>
              <w:t>1</w:t>
            </w:r>
          </w:p>
        </w:tc>
        <w:tc>
          <w:tcPr>
            <w:tcW w:w="2046" w:type="pct"/>
            <w:shd w:val="clear" w:color="auto" w:fill="auto"/>
            <w:vAlign w:val="center"/>
            <w:hideMark/>
          </w:tcPr>
          <w:p w:rsidR="000A4482" w:rsidRDefault="000A4482" w:rsidP="008A4DCE">
            <w:pPr>
              <w:rPr>
                <w:rFonts w:ascii="Cambria" w:hAnsi="Cambria"/>
                <w:color w:val="000000"/>
                <w:sz w:val="16"/>
                <w:szCs w:val="16"/>
              </w:rPr>
            </w:pPr>
            <w:r>
              <w:rPr>
                <w:rFonts w:ascii="Cambria" w:hAnsi="Cambria"/>
                <w:color w:val="000000"/>
                <w:sz w:val="16"/>
                <w:szCs w:val="16"/>
              </w:rPr>
              <w:t>Физическое состояние объекта</w:t>
            </w:r>
          </w:p>
        </w:tc>
        <w:tc>
          <w:tcPr>
            <w:tcW w:w="2640" w:type="pct"/>
            <w:shd w:val="clear" w:color="auto" w:fill="auto"/>
            <w:vAlign w:val="center"/>
            <w:hideMark/>
          </w:tcPr>
          <w:p w:rsidR="000A4482" w:rsidRDefault="000A4482" w:rsidP="008A4DCE">
            <w:pPr>
              <w:jc w:val="center"/>
              <w:rPr>
                <w:rFonts w:ascii="Cambria" w:hAnsi="Cambria"/>
                <w:color w:val="000000"/>
                <w:sz w:val="16"/>
                <w:szCs w:val="16"/>
              </w:rPr>
            </w:pPr>
            <w:r>
              <w:rPr>
                <w:rFonts w:ascii="Cambria" w:hAnsi="Cambria"/>
                <w:color w:val="000000"/>
                <w:sz w:val="16"/>
                <w:szCs w:val="16"/>
              </w:rPr>
              <w:t>Требуется косметический ремонт</w:t>
            </w:r>
          </w:p>
        </w:tc>
      </w:tr>
      <w:tr w:rsidR="000A4482" w:rsidRPr="009E1C70" w:rsidTr="00A276AF">
        <w:trPr>
          <w:cantSplit/>
          <w:trHeight w:val="170"/>
        </w:trPr>
        <w:tc>
          <w:tcPr>
            <w:tcW w:w="314" w:type="pct"/>
            <w:shd w:val="clear" w:color="auto" w:fill="auto"/>
            <w:noWrap/>
            <w:vAlign w:val="center"/>
          </w:tcPr>
          <w:p w:rsidR="000A4482" w:rsidRDefault="000A4482" w:rsidP="008A4DCE">
            <w:pPr>
              <w:jc w:val="center"/>
              <w:rPr>
                <w:rFonts w:ascii="Cambria" w:hAnsi="Cambria"/>
                <w:color w:val="000000"/>
                <w:sz w:val="16"/>
                <w:szCs w:val="16"/>
              </w:rPr>
            </w:pPr>
            <w:r>
              <w:rPr>
                <w:rFonts w:ascii="Cambria" w:hAnsi="Cambria"/>
                <w:color w:val="000000"/>
                <w:sz w:val="16"/>
                <w:szCs w:val="16"/>
              </w:rPr>
              <w:t>2</w:t>
            </w:r>
          </w:p>
        </w:tc>
        <w:tc>
          <w:tcPr>
            <w:tcW w:w="2046" w:type="pct"/>
            <w:shd w:val="clear" w:color="auto" w:fill="auto"/>
            <w:vAlign w:val="center"/>
          </w:tcPr>
          <w:p w:rsidR="000A4482" w:rsidRDefault="000A4482" w:rsidP="008A4DCE">
            <w:pPr>
              <w:rPr>
                <w:rFonts w:ascii="Cambria" w:hAnsi="Cambria"/>
                <w:color w:val="000000"/>
                <w:sz w:val="16"/>
                <w:szCs w:val="16"/>
              </w:rPr>
            </w:pPr>
            <w:r>
              <w:rPr>
                <w:rFonts w:ascii="Cambria" w:hAnsi="Cambria"/>
                <w:color w:val="000000"/>
                <w:sz w:val="16"/>
                <w:szCs w:val="16"/>
              </w:rPr>
              <w:t>Износ по техническому паспорту, %</w:t>
            </w:r>
          </w:p>
        </w:tc>
        <w:tc>
          <w:tcPr>
            <w:tcW w:w="2640" w:type="pct"/>
            <w:shd w:val="clear" w:color="auto" w:fill="auto"/>
            <w:vAlign w:val="center"/>
          </w:tcPr>
          <w:p w:rsidR="000A4482" w:rsidRDefault="000A4482" w:rsidP="008A4DCE">
            <w:pPr>
              <w:jc w:val="center"/>
              <w:rPr>
                <w:rFonts w:ascii="Cambria" w:hAnsi="Cambria"/>
                <w:color w:val="000000"/>
                <w:sz w:val="16"/>
                <w:szCs w:val="16"/>
              </w:rPr>
            </w:pPr>
            <w:r>
              <w:rPr>
                <w:rFonts w:ascii="Cambria" w:hAnsi="Cambria"/>
                <w:color w:val="000000"/>
                <w:sz w:val="16"/>
                <w:szCs w:val="16"/>
              </w:rPr>
              <w:t>0,00%</w:t>
            </w:r>
          </w:p>
        </w:tc>
      </w:tr>
      <w:tr w:rsidR="000A4482" w:rsidRPr="009E1C70" w:rsidTr="00A276AF">
        <w:trPr>
          <w:cantSplit/>
          <w:trHeight w:val="170"/>
        </w:trPr>
        <w:tc>
          <w:tcPr>
            <w:tcW w:w="314" w:type="pct"/>
            <w:shd w:val="clear" w:color="auto" w:fill="auto"/>
            <w:noWrap/>
            <w:vAlign w:val="center"/>
          </w:tcPr>
          <w:p w:rsidR="000A4482" w:rsidRDefault="000A4482" w:rsidP="008A4DCE">
            <w:pPr>
              <w:jc w:val="center"/>
              <w:rPr>
                <w:rFonts w:ascii="Cambria" w:hAnsi="Cambria"/>
                <w:color w:val="000000"/>
                <w:sz w:val="16"/>
                <w:szCs w:val="16"/>
              </w:rPr>
            </w:pPr>
            <w:r>
              <w:rPr>
                <w:rFonts w:ascii="Cambria" w:hAnsi="Cambria"/>
                <w:color w:val="000000"/>
                <w:sz w:val="16"/>
                <w:szCs w:val="16"/>
              </w:rPr>
              <w:t>3</w:t>
            </w:r>
          </w:p>
        </w:tc>
        <w:tc>
          <w:tcPr>
            <w:tcW w:w="2046" w:type="pct"/>
            <w:shd w:val="clear" w:color="auto" w:fill="auto"/>
            <w:vAlign w:val="center"/>
          </w:tcPr>
          <w:p w:rsidR="000A4482" w:rsidRDefault="000A4482" w:rsidP="008A4DCE">
            <w:pPr>
              <w:rPr>
                <w:rFonts w:ascii="Calibri" w:hAnsi="Calibri"/>
                <w:color w:val="0000FF"/>
                <w:sz w:val="22"/>
                <w:szCs w:val="22"/>
                <w:u w:val="single"/>
              </w:rPr>
            </w:pPr>
            <w:r w:rsidRPr="00433753">
              <w:rPr>
                <w:rFonts w:ascii="Cambria" w:hAnsi="Cambria"/>
                <w:spacing w:val="-5"/>
                <w:sz w:val="16"/>
                <w:szCs w:val="16"/>
              </w:rPr>
              <w:t>Экспертно определенный износ, %</w:t>
            </w:r>
            <w:r w:rsidRPr="00433753">
              <w:rPr>
                <w:rFonts w:ascii="Cambria" w:hAnsi="Cambria"/>
                <w:spacing w:val="-5"/>
                <w:sz w:val="16"/>
                <w:szCs w:val="16"/>
                <w:vertAlign w:val="superscript"/>
              </w:rPr>
              <w:footnoteReference w:id="20"/>
            </w:r>
          </w:p>
        </w:tc>
        <w:tc>
          <w:tcPr>
            <w:tcW w:w="2640" w:type="pct"/>
            <w:shd w:val="clear" w:color="auto" w:fill="auto"/>
            <w:vAlign w:val="center"/>
          </w:tcPr>
          <w:p w:rsidR="000A4482" w:rsidRDefault="000A4482" w:rsidP="008A4DCE">
            <w:pPr>
              <w:jc w:val="center"/>
              <w:rPr>
                <w:rFonts w:ascii="Cambria" w:hAnsi="Cambria"/>
                <w:color w:val="000000"/>
                <w:sz w:val="16"/>
                <w:szCs w:val="16"/>
              </w:rPr>
            </w:pPr>
            <w:r>
              <w:rPr>
                <w:rFonts w:ascii="Cambria" w:hAnsi="Cambria"/>
                <w:color w:val="000000"/>
                <w:sz w:val="16"/>
                <w:szCs w:val="16"/>
              </w:rPr>
              <w:t>30,00%</w:t>
            </w:r>
          </w:p>
        </w:tc>
      </w:tr>
      <w:tr w:rsidR="000A4482" w:rsidRPr="009E1C70" w:rsidTr="00A276AF">
        <w:trPr>
          <w:cantSplit/>
          <w:trHeight w:val="170"/>
        </w:trPr>
        <w:tc>
          <w:tcPr>
            <w:tcW w:w="314" w:type="pct"/>
            <w:shd w:val="clear" w:color="auto" w:fill="auto"/>
            <w:noWrap/>
            <w:vAlign w:val="center"/>
          </w:tcPr>
          <w:p w:rsidR="000A4482" w:rsidRDefault="000A4482" w:rsidP="008A4DCE">
            <w:pPr>
              <w:jc w:val="center"/>
              <w:rPr>
                <w:rFonts w:ascii="Cambria" w:hAnsi="Cambria"/>
                <w:color w:val="000000"/>
                <w:sz w:val="16"/>
                <w:szCs w:val="16"/>
              </w:rPr>
            </w:pPr>
            <w:r>
              <w:rPr>
                <w:rFonts w:ascii="Cambria" w:hAnsi="Cambria"/>
                <w:color w:val="000000"/>
                <w:sz w:val="16"/>
                <w:szCs w:val="16"/>
              </w:rPr>
              <w:t>4</w:t>
            </w:r>
          </w:p>
        </w:tc>
        <w:tc>
          <w:tcPr>
            <w:tcW w:w="2046" w:type="pct"/>
            <w:shd w:val="clear" w:color="auto" w:fill="auto"/>
            <w:vAlign w:val="center"/>
          </w:tcPr>
          <w:p w:rsidR="000A4482" w:rsidRDefault="000A4482" w:rsidP="008A4DCE">
            <w:pPr>
              <w:rPr>
                <w:rFonts w:ascii="Cambria" w:hAnsi="Cambria"/>
                <w:color w:val="000000"/>
                <w:sz w:val="16"/>
                <w:szCs w:val="16"/>
              </w:rPr>
            </w:pPr>
            <w:r>
              <w:rPr>
                <w:rFonts w:ascii="Cambria" w:hAnsi="Cambria"/>
                <w:color w:val="000000"/>
                <w:sz w:val="16"/>
                <w:szCs w:val="16"/>
              </w:rPr>
              <w:t>Состояние объекта</w:t>
            </w:r>
          </w:p>
        </w:tc>
        <w:tc>
          <w:tcPr>
            <w:tcW w:w="2640" w:type="pct"/>
            <w:shd w:val="clear" w:color="auto" w:fill="auto"/>
            <w:vAlign w:val="center"/>
          </w:tcPr>
          <w:p w:rsidR="000A4482" w:rsidRDefault="000A4482">
            <w:pPr>
              <w:jc w:val="center"/>
              <w:rPr>
                <w:rFonts w:ascii="Cambria" w:hAnsi="Cambria"/>
                <w:color w:val="000000"/>
                <w:sz w:val="16"/>
                <w:szCs w:val="16"/>
              </w:rPr>
            </w:pPr>
            <w:r>
              <w:rPr>
                <w:rFonts w:ascii="Cambria" w:hAnsi="Cambria"/>
                <w:color w:val="000000"/>
                <w:sz w:val="16"/>
                <w:szCs w:val="16"/>
              </w:rPr>
              <w:t xml:space="preserve">"Удовлетворительное" </w:t>
            </w:r>
          </w:p>
        </w:tc>
      </w:tr>
      <w:tr w:rsidR="000A4482" w:rsidRPr="009E1C70" w:rsidTr="00A276AF">
        <w:trPr>
          <w:cantSplit/>
          <w:trHeight w:val="170"/>
        </w:trPr>
        <w:tc>
          <w:tcPr>
            <w:tcW w:w="314" w:type="pct"/>
            <w:shd w:val="clear" w:color="auto" w:fill="auto"/>
            <w:noWrap/>
            <w:vAlign w:val="center"/>
          </w:tcPr>
          <w:p w:rsidR="000A4482" w:rsidRDefault="000A4482" w:rsidP="008A4DCE">
            <w:pPr>
              <w:jc w:val="center"/>
              <w:rPr>
                <w:rFonts w:ascii="Cambria" w:hAnsi="Cambria"/>
                <w:color w:val="000000"/>
                <w:sz w:val="16"/>
                <w:szCs w:val="16"/>
              </w:rPr>
            </w:pPr>
            <w:r>
              <w:rPr>
                <w:rFonts w:ascii="Cambria" w:hAnsi="Cambria"/>
                <w:color w:val="000000"/>
                <w:sz w:val="16"/>
                <w:szCs w:val="16"/>
              </w:rPr>
              <w:t>5 </w:t>
            </w:r>
          </w:p>
        </w:tc>
        <w:tc>
          <w:tcPr>
            <w:tcW w:w="2046" w:type="pct"/>
            <w:shd w:val="clear" w:color="auto" w:fill="auto"/>
            <w:vAlign w:val="center"/>
          </w:tcPr>
          <w:p w:rsidR="000A4482" w:rsidRDefault="000A4482" w:rsidP="008A4DCE">
            <w:pPr>
              <w:rPr>
                <w:rFonts w:ascii="Cambria" w:hAnsi="Cambria"/>
                <w:color w:val="000000"/>
                <w:sz w:val="16"/>
                <w:szCs w:val="16"/>
              </w:rPr>
            </w:pPr>
            <w:r>
              <w:rPr>
                <w:rFonts w:ascii="Cambria" w:hAnsi="Cambria"/>
                <w:color w:val="000000"/>
                <w:sz w:val="16"/>
                <w:szCs w:val="16"/>
              </w:rPr>
              <w:t> Описание состояния объекта</w:t>
            </w:r>
          </w:p>
        </w:tc>
        <w:tc>
          <w:tcPr>
            <w:tcW w:w="2640" w:type="pct"/>
            <w:shd w:val="clear" w:color="auto" w:fill="auto"/>
            <w:vAlign w:val="center"/>
          </w:tcPr>
          <w:p w:rsidR="000A4482" w:rsidRDefault="000A4482">
            <w:pPr>
              <w:jc w:val="center"/>
              <w:rPr>
                <w:rFonts w:ascii="Cambria" w:hAnsi="Cambria"/>
                <w:color w:val="000000"/>
                <w:sz w:val="16"/>
                <w:szCs w:val="16"/>
              </w:rPr>
            </w:pPr>
            <w:r>
              <w:rPr>
                <w:rFonts w:ascii="Cambria" w:hAnsi="Cambria"/>
                <w:color w:val="000000"/>
                <w:sz w:val="16"/>
                <w:szCs w:val="16"/>
              </w:rPr>
              <w:t>Конструктивные элементы в целом пригодны для эксплуатации, но  требуют некоторого капитального ремонта, который наиболее целесообразен именно на данной стадии.</w:t>
            </w:r>
          </w:p>
        </w:tc>
      </w:tr>
    </w:tbl>
    <w:p w:rsidR="000A4482" w:rsidRPr="00391CE3" w:rsidRDefault="000A4482" w:rsidP="000A4482">
      <w:pPr>
        <w:spacing w:before="120" w:after="120"/>
        <w:jc w:val="both"/>
        <w:rPr>
          <w:rFonts w:ascii="Bookman Old Style" w:hAnsi="Bookman Old Style"/>
          <w:bCs/>
          <w:i/>
          <w:sz w:val="20"/>
          <w:szCs w:val="20"/>
        </w:rPr>
      </w:pPr>
      <w:r w:rsidRPr="00391CE3">
        <w:rPr>
          <w:rFonts w:ascii="Bookman Old Style" w:hAnsi="Bookman Old Style"/>
          <w:bCs/>
          <w:i/>
          <w:sz w:val="20"/>
          <w:szCs w:val="20"/>
        </w:rPr>
        <w:t xml:space="preserve">Информация о текущем использовании </w:t>
      </w:r>
    </w:p>
    <w:p w:rsidR="000A4482" w:rsidRDefault="000A4482" w:rsidP="000A4482">
      <w:pPr>
        <w:spacing w:before="120" w:after="120"/>
        <w:ind w:firstLine="709"/>
        <w:jc w:val="both"/>
        <w:rPr>
          <w:rFonts w:ascii="Bookman Old Style" w:hAnsi="Bookman Old Style"/>
          <w:bCs/>
          <w:sz w:val="20"/>
          <w:szCs w:val="20"/>
        </w:rPr>
      </w:pPr>
      <w:r w:rsidRPr="00391CE3">
        <w:rPr>
          <w:rFonts w:ascii="Bookman Old Style" w:hAnsi="Bookman Old Style"/>
          <w:bCs/>
          <w:sz w:val="20"/>
          <w:szCs w:val="20"/>
        </w:rPr>
        <w:t xml:space="preserve">На дату оценки </w:t>
      </w:r>
      <w:r>
        <w:rPr>
          <w:rFonts w:ascii="Bookman Old Style" w:hAnsi="Bookman Old Style"/>
          <w:bCs/>
          <w:sz w:val="20"/>
          <w:szCs w:val="20"/>
        </w:rPr>
        <w:t>х</w:t>
      </w:r>
      <w:r w:rsidRPr="000A4482">
        <w:rPr>
          <w:rFonts w:ascii="Bookman Old Style" w:hAnsi="Bookman Old Style"/>
          <w:bCs/>
          <w:sz w:val="20"/>
          <w:szCs w:val="20"/>
        </w:rPr>
        <w:t xml:space="preserve">олодный склад </w:t>
      </w:r>
      <w:r w:rsidRPr="00391CE3">
        <w:rPr>
          <w:rFonts w:ascii="Bookman Old Style" w:hAnsi="Bookman Old Style"/>
          <w:bCs/>
          <w:sz w:val="20"/>
          <w:szCs w:val="20"/>
        </w:rPr>
        <w:t>используется</w:t>
      </w:r>
      <w:r>
        <w:rPr>
          <w:rFonts w:ascii="Bookman Old Style" w:hAnsi="Bookman Old Style"/>
          <w:bCs/>
          <w:sz w:val="20"/>
          <w:szCs w:val="20"/>
        </w:rPr>
        <w:t xml:space="preserve"> согласно прямому функциональному назначению, в качестве складского здания</w:t>
      </w:r>
      <w:r w:rsidRPr="00391CE3">
        <w:rPr>
          <w:rFonts w:ascii="Bookman Old Style" w:hAnsi="Bookman Old Style"/>
          <w:bCs/>
          <w:sz w:val="20"/>
          <w:szCs w:val="20"/>
        </w:rPr>
        <w:t>.</w:t>
      </w:r>
    </w:p>
    <w:p w:rsidR="000A4482" w:rsidRDefault="000A4482" w:rsidP="000A4482">
      <w:pPr>
        <w:spacing w:before="120" w:after="120"/>
        <w:jc w:val="both"/>
        <w:rPr>
          <w:rFonts w:ascii="Bookman Old Style" w:hAnsi="Bookman Old Style"/>
          <w:bCs/>
          <w:i/>
          <w:sz w:val="20"/>
          <w:szCs w:val="20"/>
        </w:rPr>
      </w:pPr>
      <w:r>
        <w:rPr>
          <w:rFonts w:ascii="Bookman Old Style" w:hAnsi="Bookman Old Style"/>
          <w:bCs/>
          <w:i/>
          <w:sz w:val="20"/>
          <w:szCs w:val="20"/>
        </w:rPr>
        <w:t>Фото элемента Объекта оценки</w:t>
      </w:r>
    </w:p>
    <w:p w:rsidR="000A4482" w:rsidRDefault="000A4482" w:rsidP="000A4482">
      <w:pPr>
        <w:spacing w:before="120" w:after="120"/>
        <w:rPr>
          <w:rFonts w:ascii="Bookman Old Style" w:hAnsi="Bookman Old Style"/>
          <w:sz w:val="18"/>
          <w:szCs w:val="18"/>
        </w:rPr>
      </w:pPr>
      <w:r>
        <w:rPr>
          <w:rFonts w:ascii="Bookman Old Style" w:hAnsi="Bookman Old Style"/>
          <w:sz w:val="18"/>
          <w:szCs w:val="18"/>
        </w:rPr>
        <w:t xml:space="preserve">Фото № 1. Общий вид </w:t>
      </w: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t xml:space="preserve">      Фото № 2. Складское помещение</w:t>
      </w:r>
    </w:p>
    <w:p w:rsidR="000A4482" w:rsidRDefault="000A4482" w:rsidP="000A4482">
      <w:pPr>
        <w:spacing w:before="120" w:after="120"/>
        <w:rPr>
          <w:rFonts w:ascii="Bookman Old Style" w:hAnsi="Bookman Old Style"/>
          <w:noProof/>
          <w:sz w:val="18"/>
          <w:szCs w:val="18"/>
        </w:rPr>
      </w:pPr>
      <w:r>
        <w:rPr>
          <w:rFonts w:ascii="Bookman Old Style" w:hAnsi="Bookman Old Style"/>
          <w:noProof/>
          <w:sz w:val="18"/>
          <w:szCs w:val="18"/>
        </w:rPr>
        <w:drawing>
          <wp:inline distT="0" distB="0" distL="0" distR="0">
            <wp:extent cx="3121660" cy="2341245"/>
            <wp:effectExtent l="0" t="0" r="2540" b="1905"/>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3121660" cy="2341245"/>
                    </a:xfrm>
                    <a:prstGeom prst="rect">
                      <a:avLst/>
                    </a:prstGeom>
                    <a:noFill/>
                  </pic:spPr>
                </pic:pic>
              </a:graphicData>
            </a:graphic>
          </wp:inline>
        </w:drawing>
      </w:r>
      <w:r>
        <w:rPr>
          <w:rFonts w:ascii="Bookman Old Style" w:hAnsi="Bookman Old Style"/>
          <w:noProof/>
          <w:sz w:val="18"/>
          <w:szCs w:val="18"/>
        </w:rPr>
        <w:t xml:space="preserve">      </w:t>
      </w:r>
      <w:r>
        <w:rPr>
          <w:rFonts w:ascii="Bookman Old Style" w:hAnsi="Bookman Old Style"/>
          <w:noProof/>
          <w:sz w:val="18"/>
          <w:szCs w:val="18"/>
        </w:rPr>
        <w:drawing>
          <wp:inline distT="0" distB="0" distL="0" distR="0">
            <wp:extent cx="3121660" cy="2341245"/>
            <wp:effectExtent l="0" t="0" r="2540" b="1905"/>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3121660" cy="2341245"/>
                    </a:xfrm>
                    <a:prstGeom prst="rect">
                      <a:avLst/>
                    </a:prstGeom>
                    <a:noFill/>
                  </pic:spPr>
                </pic:pic>
              </a:graphicData>
            </a:graphic>
          </wp:inline>
        </w:drawing>
      </w:r>
    </w:p>
    <w:p w:rsidR="00A276AF" w:rsidRDefault="00A276AF" w:rsidP="000A4482">
      <w:pPr>
        <w:spacing w:before="120" w:after="120"/>
        <w:rPr>
          <w:rFonts w:ascii="Bookman Old Style" w:hAnsi="Bookman Old Style"/>
          <w:sz w:val="18"/>
          <w:szCs w:val="18"/>
        </w:rPr>
      </w:pPr>
    </w:p>
    <w:p w:rsidR="00A276AF" w:rsidRDefault="00A276AF" w:rsidP="000A4482">
      <w:pPr>
        <w:spacing w:before="120" w:after="120"/>
        <w:rPr>
          <w:rFonts w:ascii="Bookman Old Style" w:hAnsi="Bookman Old Style"/>
          <w:sz w:val="18"/>
          <w:szCs w:val="18"/>
        </w:rPr>
      </w:pPr>
    </w:p>
    <w:p w:rsidR="00A276AF" w:rsidRDefault="00A276AF" w:rsidP="000A4482">
      <w:pPr>
        <w:spacing w:before="120" w:after="120"/>
        <w:rPr>
          <w:rFonts w:ascii="Bookman Old Style" w:hAnsi="Bookman Old Style"/>
          <w:sz w:val="18"/>
          <w:szCs w:val="18"/>
        </w:rPr>
      </w:pPr>
    </w:p>
    <w:p w:rsidR="00A276AF" w:rsidRDefault="00A276AF" w:rsidP="000A4482">
      <w:pPr>
        <w:spacing w:before="120" w:after="120"/>
        <w:rPr>
          <w:rFonts w:ascii="Bookman Old Style" w:hAnsi="Bookman Old Style"/>
          <w:sz w:val="18"/>
          <w:szCs w:val="18"/>
        </w:rPr>
      </w:pPr>
    </w:p>
    <w:p w:rsidR="00A276AF" w:rsidRDefault="00A276AF" w:rsidP="000A4482">
      <w:pPr>
        <w:spacing w:before="120" w:after="120"/>
        <w:rPr>
          <w:rFonts w:ascii="Bookman Old Style" w:hAnsi="Bookman Old Style"/>
          <w:sz w:val="18"/>
          <w:szCs w:val="18"/>
        </w:rPr>
      </w:pPr>
    </w:p>
    <w:p w:rsidR="00A276AF" w:rsidRDefault="00A276AF" w:rsidP="000A4482">
      <w:pPr>
        <w:spacing w:before="120" w:after="120"/>
        <w:rPr>
          <w:rFonts w:ascii="Bookman Old Style" w:hAnsi="Bookman Old Style"/>
          <w:sz w:val="18"/>
          <w:szCs w:val="18"/>
        </w:rPr>
      </w:pPr>
    </w:p>
    <w:p w:rsidR="00F87C61" w:rsidRDefault="00F87C61" w:rsidP="000A4482">
      <w:pPr>
        <w:spacing w:before="120" w:after="120"/>
        <w:rPr>
          <w:rFonts w:ascii="Bookman Old Style" w:hAnsi="Bookman Old Style"/>
          <w:sz w:val="18"/>
          <w:szCs w:val="18"/>
        </w:rPr>
      </w:pPr>
    </w:p>
    <w:p w:rsidR="00F87C61" w:rsidRDefault="00F87C61" w:rsidP="000A4482">
      <w:pPr>
        <w:spacing w:before="120" w:after="120"/>
        <w:rPr>
          <w:rFonts w:ascii="Bookman Old Style" w:hAnsi="Bookman Old Style"/>
          <w:sz w:val="18"/>
          <w:szCs w:val="18"/>
        </w:rPr>
      </w:pPr>
    </w:p>
    <w:p w:rsidR="00F87C61" w:rsidRDefault="00F87C61" w:rsidP="000A4482">
      <w:pPr>
        <w:spacing w:before="120" w:after="120"/>
        <w:rPr>
          <w:rFonts w:ascii="Bookman Old Style" w:hAnsi="Bookman Old Style"/>
          <w:sz w:val="18"/>
          <w:szCs w:val="18"/>
        </w:rPr>
      </w:pPr>
    </w:p>
    <w:p w:rsidR="00A276AF" w:rsidRDefault="00A276AF" w:rsidP="000A4482">
      <w:pPr>
        <w:spacing w:before="120" w:after="120"/>
        <w:rPr>
          <w:rFonts w:ascii="Bookman Old Style" w:hAnsi="Bookman Old Style"/>
          <w:sz w:val="18"/>
          <w:szCs w:val="18"/>
        </w:rPr>
      </w:pPr>
    </w:p>
    <w:p w:rsidR="00A276AF" w:rsidRDefault="00A276AF" w:rsidP="000A4482">
      <w:pPr>
        <w:spacing w:before="120" w:after="120"/>
        <w:rPr>
          <w:rFonts w:ascii="Bookman Old Style" w:hAnsi="Bookman Old Style"/>
          <w:sz w:val="18"/>
          <w:szCs w:val="18"/>
        </w:rPr>
      </w:pPr>
    </w:p>
    <w:p w:rsidR="000A4482" w:rsidRDefault="000A4482" w:rsidP="000A4482">
      <w:pPr>
        <w:spacing w:before="120" w:after="120"/>
        <w:rPr>
          <w:rFonts w:ascii="Bookman Old Style" w:hAnsi="Bookman Old Style"/>
          <w:sz w:val="18"/>
          <w:szCs w:val="18"/>
        </w:rPr>
      </w:pPr>
      <w:r>
        <w:rPr>
          <w:rFonts w:ascii="Bookman Old Style" w:hAnsi="Bookman Old Style"/>
          <w:sz w:val="18"/>
          <w:szCs w:val="18"/>
        </w:rPr>
        <w:lastRenderedPageBreak/>
        <w:t xml:space="preserve">Фото № 3. </w:t>
      </w:r>
      <w:r w:rsidRPr="000A4482">
        <w:rPr>
          <w:rFonts w:ascii="Bookman Old Style" w:hAnsi="Bookman Old Style"/>
          <w:sz w:val="18"/>
          <w:szCs w:val="18"/>
        </w:rPr>
        <w:t>Складское помещение</w:t>
      </w:r>
      <w:r>
        <w:rPr>
          <w:rFonts w:ascii="Bookman Old Style" w:hAnsi="Bookman Old Style"/>
          <w:sz w:val="18"/>
          <w:szCs w:val="18"/>
        </w:rPr>
        <w:tab/>
        <w:t xml:space="preserve">                             Фото № 4. </w:t>
      </w:r>
      <w:r w:rsidRPr="000A4482">
        <w:rPr>
          <w:rFonts w:ascii="Bookman Old Style" w:hAnsi="Bookman Old Style"/>
          <w:sz w:val="18"/>
          <w:szCs w:val="18"/>
        </w:rPr>
        <w:t>Складское помещение</w:t>
      </w:r>
    </w:p>
    <w:p w:rsidR="000A4482" w:rsidRDefault="000A4482" w:rsidP="000A4482">
      <w:pPr>
        <w:spacing w:before="120" w:after="120"/>
        <w:rPr>
          <w:rFonts w:ascii="Bookman Old Style" w:hAnsi="Bookman Old Style"/>
          <w:noProof/>
          <w:sz w:val="18"/>
          <w:szCs w:val="18"/>
        </w:rPr>
      </w:pPr>
      <w:r>
        <w:rPr>
          <w:rFonts w:ascii="Bookman Old Style" w:hAnsi="Bookman Old Style"/>
          <w:noProof/>
          <w:sz w:val="18"/>
          <w:szCs w:val="18"/>
        </w:rPr>
        <w:drawing>
          <wp:inline distT="0" distB="0" distL="0" distR="0">
            <wp:extent cx="3120000" cy="2340000"/>
            <wp:effectExtent l="0" t="0" r="4445" b="3175"/>
            <wp:docPr id="243"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CER\Desktop\Саянпромстрой\Фото\IMG_1725.JPG"/>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3120000" cy="2340000"/>
                    </a:xfrm>
                    <a:prstGeom prst="rect">
                      <a:avLst/>
                    </a:prstGeom>
                    <a:noFill/>
                    <a:ln>
                      <a:noFill/>
                    </a:ln>
                  </pic:spPr>
                </pic:pic>
              </a:graphicData>
            </a:graphic>
          </wp:inline>
        </w:drawing>
      </w:r>
      <w:r>
        <w:rPr>
          <w:rFonts w:ascii="Bookman Old Style" w:hAnsi="Bookman Old Style"/>
          <w:noProof/>
          <w:sz w:val="18"/>
          <w:szCs w:val="18"/>
        </w:rPr>
        <w:t xml:space="preserve">      </w:t>
      </w:r>
      <w:r>
        <w:rPr>
          <w:rFonts w:ascii="Bookman Old Style" w:hAnsi="Bookman Old Style"/>
          <w:noProof/>
          <w:sz w:val="18"/>
          <w:szCs w:val="18"/>
        </w:rPr>
        <w:drawing>
          <wp:inline distT="0" distB="0" distL="0" distR="0">
            <wp:extent cx="3121660" cy="2341245"/>
            <wp:effectExtent l="0" t="0" r="2540" b="1905"/>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3121660" cy="2341245"/>
                    </a:xfrm>
                    <a:prstGeom prst="rect">
                      <a:avLst/>
                    </a:prstGeom>
                    <a:noFill/>
                  </pic:spPr>
                </pic:pic>
              </a:graphicData>
            </a:graphic>
          </wp:inline>
        </w:drawing>
      </w:r>
    </w:p>
    <w:p w:rsidR="00181522" w:rsidRPr="009E1C70" w:rsidRDefault="000A4482" w:rsidP="00303E37">
      <w:pPr>
        <w:pStyle w:val="aff2"/>
        <w:numPr>
          <w:ilvl w:val="0"/>
          <w:numId w:val="40"/>
        </w:numPr>
        <w:spacing w:before="120" w:after="120"/>
        <w:jc w:val="both"/>
        <w:rPr>
          <w:rFonts w:ascii="Bookman Old Style" w:hAnsi="Bookman Old Style"/>
          <w:bCs/>
          <w:sz w:val="20"/>
          <w:szCs w:val="20"/>
        </w:rPr>
      </w:pPr>
      <w:r w:rsidRPr="000A4482">
        <w:rPr>
          <w:rFonts w:ascii="Bookman Old Style" w:hAnsi="Bookman Old Style"/>
          <w:bCs/>
          <w:sz w:val="20"/>
          <w:szCs w:val="20"/>
        </w:rPr>
        <w:t>Склад готовой продукции, назначение: нежилое, 1-этажный, общая площадь 1497,2 кв. м.,  инв. № 01:3237:012895, лит. В3,  адрес: г. Красноярск, ул. Айвазовского,37 «А», строен. 1, Кадастровый номер 24:50:0000000:0:105432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5"/>
        <w:gridCol w:w="4264"/>
        <w:gridCol w:w="5502"/>
      </w:tblGrid>
      <w:tr w:rsidR="00181522" w:rsidRPr="009E1C70" w:rsidTr="00A276AF">
        <w:trPr>
          <w:cantSplit/>
          <w:trHeight w:val="170"/>
        </w:trPr>
        <w:tc>
          <w:tcPr>
            <w:tcW w:w="314" w:type="pct"/>
            <w:shd w:val="clear" w:color="000000" w:fill="F2F2F2"/>
            <w:vAlign w:val="center"/>
            <w:hideMark/>
          </w:tcPr>
          <w:p w:rsidR="00181522" w:rsidRPr="009E1C70" w:rsidRDefault="00181522" w:rsidP="008A4DCE">
            <w:pPr>
              <w:jc w:val="center"/>
              <w:rPr>
                <w:rFonts w:ascii="Cambria" w:hAnsi="Cambria"/>
                <w:b/>
                <w:bCs/>
                <w:color w:val="000000"/>
                <w:sz w:val="16"/>
                <w:szCs w:val="16"/>
              </w:rPr>
            </w:pPr>
            <w:r w:rsidRPr="009E1C70">
              <w:rPr>
                <w:rFonts w:ascii="Cambria" w:hAnsi="Cambria"/>
                <w:b/>
                <w:bCs/>
                <w:color w:val="000000"/>
                <w:sz w:val="16"/>
                <w:szCs w:val="16"/>
              </w:rPr>
              <w:t>№ п.п.</w:t>
            </w:r>
          </w:p>
        </w:tc>
        <w:tc>
          <w:tcPr>
            <w:tcW w:w="2046" w:type="pct"/>
            <w:shd w:val="clear" w:color="000000" w:fill="F2F2F2"/>
            <w:vAlign w:val="center"/>
            <w:hideMark/>
          </w:tcPr>
          <w:p w:rsidR="00181522" w:rsidRPr="009E1C70" w:rsidRDefault="00181522" w:rsidP="008A4DCE">
            <w:pPr>
              <w:jc w:val="center"/>
              <w:rPr>
                <w:rFonts w:ascii="Cambria" w:hAnsi="Cambria"/>
                <w:b/>
                <w:bCs/>
                <w:color w:val="000000"/>
                <w:sz w:val="16"/>
                <w:szCs w:val="16"/>
              </w:rPr>
            </w:pPr>
            <w:r w:rsidRPr="009E1C70">
              <w:rPr>
                <w:rFonts w:ascii="Cambria" w:hAnsi="Cambria"/>
                <w:b/>
                <w:bCs/>
                <w:color w:val="000000"/>
                <w:sz w:val="16"/>
                <w:szCs w:val="16"/>
              </w:rPr>
              <w:t>Наименование параметра</w:t>
            </w:r>
          </w:p>
        </w:tc>
        <w:tc>
          <w:tcPr>
            <w:tcW w:w="2640" w:type="pct"/>
            <w:shd w:val="clear" w:color="000000" w:fill="F2F2F2"/>
            <w:vAlign w:val="center"/>
            <w:hideMark/>
          </w:tcPr>
          <w:p w:rsidR="00181522" w:rsidRPr="009E1C70" w:rsidRDefault="00181522" w:rsidP="008A4DCE">
            <w:pPr>
              <w:jc w:val="center"/>
              <w:rPr>
                <w:rFonts w:ascii="Cambria" w:hAnsi="Cambria"/>
                <w:b/>
                <w:bCs/>
                <w:color w:val="000000"/>
                <w:sz w:val="16"/>
                <w:szCs w:val="16"/>
              </w:rPr>
            </w:pPr>
            <w:r w:rsidRPr="009E1C70">
              <w:rPr>
                <w:rFonts w:ascii="Cambria" w:hAnsi="Cambria"/>
                <w:b/>
                <w:bCs/>
                <w:color w:val="000000"/>
                <w:sz w:val="16"/>
                <w:szCs w:val="16"/>
              </w:rPr>
              <w:t>Значение</w:t>
            </w:r>
          </w:p>
        </w:tc>
      </w:tr>
      <w:tr w:rsidR="00181522" w:rsidRPr="009E1C70" w:rsidTr="00A276AF">
        <w:trPr>
          <w:cantSplit/>
          <w:trHeight w:val="170"/>
        </w:trPr>
        <w:tc>
          <w:tcPr>
            <w:tcW w:w="5000" w:type="pct"/>
            <w:gridSpan w:val="3"/>
            <w:shd w:val="clear" w:color="000000" w:fill="F2F2F2"/>
            <w:noWrap/>
            <w:vAlign w:val="center"/>
            <w:hideMark/>
          </w:tcPr>
          <w:p w:rsidR="00181522" w:rsidRPr="009E1C70" w:rsidRDefault="00181522" w:rsidP="008A4DCE">
            <w:pPr>
              <w:jc w:val="center"/>
              <w:rPr>
                <w:rFonts w:ascii="Cambria" w:hAnsi="Cambria"/>
                <w:color w:val="000000"/>
                <w:sz w:val="16"/>
                <w:szCs w:val="16"/>
              </w:rPr>
            </w:pPr>
            <w:r w:rsidRPr="009E1C70">
              <w:rPr>
                <w:rFonts w:ascii="Cambria" w:hAnsi="Cambria"/>
                <w:color w:val="000000"/>
                <w:sz w:val="16"/>
                <w:szCs w:val="16"/>
              </w:rPr>
              <w:t>Общие сведения</w:t>
            </w:r>
          </w:p>
        </w:tc>
      </w:tr>
      <w:tr w:rsidR="00181522" w:rsidRPr="009E1C70" w:rsidTr="00A276AF">
        <w:trPr>
          <w:cantSplit/>
          <w:trHeight w:val="170"/>
        </w:trPr>
        <w:tc>
          <w:tcPr>
            <w:tcW w:w="314" w:type="pct"/>
            <w:shd w:val="clear" w:color="auto" w:fill="auto"/>
            <w:noWrap/>
            <w:vAlign w:val="center"/>
            <w:hideMark/>
          </w:tcPr>
          <w:p w:rsidR="00181522" w:rsidRPr="009E1C70" w:rsidRDefault="00181522" w:rsidP="008A4DCE">
            <w:pPr>
              <w:jc w:val="center"/>
              <w:rPr>
                <w:rFonts w:ascii="Cambria" w:hAnsi="Cambria"/>
                <w:color w:val="000000"/>
                <w:sz w:val="16"/>
                <w:szCs w:val="16"/>
              </w:rPr>
            </w:pPr>
            <w:r w:rsidRPr="009E1C70">
              <w:rPr>
                <w:rFonts w:ascii="Cambria" w:hAnsi="Cambria"/>
                <w:color w:val="000000"/>
                <w:sz w:val="16"/>
                <w:szCs w:val="16"/>
              </w:rPr>
              <w:t>1</w:t>
            </w:r>
          </w:p>
        </w:tc>
        <w:tc>
          <w:tcPr>
            <w:tcW w:w="2046" w:type="pct"/>
            <w:shd w:val="clear" w:color="auto" w:fill="auto"/>
            <w:vAlign w:val="center"/>
            <w:hideMark/>
          </w:tcPr>
          <w:p w:rsidR="00181522" w:rsidRPr="009E1C70" w:rsidRDefault="00181522" w:rsidP="008A4DCE">
            <w:pPr>
              <w:rPr>
                <w:rFonts w:ascii="Cambria" w:hAnsi="Cambria"/>
                <w:color w:val="000000"/>
                <w:sz w:val="16"/>
                <w:szCs w:val="16"/>
              </w:rPr>
            </w:pPr>
            <w:r w:rsidRPr="009E1C70">
              <w:rPr>
                <w:rFonts w:ascii="Cambria" w:hAnsi="Cambria"/>
                <w:color w:val="000000"/>
                <w:sz w:val="16"/>
                <w:szCs w:val="16"/>
              </w:rPr>
              <w:t>Наименование здания (назначение здания)</w:t>
            </w:r>
          </w:p>
        </w:tc>
        <w:tc>
          <w:tcPr>
            <w:tcW w:w="2640" w:type="pct"/>
            <w:shd w:val="clear" w:color="auto" w:fill="auto"/>
            <w:vAlign w:val="center"/>
            <w:hideMark/>
          </w:tcPr>
          <w:p w:rsidR="00181522" w:rsidRPr="009E1C70" w:rsidRDefault="000A4482" w:rsidP="008A4DCE">
            <w:pPr>
              <w:jc w:val="center"/>
              <w:rPr>
                <w:rFonts w:ascii="Cambria" w:hAnsi="Cambria"/>
                <w:color w:val="000000"/>
                <w:sz w:val="16"/>
                <w:szCs w:val="16"/>
              </w:rPr>
            </w:pPr>
            <w:r w:rsidRPr="000A4482">
              <w:rPr>
                <w:rFonts w:ascii="Cambria" w:hAnsi="Cambria"/>
                <w:bCs/>
                <w:color w:val="000000"/>
                <w:sz w:val="16"/>
                <w:szCs w:val="16"/>
              </w:rPr>
              <w:t>Склад готовой продукции</w:t>
            </w:r>
          </w:p>
        </w:tc>
      </w:tr>
      <w:tr w:rsidR="00181522" w:rsidRPr="009E1C70" w:rsidTr="00A276AF">
        <w:trPr>
          <w:cantSplit/>
          <w:trHeight w:val="170"/>
        </w:trPr>
        <w:tc>
          <w:tcPr>
            <w:tcW w:w="314" w:type="pct"/>
            <w:shd w:val="clear" w:color="auto" w:fill="auto"/>
            <w:noWrap/>
            <w:vAlign w:val="center"/>
            <w:hideMark/>
          </w:tcPr>
          <w:p w:rsidR="00181522" w:rsidRPr="009E1C70" w:rsidRDefault="00181522" w:rsidP="008A4DCE">
            <w:pPr>
              <w:jc w:val="center"/>
              <w:rPr>
                <w:rFonts w:ascii="Cambria" w:hAnsi="Cambria"/>
                <w:color w:val="000000"/>
                <w:sz w:val="16"/>
                <w:szCs w:val="16"/>
              </w:rPr>
            </w:pPr>
            <w:r w:rsidRPr="009E1C70">
              <w:rPr>
                <w:rFonts w:ascii="Cambria" w:hAnsi="Cambria"/>
                <w:color w:val="000000"/>
                <w:sz w:val="16"/>
                <w:szCs w:val="16"/>
              </w:rPr>
              <w:t>2</w:t>
            </w:r>
          </w:p>
        </w:tc>
        <w:tc>
          <w:tcPr>
            <w:tcW w:w="2046" w:type="pct"/>
            <w:shd w:val="clear" w:color="auto" w:fill="auto"/>
            <w:vAlign w:val="center"/>
            <w:hideMark/>
          </w:tcPr>
          <w:p w:rsidR="00181522" w:rsidRPr="009E1C70" w:rsidRDefault="00181522" w:rsidP="008A4DCE">
            <w:pPr>
              <w:rPr>
                <w:rFonts w:ascii="Cambria" w:hAnsi="Cambria"/>
                <w:color w:val="000000"/>
                <w:sz w:val="16"/>
                <w:szCs w:val="16"/>
              </w:rPr>
            </w:pPr>
            <w:r w:rsidRPr="009E1C70">
              <w:rPr>
                <w:rFonts w:ascii="Cambria" w:hAnsi="Cambria"/>
                <w:color w:val="000000"/>
                <w:sz w:val="16"/>
                <w:szCs w:val="16"/>
              </w:rPr>
              <w:t>Адрес местоположения</w:t>
            </w:r>
          </w:p>
        </w:tc>
        <w:tc>
          <w:tcPr>
            <w:tcW w:w="2640" w:type="pct"/>
            <w:shd w:val="clear" w:color="000000" w:fill="FFFFFF"/>
            <w:vAlign w:val="center"/>
            <w:hideMark/>
          </w:tcPr>
          <w:p w:rsidR="00181522" w:rsidRPr="009E1C70" w:rsidRDefault="00181522" w:rsidP="008A4DCE">
            <w:pPr>
              <w:jc w:val="center"/>
              <w:rPr>
                <w:rFonts w:ascii="Cambria" w:hAnsi="Cambria"/>
                <w:color w:val="000000"/>
                <w:sz w:val="16"/>
                <w:szCs w:val="16"/>
              </w:rPr>
            </w:pPr>
            <w:r w:rsidRPr="00FF074D">
              <w:rPr>
                <w:rFonts w:ascii="Cambria" w:hAnsi="Cambria"/>
                <w:color w:val="000000"/>
                <w:sz w:val="16"/>
                <w:szCs w:val="16"/>
              </w:rPr>
              <w:t xml:space="preserve">Россия, Красноярский край, г. Красноярск, </w:t>
            </w:r>
            <w:r w:rsidR="000A4482" w:rsidRPr="000A4482">
              <w:rPr>
                <w:rFonts w:ascii="Cambria" w:hAnsi="Cambria"/>
                <w:bCs/>
                <w:color w:val="000000"/>
                <w:sz w:val="16"/>
                <w:szCs w:val="16"/>
              </w:rPr>
              <w:t>ул. Айвазовского,37 «А», строен. 1</w:t>
            </w:r>
          </w:p>
        </w:tc>
      </w:tr>
      <w:tr w:rsidR="00181522" w:rsidRPr="009E1C70" w:rsidTr="00A276AF">
        <w:trPr>
          <w:cantSplit/>
          <w:trHeight w:val="170"/>
        </w:trPr>
        <w:tc>
          <w:tcPr>
            <w:tcW w:w="314" w:type="pct"/>
            <w:shd w:val="clear" w:color="auto" w:fill="auto"/>
            <w:noWrap/>
            <w:vAlign w:val="center"/>
            <w:hideMark/>
          </w:tcPr>
          <w:p w:rsidR="00181522" w:rsidRPr="009E1C70" w:rsidRDefault="00181522" w:rsidP="008A4DCE">
            <w:pPr>
              <w:jc w:val="center"/>
              <w:rPr>
                <w:rFonts w:ascii="Cambria" w:hAnsi="Cambria"/>
                <w:color w:val="000000"/>
                <w:sz w:val="16"/>
                <w:szCs w:val="16"/>
              </w:rPr>
            </w:pPr>
            <w:r w:rsidRPr="009E1C70">
              <w:rPr>
                <w:rFonts w:ascii="Cambria" w:hAnsi="Cambria"/>
                <w:color w:val="000000"/>
                <w:sz w:val="16"/>
                <w:szCs w:val="16"/>
              </w:rPr>
              <w:t>3</w:t>
            </w:r>
          </w:p>
        </w:tc>
        <w:tc>
          <w:tcPr>
            <w:tcW w:w="2046" w:type="pct"/>
            <w:shd w:val="clear" w:color="auto" w:fill="auto"/>
            <w:vAlign w:val="center"/>
            <w:hideMark/>
          </w:tcPr>
          <w:p w:rsidR="00181522" w:rsidRPr="009E1C70" w:rsidRDefault="00181522" w:rsidP="008A4DCE">
            <w:pPr>
              <w:rPr>
                <w:rFonts w:ascii="Cambria" w:hAnsi="Cambria"/>
                <w:color w:val="000000"/>
                <w:sz w:val="16"/>
                <w:szCs w:val="16"/>
              </w:rPr>
            </w:pPr>
            <w:r w:rsidRPr="009E1C70">
              <w:rPr>
                <w:rFonts w:ascii="Cambria" w:hAnsi="Cambria"/>
                <w:color w:val="000000"/>
                <w:sz w:val="16"/>
                <w:szCs w:val="16"/>
              </w:rPr>
              <w:t>Кадастровый номер</w:t>
            </w:r>
          </w:p>
        </w:tc>
        <w:tc>
          <w:tcPr>
            <w:tcW w:w="2640" w:type="pct"/>
            <w:shd w:val="clear" w:color="auto" w:fill="auto"/>
            <w:noWrap/>
            <w:vAlign w:val="center"/>
            <w:hideMark/>
          </w:tcPr>
          <w:p w:rsidR="00181522" w:rsidRPr="009E1C70" w:rsidRDefault="000A4482" w:rsidP="008A4DCE">
            <w:pPr>
              <w:jc w:val="center"/>
              <w:rPr>
                <w:rFonts w:ascii="Cambria" w:hAnsi="Cambria"/>
                <w:color w:val="000000"/>
                <w:sz w:val="16"/>
                <w:szCs w:val="16"/>
              </w:rPr>
            </w:pPr>
            <w:r w:rsidRPr="000A4482">
              <w:rPr>
                <w:rFonts w:ascii="Cambria" w:hAnsi="Cambria"/>
                <w:color w:val="000000"/>
                <w:sz w:val="16"/>
                <w:szCs w:val="16"/>
              </w:rPr>
              <w:t>24:50:0000000:0:105432</w:t>
            </w:r>
          </w:p>
        </w:tc>
      </w:tr>
      <w:tr w:rsidR="000A4482" w:rsidRPr="009E1C70" w:rsidTr="00A276AF">
        <w:trPr>
          <w:cantSplit/>
          <w:trHeight w:val="170"/>
        </w:trPr>
        <w:tc>
          <w:tcPr>
            <w:tcW w:w="314" w:type="pct"/>
            <w:shd w:val="clear" w:color="auto" w:fill="auto"/>
            <w:noWrap/>
            <w:vAlign w:val="center"/>
            <w:hideMark/>
          </w:tcPr>
          <w:p w:rsidR="000A4482" w:rsidRPr="009E1C70" w:rsidRDefault="000A4482" w:rsidP="008A4DCE">
            <w:pPr>
              <w:jc w:val="center"/>
              <w:rPr>
                <w:rFonts w:ascii="Cambria" w:hAnsi="Cambria"/>
                <w:color w:val="000000"/>
                <w:sz w:val="16"/>
                <w:szCs w:val="16"/>
              </w:rPr>
            </w:pPr>
            <w:r w:rsidRPr="009E1C70">
              <w:rPr>
                <w:rFonts w:ascii="Cambria" w:hAnsi="Cambria"/>
                <w:color w:val="000000"/>
                <w:sz w:val="16"/>
                <w:szCs w:val="16"/>
              </w:rPr>
              <w:t>4</w:t>
            </w:r>
          </w:p>
        </w:tc>
        <w:tc>
          <w:tcPr>
            <w:tcW w:w="2046" w:type="pct"/>
            <w:shd w:val="clear" w:color="auto" w:fill="auto"/>
            <w:vAlign w:val="center"/>
            <w:hideMark/>
          </w:tcPr>
          <w:p w:rsidR="000A4482" w:rsidRPr="009E1C70" w:rsidRDefault="000A4482" w:rsidP="00D70166">
            <w:pPr>
              <w:rPr>
                <w:rFonts w:ascii="Cambria" w:hAnsi="Cambria"/>
                <w:color w:val="000000"/>
                <w:sz w:val="16"/>
                <w:szCs w:val="16"/>
              </w:rPr>
            </w:pPr>
            <w:r w:rsidRPr="009E1C70">
              <w:rPr>
                <w:rFonts w:ascii="Cambria" w:hAnsi="Cambria"/>
                <w:color w:val="000000"/>
                <w:sz w:val="16"/>
                <w:szCs w:val="16"/>
              </w:rPr>
              <w:t>Год постройки</w:t>
            </w:r>
          </w:p>
        </w:tc>
        <w:tc>
          <w:tcPr>
            <w:tcW w:w="2640" w:type="pct"/>
            <w:shd w:val="clear" w:color="000000" w:fill="FFFFFF"/>
            <w:vAlign w:val="center"/>
            <w:hideMark/>
          </w:tcPr>
          <w:p w:rsidR="000A4482" w:rsidRPr="009E1C70" w:rsidRDefault="000A4482" w:rsidP="008A4DCE">
            <w:pPr>
              <w:jc w:val="center"/>
              <w:rPr>
                <w:rFonts w:ascii="Cambria" w:hAnsi="Cambria"/>
                <w:color w:val="000000"/>
                <w:sz w:val="16"/>
                <w:szCs w:val="16"/>
              </w:rPr>
            </w:pPr>
            <w:r>
              <w:rPr>
                <w:rFonts w:ascii="Cambria" w:hAnsi="Cambria"/>
                <w:color w:val="000000"/>
                <w:sz w:val="16"/>
                <w:szCs w:val="16"/>
              </w:rPr>
              <w:t>2010</w:t>
            </w:r>
          </w:p>
        </w:tc>
      </w:tr>
      <w:tr w:rsidR="000A4482" w:rsidRPr="009E1C70" w:rsidTr="00A276AF">
        <w:trPr>
          <w:cantSplit/>
          <w:trHeight w:val="170"/>
        </w:trPr>
        <w:tc>
          <w:tcPr>
            <w:tcW w:w="314" w:type="pct"/>
            <w:shd w:val="clear" w:color="auto" w:fill="auto"/>
            <w:noWrap/>
            <w:vAlign w:val="center"/>
            <w:hideMark/>
          </w:tcPr>
          <w:p w:rsidR="000A4482" w:rsidRPr="009E1C70" w:rsidRDefault="000A4482" w:rsidP="008A4DCE">
            <w:pPr>
              <w:jc w:val="center"/>
              <w:rPr>
                <w:rFonts w:ascii="Cambria" w:hAnsi="Cambria"/>
                <w:color w:val="000000"/>
                <w:sz w:val="16"/>
                <w:szCs w:val="16"/>
              </w:rPr>
            </w:pPr>
            <w:r w:rsidRPr="009E1C70">
              <w:rPr>
                <w:rFonts w:ascii="Cambria" w:hAnsi="Cambria"/>
                <w:color w:val="000000"/>
                <w:sz w:val="16"/>
                <w:szCs w:val="16"/>
              </w:rPr>
              <w:t>5</w:t>
            </w:r>
          </w:p>
        </w:tc>
        <w:tc>
          <w:tcPr>
            <w:tcW w:w="2046" w:type="pct"/>
            <w:shd w:val="clear" w:color="auto" w:fill="auto"/>
            <w:vAlign w:val="center"/>
            <w:hideMark/>
          </w:tcPr>
          <w:p w:rsidR="000A4482" w:rsidRPr="009E1C70" w:rsidRDefault="000A4482" w:rsidP="00D70166">
            <w:pPr>
              <w:rPr>
                <w:rFonts w:ascii="Cambria" w:hAnsi="Cambria"/>
                <w:color w:val="000000"/>
                <w:sz w:val="16"/>
                <w:szCs w:val="16"/>
              </w:rPr>
            </w:pPr>
            <w:r w:rsidRPr="009E1C70">
              <w:rPr>
                <w:rFonts w:ascii="Cambria" w:hAnsi="Cambria"/>
                <w:color w:val="000000"/>
                <w:sz w:val="16"/>
                <w:szCs w:val="16"/>
              </w:rPr>
              <w:t>Общая площадь, кв.м.</w:t>
            </w:r>
          </w:p>
        </w:tc>
        <w:tc>
          <w:tcPr>
            <w:tcW w:w="2640" w:type="pct"/>
            <w:shd w:val="clear" w:color="000000" w:fill="FFFFFF"/>
            <w:vAlign w:val="center"/>
            <w:hideMark/>
          </w:tcPr>
          <w:p w:rsidR="000A4482" w:rsidRPr="009E1C70" w:rsidRDefault="000A4482" w:rsidP="008A4DCE">
            <w:pPr>
              <w:jc w:val="center"/>
              <w:rPr>
                <w:rFonts w:ascii="Cambria" w:hAnsi="Cambria"/>
                <w:color w:val="000000"/>
                <w:sz w:val="16"/>
                <w:szCs w:val="16"/>
              </w:rPr>
            </w:pPr>
            <w:r>
              <w:rPr>
                <w:rFonts w:ascii="Cambria" w:hAnsi="Cambria"/>
                <w:color w:val="000000"/>
                <w:sz w:val="16"/>
                <w:szCs w:val="16"/>
              </w:rPr>
              <w:t>1497,2</w:t>
            </w:r>
          </w:p>
        </w:tc>
      </w:tr>
      <w:tr w:rsidR="000A4482" w:rsidRPr="009E1C70" w:rsidTr="00A276AF">
        <w:trPr>
          <w:cantSplit/>
          <w:trHeight w:val="170"/>
        </w:trPr>
        <w:tc>
          <w:tcPr>
            <w:tcW w:w="314" w:type="pct"/>
            <w:shd w:val="clear" w:color="auto" w:fill="auto"/>
            <w:noWrap/>
            <w:vAlign w:val="center"/>
          </w:tcPr>
          <w:p w:rsidR="000A4482" w:rsidRPr="009E1C70" w:rsidRDefault="000A4482" w:rsidP="008A4DCE">
            <w:pPr>
              <w:jc w:val="center"/>
              <w:rPr>
                <w:rFonts w:ascii="Cambria" w:hAnsi="Cambria"/>
                <w:color w:val="000000"/>
                <w:sz w:val="16"/>
                <w:szCs w:val="16"/>
              </w:rPr>
            </w:pPr>
            <w:r>
              <w:rPr>
                <w:rFonts w:ascii="Cambria" w:hAnsi="Cambria"/>
                <w:color w:val="000000"/>
                <w:sz w:val="16"/>
                <w:szCs w:val="16"/>
              </w:rPr>
              <w:t>6</w:t>
            </w:r>
          </w:p>
        </w:tc>
        <w:tc>
          <w:tcPr>
            <w:tcW w:w="2046" w:type="pct"/>
            <w:shd w:val="clear" w:color="auto" w:fill="auto"/>
            <w:vAlign w:val="center"/>
          </w:tcPr>
          <w:p w:rsidR="000A4482" w:rsidRPr="009E1C70" w:rsidRDefault="000A4482" w:rsidP="00D70166">
            <w:pPr>
              <w:rPr>
                <w:rFonts w:ascii="Cambria" w:hAnsi="Cambria"/>
                <w:color w:val="000000"/>
                <w:sz w:val="16"/>
                <w:szCs w:val="16"/>
              </w:rPr>
            </w:pPr>
            <w:r w:rsidRPr="000A4482">
              <w:rPr>
                <w:rFonts w:ascii="Cambria" w:hAnsi="Cambria"/>
                <w:color w:val="000000"/>
                <w:sz w:val="16"/>
                <w:szCs w:val="16"/>
              </w:rPr>
              <w:t>Площадь застройки, кв.м</w:t>
            </w:r>
          </w:p>
        </w:tc>
        <w:tc>
          <w:tcPr>
            <w:tcW w:w="2640" w:type="pct"/>
            <w:shd w:val="clear" w:color="000000" w:fill="FFFFFF"/>
            <w:vAlign w:val="center"/>
          </w:tcPr>
          <w:p w:rsidR="000A4482" w:rsidRDefault="000A4482" w:rsidP="008A4DCE">
            <w:pPr>
              <w:jc w:val="center"/>
              <w:rPr>
                <w:rFonts w:ascii="Cambria" w:hAnsi="Cambria"/>
                <w:color w:val="000000"/>
                <w:sz w:val="16"/>
                <w:szCs w:val="16"/>
              </w:rPr>
            </w:pPr>
            <w:r>
              <w:rPr>
                <w:rFonts w:ascii="Cambria" w:hAnsi="Cambria"/>
                <w:color w:val="000000"/>
                <w:sz w:val="16"/>
                <w:szCs w:val="16"/>
              </w:rPr>
              <w:t>1591,8</w:t>
            </w:r>
          </w:p>
        </w:tc>
      </w:tr>
      <w:tr w:rsidR="000A4482" w:rsidRPr="009E1C70" w:rsidTr="00A276AF">
        <w:trPr>
          <w:cantSplit/>
          <w:trHeight w:val="170"/>
        </w:trPr>
        <w:tc>
          <w:tcPr>
            <w:tcW w:w="314" w:type="pct"/>
            <w:shd w:val="clear" w:color="auto" w:fill="auto"/>
            <w:noWrap/>
            <w:vAlign w:val="center"/>
          </w:tcPr>
          <w:p w:rsidR="000A4482" w:rsidRDefault="000A4482" w:rsidP="008A4DCE">
            <w:pPr>
              <w:jc w:val="center"/>
              <w:rPr>
                <w:rFonts w:ascii="Cambria" w:hAnsi="Cambria"/>
                <w:color w:val="000000"/>
                <w:sz w:val="16"/>
                <w:szCs w:val="16"/>
              </w:rPr>
            </w:pPr>
            <w:r>
              <w:rPr>
                <w:rFonts w:ascii="Cambria" w:hAnsi="Cambria"/>
                <w:color w:val="000000"/>
                <w:sz w:val="16"/>
                <w:szCs w:val="16"/>
              </w:rPr>
              <w:t>7</w:t>
            </w:r>
          </w:p>
        </w:tc>
        <w:tc>
          <w:tcPr>
            <w:tcW w:w="2046" w:type="pct"/>
            <w:shd w:val="clear" w:color="auto" w:fill="auto"/>
            <w:vAlign w:val="center"/>
          </w:tcPr>
          <w:p w:rsidR="000A4482" w:rsidRPr="001D175E" w:rsidRDefault="000A4482" w:rsidP="00D70166">
            <w:pPr>
              <w:rPr>
                <w:rFonts w:asciiTheme="majorHAnsi" w:hAnsiTheme="majorHAnsi"/>
                <w:color w:val="000000"/>
                <w:sz w:val="16"/>
                <w:szCs w:val="16"/>
              </w:rPr>
            </w:pPr>
            <w:r w:rsidRPr="001D175E">
              <w:rPr>
                <w:rFonts w:asciiTheme="majorHAnsi" w:hAnsiTheme="majorHAnsi"/>
                <w:color w:val="000000"/>
                <w:sz w:val="16"/>
                <w:szCs w:val="16"/>
              </w:rPr>
              <w:t>Строительный объем, куб. м.</w:t>
            </w:r>
          </w:p>
        </w:tc>
        <w:tc>
          <w:tcPr>
            <w:tcW w:w="2640" w:type="pct"/>
            <w:shd w:val="clear" w:color="000000" w:fill="FFFFFF"/>
            <w:vAlign w:val="center"/>
          </w:tcPr>
          <w:p w:rsidR="000A4482" w:rsidRDefault="000A4482" w:rsidP="008A4DCE">
            <w:pPr>
              <w:jc w:val="center"/>
              <w:rPr>
                <w:rFonts w:ascii="Cambria" w:hAnsi="Cambria"/>
                <w:color w:val="000000"/>
                <w:sz w:val="16"/>
                <w:szCs w:val="16"/>
              </w:rPr>
            </w:pPr>
            <w:r>
              <w:rPr>
                <w:rFonts w:ascii="Cambria" w:hAnsi="Cambria"/>
                <w:color w:val="000000"/>
                <w:sz w:val="16"/>
                <w:szCs w:val="16"/>
              </w:rPr>
              <w:t>12609</w:t>
            </w:r>
          </w:p>
        </w:tc>
      </w:tr>
      <w:tr w:rsidR="000A4482" w:rsidRPr="009E1C70" w:rsidTr="00A276AF">
        <w:trPr>
          <w:cantSplit/>
          <w:trHeight w:val="170"/>
        </w:trPr>
        <w:tc>
          <w:tcPr>
            <w:tcW w:w="314" w:type="pct"/>
            <w:shd w:val="clear" w:color="auto" w:fill="auto"/>
            <w:noWrap/>
            <w:vAlign w:val="center"/>
          </w:tcPr>
          <w:p w:rsidR="000A4482" w:rsidRDefault="000A4482" w:rsidP="008A4DCE">
            <w:pPr>
              <w:jc w:val="center"/>
              <w:rPr>
                <w:rFonts w:ascii="Cambria" w:hAnsi="Cambria"/>
                <w:color w:val="000000"/>
                <w:sz w:val="16"/>
                <w:szCs w:val="16"/>
              </w:rPr>
            </w:pPr>
            <w:r>
              <w:rPr>
                <w:rFonts w:ascii="Cambria" w:hAnsi="Cambria"/>
                <w:color w:val="000000"/>
                <w:sz w:val="16"/>
                <w:szCs w:val="16"/>
              </w:rPr>
              <w:t>8</w:t>
            </w:r>
          </w:p>
        </w:tc>
        <w:tc>
          <w:tcPr>
            <w:tcW w:w="2046" w:type="pct"/>
            <w:shd w:val="clear" w:color="auto" w:fill="auto"/>
            <w:vAlign w:val="center"/>
          </w:tcPr>
          <w:p w:rsidR="000A4482" w:rsidRPr="001D175E" w:rsidRDefault="000A4482" w:rsidP="00D70166">
            <w:pPr>
              <w:rPr>
                <w:rFonts w:ascii="Cambria" w:hAnsi="Cambria"/>
                <w:color w:val="000000"/>
                <w:sz w:val="16"/>
                <w:szCs w:val="16"/>
              </w:rPr>
            </w:pPr>
            <w:r w:rsidRPr="001D175E">
              <w:rPr>
                <w:rFonts w:ascii="Cambria" w:hAnsi="Cambria"/>
                <w:color w:val="000000"/>
                <w:sz w:val="16"/>
                <w:szCs w:val="16"/>
              </w:rPr>
              <w:t>Количество надземных этажей</w:t>
            </w:r>
          </w:p>
        </w:tc>
        <w:tc>
          <w:tcPr>
            <w:tcW w:w="2640" w:type="pct"/>
            <w:shd w:val="clear" w:color="000000" w:fill="FFFFFF"/>
            <w:vAlign w:val="center"/>
          </w:tcPr>
          <w:p w:rsidR="000A4482" w:rsidRDefault="000A4482" w:rsidP="008A4DCE">
            <w:pPr>
              <w:jc w:val="center"/>
              <w:rPr>
                <w:rFonts w:ascii="Cambria" w:hAnsi="Cambria"/>
                <w:color w:val="000000"/>
                <w:sz w:val="16"/>
                <w:szCs w:val="16"/>
              </w:rPr>
            </w:pPr>
            <w:r>
              <w:rPr>
                <w:rFonts w:ascii="Cambria" w:hAnsi="Cambria"/>
                <w:color w:val="000000"/>
                <w:sz w:val="16"/>
                <w:szCs w:val="16"/>
              </w:rPr>
              <w:t>1</w:t>
            </w:r>
          </w:p>
        </w:tc>
      </w:tr>
      <w:tr w:rsidR="000A4482" w:rsidRPr="009E1C70" w:rsidTr="00A276AF">
        <w:trPr>
          <w:cantSplit/>
          <w:trHeight w:val="170"/>
        </w:trPr>
        <w:tc>
          <w:tcPr>
            <w:tcW w:w="5000" w:type="pct"/>
            <w:gridSpan w:val="3"/>
            <w:shd w:val="clear" w:color="000000" w:fill="F2F2F2"/>
            <w:noWrap/>
            <w:vAlign w:val="center"/>
            <w:hideMark/>
          </w:tcPr>
          <w:p w:rsidR="000A4482" w:rsidRPr="009E1C70" w:rsidRDefault="000A4482" w:rsidP="008A4DCE">
            <w:pPr>
              <w:jc w:val="center"/>
              <w:rPr>
                <w:rFonts w:ascii="Cambria" w:hAnsi="Cambria"/>
                <w:color w:val="000000"/>
                <w:sz w:val="16"/>
                <w:szCs w:val="16"/>
              </w:rPr>
            </w:pPr>
            <w:r w:rsidRPr="009E1C70">
              <w:rPr>
                <w:rFonts w:ascii="Cambria" w:hAnsi="Cambria"/>
                <w:color w:val="000000"/>
                <w:sz w:val="16"/>
                <w:szCs w:val="16"/>
              </w:rPr>
              <w:t>Конструктивные элементы здания</w:t>
            </w:r>
          </w:p>
        </w:tc>
      </w:tr>
      <w:tr w:rsidR="000A4482" w:rsidRPr="009E1C70" w:rsidTr="00A276AF">
        <w:trPr>
          <w:cantSplit/>
          <w:trHeight w:val="170"/>
        </w:trPr>
        <w:tc>
          <w:tcPr>
            <w:tcW w:w="314" w:type="pct"/>
            <w:shd w:val="clear" w:color="auto" w:fill="auto"/>
            <w:noWrap/>
            <w:vAlign w:val="center"/>
            <w:hideMark/>
          </w:tcPr>
          <w:p w:rsidR="000A4482" w:rsidRPr="009E1C70" w:rsidRDefault="000A4482" w:rsidP="008A4DCE">
            <w:pPr>
              <w:jc w:val="center"/>
              <w:rPr>
                <w:rFonts w:ascii="Cambria" w:hAnsi="Cambria"/>
                <w:color w:val="000000"/>
                <w:sz w:val="16"/>
                <w:szCs w:val="16"/>
              </w:rPr>
            </w:pPr>
            <w:r w:rsidRPr="009E1C70">
              <w:rPr>
                <w:rFonts w:ascii="Cambria" w:hAnsi="Cambria"/>
                <w:color w:val="000000"/>
                <w:sz w:val="16"/>
                <w:szCs w:val="16"/>
              </w:rPr>
              <w:t>1</w:t>
            </w:r>
          </w:p>
        </w:tc>
        <w:tc>
          <w:tcPr>
            <w:tcW w:w="2046" w:type="pct"/>
            <w:shd w:val="clear" w:color="auto" w:fill="auto"/>
            <w:vAlign w:val="center"/>
            <w:hideMark/>
          </w:tcPr>
          <w:p w:rsidR="000A4482" w:rsidRPr="009E1C70" w:rsidRDefault="000A4482" w:rsidP="008A4DCE">
            <w:pPr>
              <w:rPr>
                <w:rFonts w:ascii="Cambria" w:hAnsi="Cambria"/>
                <w:color w:val="000000"/>
                <w:sz w:val="16"/>
                <w:szCs w:val="16"/>
              </w:rPr>
            </w:pPr>
            <w:r w:rsidRPr="009E1C70">
              <w:rPr>
                <w:rFonts w:ascii="Cambria" w:hAnsi="Cambria"/>
                <w:color w:val="000000"/>
                <w:sz w:val="16"/>
                <w:szCs w:val="16"/>
              </w:rPr>
              <w:t>Фундамент</w:t>
            </w:r>
          </w:p>
        </w:tc>
        <w:tc>
          <w:tcPr>
            <w:tcW w:w="2640" w:type="pct"/>
            <w:shd w:val="clear" w:color="auto" w:fill="auto"/>
            <w:vAlign w:val="center"/>
            <w:hideMark/>
          </w:tcPr>
          <w:p w:rsidR="000A4482" w:rsidRPr="009E1C70" w:rsidRDefault="000A4482" w:rsidP="008A4DCE">
            <w:pPr>
              <w:jc w:val="center"/>
              <w:rPr>
                <w:rFonts w:ascii="Cambria" w:hAnsi="Cambria"/>
                <w:color w:val="000000"/>
                <w:sz w:val="16"/>
                <w:szCs w:val="16"/>
              </w:rPr>
            </w:pPr>
            <w:r w:rsidRPr="000A4482">
              <w:rPr>
                <w:rFonts w:ascii="Cambria" w:hAnsi="Cambria"/>
                <w:color w:val="000000"/>
                <w:sz w:val="16"/>
                <w:szCs w:val="16"/>
              </w:rPr>
              <w:t>Железобетонный свайный</w:t>
            </w:r>
          </w:p>
        </w:tc>
      </w:tr>
      <w:tr w:rsidR="000A4482" w:rsidRPr="009E1C70" w:rsidTr="00A276AF">
        <w:trPr>
          <w:cantSplit/>
          <w:trHeight w:val="170"/>
        </w:trPr>
        <w:tc>
          <w:tcPr>
            <w:tcW w:w="314" w:type="pct"/>
            <w:shd w:val="clear" w:color="auto" w:fill="auto"/>
            <w:noWrap/>
            <w:vAlign w:val="center"/>
            <w:hideMark/>
          </w:tcPr>
          <w:p w:rsidR="000A4482" w:rsidRPr="009E1C70" w:rsidRDefault="000A4482" w:rsidP="008A4DCE">
            <w:pPr>
              <w:jc w:val="center"/>
              <w:rPr>
                <w:rFonts w:ascii="Cambria" w:hAnsi="Cambria"/>
                <w:color w:val="000000"/>
                <w:sz w:val="16"/>
                <w:szCs w:val="16"/>
              </w:rPr>
            </w:pPr>
            <w:r w:rsidRPr="009E1C70">
              <w:rPr>
                <w:rFonts w:ascii="Cambria" w:hAnsi="Cambria"/>
                <w:color w:val="000000"/>
                <w:sz w:val="16"/>
                <w:szCs w:val="16"/>
              </w:rPr>
              <w:t>2</w:t>
            </w:r>
          </w:p>
        </w:tc>
        <w:tc>
          <w:tcPr>
            <w:tcW w:w="2046" w:type="pct"/>
            <w:shd w:val="clear" w:color="auto" w:fill="auto"/>
            <w:vAlign w:val="center"/>
            <w:hideMark/>
          </w:tcPr>
          <w:p w:rsidR="000A4482" w:rsidRPr="009E1C70" w:rsidRDefault="000A4482" w:rsidP="008A4DCE">
            <w:pPr>
              <w:rPr>
                <w:rFonts w:ascii="Cambria" w:hAnsi="Cambria"/>
                <w:color w:val="000000"/>
                <w:sz w:val="16"/>
                <w:szCs w:val="16"/>
              </w:rPr>
            </w:pPr>
            <w:r w:rsidRPr="009E1C70">
              <w:rPr>
                <w:rFonts w:ascii="Cambria" w:hAnsi="Cambria"/>
                <w:color w:val="000000"/>
                <w:sz w:val="16"/>
                <w:szCs w:val="16"/>
              </w:rPr>
              <w:t>Стены</w:t>
            </w:r>
          </w:p>
        </w:tc>
        <w:tc>
          <w:tcPr>
            <w:tcW w:w="2640" w:type="pct"/>
            <w:shd w:val="clear" w:color="auto" w:fill="auto"/>
            <w:vAlign w:val="center"/>
            <w:hideMark/>
          </w:tcPr>
          <w:p w:rsidR="000A4482" w:rsidRPr="009E1C70" w:rsidRDefault="000A4482" w:rsidP="000A4482">
            <w:pPr>
              <w:jc w:val="center"/>
              <w:rPr>
                <w:rFonts w:ascii="Cambria" w:hAnsi="Cambria"/>
                <w:color w:val="000000"/>
                <w:sz w:val="16"/>
                <w:szCs w:val="16"/>
              </w:rPr>
            </w:pPr>
            <w:r>
              <w:rPr>
                <w:rFonts w:ascii="Cambria" w:hAnsi="Cambria"/>
                <w:color w:val="000000"/>
                <w:sz w:val="16"/>
                <w:szCs w:val="16"/>
              </w:rPr>
              <w:t>Железобетонные крупнопанельные</w:t>
            </w:r>
          </w:p>
        </w:tc>
      </w:tr>
      <w:tr w:rsidR="000A4482" w:rsidRPr="009E1C70" w:rsidTr="00A276AF">
        <w:trPr>
          <w:cantSplit/>
          <w:trHeight w:val="170"/>
        </w:trPr>
        <w:tc>
          <w:tcPr>
            <w:tcW w:w="314" w:type="pct"/>
            <w:shd w:val="clear" w:color="auto" w:fill="auto"/>
            <w:noWrap/>
            <w:vAlign w:val="center"/>
            <w:hideMark/>
          </w:tcPr>
          <w:p w:rsidR="000A4482" w:rsidRPr="009E1C70" w:rsidRDefault="000A4482" w:rsidP="008A4DCE">
            <w:pPr>
              <w:jc w:val="center"/>
              <w:rPr>
                <w:rFonts w:ascii="Cambria" w:hAnsi="Cambria"/>
                <w:color w:val="000000"/>
                <w:sz w:val="16"/>
                <w:szCs w:val="16"/>
              </w:rPr>
            </w:pPr>
            <w:r w:rsidRPr="009E1C70">
              <w:rPr>
                <w:rFonts w:ascii="Cambria" w:hAnsi="Cambria"/>
                <w:color w:val="000000"/>
                <w:sz w:val="16"/>
                <w:szCs w:val="16"/>
              </w:rPr>
              <w:t>3</w:t>
            </w:r>
          </w:p>
        </w:tc>
        <w:tc>
          <w:tcPr>
            <w:tcW w:w="2046" w:type="pct"/>
            <w:shd w:val="clear" w:color="auto" w:fill="auto"/>
            <w:vAlign w:val="center"/>
            <w:hideMark/>
          </w:tcPr>
          <w:p w:rsidR="000A4482" w:rsidRPr="009E1C70" w:rsidRDefault="000A4482" w:rsidP="008A4DCE">
            <w:pPr>
              <w:rPr>
                <w:rFonts w:ascii="Cambria" w:hAnsi="Cambria"/>
                <w:color w:val="000000"/>
                <w:sz w:val="16"/>
                <w:szCs w:val="16"/>
              </w:rPr>
            </w:pPr>
            <w:r w:rsidRPr="009E1C70">
              <w:rPr>
                <w:rFonts w:ascii="Cambria" w:hAnsi="Cambria"/>
                <w:color w:val="000000"/>
                <w:sz w:val="16"/>
                <w:szCs w:val="16"/>
              </w:rPr>
              <w:t>Перегородки</w:t>
            </w:r>
          </w:p>
        </w:tc>
        <w:tc>
          <w:tcPr>
            <w:tcW w:w="2640" w:type="pct"/>
            <w:shd w:val="clear" w:color="auto" w:fill="auto"/>
            <w:vAlign w:val="center"/>
            <w:hideMark/>
          </w:tcPr>
          <w:p w:rsidR="000A4482" w:rsidRPr="009E1C70" w:rsidRDefault="000A4482" w:rsidP="008A4DCE">
            <w:pPr>
              <w:jc w:val="center"/>
              <w:rPr>
                <w:rFonts w:ascii="Cambria" w:hAnsi="Cambria"/>
                <w:color w:val="000000"/>
                <w:sz w:val="16"/>
                <w:szCs w:val="16"/>
              </w:rPr>
            </w:pPr>
            <w:r>
              <w:rPr>
                <w:rFonts w:ascii="Cambria" w:hAnsi="Cambria"/>
                <w:color w:val="000000"/>
                <w:sz w:val="16"/>
                <w:szCs w:val="16"/>
              </w:rPr>
              <w:t>Гипсовые и асбестовые</w:t>
            </w:r>
          </w:p>
        </w:tc>
      </w:tr>
      <w:tr w:rsidR="000A4482" w:rsidRPr="009E1C70" w:rsidTr="00A276AF">
        <w:trPr>
          <w:cantSplit/>
          <w:trHeight w:val="170"/>
        </w:trPr>
        <w:tc>
          <w:tcPr>
            <w:tcW w:w="314" w:type="pct"/>
            <w:shd w:val="clear" w:color="auto" w:fill="auto"/>
            <w:noWrap/>
            <w:vAlign w:val="center"/>
          </w:tcPr>
          <w:p w:rsidR="000A4482" w:rsidRDefault="000A4482" w:rsidP="008A4DCE">
            <w:pPr>
              <w:jc w:val="center"/>
              <w:rPr>
                <w:rFonts w:ascii="Cambria" w:hAnsi="Cambria"/>
                <w:color w:val="000000"/>
                <w:sz w:val="16"/>
                <w:szCs w:val="16"/>
              </w:rPr>
            </w:pPr>
            <w:r>
              <w:rPr>
                <w:rFonts w:ascii="Cambria" w:hAnsi="Cambria"/>
                <w:color w:val="000000"/>
                <w:sz w:val="16"/>
                <w:szCs w:val="16"/>
              </w:rPr>
              <w:t>4</w:t>
            </w:r>
          </w:p>
        </w:tc>
        <w:tc>
          <w:tcPr>
            <w:tcW w:w="2046" w:type="pct"/>
            <w:shd w:val="clear" w:color="auto" w:fill="auto"/>
            <w:vAlign w:val="center"/>
          </w:tcPr>
          <w:p w:rsidR="000A4482" w:rsidRPr="009E1C70" w:rsidRDefault="000A4482" w:rsidP="008A4DCE">
            <w:pPr>
              <w:rPr>
                <w:rFonts w:ascii="Cambria" w:hAnsi="Cambria"/>
                <w:sz w:val="16"/>
                <w:szCs w:val="16"/>
              </w:rPr>
            </w:pPr>
            <w:r w:rsidRPr="000311B1">
              <w:rPr>
                <w:rFonts w:ascii="Cambria" w:hAnsi="Cambria"/>
                <w:sz w:val="16"/>
                <w:szCs w:val="16"/>
              </w:rPr>
              <w:t>Перекрытие</w:t>
            </w:r>
            <w:r>
              <w:rPr>
                <w:rFonts w:ascii="Cambria" w:hAnsi="Cambria"/>
                <w:sz w:val="16"/>
                <w:szCs w:val="16"/>
              </w:rPr>
              <w:t xml:space="preserve"> чердачное</w:t>
            </w:r>
          </w:p>
        </w:tc>
        <w:tc>
          <w:tcPr>
            <w:tcW w:w="2640" w:type="pct"/>
            <w:shd w:val="clear" w:color="auto" w:fill="auto"/>
            <w:vAlign w:val="center"/>
          </w:tcPr>
          <w:p w:rsidR="000A4482" w:rsidRDefault="000A4482" w:rsidP="008A4DCE">
            <w:pPr>
              <w:jc w:val="center"/>
              <w:rPr>
                <w:rFonts w:ascii="Cambria" w:hAnsi="Cambria"/>
                <w:color w:val="000000"/>
                <w:sz w:val="16"/>
                <w:szCs w:val="16"/>
              </w:rPr>
            </w:pPr>
            <w:r>
              <w:rPr>
                <w:rFonts w:ascii="Cambria" w:hAnsi="Cambria"/>
                <w:color w:val="000000"/>
                <w:sz w:val="16"/>
                <w:szCs w:val="16"/>
              </w:rPr>
              <w:t>-</w:t>
            </w:r>
          </w:p>
        </w:tc>
      </w:tr>
      <w:tr w:rsidR="000A4482" w:rsidRPr="009E1C70" w:rsidTr="00A276AF">
        <w:trPr>
          <w:cantSplit/>
          <w:trHeight w:val="170"/>
        </w:trPr>
        <w:tc>
          <w:tcPr>
            <w:tcW w:w="314" w:type="pct"/>
            <w:shd w:val="clear" w:color="auto" w:fill="auto"/>
            <w:noWrap/>
            <w:vAlign w:val="center"/>
            <w:hideMark/>
          </w:tcPr>
          <w:p w:rsidR="000A4482" w:rsidRPr="009E1C70" w:rsidRDefault="000A4482" w:rsidP="008A4DCE">
            <w:pPr>
              <w:jc w:val="center"/>
              <w:rPr>
                <w:rFonts w:ascii="Cambria" w:hAnsi="Cambria"/>
                <w:color w:val="000000"/>
                <w:sz w:val="16"/>
                <w:szCs w:val="16"/>
              </w:rPr>
            </w:pPr>
            <w:r>
              <w:rPr>
                <w:rFonts w:ascii="Cambria" w:hAnsi="Cambria"/>
                <w:color w:val="000000"/>
                <w:sz w:val="16"/>
                <w:szCs w:val="16"/>
              </w:rPr>
              <w:t>5</w:t>
            </w:r>
          </w:p>
        </w:tc>
        <w:tc>
          <w:tcPr>
            <w:tcW w:w="2046" w:type="pct"/>
            <w:shd w:val="clear" w:color="auto" w:fill="auto"/>
            <w:vAlign w:val="center"/>
            <w:hideMark/>
          </w:tcPr>
          <w:p w:rsidR="000A4482" w:rsidRPr="009E1C70" w:rsidRDefault="000A4482" w:rsidP="008A4DCE">
            <w:pPr>
              <w:rPr>
                <w:rFonts w:ascii="Cambria" w:hAnsi="Cambria"/>
                <w:sz w:val="16"/>
                <w:szCs w:val="16"/>
              </w:rPr>
            </w:pPr>
            <w:r w:rsidRPr="009E1C70">
              <w:rPr>
                <w:rFonts w:ascii="Cambria" w:hAnsi="Cambria"/>
                <w:sz w:val="16"/>
                <w:szCs w:val="16"/>
              </w:rPr>
              <w:t>Перекрытие междуэтажное</w:t>
            </w:r>
          </w:p>
        </w:tc>
        <w:tc>
          <w:tcPr>
            <w:tcW w:w="2640" w:type="pct"/>
            <w:shd w:val="clear" w:color="auto" w:fill="auto"/>
            <w:vAlign w:val="center"/>
            <w:hideMark/>
          </w:tcPr>
          <w:p w:rsidR="000A4482" w:rsidRPr="009E1C70" w:rsidRDefault="000A4482" w:rsidP="008A4DCE">
            <w:pPr>
              <w:jc w:val="center"/>
              <w:rPr>
                <w:rFonts w:ascii="Cambria" w:hAnsi="Cambria"/>
                <w:color w:val="000000"/>
                <w:sz w:val="16"/>
                <w:szCs w:val="16"/>
              </w:rPr>
            </w:pPr>
            <w:r>
              <w:rPr>
                <w:rFonts w:ascii="Cambria" w:hAnsi="Cambria"/>
                <w:color w:val="000000"/>
                <w:sz w:val="16"/>
                <w:szCs w:val="16"/>
              </w:rPr>
              <w:t>-</w:t>
            </w:r>
          </w:p>
        </w:tc>
      </w:tr>
      <w:tr w:rsidR="000A4482" w:rsidRPr="009E1C70" w:rsidTr="00A276AF">
        <w:trPr>
          <w:cantSplit/>
          <w:trHeight w:val="170"/>
        </w:trPr>
        <w:tc>
          <w:tcPr>
            <w:tcW w:w="314" w:type="pct"/>
            <w:shd w:val="clear" w:color="auto" w:fill="auto"/>
            <w:noWrap/>
            <w:vAlign w:val="center"/>
          </w:tcPr>
          <w:p w:rsidR="000A4482" w:rsidRPr="009E1C70" w:rsidRDefault="000A4482" w:rsidP="008A4DCE">
            <w:pPr>
              <w:jc w:val="center"/>
              <w:rPr>
                <w:rFonts w:ascii="Cambria" w:hAnsi="Cambria"/>
                <w:color w:val="000000"/>
                <w:sz w:val="16"/>
                <w:szCs w:val="16"/>
              </w:rPr>
            </w:pPr>
            <w:r>
              <w:rPr>
                <w:rFonts w:ascii="Cambria" w:hAnsi="Cambria"/>
                <w:color w:val="000000"/>
                <w:sz w:val="16"/>
                <w:szCs w:val="16"/>
              </w:rPr>
              <w:t>6</w:t>
            </w:r>
          </w:p>
        </w:tc>
        <w:tc>
          <w:tcPr>
            <w:tcW w:w="2046" w:type="pct"/>
            <w:shd w:val="clear" w:color="auto" w:fill="auto"/>
            <w:vAlign w:val="center"/>
          </w:tcPr>
          <w:p w:rsidR="000A4482" w:rsidRPr="009E1C70" w:rsidRDefault="000A4482" w:rsidP="008A4DCE">
            <w:pPr>
              <w:rPr>
                <w:rFonts w:ascii="Cambria" w:hAnsi="Cambria"/>
                <w:color w:val="000000"/>
                <w:sz w:val="16"/>
                <w:szCs w:val="16"/>
              </w:rPr>
            </w:pPr>
            <w:r w:rsidRPr="009E1C70">
              <w:rPr>
                <w:rFonts w:ascii="Cambria" w:hAnsi="Cambria"/>
                <w:color w:val="000000"/>
                <w:sz w:val="16"/>
                <w:szCs w:val="16"/>
              </w:rPr>
              <w:t>Крыша</w:t>
            </w:r>
          </w:p>
        </w:tc>
        <w:tc>
          <w:tcPr>
            <w:tcW w:w="2640" w:type="pct"/>
            <w:shd w:val="clear" w:color="000000" w:fill="FFFFFF"/>
            <w:vAlign w:val="center"/>
          </w:tcPr>
          <w:p w:rsidR="000A4482" w:rsidRPr="009E1C70" w:rsidRDefault="000A4482" w:rsidP="008A4DCE">
            <w:pPr>
              <w:jc w:val="center"/>
              <w:rPr>
                <w:rFonts w:ascii="Cambria" w:hAnsi="Cambria"/>
                <w:color w:val="000000"/>
                <w:sz w:val="16"/>
                <w:szCs w:val="16"/>
              </w:rPr>
            </w:pPr>
            <w:r>
              <w:rPr>
                <w:rFonts w:ascii="Cambria" w:hAnsi="Cambria"/>
                <w:color w:val="000000"/>
                <w:sz w:val="16"/>
                <w:szCs w:val="16"/>
              </w:rPr>
              <w:t>Металлическая</w:t>
            </w:r>
          </w:p>
        </w:tc>
      </w:tr>
      <w:tr w:rsidR="000A4482" w:rsidRPr="009E1C70" w:rsidTr="00A276AF">
        <w:trPr>
          <w:cantSplit/>
          <w:trHeight w:val="170"/>
        </w:trPr>
        <w:tc>
          <w:tcPr>
            <w:tcW w:w="314" w:type="pct"/>
            <w:shd w:val="clear" w:color="auto" w:fill="auto"/>
            <w:noWrap/>
            <w:vAlign w:val="center"/>
            <w:hideMark/>
          </w:tcPr>
          <w:p w:rsidR="000A4482" w:rsidRPr="009E1C70" w:rsidRDefault="000A4482" w:rsidP="008A4DCE">
            <w:pPr>
              <w:jc w:val="center"/>
              <w:rPr>
                <w:rFonts w:ascii="Cambria" w:hAnsi="Cambria"/>
                <w:color w:val="000000"/>
                <w:sz w:val="16"/>
                <w:szCs w:val="16"/>
              </w:rPr>
            </w:pPr>
            <w:r>
              <w:rPr>
                <w:rFonts w:ascii="Cambria" w:hAnsi="Cambria"/>
                <w:color w:val="000000"/>
                <w:sz w:val="16"/>
                <w:szCs w:val="16"/>
              </w:rPr>
              <w:t>7</w:t>
            </w:r>
          </w:p>
        </w:tc>
        <w:tc>
          <w:tcPr>
            <w:tcW w:w="2046" w:type="pct"/>
            <w:shd w:val="clear" w:color="auto" w:fill="auto"/>
            <w:vAlign w:val="center"/>
            <w:hideMark/>
          </w:tcPr>
          <w:p w:rsidR="000A4482" w:rsidRPr="009E1C70" w:rsidRDefault="000A4482" w:rsidP="008A4DCE">
            <w:pPr>
              <w:rPr>
                <w:rFonts w:ascii="Cambria" w:hAnsi="Cambria"/>
                <w:color w:val="000000"/>
                <w:sz w:val="16"/>
                <w:szCs w:val="16"/>
              </w:rPr>
            </w:pPr>
            <w:r w:rsidRPr="009E1C70">
              <w:rPr>
                <w:rFonts w:ascii="Cambria" w:hAnsi="Cambria"/>
                <w:color w:val="000000"/>
                <w:sz w:val="16"/>
                <w:szCs w:val="16"/>
              </w:rPr>
              <w:t>Полы</w:t>
            </w:r>
          </w:p>
        </w:tc>
        <w:tc>
          <w:tcPr>
            <w:tcW w:w="2640" w:type="pct"/>
            <w:shd w:val="clear" w:color="000000" w:fill="FFFFFF"/>
            <w:vAlign w:val="center"/>
            <w:hideMark/>
          </w:tcPr>
          <w:p w:rsidR="000A4482" w:rsidRPr="009E1C70" w:rsidRDefault="000A4482" w:rsidP="000A4482">
            <w:pPr>
              <w:jc w:val="center"/>
              <w:rPr>
                <w:rFonts w:ascii="Cambria" w:hAnsi="Cambria"/>
                <w:color w:val="000000"/>
                <w:sz w:val="16"/>
                <w:szCs w:val="16"/>
              </w:rPr>
            </w:pPr>
            <w:r>
              <w:rPr>
                <w:rFonts w:ascii="Cambria" w:hAnsi="Cambria"/>
                <w:color w:val="000000"/>
                <w:sz w:val="16"/>
                <w:szCs w:val="16"/>
              </w:rPr>
              <w:t>Бетонные</w:t>
            </w:r>
          </w:p>
        </w:tc>
      </w:tr>
      <w:tr w:rsidR="000A4482" w:rsidRPr="009E1C70" w:rsidTr="00A276AF">
        <w:trPr>
          <w:cantSplit/>
          <w:trHeight w:val="170"/>
        </w:trPr>
        <w:tc>
          <w:tcPr>
            <w:tcW w:w="314" w:type="pct"/>
            <w:shd w:val="clear" w:color="auto" w:fill="auto"/>
            <w:noWrap/>
            <w:vAlign w:val="center"/>
            <w:hideMark/>
          </w:tcPr>
          <w:p w:rsidR="000A4482" w:rsidRPr="009E1C70" w:rsidRDefault="000A4482" w:rsidP="008A4DCE">
            <w:pPr>
              <w:jc w:val="center"/>
              <w:rPr>
                <w:rFonts w:ascii="Cambria" w:hAnsi="Cambria"/>
                <w:color w:val="000000"/>
                <w:sz w:val="16"/>
                <w:szCs w:val="16"/>
              </w:rPr>
            </w:pPr>
            <w:r>
              <w:rPr>
                <w:rFonts w:ascii="Cambria" w:hAnsi="Cambria"/>
                <w:color w:val="000000"/>
                <w:sz w:val="16"/>
                <w:szCs w:val="16"/>
              </w:rPr>
              <w:t>9</w:t>
            </w:r>
          </w:p>
        </w:tc>
        <w:tc>
          <w:tcPr>
            <w:tcW w:w="2046" w:type="pct"/>
            <w:shd w:val="clear" w:color="auto" w:fill="auto"/>
            <w:vAlign w:val="center"/>
            <w:hideMark/>
          </w:tcPr>
          <w:p w:rsidR="000A4482" w:rsidRPr="009E1C70" w:rsidRDefault="000A4482" w:rsidP="008A4DCE">
            <w:pPr>
              <w:rPr>
                <w:rFonts w:ascii="Cambria" w:hAnsi="Cambria"/>
                <w:color w:val="000000"/>
                <w:sz w:val="16"/>
                <w:szCs w:val="16"/>
              </w:rPr>
            </w:pPr>
            <w:r w:rsidRPr="009E1C70">
              <w:rPr>
                <w:rFonts w:ascii="Cambria" w:hAnsi="Cambria"/>
                <w:color w:val="000000"/>
                <w:sz w:val="16"/>
                <w:szCs w:val="16"/>
              </w:rPr>
              <w:t>Окна</w:t>
            </w:r>
          </w:p>
        </w:tc>
        <w:tc>
          <w:tcPr>
            <w:tcW w:w="2640" w:type="pct"/>
            <w:shd w:val="clear" w:color="auto" w:fill="auto"/>
            <w:vAlign w:val="center"/>
            <w:hideMark/>
          </w:tcPr>
          <w:p w:rsidR="000A4482" w:rsidRDefault="000A4482" w:rsidP="008A4DCE">
            <w:pPr>
              <w:jc w:val="center"/>
            </w:pPr>
            <w:r>
              <w:rPr>
                <w:rFonts w:ascii="Cambria" w:hAnsi="Cambria"/>
                <w:color w:val="000000"/>
                <w:sz w:val="16"/>
                <w:szCs w:val="16"/>
              </w:rPr>
              <w:t>Стеклопакет ,оконные блоки</w:t>
            </w:r>
          </w:p>
        </w:tc>
      </w:tr>
      <w:tr w:rsidR="000A4482" w:rsidRPr="009E1C70" w:rsidTr="00A276AF">
        <w:trPr>
          <w:cantSplit/>
          <w:trHeight w:val="170"/>
        </w:trPr>
        <w:tc>
          <w:tcPr>
            <w:tcW w:w="314" w:type="pct"/>
            <w:shd w:val="clear" w:color="auto" w:fill="auto"/>
            <w:noWrap/>
            <w:vAlign w:val="center"/>
            <w:hideMark/>
          </w:tcPr>
          <w:p w:rsidR="000A4482" w:rsidRPr="009E1C70" w:rsidRDefault="000A4482" w:rsidP="008A4DCE">
            <w:pPr>
              <w:jc w:val="center"/>
              <w:rPr>
                <w:rFonts w:ascii="Cambria" w:hAnsi="Cambria"/>
                <w:color w:val="000000"/>
                <w:sz w:val="16"/>
                <w:szCs w:val="16"/>
              </w:rPr>
            </w:pPr>
            <w:r>
              <w:rPr>
                <w:rFonts w:ascii="Cambria" w:hAnsi="Cambria"/>
                <w:color w:val="000000"/>
                <w:sz w:val="16"/>
                <w:szCs w:val="16"/>
              </w:rPr>
              <w:t>8</w:t>
            </w:r>
          </w:p>
        </w:tc>
        <w:tc>
          <w:tcPr>
            <w:tcW w:w="2046" w:type="pct"/>
            <w:shd w:val="clear" w:color="auto" w:fill="auto"/>
            <w:vAlign w:val="center"/>
            <w:hideMark/>
          </w:tcPr>
          <w:p w:rsidR="000A4482" w:rsidRPr="009E1C70" w:rsidRDefault="000A4482" w:rsidP="008A4DCE">
            <w:pPr>
              <w:rPr>
                <w:rFonts w:ascii="Cambria" w:hAnsi="Cambria"/>
                <w:color w:val="000000"/>
                <w:sz w:val="16"/>
                <w:szCs w:val="16"/>
              </w:rPr>
            </w:pPr>
            <w:r w:rsidRPr="009E1C70">
              <w:rPr>
                <w:rFonts w:ascii="Cambria" w:hAnsi="Cambria"/>
                <w:color w:val="000000"/>
                <w:sz w:val="16"/>
                <w:szCs w:val="16"/>
              </w:rPr>
              <w:t>Двери</w:t>
            </w:r>
          </w:p>
        </w:tc>
        <w:tc>
          <w:tcPr>
            <w:tcW w:w="2640" w:type="pct"/>
            <w:shd w:val="clear" w:color="auto" w:fill="auto"/>
            <w:vAlign w:val="center"/>
            <w:hideMark/>
          </w:tcPr>
          <w:p w:rsidR="000A4482" w:rsidRDefault="000A4482" w:rsidP="008A4DCE">
            <w:pPr>
              <w:jc w:val="center"/>
            </w:pPr>
            <w:r>
              <w:rPr>
                <w:rFonts w:ascii="Cambria" w:hAnsi="Cambria"/>
                <w:color w:val="000000"/>
                <w:sz w:val="16"/>
                <w:szCs w:val="16"/>
              </w:rPr>
              <w:t>-</w:t>
            </w:r>
          </w:p>
        </w:tc>
      </w:tr>
      <w:tr w:rsidR="000A4482" w:rsidRPr="009E1C70" w:rsidTr="00A276AF">
        <w:trPr>
          <w:cantSplit/>
          <w:trHeight w:val="170"/>
        </w:trPr>
        <w:tc>
          <w:tcPr>
            <w:tcW w:w="314" w:type="pct"/>
            <w:shd w:val="clear" w:color="auto" w:fill="auto"/>
            <w:noWrap/>
            <w:vAlign w:val="center"/>
            <w:hideMark/>
          </w:tcPr>
          <w:p w:rsidR="000A4482" w:rsidRPr="009E1C70" w:rsidRDefault="000A4482" w:rsidP="008A4DCE">
            <w:pPr>
              <w:jc w:val="center"/>
              <w:rPr>
                <w:rFonts w:ascii="Cambria" w:hAnsi="Cambria"/>
                <w:color w:val="000000"/>
                <w:sz w:val="16"/>
                <w:szCs w:val="16"/>
              </w:rPr>
            </w:pPr>
            <w:r>
              <w:rPr>
                <w:rFonts w:ascii="Cambria" w:hAnsi="Cambria"/>
                <w:color w:val="000000"/>
                <w:sz w:val="16"/>
                <w:szCs w:val="16"/>
              </w:rPr>
              <w:t>9</w:t>
            </w:r>
          </w:p>
        </w:tc>
        <w:tc>
          <w:tcPr>
            <w:tcW w:w="2046" w:type="pct"/>
            <w:shd w:val="clear" w:color="auto" w:fill="auto"/>
            <w:vAlign w:val="center"/>
            <w:hideMark/>
          </w:tcPr>
          <w:p w:rsidR="000A4482" w:rsidRPr="009E1C70" w:rsidRDefault="000A4482" w:rsidP="008A4DCE">
            <w:pPr>
              <w:rPr>
                <w:rFonts w:ascii="Cambria" w:hAnsi="Cambria"/>
                <w:color w:val="000000"/>
                <w:sz w:val="16"/>
                <w:szCs w:val="16"/>
              </w:rPr>
            </w:pPr>
            <w:r w:rsidRPr="009E1C70">
              <w:rPr>
                <w:rFonts w:ascii="Cambria" w:hAnsi="Cambria"/>
                <w:color w:val="000000"/>
                <w:sz w:val="16"/>
                <w:szCs w:val="16"/>
              </w:rPr>
              <w:t>Отделка</w:t>
            </w:r>
          </w:p>
        </w:tc>
        <w:tc>
          <w:tcPr>
            <w:tcW w:w="2640" w:type="pct"/>
            <w:shd w:val="clear" w:color="auto" w:fill="auto"/>
            <w:vAlign w:val="center"/>
            <w:hideMark/>
          </w:tcPr>
          <w:p w:rsidR="000A4482" w:rsidRDefault="000A4482" w:rsidP="008A4DCE">
            <w:pPr>
              <w:jc w:val="center"/>
            </w:pPr>
            <w:r>
              <w:rPr>
                <w:rFonts w:ascii="Cambria" w:hAnsi="Cambria"/>
                <w:color w:val="000000"/>
                <w:sz w:val="16"/>
                <w:szCs w:val="16"/>
              </w:rPr>
              <w:t>Простая</w:t>
            </w:r>
          </w:p>
        </w:tc>
      </w:tr>
      <w:tr w:rsidR="000A4482" w:rsidRPr="009E1C70" w:rsidTr="00A276AF">
        <w:trPr>
          <w:cantSplit/>
          <w:trHeight w:val="170"/>
        </w:trPr>
        <w:tc>
          <w:tcPr>
            <w:tcW w:w="314" w:type="pct"/>
            <w:shd w:val="clear" w:color="auto" w:fill="auto"/>
            <w:noWrap/>
            <w:vAlign w:val="center"/>
            <w:hideMark/>
          </w:tcPr>
          <w:p w:rsidR="000A4482" w:rsidRPr="009E1C70" w:rsidRDefault="000A4482" w:rsidP="008A4DCE">
            <w:pPr>
              <w:jc w:val="center"/>
              <w:rPr>
                <w:rFonts w:ascii="Cambria" w:hAnsi="Cambria"/>
                <w:color w:val="000000"/>
                <w:sz w:val="16"/>
                <w:szCs w:val="16"/>
              </w:rPr>
            </w:pPr>
            <w:r>
              <w:rPr>
                <w:rFonts w:ascii="Cambria" w:hAnsi="Cambria"/>
                <w:color w:val="000000"/>
                <w:sz w:val="16"/>
                <w:szCs w:val="16"/>
              </w:rPr>
              <w:t>10</w:t>
            </w:r>
          </w:p>
        </w:tc>
        <w:tc>
          <w:tcPr>
            <w:tcW w:w="2046" w:type="pct"/>
            <w:shd w:val="clear" w:color="auto" w:fill="auto"/>
            <w:vAlign w:val="center"/>
            <w:hideMark/>
          </w:tcPr>
          <w:p w:rsidR="000A4482" w:rsidRPr="009E1C70" w:rsidRDefault="000A4482" w:rsidP="008A4DCE">
            <w:pPr>
              <w:rPr>
                <w:rFonts w:ascii="Cambria" w:hAnsi="Cambria"/>
                <w:color w:val="000000"/>
                <w:sz w:val="16"/>
                <w:szCs w:val="16"/>
              </w:rPr>
            </w:pPr>
            <w:r w:rsidRPr="009E1C70">
              <w:rPr>
                <w:rFonts w:ascii="Cambria" w:hAnsi="Cambria"/>
                <w:color w:val="000000"/>
                <w:sz w:val="16"/>
                <w:szCs w:val="16"/>
              </w:rPr>
              <w:t>Инженерно-техническое обеспечение</w:t>
            </w:r>
          </w:p>
        </w:tc>
        <w:tc>
          <w:tcPr>
            <w:tcW w:w="2640" w:type="pct"/>
            <w:shd w:val="clear" w:color="auto" w:fill="auto"/>
            <w:vAlign w:val="center"/>
            <w:hideMark/>
          </w:tcPr>
          <w:p w:rsidR="000A4482" w:rsidRDefault="000A4482" w:rsidP="000A4482">
            <w:pPr>
              <w:jc w:val="center"/>
            </w:pPr>
            <w:r>
              <w:rPr>
                <w:rFonts w:ascii="Cambria" w:hAnsi="Cambria"/>
                <w:color w:val="000000"/>
                <w:sz w:val="16"/>
                <w:szCs w:val="16"/>
              </w:rPr>
              <w:t>Э электроосвещение,  вентиляция</w:t>
            </w:r>
          </w:p>
        </w:tc>
      </w:tr>
      <w:tr w:rsidR="000A4482" w:rsidRPr="009E1C70" w:rsidTr="00A276AF">
        <w:trPr>
          <w:cantSplit/>
          <w:trHeight w:val="170"/>
        </w:trPr>
        <w:tc>
          <w:tcPr>
            <w:tcW w:w="5000" w:type="pct"/>
            <w:gridSpan w:val="3"/>
            <w:shd w:val="clear" w:color="000000" w:fill="F2F2F2"/>
            <w:noWrap/>
            <w:vAlign w:val="center"/>
            <w:hideMark/>
          </w:tcPr>
          <w:p w:rsidR="000A4482" w:rsidRPr="009E1C70" w:rsidRDefault="000A4482" w:rsidP="008A4DCE">
            <w:pPr>
              <w:jc w:val="center"/>
              <w:rPr>
                <w:rFonts w:ascii="Cambria" w:hAnsi="Cambria"/>
                <w:color w:val="000000"/>
                <w:sz w:val="16"/>
                <w:szCs w:val="16"/>
              </w:rPr>
            </w:pPr>
            <w:r w:rsidRPr="009E1C70">
              <w:rPr>
                <w:rFonts w:ascii="Cambria" w:hAnsi="Cambria"/>
                <w:color w:val="000000"/>
                <w:sz w:val="16"/>
                <w:szCs w:val="16"/>
              </w:rPr>
              <w:t>Техническое состояние</w:t>
            </w:r>
          </w:p>
        </w:tc>
      </w:tr>
      <w:tr w:rsidR="000A4482" w:rsidRPr="009E1C70" w:rsidTr="00A276AF">
        <w:trPr>
          <w:cantSplit/>
          <w:trHeight w:val="170"/>
        </w:trPr>
        <w:tc>
          <w:tcPr>
            <w:tcW w:w="314" w:type="pct"/>
            <w:shd w:val="clear" w:color="auto" w:fill="auto"/>
            <w:noWrap/>
            <w:vAlign w:val="center"/>
            <w:hideMark/>
          </w:tcPr>
          <w:p w:rsidR="000A4482" w:rsidRDefault="000A4482" w:rsidP="008A4DCE">
            <w:pPr>
              <w:jc w:val="center"/>
              <w:rPr>
                <w:rFonts w:ascii="Cambria" w:hAnsi="Cambria"/>
                <w:color w:val="000000"/>
                <w:sz w:val="16"/>
                <w:szCs w:val="16"/>
              </w:rPr>
            </w:pPr>
            <w:r>
              <w:rPr>
                <w:rFonts w:ascii="Cambria" w:hAnsi="Cambria"/>
                <w:color w:val="000000"/>
                <w:sz w:val="16"/>
                <w:szCs w:val="16"/>
              </w:rPr>
              <w:t>1</w:t>
            </w:r>
          </w:p>
        </w:tc>
        <w:tc>
          <w:tcPr>
            <w:tcW w:w="2046" w:type="pct"/>
            <w:shd w:val="clear" w:color="auto" w:fill="auto"/>
            <w:vAlign w:val="center"/>
            <w:hideMark/>
          </w:tcPr>
          <w:p w:rsidR="000A4482" w:rsidRDefault="000A4482" w:rsidP="008A4DCE">
            <w:pPr>
              <w:rPr>
                <w:rFonts w:ascii="Cambria" w:hAnsi="Cambria"/>
                <w:color w:val="000000"/>
                <w:sz w:val="16"/>
                <w:szCs w:val="16"/>
              </w:rPr>
            </w:pPr>
            <w:r>
              <w:rPr>
                <w:rFonts w:ascii="Cambria" w:hAnsi="Cambria"/>
                <w:color w:val="000000"/>
                <w:sz w:val="16"/>
                <w:szCs w:val="16"/>
              </w:rPr>
              <w:t>Физическое состояние объекта</w:t>
            </w:r>
          </w:p>
        </w:tc>
        <w:tc>
          <w:tcPr>
            <w:tcW w:w="2640" w:type="pct"/>
            <w:shd w:val="clear" w:color="auto" w:fill="auto"/>
            <w:vAlign w:val="center"/>
            <w:hideMark/>
          </w:tcPr>
          <w:p w:rsidR="000A4482" w:rsidRDefault="000A4482" w:rsidP="008A4DCE">
            <w:pPr>
              <w:jc w:val="center"/>
              <w:rPr>
                <w:rFonts w:ascii="Cambria" w:hAnsi="Cambria"/>
                <w:color w:val="000000"/>
                <w:sz w:val="16"/>
                <w:szCs w:val="16"/>
              </w:rPr>
            </w:pPr>
            <w:r>
              <w:rPr>
                <w:rFonts w:ascii="Cambria" w:hAnsi="Cambria"/>
                <w:color w:val="000000"/>
                <w:sz w:val="16"/>
                <w:szCs w:val="16"/>
              </w:rPr>
              <w:t>Требуется косметический ремонт</w:t>
            </w:r>
          </w:p>
        </w:tc>
      </w:tr>
      <w:tr w:rsidR="000A4482" w:rsidRPr="009E1C70" w:rsidTr="00A276AF">
        <w:trPr>
          <w:cantSplit/>
          <w:trHeight w:val="170"/>
        </w:trPr>
        <w:tc>
          <w:tcPr>
            <w:tcW w:w="314" w:type="pct"/>
            <w:shd w:val="clear" w:color="auto" w:fill="auto"/>
            <w:noWrap/>
            <w:vAlign w:val="center"/>
          </w:tcPr>
          <w:p w:rsidR="000A4482" w:rsidRDefault="000A4482" w:rsidP="008A4DCE">
            <w:pPr>
              <w:jc w:val="center"/>
              <w:rPr>
                <w:rFonts w:ascii="Cambria" w:hAnsi="Cambria"/>
                <w:color w:val="000000"/>
                <w:sz w:val="16"/>
                <w:szCs w:val="16"/>
              </w:rPr>
            </w:pPr>
            <w:r>
              <w:rPr>
                <w:rFonts w:ascii="Cambria" w:hAnsi="Cambria"/>
                <w:color w:val="000000"/>
                <w:sz w:val="16"/>
                <w:szCs w:val="16"/>
              </w:rPr>
              <w:t>2</w:t>
            </w:r>
          </w:p>
        </w:tc>
        <w:tc>
          <w:tcPr>
            <w:tcW w:w="2046" w:type="pct"/>
            <w:shd w:val="clear" w:color="auto" w:fill="auto"/>
            <w:vAlign w:val="center"/>
          </w:tcPr>
          <w:p w:rsidR="000A4482" w:rsidRDefault="000A4482" w:rsidP="008A4DCE">
            <w:pPr>
              <w:rPr>
                <w:rFonts w:ascii="Cambria" w:hAnsi="Cambria"/>
                <w:color w:val="000000"/>
                <w:sz w:val="16"/>
                <w:szCs w:val="16"/>
              </w:rPr>
            </w:pPr>
            <w:r>
              <w:rPr>
                <w:rFonts w:ascii="Cambria" w:hAnsi="Cambria"/>
                <w:color w:val="000000"/>
                <w:sz w:val="16"/>
                <w:szCs w:val="16"/>
              </w:rPr>
              <w:t>Износ по техническому паспорту, %</w:t>
            </w:r>
          </w:p>
        </w:tc>
        <w:tc>
          <w:tcPr>
            <w:tcW w:w="2640" w:type="pct"/>
            <w:shd w:val="clear" w:color="auto" w:fill="auto"/>
            <w:vAlign w:val="center"/>
          </w:tcPr>
          <w:p w:rsidR="000A4482" w:rsidRDefault="000A4482" w:rsidP="008A4DCE">
            <w:pPr>
              <w:jc w:val="center"/>
              <w:rPr>
                <w:rFonts w:ascii="Cambria" w:hAnsi="Cambria"/>
                <w:color w:val="000000"/>
                <w:sz w:val="16"/>
                <w:szCs w:val="16"/>
              </w:rPr>
            </w:pPr>
            <w:r>
              <w:rPr>
                <w:rFonts w:ascii="Cambria" w:hAnsi="Cambria"/>
                <w:color w:val="000000"/>
                <w:sz w:val="16"/>
                <w:szCs w:val="16"/>
              </w:rPr>
              <w:t>0,00%</w:t>
            </w:r>
          </w:p>
        </w:tc>
      </w:tr>
      <w:tr w:rsidR="000A4482" w:rsidRPr="009E1C70" w:rsidTr="00A276AF">
        <w:trPr>
          <w:cantSplit/>
          <w:trHeight w:val="170"/>
        </w:trPr>
        <w:tc>
          <w:tcPr>
            <w:tcW w:w="314" w:type="pct"/>
            <w:shd w:val="clear" w:color="auto" w:fill="auto"/>
            <w:noWrap/>
            <w:vAlign w:val="center"/>
          </w:tcPr>
          <w:p w:rsidR="000A4482" w:rsidRDefault="000A4482" w:rsidP="008A4DCE">
            <w:pPr>
              <w:jc w:val="center"/>
              <w:rPr>
                <w:rFonts w:ascii="Cambria" w:hAnsi="Cambria"/>
                <w:color w:val="000000"/>
                <w:sz w:val="16"/>
                <w:szCs w:val="16"/>
              </w:rPr>
            </w:pPr>
            <w:r>
              <w:rPr>
                <w:rFonts w:ascii="Cambria" w:hAnsi="Cambria"/>
                <w:color w:val="000000"/>
                <w:sz w:val="16"/>
                <w:szCs w:val="16"/>
              </w:rPr>
              <w:t>3</w:t>
            </w:r>
          </w:p>
        </w:tc>
        <w:tc>
          <w:tcPr>
            <w:tcW w:w="2046" w:type="pct"/>
            <w:shd w:val="clear" w:color="auto" w:fill="auto"/>
            <w:vAlign w:val="center"/>
          </w:tcPr>
          <w:p w:rsidR="000A4482" w:rsidRDefault="000A4482" w:rsidP="008A4DCE">
            <w:pPr>
              <w:rPr>
                <w:rFonts w:ascii="Calibri" w:hAnsi="Calibri"/>
                <w:color w:val="0000FF"/>
                <w:sz w:val="22"/>
                <w:szCs w:val="22"/>
                <w:u w:val="single"/>
              </w:rPr>
            </w:pPr>
            <w:r w:rsidRPr="00433753">
              <w:rPr>
                <w:rFonts w:ascii="Cambria" w:hAnsi="Cambria"/>
                <w:spacing w:val="-5"/>
                <w:sz w:val="16"/>
                <w:szCs w:val="16"/>
              </w:rPr>
              <w:t>Экспертно определенный износ, %</w:t>
            </w:r>
            <w:r w:rsidRPr="00433753">
              <w:rPr>
                <w:rFonts w:ascii="Cambria" w:hAnsi="Cambria"/>
                <w:spacing w:val="-5"/>
                <w:sz w:val="16"/>
                <w:szCs w:val="16"/>
                <w:vertAlign w:val="superscript"/>
              </w:rPr>
              <w:footnoteReference w:id="21"/>
            </w:r>
          </w:p>
        </w:tc>
        <w:tc>
          <w:tcPr>
            <w:tcW w:w="2640" w:type="pct"/>
            <w:shd w:val="clear" w:color="auto" w:fill="auto"/>
            <w:vAlign w:val="center"/>
          </w:tcPr>
          <w:p w:rsidR="000A4482" w:rsidRDefault="000A4482" w:rsidP="000A4482">
            <w:pPr>
              <w:jc w:val="center"/>
              <w:rPr>
                <w:rFonts w:ascii="Cambria" w:hAnsi="Cambria"/>
                <w:color w:val="000000"/>
                <w:sz w:val="16"/>
                <w:szCs w:val="16"/>
              </w:rPr>
            </w:pPr>
            <w:r>
              <w:rPr>
                <w:rFonts w:ascii="Cambria" w:hAnsi="Cambria"/>
                <w:color w:val="000000"/>
                <w:sz w:val="16"/>
                <w:szCs w:val="16"/>
              </w:rPr>
              <w:t>30,00%</w:t>
            </w:r>
          </w:p>
        </w:tc>
      </w:tr>
      <w:tr w:rsidR="000A4482" w:rsidRPr="009E1C70" w:rsidTr="00A276AF">
        <w:trPr>
          <w:cantSplit/>
          <w:trHeight w:val="170"/>
        </w:trPr>
        <w:tc>
          <w:tcPr>
            <w:tcW w:w="314" w:type="pct"/>
            <w:shd w:val="clear" w:color="auto" w:fill="auto"/>
            <w:noWrap/>
            <w:vAlign w:val="center"/>
          </w:tcPr>
          <w:p w:rsidR="000A4482" w:rsidRDefault="000A4482" w:rsidP="008A4DCE">
            <w:pPr>
              <w:jc w:val="center"/>
              <w:rPr>
                <w:rFonts w:ascii="Cambria" w:hAnsi="Cambria"/>
                <w:color w:val="000000"/>
                <w:sz w:val="16"/>
                <w:szCs w:val="16"/>
              </w:rPr>
            </w:pPr>
            <w:r>
              <w:rPr>
                <w:rFonts w:ascii="Cambria" w:hAnsi="Cambria"/>
                <w:color w:val="000000"/>
                <w:sz w:val="16"/>
                <w:szCs w:val="16"/>
              </w:rPr>
              <w:t>4</w:t>
            </w:r>
          </w:p>
        </w:tc>
        <w:tc>
          <w:tcPr>
            <w:tcW w:w="2046" w:type="pct"/>
            <w:shd w:val="clear" w:color="auto" w:fill="auto"/>
            <w:vAlign w:val="center"/>
          </w:tcPr>
          <w:p w:rsidR="000A4482" w:rsidRDefault="000A4482" w:rsidP="008A4DCE">
            <w:pPr>
              <w:rPr>
                <w:rFonts w:ascii="Cambria" w:hAnsi="Cambria"/>
                <w:color w:val="000000"/>
                <w:sz w:val="16"/>
                <w:szCs w:val="16"/>
              </w:rPr>
            </w:pPr>
            <w:r>
              <w:rPr>
                <w:rFonts w:ascii="Cambria" w:hAnsi="Cambria"/>
                <w:color w:val="000000"/>
                <w:sz w:val="16"/>
                <w:szCs w:val="16"/>
              </w:rPr>
              <w:t>Состояние объекта</w:t>
            </w:r>
          </w:p>
        </w:tc>
        <w:tc>
          <w:tcPr>
            <w:tcW w:w="2640" w:type="pct"/>
            <w:shd w:val="clear" w:color="auto" w:fill="auto"/>
            <w:vAlign w:val="center"/>
          </w:tcPr>
          <w:p w:rsidR="000A4482" w:rsidRDefault="000A4482">
            <w:pPr>
              <w:jc w:val="center"/>
              <w:rPr>
                <w:rFonts w:ascii="Cambria" w:hAnsi="Cambria"/>
                <w:color w:val="000000"/>
                <w:sz w:val="16"/>
                <w:szCs w:val="16"/>
              </w:rPr>
            </w:pPr>
            <w:r>
              <w:rPr>
                <w:rFonts w:ascii="Cambria" w:hAnsi="Cambria"/>
                <w:color w:val="000000"/>
                <w:sz w:val="16"/>
                <w:szCs w:val="16"/>
              </w:rPr>
              <w:t xml:space="preserve">"Удовлетворительное" </w:t>
            </w:r>
          </w:p>
        </w:tc>
      </w:tr>
      <w:tr w:rsidR="000A4482" w:rsidRPr="009E1C70" w:rsidTr="00A276AF">
        <w:trPr>
          <w:cantSplit/>
          <w:trHeight w:val="170"/>
        </w:trPr>
        <w:tc>
          <w:tcPr>
            <w:tcW w:w="314" w:type="pct"/>
            <w:shd w:val="clear" w:color="auto" w:fill="auto"/>
            <w:noWrap/>
            <w:vAlign w:val="center"/>
          </w:tcPr>
          <w:p w:rsidR="000A4482" w:rsidRDefault="000A4482" w:rsidP="008A4DCE">
            <w:pPr>
              <w:jc w:val="center"/>
              <w:rPr>
                <w:rFonts w:ascii="Cambria" w:hAnsi="Cambria"/>
                <w:color w:val="000000"/>
                <w:sz w:val="16"/>
                <w:szCs w:val="16"/>
              </w:rPr>
            </w:pPr>
            <w:r>
              <w:rPr>
                <w:rFonts w:ascii="Cambria" w:hAnsi="Cambria"/>
                <w:color w:val="000000"/>
                <w:sz w:val="16"/>
                <w:szCs w:val="16"/>
              </w:rPr>
              <w:t>5 </w:t>
            </w:r>
          </w:p>
        </w:tc>
        <w:tc>
          <w:tcPr>
            <w:tcW w:w="2046" w:type="pct"/>
            <w:shd w:val="clear" w:color="auto" w:fill="auto"/>
            <w:vAlign w:val="center"/>
          </w:tcPr>
          <w:p w:rsidR="000A4482" w:rsidRDefault="000A4482" w:rsidP="008A4DCE">
            <w:pPr>
              <w:rPr>
                <w:rFonts w:ascii="Cambria" w:hAnsi="Cambria"/>
                <w:color w:val="000000"/>
                <w:sz w:val="16"/>
                <w:szCs w:val="16"/>
              </w:rPr>
            </w:pPr>
            <w:r>
              <w:rPr>
                <w:rFonts w:ascii="Cambria" w:hAnsi="Cambria"/>
                <w:color w:val="000000"/>
                <w:sz w:val="16"/>
                <w:szCs w:val="16"/>
              </w:rPr>
              <w:t> Описание состояния объекта</w:t>
            </w:r>
          </w:p>
        </w:tc>
        <w:tc>
          <w:tcPr>
            <w:tcW w:w="2640" w:type="pct"/>
            <w:shd w:val="clear" w:color="auto" w:fill="auto"/>
            <w:vAlign w:val="center"/>
          </w:tcPr>
          <w:p w:rsidR="000A4482" w:rsidRDefault="000A4482">
            <w:pPr>
              <w:jc w:val="center"/>
              <w:rPr>
                <w:rFonts w:ascii="Cambria" w:hAnsi="Cambria"/>
                <w:color w:val="000000"/>
                <w:sz w:val="16"/>
                <w:szCs w:val="16"/>
              </w:rPr>
            </w:pPr>
            <w:r>
              <w:rPr>
                <w:rFonts w:ascii="Cambria" w:hAnsi="Cambria"/>
                <w:color w:val="000000"/>
                <w:sz w:val="16"/>
                <w:szCs w:val="16"/>
              </w:rPr>
              <w:t>Конструктивные элементы в целом пригодны для эксплуатации, но  требуют некоторого капитального ремонта, который наиболее целесообразен именно на данной стадии.</w:t>
            </w:r>
          </w:p>
        </w:tc>
      </w:tr>
    </w:tbl>
    <w:p w:rsidR="000A4482" w:rsidRPr="00391CE3" w:rsidRDefault="000A4482" w:rsidP="000A4482">
      <w:pPr>
        <w:spacing w:before="120" w:after="120"/>
        <w:jc w:val="both"/>
        <w:rPr>
          <w:rFonts w:ascii="Bookman Old Style" w:hAnsi="Bookman Old Style"/>
          <w:bCs/>
          <w:i/>
          <w:sz w:val="20"/>
          <w:szCs w:val="20"/>
        </w:rPr>
      </w:pPr>
      <w:r w:rsidRPr="00391CE3">
        <w:rPr>
          <w:rFonts w:ascii="Bookman Old Style" w:hAnsi="Bookman Old Style"/>
          <w:bCs/>
          <w:i/>
          <w:sz w:val="20"/>
          <w:szCs w:val="20"/>
        </w:rPr>
        <w:t xml:space="preserve">Информация о текущем использовании </w:t>
      </w:r>
    </w:p>
    <w:p w:rsidR="000A4482" w:rsidRDefault="000A4482" w:rsidP="000A4482">
      <w:pPr>
        <w:spacing w:before="120" w:after="120"/>
        <w:ind w:firstLine="709"/>
        <w:jc w:val="both"/>
        <w:rPr>
          <w:rFonts w:ascii="Bookman Old Style" w:hAnsi="Bookman Old Style"/>
          <w:bCs/>
          <w:sz w:val="20"/>
          <w:szCs w:val="20"/>
        </w:rPr>
      </w:pPr>
      <w:r w:rsidRPr="00391CE3">
        <w:rPr>
          <w:rFonts w:ascii="Bookman Old Style" w:hAnsi="Bookman Old Style"/>
          <w:bCs/>
          <w:sz w:val="20"/>
          <w:szCs w:val="20"/>
        </w:rPr>
        <w:t xml:space="preserve">На дату оценки </w:t>
      </w:r>
      <w:r w:rsidR="00A276AF">
        <w:rPr>
          <w:rFonts w:ascii="Bookman Old Style" w:hAnsi="Bookman Old Style"/>
          <w:bCs/>
          <w:sz w:val="20"/>
          <w:szCs w:val="20"/>
        </w:rPr>
        <w:t>с</w:t>
      </w:r>
      <w:r w:rsidR="00A276AF" w:rsidRPr="00A276AF">
        <w:rPr>
          <w:rFonts w:ascii="Bookman Old Style" w:hAnsi="Bookman Old Style"/>
          <w:bCs/>
          <w:sz w:val="20"/>
          <w:szCs w:val="20"/>
        </w:rPr>
        <w:t xml:space="preserve">клад готовой продукции </w:t>
      </w:r>
      <w:r w:rsidRPr="00391CE3">
        <w:rPr>
          <w:rFonts w:ascii="Bookman Old Style" w:hAnsi="Bookman Old Style"/>
          <w:bCs/>
          <w:sz w:val="20"/>
          <w:szCs w:val="20"/>
        </w:rPr>
        <w:t>используется</w:t>
      </w:r>
      <w:r>
        <w:rPr>
          <w:rFonts w:ascii="Bookman Old Style" w:hAnsi="Bookman Old Style"/>
          <w:bCs/>
          <w:sz w:val="20"/>
          <w:szCs w:val="20"/>
        </w:rPr>
        <w:t xml:space="preserve"> согласно прямому функциональному назначению, в качестве складского здания</w:t>
      </w:r>
      <w:r w:rsidRPr="00391CE3">
        <w:rPr>
          <w:rFonts w:ascii="Bookman Old Style" w:hAnsi="Bookman Old Style"/>
          <w:bCs/>
          <w:sz w:val="20"/>
          <w:szCs w:val="20"/>
        </w:rPr>
        <w:t>.</w:t>
      </w:r>
    </w:p>
    <w:p w:rsidR="00A276AF" w:rsidRDefault="00A276AF" w:rsidP="000A4482">
      <w:pPr>
        <w:spacing w:before="120" w:after="120"/>
        <w:ind w:firstLine="709"/>
        <w:jc w:val="both"/>
        <w:rPr>
          <w:rFonts w:ascii="Bookman Old Style" w:hAnsi="Bookman Old Style"/>
          <w:bCs/>
          <w:sz w:val="20"/>
          <w:szCs w:val="20"/>
        </w:rPr>
      </w:pPr>
    </w:p>
    <w:p w:rsidR="00A276AF" w:rsidRDefault="00A276AF" w:rsidP="000A4482">
      <w:pPr>
        <w:spacing w:before="120" w:after="120"/>
        <w:ind w:firstLine="709"/>
        <w:jc w:val="both"/>
        <w:rPr>
          <w:rFonts w:ascii="Bookman Old Style" w:hAnsi="Bookman Old Style"/>
          <w:bCs/>
          <w:sz w:val="20"/>
          <w:szCs w:val="20"/>
        </w:rPr>
      </w:pPr>
    </w:p>
    <w:p w:rsidR="00A276AF" w:rsidRDefault="00A276AF" w:rsidP="000A4482">
      <w:pPr>
        <w:spacing w:before="120" w:after="120"/>
        <w:ind w:firstLine="709"/>
        <w:jc w:val="both"/>
        <w:rPr>
          <w:rFonts w:ascii="Bookman Old Style" w:hAnsi="Bookman Old Style"/>
          <w:bCs/>
          <w:sz w:val="20"/>
          <w:szCs w:val="20"/>
        </w:rPr>
      </w:pPr>
    </w:p>
    <w:p w:rsidR="00A276AF" w:rsidRDefault="00A276AF" w:rsidP="000A4482">
      <w:pPr>
        <w:spacing w:before="120" w:after="120"/>
        <w:ind w:firstLine="709"/>
        <w:jc w:val="both"/>
        <w:rPr>
          <w:rFonts w:ascii="Bookman Old Style" w:hAnsi="Bookman Old Style"/>
          <w:bCs/>
          <w:sz w:val="20"/>
          <w:szCs w:val="20"/>
        </w:rPr>
      </w:pPr>
    </w:p>
    <w:p w:rsidR="00A276AF" w:rsidRDefault="00A276AF" w:rsidP="000A4482">
      <w:pPr>
        <w:spacing w:before="120" w:after="120"/>
        <w:ind w:firstLine="709"/>
        <w:jc w:val="both"/>
        <w:rPr>
          <w:rFonts w:ascii="Bookman Old Style" w:hAnsi="Bookman Old Style"/>
          <w:bCs/>
          <w:sz w:val="20"/>
          <w:szCs w:val="20"/>
        </w:rPr>
      </w:pPr>
    </w:p>
    <w:p w:rsidR="000A4482" w:rsidRDefault="000A4482" w:rsidP="000A4482">
      <w:pPr>
        <w:spacing w:before="120" w:after="120"/>
        <w:jc w:val="both"/>
        <w:rPr>
          <w:rFonts w:ascii="Bookman Old Style" w:hAnsi="Bookman Old Style"/>
          <w:bCs/>
          <w:i/>
          <w:sz w:val="20"/>
          <w:szCs w:val="20"/>
        </w:rPr>
      </w:pPr>
      <w:r>
        <w:rPr>
          <w:rFonts w:ascii="Bookman Old Style" w:hAnsi="Bookman Old Style"/>
          <w:bCs/>
          <w:i/>
          <w:sz w:val="20"/>
          <w:szCs w:val="20"/>
        </w:rPr>
        <w:lastRenderedPageBreak/>
        <w:t>Фото элемента Объекта оценки</w:t>
      </w:r>
    </w:p>
    <w:p w:rsidR="000A4482" w:rsidRDefault="000A4482" w:rsidP="000A4482">
      <w:pPr>
        <w:spacing w:before="120" w:after="120"/>
        <w:rPr>
          <w:rFonts w:ascii="Bookman Old Style" w:hAnsi="Bookman Old Style"/>
          <w:sz w:val="18"/>
          <w:szCs w:val="18"/>
        </w:rPr>
      </w:pPr>
      <w:r>
        <w:rPr>
          <w:rFonts w:ascii="Bookman Old Style" w:hAnsi="Bookman Old Style"/>
          <w:sz w:val="18"/>
          <w:szCs w:val="18"/>
        </w:rPr>
        <w:t xml:space="preserve">Фото № 1. Общий вид </w:t>
      </w: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r>
      <w:r>
        <w:rPr>
          <w:rFonts w:ascii="Bookman Old Style" w:hAnsi="Bookman Old Style"/>
          <w:sz w:val="18"/>
          <w:szCs w:val="18"/>
        </w:rPr>
        <w:tab/>
        <w:t xml:space="preserve">      Фото № 2. Складское помещение</w:t>
      </w:r>
    </w:p>
    <w:p w:rsidR="000A4482" w:rsidRDefault="000A4482" w:rsidP="000A4482">
      <w:pPr>
        <w:spacing w:before="120" w:after="120"/>
        <w:rPr>
          <w:rFonts w:ascii="Bookman Old Style" w:hAnsi="Bookman Old Style"/>
          <w:noProof/>
          <w:sz w:val="18"/>
          <w:szCs w:val="18"/>
        </w:rPr>
      </w:pPr>
      <w:r>
        <w:rPr>
          <w:rFonts w:ascii="Bookman Old Style" w:hAnsi="Bookman Old Style"/>
          <w:noProof/>
          <w:sz w:val="18"/>
          <w:szCs w:val="18"/>
        </w:rPr>
        <w:drawing>
          <wp:inline distT="0" distB="0" distL="0" distR="0">
            <wp:extent cx="3121660" cy="2341245"/>
            <wp:effectExtent l="0" t="0" r="2540" b="1905"/>
            <wp:docPr id="245"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3121660" cy="2341245"/>
                    </a:xfrm>
                    <a:prstGeom prst="rect">
                      <a:avLst/>
                    </a:prstGeom>
                    <a:noFill/>
                  </pic:spPr>
                </pic:pic>
              </a:graphicData>
            </a:graphic>
          </wp:inline>
        </w:drawing>
      </w:r>
      <w:r>
        <w:rPr>
          <w:rFonts w:ascii="Bookman Old Style" w:hAnsi="Bookman Old Style"/>
          <w:noProof/>
          <w:sz w:val="18"/>
          <w:szCs w:val="18"/>
        </w:rPr>
        <w:t xml:space="preserve">      </w:t>
      </w:r>
      <w:r>
        <w:rPr>
          <w:rFonts w:ascii="Bookman Old Style" w:hAnsi="Bookman Old Style"/>
          <w:noProof/>
          <w:sz w:val="18"/>
          <w:szCs w:val="18"/>
        </w:rPr>
        <w:drawing>
          <wp:inline distT="0" distB="0" distL="0" distR="0">
            <wp:extent cx="3121660" cy="2341245"/>
            <wp:effectExtent l="0" t="0" r="2540" b="1905"/>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3121660" cy="2341245"/>
                    </a:xfrm>
                    <a:prstGeom prst="rect">
                      <a:avLst/>
                    </a:prstGeom>
                    <a:noFill/>
                  </pic:spPr>
                </pic:pic>
              </a:graphicData>
            </a:graphic>
          </wp:inline>
        </w:drawing>
      </w:r>
    </w:p>
    <w:p w:rsidR="00A276AF" w:rsidRPr="00A276AF" w:rsidRDefault="00A276AF" w:rsidP="00303E37">
      <w:pPr>
        <w:pStyle w:val="aff2"/>
        <w:numPr>
          <w:ilvl w:val="0"/>
          <w:numId w:val="40"/>
        </w:numPr>
        <w:rPr>
          <w:rFonts w:ascii="Bookman Old Style" w:hAnsi="Bookman Old Style"/>
          <w:bCs/>
          <w:sz w:val="20"/>
          <w:szCs w:val="20"/>
        </w:rPr>
      </w:pPr>
      <w:r w:rsidRPr="00A276AF">
        <w:rPr>
          <w:rFonts w:ascii="Bookman Old Style" w:hAnsi="Bookman Old Style"/>
          <w:bCs/>
          <w:sz w:val="20"/>
          <w:szCs w:val="20"/>
        </w:rPr>
        <w:t>Земельный участок, категория земель: земли населенных пунктов, разрешенное использование: занимаемый производственной базой, общая площадь 12774 кв. м., адрес: г. Красноярск, ул. Айвазовского,37 «А». Кадастровый номер: 24:50:0500203:458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142"/>
        <w:gridCol w:w="5279"/>
      </w:tblGrid>
      <w:tr w:rsidR="00A276AF" w:rsidRPr="00A276AF" w:rsidTr="00D70166">
        <w:trPr>
          <w:cantSplit/>
          <w:trHeight w:val="210"/>
        </w:trPr>
        <w:tc>
          <w:tcPr>
            <w:tcW w:w="5000" w:type="pct"/>
            <w:gridSpan w:val="2"/>
            <w:shd w:val="clear" w:color="000000" w:fill="F2F2F2"/>
            <w:vAlign w:val="center"/>
            <w:hideMark/>
          </w:tcPr>
          <w:p w:rsidR="00A276AF" w:rsidRPr="00A276AF" w:rsidRDefault="00A276AF" w:rsidP="00A276AF">
            <w:pPr>
              <w:jc w:val="center"/>
              <w:rPr>
                <w:rFonts w:ascii="Cambria" w:hAnsi="Cambria"/>
                <w:b/>
                <w:bCs/>
                <w:color w:val="000000"/>
                <w:sz w:val="16"/>
                <w:szCs w:val="16"/>
              </w:rPr>
            </w:pPr>
            <w:r w:rsidRPr="00A276AF">
              <w:rPr>
                <w:rFonts w:ascii="Cambria" w:hAnsi="Cambria"/>
                <w:b/>
                <w:bCs/>
                <w:color w:val="000000"/>
                <w:sz w:val="16"/>
                <w:szCs w:val="16"/>
              </w:rPr>
              <w:t>Количественные характеристики</w:t>
            </w:r>
          </w:p>
        </w:tc>
      </w:tr>
      <w:tr w:rsidR="00A276AF" w:rsidRPr="00A276AF" w:rsidTr="00D70166">
        <w:trPr>
          <w:cantSplit/>
          <w:trHeight w:val="210"/>
        </w:trPr>
        <w:tc>
          <w:tcPr>
            <w:tcW w:w="2467" w:type="pct"/>
            <w:shd w:val="clear" w:color="auto" w:fill="auto"/>
            <w:vAlign w:val="center"/>
            <w:hideMark/>
          </w:tcPr>
          <w:p w:rsidR="00A276AF" w:rsidRPr="00A276AF" w:rsidRDefault="00A276AF" w:rsidP="00A276AF">
            <w:pPr>
              <w:rPr>
                <w:rFonts w:ascii="Cambria" w:hAnsi="Cambria"/>
                <w:color w:val="000000"/>
                <w:sz w:val="16"/>
                <w:szCs w:val="16"/>
              </w:rPr>
            </w:pPr>
            <w:r w:rsidRPr="00A276AF">
              <w:rPr>
                <w:rFonts w:ascii="Cambria" w:hAnsi="Cambria"/>
                <w:color w:val="000000"/>
                <w:sz w:val="16"/>
                <w:szCs w:val="16"/>
              </w:rPr>
              <w:t>Местоположение</w:t>
            </w:r>
          </w:p>
        </w:tc>
        <w:tc>
          <w:tcPr>
            <w:tcW w:w="2533" w:type="pct"/>
            <w:shd w:val="clear" w:color="auto" w:fill="auto"/>
            <w:vAlign w:val="center"/>
            <w:hideMark/>
          </w:tcPr>
          <w:p w:rsidR="00A276AF" w:rsidRPr="00A276AF" w:rsidRDefault="00A276AF" w:rsidP="00A276AF">
            <w:pPr>
              <w:jc w:val="center"/>
              <w:rPr>
                <w:rFonts w:ascii="Cambria" w:hAnsi="Cambria"/>
                <w:color w:val="000000"/>
                <w:sz w:val="16"/>
                <w:szCs w:val="16"/>
              </w:rPr>
            </w:pPr>
            <w:r w:rsidRPr="00A276AF">
              <w:rPr>
                <w:rFonts w:ascii="Cambria" w:hAnsi="Cambria"/>
                <w:bCs/>
                <w:color w:val="000000"/>
                <w:sz w:val="16"/>
                <w:szCs w:val="16"/>
              </w:rPr>
              <w:t>Красноярский край, г. Красноярск, ул. Айвазовского,37 «А».</w:t>
            </w:r>
          </w:p>
        </w:tc>
      </w:tr>
      <w:tr w:rsidR="00A276AF" w:rsidRPr="00A276AF" w:rsidTr="00D70166">
        <w:trPr>
          <w:cantSplit/>
          <w:trHeight w:val="210"/>
        </w:trPr>
        <w:tc>
          <w:tcPr>
            <w:tcW w:w="2467" w:type="pct"/>
            <w:shd w:val="clear" w:color="auto" w:fill="auto"/>
            <w:vAlign w:val="center"/>
            <w:hideMark/>
          </w:tcPr>
          <w:p w:rsidR="00A276AF" w:rsidRPr="00A276AF" w:rsidRDefault="00A276AF" w:rsidP="00A276AF">
            <w:pPr>
              <w:rPr>
                <w:rFonts w:ascii="Cambria" w:hAnsi="Cambria"/>
                <w:color w:val="000000"/>
                <w:sz w:val="16"/>
                <w:szCs w:val="16"/>
              </w:rPr>
            </w:pPr>
            <w:r w:rsidRPr="00A276AF">
              <w:rPr>
                <w:rFonts w:ascii="Cambria" w:hAnsi="Cambria"/>
                <w:color w:val="000000"/>
                <w:sz w:val="16"/>
                <w:szCs w:val="16"/>
              </w:rPr>
              <w:t>Кадастровый номер</w:t>
            </w:r>
          </w:p>
        </w:tc>
        <w:tc>
          <w:tcPr>
            <w:tcW w:w="2533" w:type="pct"/>
            <w:shd w:val="clear" w:color="auto" w:fill="auto"/>
            <w:noWrap/>
            <w:vAlign w:val="center"/>
            <w:hideMark/>
          </w:tcPr>
          <w:p w:rsidR="00A276AF" w:rsidRPr="00A276AF" w:rsidRDefault="00A276AF" w:rsidP="00A276AF">
            <w:pPr>
              <w:jc w:val="center"/>
              <w:rPr>
                <w:rFonts w:ascii="Cambria" w:hAnsi="Cambria"/>
                <w:color w:val="000000"/>
                <w:sz w:val="16"/>
                <w:szCs w:val="16"/>
              </w:rPr>
            </w:pPr>
            <w:r w:rsidRPr="00A276AF">
              <w:rPr>
                <w:rFonts w:ascii="Cambria" w:hAnsi="Cambria"/>
                <w:bCs/>
                <w:color w:val="000000"/>
                <w:sz w:val="16"/>
                <w:szCs w:val="16"/>
              </w:rPr>
              <w:t>24:50:0500203:458</w:t>
            </w:r>
          </w:p>
        </w:tc>
      </w:tr>
      <w:tr w:rsidR="00A276AF" w:rsidRPr="00A276AF" w:rsidTr="00D70166">
        <w:trPr>
          <w:cantSplit/>
          <w:trHeight w:val="210"/>
        </w:trPr>
        <w:tc>
          <w:tcPr>
            <w:tcW w:w="2467" w:type="pct"/>
            <w:shd w:val="clear" w:color="auto" w:fill="auto"/>
            <w:vAlign w:val="center"/>
            <w:hideMark/>
          </w:tcPr>
          <w:p w:rsidR="00A276AF" w:rsidRPr="00A276AF" w:rsidRDefault="00A276AF" w:rsidP="00A276AF">
            <w:pPr>
              <w:rPr>
                <w:rFonts w:ascii="Cambria" w:hAnsi="Cambria"/>
                <w:color w:val="000000"/>
                <w:sz w:val="16"/>
                <w:szCs w:val="16"/>
              </w:rPr>
            </w:pPr>
            <w:r w:rsidRPr="00A276AF">
              <w:rPr>
                <w:rFonts w:ascii="Cambria" w:hAnsi="Cambria"/>
                <w:color w:val="000000"/>
                <w:sz w:val="16"/>
                <w:szCs w:val="16"/>
              </w:rPr>
              <w:t>Площадь участка, кв.м.</w:t>
            </w:r>
          </w:p>
        </w:tc>
        <w:tc>
          <w:tcPr>
            <w:tcW w:w="2533" w:type="pct"/>
            <w:shd w:val="clear" w:color="auto" w:fill="auto"/>
            <w:noWrap/>
            <w:vAlign w:val="center"/>
            <w:hideMark/>
          </w:tcPr>
          <w:p w:rsidR="00A276AF" w:rsidRPr="00A276AF" w:rsidRDefault="00A276AF" w:rsidP="00A276AF">
            <w:pPr>
              <w:jc w:val="center"/>
              <w:rPr>
                <w:rFonts w:ascii="Cambria" w:hAnsi="Cambria"/>
                <w:color w:val="000000"/>
                <w:sz w:val="16"/>
                <w:szCs w:val="16"/>
              </w:rPr>
            </w:pPr>
            <w:r>
              <w:rPr>
                <w:rFonts w:ascii="Cambria" w:hAnsi="Cambria"/>
                <w:color w:val="000000"/>
                <w:sz w:val="16"/>
                <w:szCs w:val="16"/>
              </w:rPr>
              <w:t>12 774</w:t>
            </w:r>
          </w:p>
        </w:tc>
      </w:tr>
      <w:tr w:rsidR="00A276AF" w:rsidRPr="00A276AF" w:rsidTr="00D70166">
        <w:trPr>
          <w:cantSplit/>
          <w:trHeight w:val="210"/>
        </w:trPr>
        <w:tc>
          <w:tcPr>
            <w:tcW w:w="2467" w:type="pct"/>
            <w:shd w:val="clear" w:color="auto" w:fill="auto"/>
            <w:vAlign w:val="center"/>
            <w:hideMark/>
          </w:tcPr>
          <w:p w:rsidR="00A276AF" w:rsidRPr="00A276AF" w:rsidRDefault="00A276AF" w:rsidP="00A276AF">
            <w:pPr>
              <w:rPr>
                <w:rFonts w:ascii="Cambria" w:hAnsi="Cambria"/>
                <w:color w:val="000000"/>
                <w:sz w:val="16"/>
                <w:szCs w:val="16"/>
              </w:rPr>
            </w:pPr>
            <w:r w:rsidRPr="00A276AF">
              <w:rPr>
                <w:rFonts w:ascii="Cambria" w:hAnsi="Cambria"/>
                <w:color w:val="000000"/>
                <w:sz w:val="16"/>
                <w:szCs w:val="16"/>
              </w:rPr>
              <w:t>Охранная зона инженерных сетей, кв.м.</w:t>
            </w:r>
          </w:p>
        </w:tc>
        <w:tc>
          <w:tcPr>
            <w:tcW w:w="2533" w:type="pct"/>
            <w:shd w:val="clear" w:color="auto" w:fill="auto"/>
            <w:vAlign w:val="center"/>
            <w:hideMark/>
          </w:tcPr>
          <w:p w:rsidR="00A276AF" w:rsidRPr="00A276AF" w:rsidRDefault="00A276AF" w:rsidP="00A276AF">
            <w:pPr>
              <w:jc w:val="center"/>
              <w:rPr>
                <w:rFonts w:ascii="Cambria" w:hAnsi="Cambria"/>
                <w:color w:val="000000"/>
                <w:sz w:val="16"/>
                <w:szCs w:val="16"/>
              </w:rPr>
            </w:pPr>
            <w:r w:rsidRPr="00A276AF">
              <w:rPr>
                <w:rFonts w:ascii="Cambria" w:hAnsi="Cambria"/>
                <w:color w:val="000000"/>
                <w:sz w:val="16"/>
                <w:szCs w:val="16"/>
              </w:rPr>
              <w:t>н/д</w:t>
            </w:r>
          </w:p>
        </w:tc>
      </w:tr>
      <w:tr w:rsidR="00A276AF" w:rsidRPr="00A276AF" w:rsidTr="00D70166">
        <w:trPr>
          <w:cantSplit/>
          <w:trHeight w:val="210"/>
        </w:trPr>
        <w:tc>
          <w:tcPr>
            <w:tcW w:w="2467" w:type="pct"/>
            <w:shd w:val="clear" w:color="auto" w:fill="auto"/>
            <w:vAlign w:val="center"/>
            <w:hideMark/>
          </w:tcPr>
          <w:p w:rsidR="00A276AF" w:rsidRPr="00A276AF" w:rsidRDefault="00A276AF" w:rsidP="00A276AF">
            <w:pPr>
              <w:rPr>
                <w:rFonts w:ascii="Cambria" w:hAnsi="Cambria"/>
                <w:color w:val="000000"/>
                <w:sz w:val="16"/>
                <w:szCs w:val="16"/>
              </w:rPr>
            </w:pPr>
            <w:r w:rsidRPr="00A276AF">
              <w:rPr>
                <w:rFonts w:ascii="Cambria" w:hAnsi="Cambria"/>
                <w:color w:val="000000"/>
                <w:sz w:val="16"/>
                <w:szCs w:val="16"/>
              </w:rPr>
              <w:t>Категория земель</w:t>
            </w:r>
          </w:p>
        </w:tc>
        <w:tc>
          <w:tcPr>
            <w:tcW w:w="2533" w:type="pct"/>
            <w:shd w:val="clear" w:color="auto" w:fill="auto"/>
            <w:vAlign w:val="center"/>
            <w:hideMark/>
          </w:tcPr>
          <w:p w:rsidR="00A276AF" w:rsidRPr="00A276AF" w:rsidRDefault="00A276AF" w:rsidP="00A276AF">
            <w:pPr>
              <w:jc w:val="center"/>
              <w:rPr>
                <w:rFonts w:ascii="Cambria" w:hAnsi="Cambria"/>
                <w:color w:val="000000"/>
                <w:sz w:val="16"/>
                <w:szCs w:val="16"/>
              </w:rPr>
            </w:pPr>
            <w:r w:rsidRPr="00A276AF">
              <w:rPr>
                <w:rFonts w:ascii="Cambria" w:hAnsi="Cambria"/>
                <w:color w:val="000000"/>
                <w:sz w:val="16"/>
                <w:szCs w:val="16"/>
              </w:rPr>
              <w:t>Земли населенных пунктов</w:t>
            </w:r>
          </w:p>
        </w:tc>
      </w:tr>
      <w:tr w:rsidR="00A276AF" w:rsidRPr="00A276AF" w:rsidTr="00D70166">
        <w:trPr>
          <w:cantSplit/>
          <w:trHeight w:val="210"/>
        </w:trPr>
        <w:tc>
          <w:tcPr>
            <w:tcW w:w="2467" w:type="pct"/>
            <w:shd w:val="clear" w:color="auto" w:fill="auto"/>
            <w:vAlign w:val="center"/>
            <w:hideMark/>
          </w:tcPr>
          <w:p w:rsidR="00A276AF" w:rsidRPr="00A276AF" w:rsidRDefault="00A276AF" w:rsidP="00A276AF">
            <w:pPr>
              <w:rPr>
                <w:rFonts w:ascii="Cambria" w:hAnsi="Cambria"/>
                <w:color w:val="000000"/>
                <w:sz w:val="16"/>
                <w:szCs w:val="16"/>
              </w:rPr>
            </w:pPr>
            <w:r w:rsidRPr="00A276AF">
              <w:rPr>
                <w:rFonts w:ascii="Cambria" w:hAnsi="Cambria"/>
                <w:color w:val="000000"/>
                <w:sz w:val="16"/>
                <w:szCs w:val="16"/>
              </w:rPr>
              <w:t>Разрешенное использование</w:t>
            </w:r>
          </w:p>
        </w:tc>
        <w:tc>
          <w:tcPr>
            <w:tcW w:w="2533" w:type="pct"/>
            <w:shd w:val="clear" w:color="auto" w:fill="auto"/>
            <w:vAlign w:val="center"/>
            <w:hideMark/>
          </w:tcPr>
          <w:p w:rsidR="00A276AF" w:rsidRPr="00A276AF" w:rsidRDefault="00A276AF" w:rsidP="00A276AF">
            <w:pPr>
              <w:jc w:val="center"/>
              <w:rPr>
                <w:rFonts w:ascii="Cambria" w:hAnsi="Cambria"/>
                <w:color w:val="000000"/>
                <w:sz w:val="16"/>
                <w:szCs w:val="16"/>
              </w:rPr>
            </w:pPr>
            <w:r>
              <w:rPr>
                <w:rFonts w:ascii="Cambria" w:hAnsi="Cambria"/>
                <w:bCs/>
                <w:color w:val="000000"/>
                <w:sz w:val="16"/>
                <w:szCs w:val="16"/>
              </w:rPr>
              <w:t>З</w:t>
            </w:r>
            <w:r w:rsidRPr="00A276AF">
              <w:rPr>
                <w:rFonts w:ascii="Cambria" w:hAnsi="Cambria"/>
                <w:bCs/>
                <w:color w:val="000000"/>
                <w:sz w:val="16"/>
                <w:szCs w:val="16"/>
              </w:rPr>
              <w:t>анимаемый производственной базой</w:t>
            </w:r>
          </w:p>
        </w:tc>
      </w:tr>
      <w:tr w:rsidR="00A276AF" w:rsidRPr="00A276AF" w:rsidTr="00D70166">
        <w:trPr>
          <w:cantSplit/>
          <w:trHeight w:val="210"/>
        </w:trPr>
        <w:tc>
          <w:tcPr>
            <w:tcW w:w="2467" w:type="pct"/>
            <w:shd w:val="clear" w:color="auto" w:fill="auto"/>
            <w:vAlign w:val="center"/>
            <w:hideMark/>
          </w:tcPr>
          <w:p w:rsidR="00A276AF" w:rsidRPr="00A276AF" w:rsidRDefault="00A276AF" w:rsidP="00A276AF">
            <w:pPr>
              <w:rPr>
                <w:rFonts w:ascii="Cambria" w:hAnsi="Cambria"/>
                <w:color w:val="000000"/>
                <w:sz w:val="16"/>
                <w:szCs w:val="16"/>
              </w:rPr>
            </w:pPr>
            <w:r w:rsidRPr="00A276AF">
              <w:rPr>
                <w:rFonts w:ascii="Cambria" w:hAnsi="Cambria"/>
                <w:color w:val="000000"/>
                <w:sz w:val="16"/>
                <w:szCs w:val="16"/>
              </w:rPr>
              <w:t>Фактическое использование</w:t>
            </w:r>
          </w:p>
        </w:tc>
        <w:tc>
          <w:tcPr>
            <w:tcW w:w="2533" w:type="pct"/>
            <w:shd w:val="clear" w:color="auto" w:fill="auto"/>
            <w:vAlign w:val="center"/>
            <w:hideMark/>
          </w:tcPr>
          <w:p w:rsidR="00A276AF" w:rsidRPr="00A276AF" w:rsidRDefault="00A276AF" w:rsidP="00A276AF">
            <w:pPr>
              <w:jc w:val="center"/>
              <w:rPr>
                <w:rFonts w:ascii="Cambria" w:hAnsi="Cambria"/>
                <w:color w:val="000000"/>
                <w:sz w:val="16"/>
                <w:szCs w:val="16"/>
              </w:rPr>
            </w:pPr>
            <w:r w:rsidRPr="00A276AF">
              <w:rPr>
                <w:rFonts w:ascii="Cambria" w:hAnsi="Cambria"/>
                <w:bCs/>
                <w:color w:val="000000"/>
                <w:sz w:val="16"/>
                <w:szCs w:val="16"/>
              </w:rPr>
              <w:t>Занимаемый производственной базой</w:t>
            </w:r>
          </w:p>
        </w:tc>
      </w:tr>
      <w:tr w:rsidR="00A276AF" w:rsidRPr="00A276AF" w:rsidTr="00D70166">
        <w:trPr>
          <w:cantSplit/>
          <w:trHeight w:val="210"/>
        </w:trPr>
        <w:tc>
          <w:tcPr>
            <w:tcW w:w="2467" w:type="pct"/>
            <w:shd w:val="clear" w:color="auto" w:fill="auto"/>
            <w:vAlign w:val="center"/>
            <w:hideMark/>
          </w:tcPr>
          <w:p w:rsidR="00A276AF" w:rsidRPr="00A276AF" w:rsidRDefault="00A276AF" w:rsidP="00A276AF">
            <w:pPr>
              <w:rPr>
                <w:rFonts w:ascii="Cambria" w:hAnsi="Cambria"/>
                <w:color w:val="000000"/>
                <w:sz w:val="16"/>
                <w:szCs w:val="16"/>
              </w:rPr>
            </w:pPr>
            <w:r w:rsidRPr="00A276AF">
              <w:rPr>
                <w:rFonts w:ascii="Cambria" w:hAnsi="Cambria"/>
                <w:color w:val="000000"/>
                <w:sz w:val="16"/>
                <w:szCs w:val="16"/>
              </w:rPr>
              <w:t>Кадастровая стоимость, руб.</w:t>
            </w:r>
          </w:p>
        </w:tc>
        <w:tc>
          <w:tcPr>
            <w:tcW w:w="2533" w:type="pct"/>
            <w:shd w:val="clear" w:color="auto" w:fill="auto"/>
            <w:vAlign w:val="center"/>
            <w:hideMark/>
          </w:tcPr>
          <w:p w:rsidR="00A276AF" w:rsidRPr="00A276AF" w:rsidRDefault="00A276AF" w:rsidP="00A276AF">
            <w:pPr>
              <w:jc w:val="center"/>
              <w:rPr>
                <w:rFonts w:ascii="Cambria" w:hAnsi="Cambria"/>
                <w:color w:val="000000"/>
                <w:sz w:val="16"/>
                <w:szCs w:val="16"/>
              </w:rPr>
            </w:pPr>
            <w:r>
              <w:rPr>
                <w:rFonts w:ascii="Cambria" w:hAnsi="Cambria"/>
                <w:color w:val="000000"/>
                <w:sz w:val="16"/>
                <w:szCs w:val="16"/>
              </w:rPr>
              <w:t>24 333 448,08</w:t>
            </w:r>
          </w:p>
        </w:tc>
      </w:tr>
      <w:tr w:rsidR="00A276AF" w:rsidRPr="00A276AF" w:rsidTr="00D70166">
        <w:trPr>
          <w:cantSplit/>
          <w:trHeight w:val="210"/>
        </w:trPr>
        <w:tc>
          <w:tcPr>
            <w:tcW w:w="2467" w:type="pct"/>
            <w:shd w:val="clear" w:color="auto" w:fill="auto"/>
            <w:vAlign w:val="center"/>
            <w:hideMark/>
          </w:tcPr>
          <w:p w:rsidR="00A276AF" w:rsidRPr="00A276AF" w:rsidRDefault="00A276AF" w:rsidP="00A276AF">
            <w:pPr>
              <w:rPr>
                <w:rFonts w:ascii="Cambria" w:hAnsi="Cambria"/>
                <w:color w:val="000000"/>
                <w:sz w:val="16"/>
                <w:szCs w:val="16"/>
              </w:rPr>
            </w:pPr>
            <w:r w:rsidRPr="00A276AF">
              <w:rPr>
                <w:rFonts w:ascii="Cambria" w:hAnsi="Cambria"/>
                <w:color w:val="000000"/>
                <w:sz w:val="16"/>
                <w:szCs w:val="16"/>
              </w:rPr>
              <w:t>Улучшения земельного участка</w:t>
            </w:r>
          </w:p>
        </w:tc>
        <w:tc>
          <w:tcPr>
            <w:tcW w:w="2533" w:type="pct"/>
            <w:shd w:val="clear" w:color="auto" w:fill="auto"/>
            <w:vAlign w:val="center"/>
            <w:hideMark/>
          </w:tcPr>
          <w:p w:rsidR="00A276AF" w:rsidRPr="00A276AF" w:rsidRDefault="00A276AF" w:rsidP="00A276AF">
            <w:pPr>
              <w:jc w:val="center"/>
              <w:rPr>
                <w:rFonts w:ascii="Cambria" w:hAnsi="Cambria"/>
                <w:color w:val="000000"/>
                <w:sz w:val="16"/>
                <w:szCs w:val="16"/>
              </w:rPr>
            </w:pPr>
            <w:r w:rsidRPr="00A276AF">
              <w:rPr>
                <w:rFonts w:ascii="Cambria" w:hAnsi="Cambria"/>
                <w:color w:val="000000"/>
                <w:sz w:val="16"/>
                <w:szCs w:val="16"/>
              </w:rPr>
              <w:t>-</w:t>
            </w:r>
          </w:p>
        </w:tc>
      </w:tr>
      <w:tr w:rsidR="00A276AF" w:rsidRPr="00A276AF" w:rsidTr="00D70166">
        <w:trPr>
          <w:cantSplit/>
          <w:trHeight w:val="210"/>
        </w:trPr>
        <w:tc>
          <w:tcPr>
            <w:tcW w:w="5000" w:type="pct"/>
            <w:gridSpan w:val="2"/>
            <w:shd w:val="clear" w:color="000000" w:fill="F2F2F2"/>
            <w:vAlign w:val="center"/>
            <w:hideMark/>
          </w:tcPr>
          <w:p w:rsidR="00A276AF" w:rsidRPr="00A276AF" w:rsidRDefault="00A276AF" w:rsidP="00A276AF">
            <w:pPr>
              <w:jc w:val="center"/>
              <w:rPr>
                <w:rFonts w:ascii="Cambria" w:hAnsi="Cambria"/>
                <w:b/>
                <w:bCs/>
                <w:color w:val="000000"/>
                <w:sz w:val="16"/>
                <w:szCs w:val="16"/>
              </w:rPr>
            </w:pPr>
            <w:r w:rsidRPr="00A276AF">
              <w:rPr>
                <w:rFonts w:ascii="Cambria" w:hAnsi="Cambria"/>
                <w:b/>
                <w:bCs/>
                <w:color w:val="000000"/>
                <w:sz w:val="16"/>
                <w:szCs w:val="16"/>
              </w:rPr>
              <w:t>Качественные характеристики</w:t>
            </w:r>
          </w:p>
        </w:tc>
      </w:tr>
      <w:tr w:rsidR="00A276AF" w:rsidRPr="00A276AF" w:rsidTr="00D70166">
        <w:trPr>
          <w:cantSplit/>
          <w:trHeight w:val="441"/>
        </w:trPr>
        <w:tc>
          <w:tcPr>
            <w:tcW w:w="2467" w:type="pct"/>
            <w:shd w:val="clear" w:color="auto" w:fill="auto"/>
            <w:vAlign w:val="center"/>
            <w:hideMark/>
          </w:tcPr>
          <w:p w:rsidR="00A276AF" w:rsidRPr="00A276AF" w:rsidRDefault="00A276AF" w:rsidP="00A276AF">
            <w:pPr>
              <w:rPr>
                <w:rFonts w:ascii="Cambria" w:hAnsi="Cambria"/>
                <w:color w:val="000000"/>
                <w:sz w:val="16"/>
                <w:szCs w:val="16"/>
              </w:rPr>
            </w:pPr>
            <w:r w:rsidRPr="00A276AF">
              <w:rPr>
                <w:rFonts w:ascii="Cambria" w:hAnsi="Cambria"/>
                <w:color w:val="000000"/>
                <w:sz w:val="16"/>
                <w:szCs w:val="16"/>
              </w:rPr>
              <w:t>Состояние земельного участка</w:t>
            </w:r>
          </w:p>
        </w:tc>
        <w:tc>
          <w:tcPr>
            <w:tcW w:w="2533" w:type="pct"/>
            <w:shd w:val="clear" w:color="auto" w:fill="auto"/>
            <w:vAlign w:val="center"/>
            <w:hideMark/>
          </w:tcPr>
          <w:p w:rsidR="00A276AF" w:rsidRPr="00A276AF" w:rsidRDefault="00A276AF" w:rsidP="00A276AF">
            <w:pPr>
              <w:jc w:val="center"/>
              <w:rPr>
                <w:rFonts w:ascii="Cambria" w:hAnsi="Cambria"/>
                <w:color w:val="000000"/>
                <w:sz w:val="16"/>
                <w:szCs w:val="16"/>
              </w:rPr>
            </w:pPr>
            <w:r w:rsidRPr="00A276AF">
              <w:rPr>
                <w:rFonts w:ascii="Cambria" w:hAnsi="Cambria"/>
                <w:color w:val="000000"/>
                <w:sz w:val="16"/>
                <w:szCs w:val="16"/>
              </w:rPr>
              <w:t xml:space="preserve">Ровный, спланированный, годен к использованию согласно виду разрешенного использования. </w:t>
            </w:r>
          </w:p>
        </w:tc>
      </w:tr>
      <w:tr w:rsidR="00A276AF" w:rsidRPr="00A276AF" w:rsidTr="00D70166">
        <w:trPr>
          <w:cantSplit/>
          <w:trHeight w:val="420"/>
        </w:trPr>
        <w:tc>
          <w:tcPr>
            <w:tcW w:w="2467" w:type="pct"/>
            <w:shd w:val="clear" w:color="auto" w:fill="auto"/>
            <w:vAlign w:val="center"/>
            <w:hideMark/>
          </w:tcPr>
          <w:p w:rsidR="00A276AF" w:rsidRPr="00A276AF" w:rsidRDefault="00A276AF" w:rsidP="00A276AF">
            <w:pPr>
              <w:rPr>
                <w:rFonts w:ascii="Cambria" w:hAnsi="Cambria"/>
                <w:color w:val="000000"/>
                <w:sz w:val="16"/>
                <w:szCs w:val="16"/>
              </w:rPr>
            </w:pPr>
            <w:r w:rsidRPr="00A276AF">
              <w:rPr>
                <w:rFonts w:ascii="Cambria" w:hAnsi="Cambria"/>
                <w:color w:val="000000"/>
                <w:sz w:val="16"/>
                <w:szCs w:val="16"/>
              </w:rPr>
              <w:t>Информация о наличии негативных физических воздействий, загрязнений химикатами и т.д.</w:t>
            </w:r>
          </w:p>
        </w:tc>
        <w:tc>
          <w:tcPr>
            <w:tcW w:w="2533" w:type="pct"/>
            <w:shd w:val="clear" w:color="auto" w:fill="auto"/>
            <w:vAlign w:val="center"/>
            <w:hideMark/>
          </w:tcPr>
          <w:p w:rsidR="00A276AF" w:rsidRPr="00A276AF" w:rsidRDefault="00A276AF" w:rsidP="00A276AF">
            <w:pPr>
              <w:jc w:val="center"/>
              <w:rPr>
                <w:rFonts w:ascii="Cambria" w:hAnsi="Cambria"/>
                <w:color w:val="000000"/>
                <w:sz w:val="16"/>
                <w:szCs w:val="16"/>
              </w:rPr>
            </w:pPr>
            <w:r w:rsidRPr="00A276AF">
              <w:rPr>
                <w:rFonts w:ascii="Cambria" w:hAnsi="Cambria"/>
                <w:color w:val="000000"/>
                <w:sz w:val="16"/>
                <w:szCs w:val="16"/>
              </w:rPr>
              <w:t>Отсутствует</w:t>
            </w:r>
          </w:p>
        </w:tc>
      </w:tr>
      <w:tr w:rsidR="00A276AF" w:rsidRPr="00A276AF" w:rsidTr="00D70166">
        <w:trPr>
          <w:cantSplit/>
          <w:trHeight w:val="210"/>
        </w:trPr>
        <w:tc>
          <w:tcPr>
            <w:tcW w:w="2467" w:type="pct"/>
            <w:shd w:val="clear" w:color="auto" w:fill="auto"/>
            <w:vAlign w:val="center"/>
            <w:hideMark/>
          </w:tcPr>
          <w:p w:rsidR="00A276AF" w:rsidRPr="00A276AF" w:rsidRDefault="00A276AF" w:rsidP="00A276AF">
            <w:pPr>
              <w:rPr>
                <w:rFonts w:ascii="Cambria" w:hAnsi="Cambria"/>
                <w:color w:val="000000"/>
                <w:sz w:val="16"/>
                <w:szCs w:val="16"/>
              </w:rPr>
            </w:pPr>
            <w:r w:rsidRPr="00A276AF">
              <w:rPr>
                <w:rFonts w:ascii="Cambria" w:hAnsi="Cambria"/>
                <w:color w:val="000000"/>
                <w:sz w:val="16"/>
                <w:szCs w:val="16"/>
              </w:rPr>
              <w:t>Инженерное обеспечение</w:t>
            </w:r>
          </w:p>
        </w:tc>
        <w:tc>
          <w:tcPr>
            <w:tcW w:w="2533" w:type="pct"/>
            <w:shd w:val="clear" w:color="auto" w:fill="auto"/>
            <w:vAlign w:val="center"/>
            <w:hideMark/>
          </w:tcPr>
          <w:p w:rsidR="00A276AF" w:rsidRPr="00A276AF" w:rsidRDefault="00A276AF" w:rsidP="00A276AF">
            <w:pPr>
              <w:jc w:val="center"/>
              <w:rPr>
                <w:rFonts w:ascii="Cambria" w:hAnsi="Cambria"/>
                <w:color w:val="000000"/>
                <w:sz w:val="16"/>
                <w:szCs w:val="16"/>
              </w:rPr>
            </w:pPr>
            <w:r w:rsidRPr="00A276AF">
              <w:rPr>
                <w:rFonts w:ascii="Cambria" w:hAnsi="Cambria"/>
                <w:color w:val="000000"/>
                <w:sz w:val="16"/>
                <w:szCs w:val="16"/>
              </w:rPr>
              <w:t>Отсутствует</w:t>
            </w:r>
          </w:p>
        </w:tc>
      </w:tr>
      <w:tr w:rsidR="00A276AF" w:rsidRPr="00A276AF" w:rsidTr="00D70166">
        <w:trPr>
          <w:cantSplit/>
          <w:trHeight w:val="420"/>
        </w:trPr>
        <w:tc>
          <w:tcPr>
            <w:tcW w:w="2467" w:type="pct"/>
            <w:shd w:val="clear" w:color="auto" w:fill="auto"/>
            <w:noWrap/>
            <w:vAlign w:val="center"/>
            <w:hideMark/>
          </w:tcPr>
          <w:p w:rsidR="00A276AF" w:rsidRPr="00A276AF" w:rsidRDefault="00A276AF" w:rsidP="00A276AF">
            <w:pPr>
              <w:rPr>
                <w:rFonts w:ascii="Cambria" w:hAnsi="Cambria"/>
                <w:color w:val="000000"/>
                <w:sz w:val="16"/>
                <w:szCs w:val="16"/>
              </w:rPr>
            </w:pPr>
            <w:r w:rsidRPr="00A276AF">
              <w:rPr>
                <w:rFonts w:ascii="Cambria" w:hAnsi="Cambria"/>
                <w:color w:val="000000"/>
                <w:sz w:val="16"/>
                <w:szCs w:val="16"/>
              </w:rPr>
              <w:t>Информация о текущем использовании Объекта оценки</w:t>
            </w:r>
          </w:p>
        </w:tc>
        <w:tc>
          <w:tcPr>
            <w:tcW w:w="2533" w:type="pct"/>
            <w:shd w:val="clear" w:color="auto" w:fill="auto"/>
            <w:vAlign w:val="center"/>
            <w:hideMark/>
          </w:tcPr>
          <w:p w:rsidR="00A276AF" w:rsidRPr="00A276AF" w:rsidRDefault="00A276AF" w:rsidP="00A276AF">
            <w:pPr>
              <w:jc w:val="center"/>
              <w:rPr>
                <w:rFonts w:ascii="Cambria" w:hAnsi="Cambria"/>
                <w:color w:val="000000"/>
                <w:sz w:val="16"/>
                <w:szCs w:val="16"/>
              </w:rPr>
            </w:pPr>
            <w:r w:rsidRPr="00A276AF">
              <w:rPr>
                <w:rFonts w:ascii="Cambria" w:hAnsi="Cambria"/>
                <w:color w:val="000000"/>
                <w:sz w:val="16"/>
                <w:szCs w:val="16"/>
              </w:rPr>
              <w:t>Земельный участок используется согласно виду разрешенного использования.</w:t>
            </w:r>
          </w:p>
        </w:tc>
      </w:tr>
    </w:tbl>
    <w:p w:rsidR="00A276AF" w:rsidRPr="00391CE3" w:rsidRDefault="00A276AF" w:rsidP="00A276AF">
      <w:pPr>
        <w:spacing w:before="120" w:after="120"/>
        <w:jc w:val="both"/>
        <w:rPr>
          <w:rFonts w:ascii="Bookman Old Style" w:hAnsi="Bookman Old Style"/>
          <w:bCs/>
          <w:i/>
          <w:sz w:val="20"/>
          <w:szCs w:val="20"/>
        </w:rPr>
      </w:pPr>
      <w:r w:rsidRPr="00391CE3">
        <w:rPr>
          <w:rFonts w:ascii="Bookman Old Style" w:hAnsi="Bookman Old Style"/>
          <w:bCs/>
          <w:i/>
          <w:sz w:val="20"/>
          <w:szCs w:val="20"/>
        </w:rPr>
        <w:t xml:space="preserve">Информация о текущем использовании </w:t>
      </w:r>
    </w:p>
    <w:p w:rsidR="00A276AF" w:rsidRDefault="00A276AF" w:rsidP="00A276AF">
      <w:pPr>
        <w:spacing w:before="120" w:after="120"/>
        <w:ind w:firstLine="709"/>
        <w:jc w:val="both"/>
        <w:rPr>
          <w:rFonts w:ascii="Bookman Old Style" w:hAnsi="Bookman Old Style"/>
          <w:bCs/>
          <w:sz w:val="20"/>
          <w:szCs w:val="20"/>
        </w:rPr>
      </w:pPr>
      <w:r w:rsidRPr="00391CE3">
        <w:rPr>
          <w:rFonts w:ascii="Bookman Old Style" w:hAnsi="Bookman Old Style"/>
          <w:bCs/>
          <w:sz w:val="20"/>
          <w:szCs w:val="20"/>
        </w:rPr>
        <w:t xml:space="preserve">На дату оценки </w:t>
      </w:r>
      <w:r>
        <w:rPr>
          <w:rFonts w:ascii="Bookman Old Style" w:hAnsi="Bookman Old Style"/>
          <w:bCs/>
          <w:sz w:val="20"/>
          <w:szCs w:val="20"/>
        </w:rPr>
        <w:t>з</w:t>
      </w:r>
      <w:r w:rsidRPr="00A276AF">
        <w:rPr>
          <w:rFonts w:ascii="Bookman Old Style" w:hAnsi="Bookman Old Style"/>
          <w:bCs/>
          <w:sz w:val="20"/>
          <w:szCs w:val="20"/>
        </w:rPr>
        <w:t xml:space="preserve">емельный участок </w:t>
      </w:r>
      <w:r w:rsidRPr="00391CE3">
        <w:rPr>
          <w:rFonts w:ascii="Bookman Old Style" w:hAnsi="Bookman Old Style"/>
          <w:bCs/>
          <w:sz w:val="20"/>
          <w:szCs w:val="20"/>
        </w:rPr>
        <w:t>используется</w:t>
      </w:r>
      <w:r>
        <w:rPr>
          <w:rFonts w:ascii="Bookman Old Style" w:hAnsi="Bookman Old Style"/>
          <w:bCs/>
          <w:sz w:val="20"/>
          <w:szCs w:val="20"/>
        </w:rPr>
        <w:t xml:space="preserve"> согласно прямому функциональному назначению, для размещения </w:t>
      </w:r>
      <w:r w:rsidRPr="00A276AF">
        <w:rPr>
          <w:rFonts w:ascii="Bookman Old Style" w:hAnsi="Bookman Old Style"/>
          <w:bCs/>
          <w:sz w:val="20"/>
          <w:szCs w:val="20"/>
        </w:rPr>
        <w:t>производственной баз</w:t>
      </w:r>
      <w:r>
        <w:rPr>
          <w:rFonts w:ascii="Bookman Old Style" w:hAnsi="Bookman Old Style"/>
          <w:bCs/>
          <w:sz w:val="20"/>
          <w:szCs w:val="20"/>
        </w:rPr>
        <w:t>ы</w:t>
      </w:r>
      <w:r w:rsidRPr="00391CE3">
        <w:rPr>
          <w:rFonts w:ascii="Bookman Old Style" w:hAnsi="Bookman Old Style"/>
          <w:bCs/>
          <w:sz w:val="20"/>
          <w:szCs w:val="20"/>
        </w:rPr>
        <w:t>.</w:t>
      </w:r>
    </w:p>
    <w:p w:rsidR="00A276AF" w:rsidRPr="003F76D5" w:rsidRDefault="00A276AF" w:rsidP="00A276AF">
      <w:pPr>
        <w:pStyle w:val="3"/>
        <w:spacing w:after="120"/>
        <w:rPr>
          <w:rFonts w:ascii="Bookman Old Style" w:hAnsi="Bookman Old Style"/>
          <w:sz w:val="20"/>
          <w:szCs w:val="20"/>
        </w:rPr>
      </w:pPr>
      <w:bookmarkStart w:id="177" w:name="_Toc461206369"/>
      <w:r w:rsidRPr="003F76D5">
        <w:rPr>
          <w:rFonts w:ascii="Bookman Old Style" w:hAnsi="Bookman Old Style"/>
          <w:sz w:val="20"/>
          <w:szCs w:val="20"/>
        </w:rPr>
        <w:t>3.2.</w:t>
      </w:r>
      <w:r>
        <w:rPr>
          <w:rFonts w:ascii="Bookman Old Style" w:hAnsi="Bookman Old Style"/>
          <w:sz w:val="20"/>
          <w:szCs w:val="20"/>
        </w:rPr>
        <w:t>3.2.</w:t>
      </w:r>
      <w:r w:rsidRPr="003F76D5">
        <w:rPr>
          <w:rFonts w:ascii="Bookman Old Style" w:hAnsi="Bookman Old Style"/>
          <w:sz w:val="20"/>
          <w:szCs w:val="20"/>
        </w:rPr>
        <w:t xml:space="preserve"> </w:t>
      </w:r>
      <w:r>
        <w:rPr>
          <w:rFonts w:ascii="Bookman Old Style" w:hAnsi="Bookman Old Style"/>
          <w:sz w:val="20"/>
          <w:szCs w:val="20"/>
        </w:rPr>
        <w:t>Количественные и качественные характеристики движимого имущества</w:t>
      </w:r>
      <w:bookmarkEnd w:id="177"/>
      <w:r>
        <w:rPr>
          <w:rFonts w:ascii="Bookman Old Style" w:hAnsi="Bookman Old Style"/>
          <w:sz w:val="20"/>
          <w:szCs w:val="20"/>
        </w:rPr>
        <w:t xml:space="preserve"> </w:t>
      </w:r>
    </w:p>
    <w:p w:rsidR="00A276AF" w:rsidRDefault="00A276AF" w:rsidP="00A276AF">
      <w:pPr>
        <w:spacing w:before="120" w:after="120"/>
        <w:ind w:firstLine="709"/>
        <w:jc w:val="both"/>
        <w:rPr>
          <w:rFonts w:ascii="Bookman Old Style" w:hAnsi="Bookman Old Style"/>
          <w:sz w:val="20"/>
          <w:szCs w:val="20"/>
          <w:vertAlign w:val="superscript"/>
        </w:rPr>
      </w:pPr>
      <w:r w:rsidRPr="00100842">
        <w:rPr>
          <w:rFonts w:ascii="Bookman Old Style" w:hAnsi="Bookman Old Style"/>
          <w:sz w:val="20"/>
          <w:szCs w:val="20"/>
        </w:rPr>
        <w:t xml:space="preserve">В результате </w:t>
      </w:r>
      <w:r w:rsidRPr="00EF0D3D">
        <w:rPr>
          <w:rFonts w:ascii="Bookman Old Style" w:hAnsi="Bookman Old Style"/>
          <w:sz w:val="20"/>
          <w:szCs w:val="20"/>
        </w:rPr>
        <w:t>анализа имеющейся документации</w:t>
      </w:r>
      <w:r w:rsidRPr="00100842">
        <w:rPr>
          <w:rFonts w:ascii="Bookman Old Style" w:hAnsi="Bookman Old Style"/>
          <w:sz w:val="20"/>
          <w:szCs w:val="20"/>
        </w:rPr>
        <w:t xml:space="preserve">, </w:t>
      </w:r>
      <w:r>
        <w:rPr>
          <w:rFonts w:ascii="Bookman Old Style" w:hAnsi="Bookman Old Style"/>
          <w:sz w:val="20"/>
          <w:szCs w:val="20"/>
        </w:rPr>
        <w:t xml:space="preserve">предоставленной Заказчиком оценки определены </w:t>
      </w:r>
      <w:r w:rsidRPr="00100842">
        <w:rPr>
          <w:rFonts w:ascii="Bookman Old Style" w:hAnsi="Bookman Old Style"/>
          <w:sz w:val="20"/>
          <w:szCs w:val="20"/>
        </w:rPr>
        <w:t>основные количественные и качественные характеристики</w:t>
      </w:r>
      <w:r>
        <w:rPr>
          <w:rFonts w:ascii="Bookman Old Style" w:hAnsi="Bookman Old Style"/>
          <w:sz w:val="20"/>
          <w:szCs w:val="20"/>
        </w:rPr>
        <w:t xml:space="preserve"> движимого имущества</w:t>
      </w:r>
      <w:r w:rsidRPr="00100842">
        <w:rPr>
          <w:rFonts w:ascii="Bookman Old Style" w:hAnsi="Bookman Old Style"/>
          <w:sz w:val="20"/>
          <w:szCs w:val="20"/>
          <w:vertAlign w:val="superscript"/>
        </w:rPr>
        <w:footnoteReference w:id="22"/>
      </w:r>
      <w:r w:rsidRPr="00100842">
        <w:rPr>
          <w:rFonts w:ascii="Bookman Old Style" w:hAnsi="Bookman Old Style"/>
          <w:sz w:val="20"/>
          <w:szCs w:val="20"/>
          <w:vertAlign w:val="superscript"/>
        </w:rPr>
        <w:t>,</w:t>
      </w:r>
    </w:p>
    <w:p w:rsidR="00A276AF" w:rsidRDefault="00A276AF" w:rsidP="00A276AF">
      <w:pPr>
        <w:spacing w:before="120" w:after="120"/>
        <w:ind w:firstLine="709"/>
        <w:jc w:val="both"/>
        <w:rPr>
          <w:rFonts w:ascii="Bookman Old Style" w:hAnsi="Bookman Old Style"/>
          <w:sz w:val="20"/>
          <w:szCs w:val="20"/>
          <w:vertAlign w:val="superscript"/>
        </w:rPr>
      </w:pPr>
    </w:p>
    <w:p w:rsidR="00A276AF" w:rsidRDefault="00A276AF" w:rsidP="00A276AF">
      <w:pPr>
        <w:spacing w:before="120" w:after="120"/>
        <w:ind w:firstLine="709"/>
        <w:jc w:val="both"/>
        <w:rPr>
          <w:rFonts w:ascii="Bookman Old Style" w:hAnsi="Bookman Old Style"/>
          <w:sz w:val="20"/>
          <w:szCs w:val="20"/>
          <w:vertAlign w:val="superscript"/>
        </w:rPr>
      </w:pPr>
    </w:p>
    <w:p w:rsidR="00A276AF" w:rsidRDefault="00A276AF" w:rsidP="00A276AF">
      <w:pPr>
        <w:spacing w:before="120" w:after="120"/>
        <w:ind w:firstLine="709"/>
        <w:jc w:val="both"/>
        <w:rPr>
          <w:rFonts w:ascii="Bookman Old Style" w:hAnsi="Bookman Old Style"/>
          <w:sz w:val="20"/>
          <w:szCs w:val="20"/>
          <w:vertAlign w:val="superscript"/>
        </w:rPr>
      </w:pPr>
    </w:p>
    <w:p w:rsidR="00A276AF" w:rsidRDefault="00A276AF" w:rsidP="00A276AF">
      <w:pPr>
        <w:spacing w:before="120" w:after="120"/>
        <w:ind w:firstLine="709"/>
        <w:jc w:val="both"/>
        <w:rPr>
          <w:rFonts w:ascii="Bookman Old Style" w:hAnsi="Bookman Old Style"/>
          <w:sz w:val="20"/>
          <w:szCs w:val="20"/>
          <w:vertAlign w:val="superscript"/>
        </w:rPr>
      </w:pPr>
    </w:p>
    <w:p w:rsidR="00A276AF" w:rsidRDefault="00A276AF" w:rsidP="00A276AF">
      <w:pPr>
        <w:spacing w:before="120" w:after="120"/>
        <w:ind w:firstLine="709"/>
        <w:jc w:val="both"/>
        <w:rPr>
          <w:rFonts w:ascii="Bookman Old Style" w:hAnsi="Bookman Old Style"/>
          <w:sz w:val="20"/>
          <w:szCs w:val="20"/>
          <w:vertAlign w:val="superscript"/>
        </w:rPr>
      </w:pPr>
    </w:p>
    <w:p w:rsidR="00A276AF" w:rsidRPr="00337C0E" w:rsidRDefault="00A276AF" w:rsidP="00A276AF">
      <w:pPr>
        <w:spacing w:before="120" w:after="120"/>
        <w:ind w:firstLine="709"/>
        <w:jc w:val="both"/>
        <w:rPr>
          <w:rFonts w:ascii="Bookman Old Style" w:hAnsi="Bookman Old Style"/>
          <w:sz w:val="20"/>
          <w:szCs w:val="20"/>
        </w:rPr>
      </w:pPr>
    </w:p>
    <w:p w:rsidR="00A276AF" w:rsidRDefault="00A276AF" w:rsidP="00A276AF">
      <w:pPr>
        <w:spacing w:before="120"/>
        <w:ind w:left="357"/>
        <w:jc w:val="right"/>
        <w:rPr>
          <w:rFonts w:ascii="Bookman Old Style" w:hAnsi="Bookman Old Style"/>
          <w:b/>
          <w:bCs/>
          <w:sz w:val="20"/>
          <w:szCs w:val="20"/>
        </w:rPr>
      </w:pPr>
      <w:r w:rsidRPr="00337C0E">
        <w:rPr>
          <w:rFonts w:ascii="Bookman Old Style" w:hAnsi="Bookman Old Style"/>
          <w:b/>
          <w:bCs/>
          <w:sz w:val="20"/>
          <w:szCs w:val="20"/>
        </w:rPr>
        <w:lastRenderedPageBreak/>
        <w:t>Таблица 3.</w:t>
      </w:r>
      <w:r>
        <w:rPr>
          <w:rFonts w:ascii="Bookman Old Style" w:hAnsi="Bookman Old Style"/>
          <w:b/>
          <w:bCs/>
          <w:sz w:val="20"/>
          <w:szCs w:val="20"/>
        </w:rPr>
        <w:t>2</w:t>
      </w:r>
      <w:r w:rsidRPr="00337C0E">
        <w:rPr>
          <w:rFonts w:ascii="Bookman Old Style" w:hAnsi="Bookman Old Style"/>
          <w:b/>
          <w:bCs/>
          <w:sz w:val="20"/>
          <w:szCs w:val="20"/>
        </w:rPr>
        <w:t>.</w:t>
      </w:r>
      <w:r w:rsidR="00DB0AEE">
        <w:rPr>
          <w:rFonts w:ascii="Bookman Old Style" w:hAnsi="Bookman Old Style"/>
          <w:b/>
          <w:bCs/>
          <w:sz w:val="20"/>
          <w:szCs w:val="20"/>
        </w:rPr>
        <w:t>3</w:t>
      </w:r>
      <w:r w:rsidRPr="00337C0E">
        <w:rPr>
          <w:rFonts w:ascii="Bookman Old Style" w:hAnsi="Bookman Old Style"/>
          <w:b/>
          <w:bCs/>
          <w:sz w:val="20"/>
          <w:szCs w:val="20"/>
        </w:rPr>
        <w:t>.</w:t>
      </w:r>
      <w:r>
        <w:rPr>
          <w:rFonts w:ascii="Bookman Old Style" w:hAnsi="Bookman Old Style"/>
          <w:b/>
          <w:bCs/>
          <w:sz w:val="20"/>
          <w:szCs w:val="20"/>
        </w:rPr>
        <w:t>2.</w:t>
      </w:r>
      <w:r w:rsidRPr="00337C0E">
        <w:rPr>
          <w:rFonts w:ascii="Bookman Old Style" w:hAnsi="Bookman Old Style"/>
          <w:b/>
          <w:bCs/>
          <w:sz w:val="20"/>
          <w:szCs w:val="20"/>
        </w:rPr>
        <w:t>1. Количественный состав элементов Объектов оценки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5"/>
        <w:gridCol w:w="2388"/>
        <w:gridCol w:w="794"/>
        <w:gridCol w:w="3499"/>
        <w:gridCol w:w="1932"/>
        <w:gridCol w:w="1313"/>
      </w:tblGrid>
      <w:tr w:rsidR="00A276AF" w:rsidRPr="00A276AF" w:rsidTr="00F87C61">
        <w:trPr>
          <w:cantSplit/>
          <w:trHeight w:val="227"/>
        </w:trPr>
        <w:tc>
          <w:tcPr>
            <w:tcW w:w="237" w:type="pct"/>
            <w:vMerge w:val="restart"/>
            <w:shd w:val="clear" w:color="000000" w:fill="F2F2F2"/>
            <w:vAlign w:val="center"/>
            <w:hideMark/>
          </w:tcPr>
          <w:p w:rsidR="00A276AF" w:rsidRPr="00A276AF" w:rsidRDefault="00A276AF" w:rsidP="00D70166">
            <w:pPr>
              <w:jc w:val="center"/>
              <w:rPr>
                <w:rFonts w:asciiTheme="majorHAnsi" w:hAnsiTheme="majorHAnsi"/>
                <w:b/>
                <w:bCs/>
                <w:color w:val="000000"/>
                <w:sz w:val="16"/>
                <w:szCs w:val="16"/>
              </w:rPr>
            </w:pPr>
            <w:r w:rsidRPr="00A276AF">
              <w:rPr>
                <w:rFonts w:asciiTheme="majorHAnsi" w:hAnsiTheme="majorHAnsi"/>
                <w:b/>
                <w:bCs/>
                <w:color w:val="000000"/>
                <w:sz w:val="16"/>
                <w:szCs w:val="16"/>
              </w:rPr>
              <w:t>№ п.п.</w:t>
            </w:r>
          </w:p>
        </w:tc>
        <w:tc>
          <w:tcPr>
            <w:tcW w:w="1146" w:type="pct"/>
            <w:vMerge w:val="restart"/>
            <w:shd w:val="clear" w:color="000000" w:fill="F2F2F2"/>
            <w:vAlign w:val="center"/>
            <w:hideMark/>
          </w:tcPr>
          <w:p w:rsidR="00A276AF" w:rsidRPr="00A276AF" w:rsidRDefault="00A276AF" w:rsidP="00D70166">
            <w:pPr>
              <w:jc w:val="center"/>
              <w:rPr>
                <w:rFonts w:asciiTheme="majorHAnsi" w:hAnsiTheme="majorHAnsi"/>
                <w:b/>
                <w:bCs/>
                <w:color w:val="000000"/>
                <w:sz w:val="16"/>
                <w:szCs w:val="16"/>
              </w:rPr>
            </w:pPr>
            <w:r w:rsidRPr="00A276AF">
              <w:rPr>
                <w:rFonts w:asciiTheme="majorHAnsi" w:hAnsiTheme="majorHAnsi"/>
                <w:b/>
                <w:bCs/>
                <w:color w:val="000000"/>
                <w:sz w:val="16"/>
                <w:szCs w:val="16"/>
              </w:rPr>
              <w:t>Наименование элемента Объекта оценки</w:t>
            </w:r>
          </w:p>
        </w:tc>
        <w:tc>
          <w:tcPr>
            <w:tcW w:w="381" w:type="pct"/>
            <w:vMerge w:val="restart"/>
            <w:shd w:val="clear" w:color="000000" w:fill="F2F2F2"/>
            <w:vAlign w:val="center"/>
            <w:hideMark/>
          </w:tcPr>
          <w:p w:rsidR="00A276AF" w:rsidRPr="00A276AF" w:rsidRDefault="00A276AF" w:rsidP="00D70166">
            <w:pPr>
              <w:jc w:val="center"/>
              <w:rPr>
                <w:rFonts w:asciiTheme="majorHAnsi" w:hAnsiTheme="majorHAnsi"/>
                <w:b/>
                <w:bCs/>
                <w:color w:val="000000"/>
                <w:sz w:val="16"/>
                <w:szCs w:val="16"/>
              </w:rPr>
            </w:pPr>
            <w:r w:rsidRPr="00A276AF">
              <w:rPr>
                <w:rFonts w:asciiTheme="majorHAnsi" w:hAnsiTheme="majorHAnsi"/>
                <w:b/>
                <w:bCs/>
                <w:color w:val="000000"/>
                <w:sz w:val="16"/>
                <w:szCs w:val="16"/>
              </w:rPr>
              <w:t>Кол-во, шт</w:t>
            </w:r>
          </w:p>
        </w:tc>
        <w:tc>
          <w:tcPr>
            <w:tcW w:w="1679" w:type="pct"/>
            <w:vMerge w:val="restart"/>
            <w:shd w:val="clear" w:color="000000" w:fill="F2F2F2"/>
            <w:vAlign w:val="center"/>
            <w:hideMark/>
          </w:tcPr>
          <w:p w:rsidR="00A276AF" w:rsidRPr="00A276AF" w:rsidRDefault="00A276AF" w:rsidP="00D70166">
            <w:pPr>
              <w:jc w:val="center"/>
              <w:rPr>
                <w:rFonts w:asciiTheme="majorHAnsi" w:hAnsiTheme="majorHAnsi"/>
                <w:b/>
                <w:bCs/>
                <w:color w:val="000000"/>
                <w:sz w:val="16"/>
                <w:szCs w:val="16"/>
              </w:rPr>
            </w:pPr>
            <w:r w:rsidRPr="00A276AF">
              <w:rPr>
                <w:rFonts w:asciiTheme="majorHAnsi" w:hAnsiTheme="majorHAnsi"/>
                <w:b/>
                <w:bCs/>
                <w:color w:val="000000"/>
                <w:sz w:val="16"/>
                <w:szCs w:val="16"/>
              </w:rPr>
              <w:t>Количественные</w:t>
            </w:r>
            <w:r>
              <w:rPr>
                <w:rFonts w:asciiTheme="majorHAnsi" w:hAnsiTheme="majorHAnsi"/>
                <w:b/>
                <w:bCs/>
                <w:color w:val="000000"/>
                <w:sz w:val="16"/>
                <w:szCs w:val="16"/>
              </w:rPr>
              <w:t xml:space="preserve"> и качественные </w:t>
            </w:r>
            <w:r w:rsidRPr="00A276AF">
              <w:rPr>
                <w:rFonts w:asciiTheme="majorHAnsi" w:hAnsiTheme="majorHAnsi"/>
                <w:b/>
                <w:bCs/>
                <w:color w:val="000000"/>
                <w:sz w:val="16"/>
                <w:szCs w:val="16"/>
              </w:rPr>
              <w:t xml:space="preserve"> характеристики</w:t>
            </w:r>
          </w:p>
        </w:tc>
        <w:tc>
          <w:tcPr>
            <w:tcW w:w="1558" w:type="pct"/>
            <w:gridSpan w:val="2"/>
            <w:shd w:val="clear" w:color="000000" w:fill="F2F2F2"/>
            <w:vAlign w:val="center"/>
            <w:hideMark/>
          </w:tcPr>
          <w:p w:rsidR="00A276AF" w:rsidRPr="00A276AF" w:rsidRDefault="00A276AF" w:rsidP="00D70166">
            <w:pPr>
              <w:jc w:val="center"/>
              <w:rPr>
                <w:rFonts w:asciiTheme="majorHAnsi" w:hAnsiTheme="majorHAnsi"/>
                <w:b/>
                <w:bCs/>
                <w:color w:val="000000"/>
                <w:sz w:val="16"/>
                <w:szCs w:val="16"/>
              </w:rPr>
            </w:pPr>
            <w:r w:rsidRPr="00A276AF">
              <w:rPr>
                <w:rFonts w:asciiTheme="majorHAnsi" w:hAnsiTheme="majorHAnsi"/>
                <w:b/>
                <w:bCs/>
                <w:color w:val="000000"/>
                <w:sz w:val="16"/>
                <w:szCs w:val="16"/>
              </w:rPr>
              <w:t>Качественная характеристика</w:t>
            </w:r>
          </w:p>
        </w:tc>
      </w:tr>
      <w:tr w:rsidR="00A276AF" w:rsidRPr="00A276AF" w:rsidTr="00F87C61">
        <w:trPr>
          <w:cantSplit/>
          <w:trHeight w:val="227"/>
        </w:trPr>
        <w:tc>
          <w:tcPr>
            <w:tcW w:w="237" w:type="pct"/>
            <w:vMerge/>
            <w:vAlign w:val="center"/>
            <w:hideMark/>
          </w:tcPr>
          <w:p w:rsidR="00A276AF" w:rsidRPr="00A276AF" w:rsidRDefault="00A276AF" w:rsidP="00D70166">
            <w:pPr>
              <w:rPr>
                <w:rFonts w:asciiTheme="majorHAnsi" w:hAnsiTheme="majorHAnsi"/>
                <w:b/>
                <w:bCs/>
                <w:color w:val="000000"/>
                <w:sz w:val="16"/>
                <w:szCs w:val="16"/>
              </w:rPr>
            </w:pPr>
          </w:p>
        </w:tc>
        <w:tc>
          <w:tcPr>
            <w:tcW w:w="1146" w:type="pct"/>
            <w:vMerge/>
            <w:vAlign w:val="center"/>
            <w:hideMark/>
          </w:tcPr>
          <w:p w:rsidR="00A276AF" w:rsidRPr="00A276AF" w:rsidRDefault="00A276AF" w:rsidP="00D70166">
            <w:pPr>
              <w:rPr>
                <w:rFonts w:asciiTheme="majorHAnsi" w:hAnsiTheme="majorHAnsi"/>
                <w:b/>
                <w:bCs/>
                <w:color w:val="000000"/>
                <w:sz w:val="16"/>
                <w:szCs w:val="16"/>
              </w:rPr>
            </w:pPr>
          </w:p>
        </w:tc>
        <w:tc>
          <w:tcPr>
            <w:tcW w:w="381" w:type="pct"/>
            <w:vMerge/>
            <w:vAlign w:val="center"/>
            <w:hideMark/>
          </w:tcPr>
          <w:p w:rsidR="00A276AF" w:rsidRPr="00A276AF" w:rsidRDefault="00A276AF" w:rsidP="00D70166">
            <w:pPr>
              <w:rPr>
                <w:rFonts w:asciiTheme="majorHAnsi" w:hAnsiTheme="majorHAnsi"/>
                <w:b/>
                <w:bCs/>
                <w:color w:val="000000"/>
                <w:sz w:val="16"/>
                <w:szCs w:val="16"/>
              </w:rPr>
            </w:pPr>
          </w:p>
        </w:tc>
        <w:tc>
          <w:tcPr>
            <w:tcW w:w="1679" w:type="pct"/>
            <w:vMerge/>
            <w:vAlign w:val="center"/>
            <w:hideMark/>
          </w:tcPr>
          <w:p w:rsidR="00A276AF" w:rsidRPr="00A276AF" w:rsidRDefault="00A276AF" w:rsidP="00D70166">
            <w:pPr>
              <w:rPr>
                <w:rFonts w:asciiTheme="majorHAnsi" w:hAnsiTheme="majorHAnsi"/>
                <w:b/>
                <w:bCs/>
                <w:color w:val="000000"/>
                <w:sz w:val="16"/>
                <w:szCs w:val="16"/>
              </w:rPr>
            </w:pPr>
          </w:p>
        </w:tc>
        <w:tc>
          <w:tcPr>
            <w:tcW w:w="927" w:type="pct"/>
            <w:shd w:val="clear" w:color="000000" w:fill="F2F2F2"/>
            <w:noWrap/>
            <w:vAlign w:val="center"/>
            <w:hideMark/>
          </w:tcPr>
          <w:p w:rsidR="00A276AF" w:rsidRPr="00A276AF" w:rsidRDefault="00A276AF" w:rsidP="00D70166">
            <w:pPr>
              <w:jc w:val="center"/>
              <w:rPr>
                <w:rFonts w:asciiTheme="majorHAnsi" w:hAnsiTheme="majorHAnsi"/>
                <w:b/>
                <w:bCs/>
                <w:color w:val="000000"/>
                <w:sz w:val="16"/>
                <w:szCs w:val="16"/>
              </w:rPr>
            </w:pPr>
            <w:r w:rsidRPr="00A276AF">
              <w:rPr>
                <w:rFonts w:asciiTheme="majorHAnsi" w:hAnsiTheme="majorHAnsi"/>
                <w:b/>
                <w:bCs/>
                <w:color w:val="000000"/>
                <w:sz w:val="16"/>
                <w:szCs w:val="16"/>
              </w:rPr>
              <w:t>Оценка состояния</w:t>
            </w:r>
          </w:p>
        </w:tc>
        <w:tc>
          <w:tcPr>
            <w:tcW w:w="631" w:type="pct"/>
            <w:shd w:val="clear" w:color="000000" w:fill="F2F2F2"/>
            <w:vAlign w:val="center"/>
            <w:hideMark/>
          </w:tcPr>
          <w:p w:rsidR="00A276AF" w:rsidRPr="00A276AF" w:rsidRDefault="00A276AF" w:rsidP="00D70166">
            <w:pPr>
              <w:jc w:val="center"/>
              <w:rPr>
                <w:rFonts w:asciiTheme="majorHAnsi" w:hAnsiTheme="majorHAnsi"/>
                <w:b/>
                <w:bCs/>
                <w:color w:val="000000"/>
                <w:sz w:val="16"/>
                <w:szCs w:val="16"/>
              </w:rPr>
            </w:pPr>
            <w:r w:rsidRPr="00A276AF">
              <w:rPr>
                <w:rFonts w:asciiTheme="majorHAnsi" w:hAnsiTheme="majorHAnsi"/>
                <w:b/>
                <w:bCs/>
                <w:color w:val="000000"/>
                <w:sz w:val="16"/>
                <w:szCs w:val="16"/>
              </w:rPr>
              <w:t>Физический износ, %</w:t>
            </w:r>
          </w:p>
        </w:tc>
      </w:tr>
      <w:tr w:rsidR="00F87C61" w:rsidRPr="00A276AF" w:rsidTr="00F87C61">
        <w:trPr>
          <w:cantSplit/>
          <w:trHeight w:val="227"/>
        </w:trPr>
        <w:tc>
          <w:tcPr>
            <w:tcW w:w="237" w:type="pct"/>
            <w:shd w:val="clear" w:color="auto" w:fill="auto"/>
            <w:noWrap/>
            <w:vAlign w:val="center"/>
            <w:hideMark/>
          </w:tcPr>
          <w:p w:rsidR="00F87C61" w:rsidRPr="00A276AF" w:rsidRDefault="00F87C61" w:rsidP="00D70166">
            <w:pPr>
              <w:jc w:val="center"/>
              <w:rPr>
                <w:rFonts w:asciiTheme="majorHAnsi" w:hAnsiTheme="majorHAnsi"/>
                <w:color w:val="000000"/>
                <w:sz w:val="16"/>
                <w:szCs w:val="16"/>
              </w:rPr>
            </w:pPr>
            <w:r w:rsidRPr="00A276AF">
              <w:rPr>
                <w:rFonts w:asciiTheme="majorHAnsi" w:hAnsiTheme="majorHAnsi"/>
                <w:color w:val="000000"/>
                <w:sz w:val="16"/>
                <w:szCs w:val="16"/>
              </w:rPr>
              <w:t>1</w:t>
            </w:r>
          </w:p>
        </w:tc>
        <w:tc>
          <w:tcPr>
            <w:tcW w:w="1146" w:type="pct"/>
            <w:shd w:val="clear" w:color="auto" w:fill="auto"/>
            <w:vAlign w:val="center"/>
            <w:hideMark/>
          </w:tcPr>
          <w:p w:rsidR="00F87C61" w:rsidRPr="00F87C61" w:rsidRDefault="00F87C61" w:rsidP="00F87C61">
            <w:pPr>
              <w:rPr>
                <w:rFonts w:ascii="Cambria" w:hAnsi="Cambria"/>
                <w:color w:val="000000"/>
                <w:sz w:val="18"/>
                <w:szCs w:val="18"/>
              </w:rPr>
            </w:pPr>
            <w:r w:rsidRPr="00F87C61">
              <w:rPr>
                <w:rFonts w:ascii="Cambria" w:hAnsi="Cambria"/>
                <w:color w:val="000000"/>
                <w:sz w:val="18"/>
                <w:szCs w:val="18"/>
              </w:rPr>
              <w:t>Центр обработки и нарезания ПВХ профилей  KABAN Makina FA 1030</w:t>
            </w:r>
          </w:p>
        </w:tc>
        <w:tc>
          <w:tcPr>
            <w:tcW w:w="381" w:type="pct"/>
            <w:shd w:val="clear" w:color="auto" w:fill="auto"/>
            <w:noWrap/>
            <w:vAlign w:val="center"/>
            <w:hideMark/>
          </w:tcPr>
          <w:p w:rsidR="00F87C61" w:rsidRPr="00F87C61" w:rsidRDefault="00F87C61" w:rsidP="00F87C61">
            <w:pPr>
              <w:jc w:val="center"/>
              <w:rPr>
                <w:rFonts w:asciiTheme="majorHAnsi" w:hAnsiTheme="majorHAnsi"/>
                <w:color w:val="000000"/>
                <w:sz w:val="16"/>
                <w:szCs w:val="16"/>
              </w:rPr>
            </w:pPr>
            <w:r w:rsidRPr="00F87C61">
              <w:rPr>
                <w:rFonts w:asciiTheme="majorHAnsi" w:hAnsiTheme="majorHAnsi"/>
                <w:color w:val="000000"/>
                <w:sz w:val="16"/>
                <w:szCs w:val="16"/>
              </w:rPr>
              <w:t>1</w:t>
            </w:r>
          </w:p>
        </w:tc>
        <w:tc>
          <w:tcPr>
            <w:tcW w:w="1679" w:type="pct"/>
            <w:shd w:val="clear" w:color="auto" w:fill="auto"/>
            <w:vAlign w:val="center"/>
            <w:hideMark/>
          </w:tcPr>
          <w:p w:rsidR="00F87C61" w:rsidRPr="00F87C61" w:rsidRDefault="00F87C61" w:rsidP="00A276AF">
            <w:pPr>
              <w:rPr>
                <w:rFonts w:asciiTheme="majorHAnsi" w:hAnsiTheme="majorHAnsi"/>
                <w:color w:val="000000"/>
                <w:sz w:val="16"/>
                <w:szCs w:val="16"/>
              </w:rPr>
            </w:pPr>
            <w:r w:rsidRPr="00F87C61">
              <w:rPr>
                <w:rFonts w:asciiTheme="majorHAnsi" w:hAnsiTheme="majorHAnsi"/>
                <w:color w:val="000000"/>
                <w:sz w:val="16"/>
                <w:szCs w:val="16"/>
              </w:rPr>
              <w:t>Центр обработки и нарезания ПВХ профилей  модель KABAN Makina FA 1030. Обработка и резка профиля длиной от 850 мм до 6500 мм. Фрезеровка водосливных каналов под углами 0-60° с поворотом фрезы под сервоконтролем и допустимой</w:t>
            </w:r>
          </w:p>
          <w:p w:rsidR="00F87C61" w:rsidRPr="00F87C61" w:rsidRDefault="00F87C61" w:rsidP="00A276AF">
            <w:pPr>
              <w:rPr>
                <w:rFonts w:asciiTheme="majorHAnsi" w:hAnsiTheme="majorHAnsi"/>
                <w:color w:val="000000"/>
                <w:sz w:val="16"/>
                <w:szCs w:val="16"/>
              </w:rPr>
            </w:pPr>
            <w:r w:rsidRPr="00F87C61">
              <w:rPr>
                <w:rFonts w:asciiTheme="majorHAnsi" w:hAnsiTheme="majorHAnsi"/>
                <w:color w:val="000000"/>
                <w:sz w:val="16"/>
                <w:szCs w:val="16"/>
              </w:rPr>
              <w:t xml:space="preserve">погрешностью 0,1°. Страна-изготовитель: Турция   </w:t>
            </w:r>
          </w:p>
        </w:tc>
        <w:tc>
          <w:tcPr>
            <w:tcW w:w="927" w:type="pct"/>
            <w:shd w:val="clear" w:color="auto" w:fill="auto"/>
            <w:noWrap/>
            <w:vAlign w:val="center"/>
            <w:hideMark/>
          </w:tcPr>
          <w:p w:rsidR="00F87C61" w:rsidRPr="00A276AF" w:rsidRDefault="00F87C61" w:rsidP="00F87C61">
            <w:pPr>
              <w:jc w:val="center"/>
              <w:rPr>
                <w:rFonts w:asciiTheme="majorHAnsi" w:hAnsiTheme="majorHAnsi"/>
                <w:color w:val="000000"/>
                <w:sz w:val="16"/>
                <w:szCs w:val="16"/>
              </w:rPr>
            </w:pPr>
            <w:r>
              <w:rPr>
                <w:rFonts w:asciiTheme="majorHAnsi" w:hAnsiTheme="majorHAnsi"/>
                <w:color w:val="000000"/>
                <w:sz w:val="16"/>
                <w:szCs w:val="16"/>
              </w:rPr>
              <w:t xml:space="preserve"> Хорошее</w:t>
            </w:r>
          </w:p>
        </w:tc>
        <w:tc>
          <w:tcPr>
            <w:tcW w:w="631" w:type="pct"/>
            <w:shd w:val="clear" w:color="auto" w:fill="auto"/>
            <w:noWrap/>
            <w:vAlign w:val="center"/>
            <w:hideMark/>
          </w:tcPr>
          <w:p w:rsidR="00F87C61" w:rsidRPr="00A276AF" w:rsidRDefault="00F87C61" w:rsidP="00D70166">
            <w:pPr>
              <w:jc w:val="center"/>
              <w:rPr>
                <w:rFonts w:asciiTheme="majorHAnsi" w:hAnsiTheme="majorHAnsi"/>
                <w:color w:val="000000"/>
                <w:sz w:val="16"/>
                <w:szCs w:val="16"/>
              </w:rPr>
            </w:pPr>
            <w:r>
              <w:rPr>
                <w:rFonts w:asciiTheme="majorHAnsi" w:hAnsiTheme="majorHAnsi"/>
                <w:color w:val="000000"/>
                <w:sz w:val="16"/>
                <w:szCs w:val="16"/>
              </w:rPr>
              <w:t>3</w:t>
            </w:r>
            <w:r w:rsidRPr="00A276AF">
              <w:rPr>
                <w:rFonts w:asciiTheme="majorHAnsi" w:hAnsiTheme="majorHAnsi"/>
                <w:color w:val="000000"/>
                <w:sz w:val="16"/>
                <w:szCs w:val="16"/>
              </w:rPr>
              <w:t>5%</w:t>
            </w:r>
          </w:p>
        </w:tc>
      </w:tr>
      <w:tr w:rsidR="00F87C61" w:rsidRPr="00A276AF" w:rsidTr="00F87C61">
        <w:trPr>
          <w:cantSplit/>
          <w:trHeight w:val="227"/>
        </w:trPr>
        <w:tc>
          <w:tcPr>
            <w:tcW w:w="237" w:type="pct"/>
            <w:shd w:val="clear" w:color="auto" w:fill="auto"/>
            <w:noWrap/>
            <w:vAlign w:val="center"/>
            <w:hideMark/>
          </w:tcPr>
          <w:p w:rsidR="00F87C61" w:rsidRPr="00A276AF" w:rsidRDefault="00F87C61" w:rsidP="00D70166">
            <w:pPr>
              <w:jc w:val="center"/>
              <w:rPr>
                <w:rFonts w:asciiTheme="majorHAnsi" w:hAnsiTheme="majorHAnsi"/>
                <w:color w:val="000000"/>
                <w:sz w:val="16"/>
                <w:szCs w:val="16"/>
              </w:rPr>
            </w:pPr>
            <w:r w:rsidRPr="00A276AF">
              <w:rPr>
                <w:rFonts w:asciiTheme="majorHAnsi" w:hAnsiTheme="majorHAnsi"/>
                <w:color w:val="000000"/>
                <w:sz w:val="16"/>
                <w:szCs w:val="16"/>
              </w:rPr>
              <w:t>2</w:t>
            </w:r>
          </w:p>
        </w:tc>
        <w:tc>
          <w:tcPr>
            <w:tcW w:w="1146" w:type="pct"/>
            <w:shd w:val="clear" w:color="auto" w:fill="auto"/>
            <w:vAlign w:val="center"/>
            <w:hideMark/>
          </w:tcPr>
          <w:p w:rsidR="00F87C61" w:rsidRPr="00F87C61" w:rsidRDefault="00F87C61" w:rsidP="00F87C61">
            <w:pPr>
              <w:rPr>
                <w:rFonts w:ascii="Cambria" w:hAnsi="Cambria"/>
                <w:sz w:val="18"/>
                <w:szCs w:val="18"/>
              </w:rPr>
            </w:pPr>
            <w:r w:rsidRPr="00F87C61">
              <w:rPr>
                <w:rFonts w:ascii="Cambria" w:hAnsi="Cambria"/>
                <w:sz w:val="18"/>
                <w:szCs w:val="18"/>
              </w:rPr>
              <w:t>Станок для рубки армирования  KABAN Makina КС1010</w:t>
            </w:r>
          </w:p>
        </w:tc>
        <w:tc>
          <w:tcPr>
            <w:tcW w:w="381" w:type="pct"/>
            <w:shd w:val="clear" w:color="auto" w:fill="auto"/>
            <w:noWrap/>
            <w:vAlign w:val="center"/>
            <w:hideMark/>
          </w:tcPr>
          <w:p w:rsidR="00F87C61" w:rsidRPr="00F87C61" w:rsidRDefault="00F87C61" w:rsidP="00F87C61">
            <w:pPr>
              <w:jc w:val="center"/>
              <w:rPr>
                <w:rFonts w:asciiTheme="majorHAnsi" w:hAnsiTheme="majorHAnsi"/>
                <w:sz w:val="16"/>
                <w:szCs w:val="16"/>
              </w:rPr>
            </w:pPr>
            <w:r w:rsidRPr="00F87C61">
              <w:rPr>
                <w:rFonts w:asciiTheme="majorHAnsi" w:hAnsiTheme="majorHAnsi"/>
                <w:sz w:val="16"/>
                <w:szCs w:val="16"/>
              </w:rPr>
              <w:t>1</w:t>
            </w:r>
          </w:p>
        </w:tc>
        <w:tc>
          <w:tcPr>
            <w:tcW w:w="1679" w:type="pct"/>
            <w:shd w:val="clear" w:color="auto" w:fill="auto"/>
            <w:vAlign w:val="center"/>
            <w:hideMark/>
          </w:tcPr>
          <w:p w:rsidR="00F87C61" w:rsidRPr="00F87C61" w:rsidRDefault="00F87C61" w:rsidP="00F87C61">
            <w:pPr>
              <w:rPr>
                <w:rFonts w:asciiTheme="majorHAnsi" w:hAnsiTheme="majorHAnsi"/>
                <w:sz w:val="16"/>
                <w:szCs w:val="16"/>
              </w:rPr>
            </w:pPr>
            <w:r w:rsidRPr="00F87C61">
              <w:rPr>
                <w:rFonts w:asciiTheme="majorHAnsi" w:hAnsiTheme="majorHAnsi"/>
                <w:sz w:val="16"/>
                <w:szCs w:val="16"/>
              </w:rPr>
              <w:t xml:space="preserve">Станок для рубки армирования  KABAN Makina КС1010 Страна-изготовитель: Турция  </w:t>
            </w:r>
          </w:p>
        </w:tc>
        <w:tc>
          <w:tcPr>
            <w:tcW w:w="927" w:type="pct"/>
            <w:shd w:val="clear" w:color="auto" w:fill="auto"/>
            <w:noWrap/>
            <w:vAlign w:val="center"/>
            <w:hideMark/>
          </w:tcPr>
          <w:p w:rsidR="00F87C61" w:rsidRPr="00A276AF" w:rsidRDefault="00F87C61" w:rsidP="00D70166">
            <w:pPr>
              <w:jc w:val="center"/>
              <w:rPr>
                <w:rFonts w:asciiTheme="majorHAnsi" w:hAnsiTheme="majorHAnsi"/>
                <w:color w:val="000000"/>
                <w:sz w:val="16"/>
                <w:szCs w:val="16"/>
              </w:rPr>
            </w:pPr>
            <w:r>
              <w:rPr>
                <w:rFonts w:asciiTheme="majorHAnsi" w:hAnsiTheme="majorHAnsi"/>
                <w:color w:val="000000"/>
                <w:sz w:val="16"/>
                <w:szCs w:val="16"/>
              </w:rPr>
              <w:t xml:space="preserve"> Хорошее</w:t>
            </w:r>
          </w:p>
        </w:tc>
        <w:tc>
          <w:tcPr>
            <w:tcW w:w="631" w:type="pct"/>
            <w:shd w:val="clear" w:color="auto" w:fill="auto"/>
            <w:noWrap/>
            <w:vAlign w:val="center"/>
            <w:hideMark/>
          </w:tcPr>
          <w:p w:rsidR="00F87C61" w:rsidRPr="00A276AF" w:rsidRDefault="00F87C61" w:rsidP="00D70166">
            <w:pPr>
              <w:jc w:val="center"/>
              <w:rPr>
                <w:rFonts w:asciiTheme="majorHAnsi" w:hAnsiTheme="majorHAnsi"/>
                <w:color w:val="000000"/>
                <w:sz w:val="16"/>
                <w:szCs w:val="16"/>
              </w:rPr>
            </w:pPr>
            <w:r>
              <w:rPr>
                <w:rFonts w:asciiTheme="majorHAnsi" w:hAnsiTheme="majorHAnsi"/>
                <w:color w:val="000000"/>
                <w:sz w:val="16"/>
                <w:szCs w:val="16"/>
              </w:rPr>
              <w:t>3</w:t>
            </w:r>
            <w:r w:rsidRPr="00A276AF">
              <w:rPr>
                <w:rFonts w:asciiTheme="majorHAnsi" w:hAnsiTheme="majorHAnsi"/>
                <w:color w:val="000000"/>
                <w:sz w:val="16"/>
                <w:szCs w:val="16"/>
              </w:rPr>
              <w:t>5%</w:t>
            </w:r>
          </w:p>
        </w:tc>
      </w:tr>
      <w:tr w:rsidR="00F87C61" w:rsidRPr="00A276AF" w:rsidTr="00F87C61">
        <w:trPr>
          <w:cantSplit/>
          <w:trHeight w:val="227"/>
        </w:trPr>
        <w:tc>
          <w:tcPr>
            <w:tcW w:w="237" w:type="pct"/>
            <w:shd w:val="clear" w:color="auto" w:fill="auto"/>
            <w:noWrap/>
            <w:vAlign w:val="center"/>
            <w:hideMark/>
          </w:tcPr>
          <w:p w:rsidR="00F87C61" w:rsidRPr="00A276AF" w:rsidRDefault="00F87C61" w:rsidP="00D70166">
            <w:pPr>
              <w:jc w:val="center"/>
              <w:rPr>
                <w:rFonts w:asciiTheme="majorHAnsi" w:hAnsiTheme="majorHAnsi"/>
                <w:color w:val="000000"/>
                <w:sz w:val="16"/>
                <w:szCs w:val="16"/>
              </w:rPr>
            </w:pPr>
            <w:r w:rsidRPr="00A276AF">
              <w:rPr>
                <w:rFonts w:asciiTheme="majorHAnsi" w:hAnsiTheme="majorHAnsi"/>
                <w:color w:val="000000"/>
                <w:sz w:val="16"/>
                <w:szCs w:val="16"/>
              </w:rPr>
              <w:t>3</w:t>
            </w:r>
          </w:p>
        </w:tc>
        <w:tc>
          <w:tcPr>
            <w:tcW w:w="1146" w:type="pct"/>
            <w:shd w:val="clear" w:color="auto" w:fill="auto"/>
            <w:vAlign w:val="center"/>
            <w:hideMark/>
          </w:tcPr>
          <w:p w:rsidR="00F87C61" w:rsidRDefault="00F87C61" w:rsidP="00F87C61">
            <w:pPr>
              <w:rPr>
                <w:rFonts w:ascii="Cambria" w:hAnsi="Cambria"/>
                <w:color w:val="000000"/>
                <w:sz w:val="18"/>
                <w:szCs w:val="18"/>
              </w:rPr>
            </w:pPr>
            <w:r>
              <w:rPr>
                <w:rFonts w:ascii="Cambria" w:hAnsi="Cambria"/>
                <w:color w:val="000000"/>
                <w:sz w:val="18"/>
                <w:szCs w:val="18"/>
              </w:rPr>
              <w:t>Цифровая система измерения  KABAN Makina DS500</w:t>
            </w:r>
          </w:p>
        </w:tc>
        <w:tc>
          <w:tcPr>
            <w:tcW w:w="381" w:type="pct"/>
            <w:shd w:val="clear" w:color="auto" w:fill="auto"/>
            <w:noWrap/>
            <w:vAlign w:val="center"/>
            <w:hideMark/>
          </w:tcPr>
          <w:p w:rsidR="00F87C61" w:rsidRPr="00F87C61" w:rsidRDefault="00F87C61" w:rsidP="00F87C61">
            <w:pPr>
              <w:jc w:val="center"/>
              <w:rPr>
                <w:rFonts w:asciiTheme="majorHAnsi" w:hAnsiTheme="majorHAnsi"/>
                <w:color w:val="000000"/>
                <w:sz w:val="16"/>
                <w:szCs w:val="16"/>
              </w:rPr>
            </w:pPr>
            <w:r w:rsidRPr="00F87C61">
              <w:rPr>
                <w:rFonts w:asciiTheme="majorHAnsi" w:hAnsiTheme="majorHAnsi"/>
                <w:color w:val="000000"/>
                <w:sz w:val="16"/>
                <w:szCs w:val="16"/>
              </w:rPr>
              <w:t>1</w:t>
            </w:r>
          </w:p>
        </w:tc>
        <w:tc>
          <w:tcPr>
            <w:tcW w:w="1679" w:type="pct"/>
            <w:shd w:val="clear" w:color="auto" w:fill="auto"/>
            <w:vAlign w:val="center"/>
            <w:hideMark/>
          </w:tcPr>
          <w:p w:rsidR="00F87C61" w:rsidRPr="00F87C61" w:rsidRDefault="00F87C61" w:rsidP="00D70166">
            <w:pPr>
              <w:rPr>
                <w:rFonts w:asciiTheme="majorHAnsi" w:hAnsiTheme="majorHAnsi"/>
                <w:color w:val="000000"/>
                <w:sz w:val="16"/>
                <w:szCs w:val="16"/>
              </w:rPr>
            </w:pPr>
            <w:r w:rsidRPr="00F87C61">
              <w:rPr>
                <w:rFonts w:asciiTheme="majorHAnsi" w:hAnsiTheme="majorHAnsi"/>
                <w:color w:val="000000"/>
                <w:sz w:val="16"/>
                <w:szCs w:val="16"/>
              </w:rPr>
              <w:t>Цифровая система измерения  KABAN Makina DS500</w:t>
            </w:r>
            <w:r w:rsidRPr="00F87C61">
              <w:rPr>
                <w:rFonts w:ascii="Trebuchet MS" w:hAnsi="Trebuchet MS"/>
                <w:color w:val="18191C"/>
                <w:sz w:val="20"/>
                <w:szCs w:val="20"/>
                <w:shd w:val="clear" w:color="auto" w:fill="FFFFFF"/>
              </w:rPr>
              <w:t xml:space="preserve"> </w:t>
            </w:r>
            <w:r w:rsidRPr="00F87C61">
              <w:rPr>
                <w:rFonts w:asciiTheme="majorHAnsi" w:hAnsiTheme="majorHAnsi"/>
                <w:color w:val="000000"/>
                <w:sz w:val="16"/>
                <w:szCs w:val="16"/>
              </w:rPr>
              <w:t xml:space="preserve">предназначена для совместной работы со станками для нарезки профиля и штапика. Страна-изготовитель: Турция  </w:t>
            </w:r>
          </w:p>
        </w:tc>
        <w:tc>
          <w:tcPr>
            <w:tcW w:w="927" w:type="pct"/>
            <w:shd w:val="clear" w:color="auto" w:fill="auto"/>
            <w:noWrap/>
            <w:vAlign w:val="center"/>
            <w:hideMark/>
          </w:tcPr>
          <w:p w:rsidR="00F87C61" w:rsidRPr="00A276AF" w:rsidRDefault="00F87C61" w:rsidP="00D70166">
            <w:pPr>
              <w:jc w:val="center"/>
              <w:rPr>
                <w:rFonts w:asciiTheme="majorHAnsi" w:hAnsiTheme="majorHAnsi"/>
                <w:color w:val="000000"/>
                <w:sz w:val="16"/>
                <w:szCs w:val="16"/>
              </w:rPr>
            </w:pPr>
            <w:r>
              <w:rPr>
                <w:rFonts w:asciiTheme="majorHAnsi" w:hAnsiTheme="majorHAnsi"/>
                <w:color w:val="000000"/>
                <w:sz w:val="16"/>
                <w:szCs w:val="16"/>
              </w:rPr>
              <w:t xml:space="preserve"> Хорошее</w:t>
            </w:r>
          </w:p>
        </w:tc>
        <w:tc>
          <w:tcPr>
            <w:tcW w:w="631" w:type="pct"/>
            <w:shd w:val="clear" w:color="auto" w:fill="auto"/>
            <w:noWrap/>
            <w:vAlign w:val="center"/>
            <w:hideMark/>
          </w:tcPr>
          <w:p w:rsidR="00F87C61" w:rsidRPr="00A276AF" w:rsidRDefault="00F87C61" w:rsidP="00D70166">
            <w:pPr>
              <w:jc w:val="center"/>
              <w:rPr>
                <w:rFonts w:asciiTheme="majorHAnsi" w:hAnsiTheme="majorHAnsi"/>
                <w:color w:val="000000"/>
                <w:sz w:val="16"/>
                <w:szCs w:val="16"/>
              </w:rPr>
            </w:pPr>
            <w:r>
              <w:rPr>
                <w:rFonts w:asciiTheme="majorHAnsi" w:hAnsiTheme="majorHAnsi"/>
                <w:color w:val="000000"/>
                <w:sz w:val="16"/>
                <w:szCs w:val="16"/>
              </w:rPr>
              <w:t>3</w:t>
            </w:r>
            <w:r w:rsidRPr="00A276AF">
              <w:rPr>
                <w:rFonts w:asciiTheme="majorHAnsi" w:hAnsiTheme="majorHAnsi"/>
                <w:color w:val="000000"/>
                <w:sz w:val="16"/>
                <w:szCs w:val="16"/>
              </w:rPr>
              <w:t>5%</w:t>
            </w:r>
          </w:p>
        </w:tc>
      </w:tr>
      <w:tr w:rsidR="00F87C61" w:rsidRPr="00A276AF" w:rsidTr="00F87C61">
        <w:trPr>
          <w:cantSplit/>
          <w:trHeight w:val="227"/>
        </w:trPr>
        <w:tc>
          <w:tcPr>
            <w:tcW w:w="237" w:type="pct"/>
            <w:shd w:val="clear" w:color="auto" w:fill="auto"/>
            <w:noWrap/>
            <w:vAlign w:val="center"/>
            <w:hideMark/>
          </w:tcPr>
          <w:p w:rsidR="00F87C61" w:rsidRPr="00A276AF" w:rsidRDefault="00F87C61" w:rsidP="00D70166">
            <w:pPr>
              <w:jc w:val="center"/>
              <w:rPr>
                <w:rFonts w:asciiTheme="majorHAnsi" w:hAnsiTheme="majorHAnsi"/>
                <w:color w:val="000000"/>
                <w:sz w:val="16"/>
                <w:szCs w:val="16"/>
              </w:rPr>
            </w:pPr>
            <w:r w:rsidRPr="00A276AF">
              <w:rPr>
                <w:rFonts w:asciiTheme="majorHAnsi" w:hAnsiTheme="majorHAnsi"/>
                <w:color w:val="000000"/>
                <w:sz w:val="16"/>
                <w:szCs w:val="16"/>
              </w:rPr>
              <w:t>4</w:t>
            </w:r>
          </w:p>
        </w:tc>
        <w:tc>
          <w:tcPr>
            <w:tcW w:w="1146" w:type="pct"/>
            <w:shd w:val="clear" w:color="auto" w:fill="auto"/>
            <w:vAlign w:val="center"/>
            <w:hideMark/>
          </w:tcPr>
          <w:p w:rsidR="00F87C61" w:rsidRDefault="00F87C61" w:rsidP="00F87C61">
            <w:pPr>
              <w:rPr>
                <w:rFonts w:ascii="Cambria" w:hAnsi="Cambria"/>
                <w:color w:val="000000"/>
                <w:sz w:val="18"/>
                <w:szCs w:val="18"/>
              </w:rPr>
            </w:pPr>
            <w:r>
              <w:rPr>
                <w:rFonts w:ascii="Cambria" w:hAnsi="Cambria"/>
                <w:color w:val="000000"/>
                <w:sz w:val="18"/>
                <w:szCs w:val="18"/>
              </w:rPr>
              <w:t>Цифровой измерительный компас KABAN Makina DК 100</w:t>
            </w:r>
          </w:p>
        </w:tc>
        <w:tc>
          <w:tcPr>
            <w:tcW w:w="381" w:type="pct"/>
            <w:shd w:val="clear" w:color="auto" w:fill="auto"/>
            <w:noWrap/>
            <w:vAlign w:val="center"/>
            <w:hideMark/>
          </w:tcPr>
          <w:p w:rsidR="00F87C61" w:rsidRPr="00F87C61" w:rsidRDefault="00F87C61" w:rsidP="00F87C61">
            <w:pPr>
              <w:jc w:val="center"/>
              <w:rPr>
                <w:rFonts w:asciiTheme="majorHAnsi" w:hAnsiTheme="majorHAnsi"/>
                <w:color w:val="000000"/>
                <w:sz w:val="16"/>
                <w:szCs w:val="16"/>
              </w:rPr>
            </w:pPr>
            <w:r w:rsidRPr="00F87C61">
              <w:rPr>
                <w:rFonts w:asciiTheme="majorHAnsi" w:hAnsiTheme="majorHAnsi"/>
                <w:color w:val="000000"/>
                <w:sz w:val="16"/>
                <w:szCs w:val="16"/>
              </w:rPr>
              <w:t>1</w:t>
            </w:r>
          </w:p>
        </w:tc>
        <w:tc>
          <w:tcPr>
            <w:tcW w:w="1679" w:type="pct"/>
            <w:shd w:val="clear" w:color="auto" w:fill="auto"/>
            <w:vAlign w:val="center"/>
            <w:hideMark/>
          </w:tcPr>
          <w:p w:rsidR="00F87C61" w:rsidRPr="00F87C61" w:rsidRDefault="00F87C61" w:rsidP="00D70166">
            <w:pPr>
              <w:rPr>
                <w:rFonts w:asciiTheme="majorHAnsi" w:hAnsiTheme="majorHAnsi"/>
                <w:color w:val="000000"/>
                <w:sz w:val="16"/>
                <w:szCs w:val="16"/>
              </w:rPr>
            </w:pPr>
            <w:r w:rsidRPr="00F87C61">
              <w:rPr>
                <w:rFonts w:asciiTheme="majorHAnsi" w:hAnsiTheme="majorHAnsi"/>
                <w:color w:val="000000"/>
                <w:sz w:val="16"/>
                <w:szCs w:val="16"/>
              </w:rPr>
              <w:t xml:space="preserve">Цифровой измерительный компас KABAN Makina DК 100. Страна-изготовитель: Турция  </w:t>
            </w:r>
          </w:p>
        </w:tc>
        <w:tc>
          <w:tcPr>
            <w:tcW w:w="927" w:type="pct"/>
            <w:shd w:val="clear" w:color="auto" w:fill="auto"/>
            <w:noWrap/>
            <w:vAlign w:val="center"/>
            <w:hideMark/>
          </w:tcPr>
          <w:p w:rsidR="00F87C61" w:rsidRPr="00A276AF" w:rsidRDefault="00F87C61" w:rsidP="00D70166">
            <w:pPr>
              <w:jc w:val="center"/>
              <w:rPr>
                <w:rFonts w:asciiTheme="majorHAnsi" w:hAnsiTheme="majorHAnsi"/>
                <w:color w:val="000000"/>
                <w:sz w:val="16"/>
                <w:szCs w:val="16"/>
              </w:rPr>
            </w:pPr>
            <w:r>
              <w:rPr>
                <w:rFonts w:asciiTheme="majorHAnsi" w:hAnsiTheme="majorHAnsi"/>
                <w:color w:val="000000"/>
                <w:sz w:val="16"/>
                <w:szCs w:val="16"/>
              </w:rPr>
              <w:t xml:space="preserve"> Хорошее</w:t>
            </w:r>
          </w:p>
        </w:tc>
        <w:tc>
          <w:tcPr>
            <w:tcW w:w="631" w:type="pct"/>
            <w:shd w:val="clear" w:color="auto" w:fill="auto"/>
            <w:noWrap/>
            <w:vAlign w:val="center"/>
            <w:hideMark/>
          </w:tcPr>
          <w:p w:rsidR="00F87C61" w:rsidRPr="00A276AF" w:rsidRDefault="00F87C61" w:rsidP="00D70166">
            <w:pPr>
              <w:jc w:val="center"/>
              <w:rPr>
                <w:rFonts w:asciiTheme="majorHAnsi" w:hAnsiTheme="majorHAnsi"/>
                <w:color w:val="000000"/>
                <w:sz w:val="16"/>
                <w:szCs w:val="16"/>
              </w:rPr>
            </w:pPr>
            <w:r>
              <w:rPr>
                <w:rFonts w:asciiTheme="majorHAnsi" w:hAnsiTheme="majorHAnsi"/>
                <w:color w:val="000000"/>
                <w:sz w:val="16"/>
                <w:szCs w:val="16"/>
              </w:rPr>
              <w:t>3</w:t>
            </w:r>
            <w:r w:rsidRPr="00A276AF">
              <w:rPr>
                <w:rFonts w:asciiTheme="majorHAnsi" w:hAnsiTheme="majorHAnsi"/>
                <w:color w:val="000000"/>
                <w:sz w:val="16"/>
                <w:szCs w:val="16"/>
              </w:rPr>
              <w:t>5%</w:t>
            </w:r>
          </w:p>
        </w:tc>
      </w:tr>
      <w:tr w:rsidR="00F87C61" w:rsidRPr="00A276AF" w:rsidTr="00F87C61">
        <w:trPr>
          <w:cantSplit/>
          <w:trHeight w:val="227"/>
        </w:trPr>
        <w:tc>
          <w:tcPr>
            <w:tcW w:w="237" w:type="pct"/>
            <w:shd w:val="clear" w:color="auto" w:fill="auto"/>
            <w:noWrap/>
            <w:vAlign w:val="center"/>
            <w:hideMark/>
          </w:tcPr>
          <w:p w:rsidR="00F87C61" w:rsidRPr="00A276AF" w:rsidRDefault="00F87C61" w:rsidP="00D70166">
            <w:pPr>
              <w:jc w:val="center"/>
              <w:rPr>
                <w:rFonts w:asciiTheme="majorHAnsi" w:hAnsiTheme="majorHAnsi"/>
                <w:color w:val="000000"/>
                <w:sz w:val="16"/>
                <w:szCs w:val="16"/>
              </w:rPr>
            </w:pPr>
            <w:r w:rsidRPr="00A276AF">
              <w:rPr>
                <w:rFonts w:asciiTheme="majorHAnsi" w:hAnsiTheme="majorHAnsi"/>
                <w:color w:val="000000"/>
                <w:sz w:val="16"/>
                <w:szCs w:val="16"/>
              </w:rPr>
              <w:t>5</w:t>
            </w:r>
          </w:p>
        </w:tc>
        <w:tc>
          <w:tcPr>
            <w:tcW w:w="1146" w:type="pct"/>
            <w:shd w:val="clear" w:color="auto" w:fill="auto"/>
            <w:vAlign w:val="center"/>
            <w:hideMark/>
          </w:tcPr>
          <w:p w:rsidR="00F87C61" w:rsidRDefault="00F87C61" w:rsidP="00F87C61">
            <w:pPr>
              <w:rPr>
                <w:rFonts w:ascii="Cambria" w:hAnsi="Cambria"/>
                <w:color w:val="000000"/>
                <w:sz w:val="18"/>
                <w:szCs w:val="18"/>
              </w:rPr>
            </w:pPr>
            <w:r>
              <w:rPr>
                <w:rFonts w:ascii="Cambria" w:hAnsi="Cambria"/>
                <w:color w:val="000000"/>
                <w:sz w:val="18"/>
                <w:szCs w:val="18"/>
              </w:rPr>
              <w:t>Станок одноголовочный сварочный   KABAN Makina ВА2030</w:t>
            </w:r>
          </w:p>
        </w:tc>
        <w:tc>
          <w:tcPr>
            <w:tcW w:w="381" w:type="pct"/>
            <w:shd w:val="clear" w:color="auto" w:fill="auto"/>
            <w:noWrap/>
            <w:vAlign w:val="center"/>
            <w:hideMark/>
          </w:tcPr>
          <w:p w:rsidR="00F87C61" w:rsidRPr="00F87C61" w:rsidRDefault="00F87C61" w:rsidP="00F87C61">
            <w:pPr>
              <w:jc w:val="center"/>
              <w:rPr>
                <w:rFonts w:asciiTheme="majorHAnsi" w:hAnsiTheme="majorHAnsi"/>
                <w:color w:val="000000"/>
                <w:sz w:val="16"/>
                <w:szCs w:val="16"/>
              </w:rPr>
            </w:pPr>
            <w:r w:rsidRPr="00F87C61">
              <w:rPr>
                <w:rFonts w:asciiTheme="majorHAnsi" w:hAnsiTheme="majorHAnsi"/>
                <w:color w:val="000000"/>
                <w:sz w:val="16"/>
                <w:szCs w:val="16"/>
              </w:rPr>
              <w:t>1</w:t>
            </w:r>
          </w:p>
        </w:tc>
        <w:tc>
          <w:tcPr>
            <w:tcW w:w="1679" w:type="pct"/>
            <w:shd w:val="clear" w:color="auto" w:fill="auto"/>
            <w:vAlign w:val="center"/>
            <w:hideMark/>
          </w:tcPr>
          <w:p w:rsidR="00F87C61" w:rsidRPr="00F87C61" w:rsidRDefault="00F87C61" w:rsidP="00A276AF">
            <w:pPr>
              <w:rPr>
                <w:rFonts w:asciiTheme="majorHAnsi" w:hAnsiTheme="majorHAnsi"/>
                <w:color w:val="000000"/>
                <w:sz w:val="16"/>
                <w:szCs w:val="16"/>
              </w:rPr>
            </w:pPr>
            <w:r w:rsidRPr="00F87C61">
              <w:rPr>
                <w:rFonts w:asciiTheme="majorHAnsi" w:hAnsiTheme="majorHAnsi"/>
                <w:color w:val="000000"/>
                <w:sz w:val="16"/>
                <w:szCs w:val="16"/>
              </w:rPr>
              <w:t>Станок одноголовочный сварочный   KABAN Makina ВА2030</w:t>
            </w:r>
            <w:r w:rsidRPr="00F87C61">
              <w:rPr>
                <w:rFonts w:ascii="Verdana" w:hAnsi="Verdana"/>
                <w:color w:val="000000"/>
                <w:sz w:val="18"/>
                <w:szCs w:val="18"/>
                <w:shd w:val="clear" w:color="auto" w:fill="FFFFFF"/>
              </w:rPr>
              <w:t xml:space="preserve"> </w:t>
            </w:r>
            <w:r w:rsidRPr="00F87C61">
              <w:rPr>
                <w:rFonts w:asciiTheme="majorHAnsi" w:hAnsiTheme="majorHAnsi"/>
                <w:color w:val="000000"/>
                <w:sz w:val="16"/>
                <w:szCs w:val="16"/>
              </w:rPr>
              <w:t>предназначен для сварки оконных конструкций из ПВХ-профилей .   Сварка ПВХ профиля под углом от 30° до 180°. высота: 1720 мм, ширина: 830 мм, длина: 850 мм, вес: 200 кг.</w:t>
            </w:r>
          </w:p>
          <w:p w:rsidR="00F87C61" w:rsidRPr="00F87C61" w:rsidRDefault="00F87C61" w:rsidP="00A276AF">
            <w:pPr>
              <w:rPr>
                <w:rFonts w:asciiTheme="majorHAnsi" w:hAnsiTheme="majorHAnsi"/>
                <w:color w:val="000000"/>
                <w:sz w:val="16"/>
                <w:szCs w:val="16"/>
              </w:rPr>
            </w:pPr>
            <w:r w:rsidRPr="00F87C61">
              <w:rPr>
                <w:rFonts w:asciiTheme="majorHAnsi" w:hAnsiTheme="majorHAnsi"/>
                <w:color w:val="000000"/>
                <w:sz w:val="16"/>
                <w:szCs w:val="16"/>
              </w:rPr>
              <w:t xml:space="preserve">Страна-изготовитель: Турция  </w:t>
            </w:r>
          </w:p>
        </w:tc>
        <w:tc>
          <w:tcPr>
            <w:tcW w:w="927" w:type="pct"/>
            <w:shd w:val="clear" w:color="auto" w:fill="auto"/>
            <w:noWrap/>
            <w:vAlign w:val="center"/>
            <w:hideMark/>
          </w:tcPr>
          <w:p w:rsidR="00F87C61" w:rsidRPr="00A276AF" w:rsidRDefault="00F87C61" w:rsidP="00D70166">
            <w:pPr>
              <w:jc w:val="center"/>
              <w:rPr>
                <w:rFonts w:asciiTheme="majorHAnsi" w:hAnsiTheme="majorHAnsi"/>
                <w:color w:val="000000"/>
                <w:sz w:val="16"/>
                <w:szCs w:val="16"/>
              </w:rPr>
            </w:pPr>
            <w:r>
              <w:rPr>
                <w:rFonts w:asciiTheme="majorHAnsi" w:hAnsiTheme="majorHAnsi"/>
                <w:color w:val="000000"/>
                <w:sz w:val="16"/>
                <w:szCs w:val="16"/>
              </w:rPr>
              <w:t xml:space="preserve"> Хорошее</w:t>
            </w:r>
          </w:p>
        </w:tc>
        <w:tc>
          <w:tcPr>
            <w:tcW w:w="631" w:type="pct"/>
            <w:shd w:val="clear" w:color="auto" w:fill="auto"/>
            <w:noWrap/>
            <w:vAlign w:val="center"/>
            <w:hideMark/>
          </w:tcPr>
          <w:p w:rsidR="00F87C61" w:rsidRPr="00A276AF" w:rsidRDefault="00F87C61" w:rsidP="00D70166">
            <w:pPr>
              <w:jc w:val="center"/>
              <w:rPr>
                <w:rFonts w:asciiTheme="majorHAnsi" w:hAnsiTheme="majorHAnsi"/>
                <w:color w:val="000000"/>
                <w:sz w:val="16"/>
                <w:szCs w:val="16"/>
              </w:rPr>
            </w:pPr>
            <w:r>
              <w:rPr>
                <w:rFonts w:asciiTheme="majorHAnsi" w:hAnsiTheme="majorHAnsi"/>
                <w:color w:val="000000"/>
                <w:sz w:val="16"/>
                <w:szCs w:val="16"/>
              </w:rPr>
              <w:t>3</w:t>
            </w:r>
            <w:r w:rsidRPr="00A276AF">
              <w:rPr>
                <w:rFonts w:asciiTheme="majorHAnsi" w:hAnsiTheme="majorHAnsi"/>
                <w:color w:val="000000"/>
                <w:sz w:val="16"/>
                <w:szCs w:val="16"/>
              </w:rPr>
              <w:t>5%</w:t>
            </w:r>
          </w:p>
        </w:tc>
      </w:tr>
      <w:tr w:rsidR="00F87C61" w:rsidRPr="00A276AF" w:rsidTr="00F87C61">
        <w:trPr>
          <w:cantSplit/>
          <w:trHeight w:val="227"/>
        </w:trPr>
        <w:tc>
          <w:tcPr>
            <w:tcW w:w="237" w:type="pct"/>
            <w:shd w:val="clear" w:color="auto" w:fill="auto"/>
            <w:noWrap/>
            <w:vAlign w:val="center"/>
          </w:tcPr>
          <w:p w:rsidR="00F87C61" w:rsidRPr="00A276AF" w:rsidRDefault="00F87C61" w:rsidP="00D70166">
            <w:pPr>
              <w:jc w:val="center"/>
              <w:rPr>
                <w:rFonts w:asciiTheme="majorHAnsi" w:hAnsiTheme="majorHAnsi"/>
                <w:color w:val="000000"/>
                <w:sz w:val="16"/>
                <w:szCs w:val="16"/>
              </w:rPr>
            </w:pPr>
            <w:r>
              <w:rPr>
                <w:rFonts w:asciiTheme="majorHAnsi" w:hAnsiTheme="majorHAnsi"/>
                <w:color w:val="000000"/>
                <w:sz w:val="16"/>
                <w:szCs w:val="16"/>
              </w:rPr>
              <w:t>6</w:t>
            </w:r>
          </w:p>
        </w:tc>
        <w:tc>
          <w:tcPr>
            <w:tcW w:w="1146" w:type="pct"/>
            <w:shd w:val="clear" w:color="auto" w:fill="auto"/>
            <w:vAlign w:val="center"/>
          </w:tcPr>
          <w:p w:rsidR="00F87C61" w:rsidRDefault="00F87C61" w:rsidP="00F87C61">
            <w:pPr>
              <w:rPr>
                <w:rFonts w:ascii="Cambria" w:hAnsi="Cambria"/>
                <w:color w:val="000000"/>
                <w:sz w:val="18"/>
                <w:szCs w:val="18"/>
              </w:rPr>
            </w:pPr>
            <w:r>
              <w:rPr>
                <w:rFonts w:ascii="Cambria" w:hAnsi="Cambria"/>
                <w:color w:val="000000"/>
                <w:sz w:val="18"/>
                <w:szCs w:val="18"/>
              </w:rPr>
              <w:t>Автоматический копировально-фрезерный станок для фрезерования отверстий  под ручку и фурнитуру KABAN Makina DE 4060</w:t>
            </w:r>
          </w:p>
        </w:tc>
        <w:tc>
          <w:tcPr>
            <w:tcW w:w="381" w:type="pct"/>
            <w:shd w:val="clear" w:color="auto" w:fill="auto"/>
            <w:noWrap/>
            <w:vAlign w:val="center"/>
          </w:tcPr>
          <w:p w:rsidR="00F87C61" w:rsidRPr="00F87C61" w:rsidRDefault="00F87C61" w:rsidP="00F87C61">
            <w:pPr>
              <w:jc w:val="center"/>
              <w:rPr>
                <w:rFonts w:asciiTheme="majorHAnsi" w:hAnsiTheme="majorHAnsi"/>
                <w:color w:val="000000"/>
                <w:sz w:val="16"/>
                <w:szCs w:val="16"/>
              </w:rPr>
            </w:pPr>
            <w:r w:rsidRPr="00F87C61">
              <w:rPr>
                <w:rFonts w:asciiTheme="majorHAnsi" w:hAnsiTheme="majorHAnsi"/>
                <w:color w:val="000000"/>
                <w:sz w:val="16"/>
                <w:szCs w:val="16"/>
              </w:rPr>
              <w:t>1</w:t>
            </w:r>
          </w:p>
        </w:tc>
        <w:tc>
          <w:tcPr>
            <w:tcW w:w="1679" w:type="pct"/>
            <w:shd w:val="clear" w:color="auto" w:fill="auto"/>
            <w:vAlign w:val="center"/>
          </w:tcPr>
          <w:p w:rsidR="00F87C61" w:rsidRPr="00F87C61" w:rsidRDefault="00F87C61" w:rsidP="00A276AF">
            <w:pPr>
              <w:rPr>
                <w:rFonts w:asciiTheme="majorHAnsi" w:hAnsiTheme="majorHAnsi"/>
                <w:color w:val="000000"/>
                <w:sz w:val="16"/>
                <w:szCs w:val="16"/>
              </w:rPr>
            </w:pPr>
            <w:r w:rsidRPr="00F87C61">
              <w:rPr>
                <w:rFonts w:asciiTheme="majorHAnsi" w:hAnsiTheme="majorHAnsi"/>
                <w:color w:val="000000"/>
                <w:sz w:val="16"/>
                <w:szCs w:val="16"/>
              </w:rPr>
              <w:t xml:space="preserve">Фрезерный станок для сверления тройного отверстия KABAN Makina DE 4060. Предназначен для сверления тройного отверстия под ручку и фрезеровки каналов под шпингалет на ПВХ профиле створки вместе с армированием.  Страна-изготовитель: Турция  </w:t>
            </w:r>
          </w:p>
        </w:tc>
        <w:tc>
          <w:tcPr>
            <w:tcW w:w="927" w:type="pct"/>
            <w:shd w:val="clear" w:color="auto" w:fill="auto"/>
            <w:noWrap/>
            <w:vAlign w:val="center"/>
          </w:tcPr>
          <w:p w:rsidR="00F87C61" w:rsidRPr="00A276AF" w:rsidRDefault="00F87C61" w:rsidP="00D70166">
            <w:pPr>
              <w:jc w:val="center"/>
              <w:rPr>
                <w:rFonts w:asciiTheme="majorHAnsi" w:hAnsiTheme="majorHAnsi"/>
                <w:color w:val="000000"/>
                <w:sz w:val="16"/>
                <w:szCs w:val="16"/>
              </w:rPr>
            </w:pPr>
            <w:r>
              <w:rPr>
                <w:rFonts w:asciiTheme="majorHAnsi" w:hAnsiTheme="majorHAnsi"/>
                <w:color w:val="000000"/>
                <w:sz w:val="16"/>
                <w:szCs w:val="16"/>
              </w:rPr>
              <w:t>У</w:t>
            </w:r>
            <w:r w:rsidRPr="00F87C61">
              <w:rPr>
                <w:rFonts w:asciiTheme="majorHAnsi" w:hAnsiTheme="majorHAnsi"/>
                <w:color w:val="000000"/>
                <w:sz w:val="16"/>
                <w:szCs w:val="16"/>
              </w:rPr>
              <w:t>довлетворительное</w:t>
            </w:r>
          </w:p>
        </w:tc>
        <w:tc>
          <w:tcPr>
            <w:tcW w:w="631" w:type="pct"/>
            <w:shd w:val="clear" w:color="auto" w:fill="auto"/>
            <w:noWrap/>
            <w:vAlign w:val="center"/>
          </w:tcPr>
          <w:p w:rsidR="00F87C61" w:rsidRPr="00A276AF" w:rsidRDefault="00F87C61" w:rsidP="00D70166">
            <w:pPr>
              <w:jc w:val="center"/>
              <w:rPr>
                <w:rFonts w:asciiTheme="majorHAnsi" w:hAnsiTheme="majorHAnsi"/>
                <w:color w:val="000000"/>
                <w:sz w:val="16"/>
                <w:szCs w:val="16"/>
              </w:rPr>
            </w:pPr>
            <w:r>
              <w:rPr>
                <w:rFonts w:asciiTheme="majorHAnsi" w:hAnsiTheme="majorHAnsi"/>
                <w:color w:val="000000"/>
                <w:sz w:val="16"/>
                <w:szCs w:val="16"/>
              </w:rPr>
              <w:t>50%</w:t>
            </w:r>
          </w:p>
        </w:tc>
      </w:tr>
      <w:tr w:rsidR="00F87C61" w:rsidRPr="00A276AF" w:rsidTr="00F87C61">
        <w:trPr>
          <w:cantSplit/>
          <w:trHeight w:val="227"/>
        </w:trPr>
        <w:tc>
          <w:tcPr>
            <w:tcW w:w="237" w:type="pct"/>
            <w:shd w:val="clear" w:color="auto" w:fill="auto"/>
            <w:noWrap/>
            <w:vAlign w:val="center"/>
          </w:tcPr>
          <w:p w:rsidR="00F87C61" w:rsidRDefault="00F87C61" w:rsidP="00D70166">
            <w:pPr>
              <w:jc w:val="center"/>
              <w:rPr>
                <w:rFonts w:asciiTheme="majorHAnsi" w:hAnsiTheme="majorHAnsi"/>
                <w:color w:val="000000"/>
                <w:sz w:val="16"/>
                <w:szCs w:val="16"/>
              </w:rPr>
            </w:pPr>
          </w:p>
        </w:tc>
        <w:tc>
          <w:tcPr>
            <w:tcW w:w="1146" w:type="pct"/>
            <w:shd w:val="clear" w:color="auto" w:fill="auto"/>
            <w:vAlign w:val="center"/>
          </w:tcPr>
          <w:p w:rsidR="00F87C61" w:rsidRDefault="00F87C61" w:rsidP="00F87C61">
            <w:pPr>
              <w:rPr>
                <w:rFonts w:ascii="Cambria" w:hAnsi="Cambria"/>
                <w:color w:val="000000"/>
                <w:sz w:val="18"/>
                <w:szCs w:val="18"/>
              </w:rPr>
            </w:pPr>
            <w:r>
              <w:rPr>
                <w:rFonts w:ascii="Cambria" w:hAnsi="Cambria"/>
                <w:color w:val="000000"/>
                <w:sz w:val="18"/>
                <w:szCs w:val="18"/>
              </w:rPr>
              <w:t>Механический  копировально-фрезерный  станок  KABAN Makina DF4060</w:t>
            </w:r>
          </w:p>
        </w:tc>
        <w:tc>
          <w:tcPr>
            <w:tcW w:w="381" w:type="pct"/>
            <w:shd w:val="clear" w:color="auto" w:fill="auto"/>
            <w:noWrap/>
            <w:vAlign w:val="center"/>
          </w:tcPr>
          <w:p w:rsidR="00F87C61" w:rsidRPr="00F87C61" w:rsidRDefault="00F87C61" w:rsidP="00F87C61">
            <w:pPr>
              <w:jc w:val="center"/>
              <w:rPr>
                <w:rFonts w:asciiTheme="majorHAnsi" w:hAnsiTheme="majorHAnsi"/>
                <w:color w:val="000000"/>
                <w:sz w:val="16"/>
                <w:szCs w:val="16"/>
              </w:rPr>
            </w:pPr>
            <w:r w:rsidRPr="00F87C61">
              <w:rPr>
                <w:rFonts w:asciiTheme="majorHAnsi" w:hAnsiTheme="majorHAnsi"/>
                <w:color w:val="000000"/>
                <w:sz w:val="16"/>
                <w:szCs w:val="16"/>
              </w:rPr>
              <w:t>1</w:t>
            </w:r>
          </w:p>
        </w:tc>
        <w:tc>
          <w:tcPr>
            <w:tcW w:w="1679" w:type="pct"/>
            <w:shd w:val="clear" w:color="auto" w:fill="auto"/>
            <w:vAlign w:val="center"/>
          </w:tcPr>
          <w:p w:rsidR="00F87C61" w:rsidRPr="00F87C61" w:rsidRDefault="00F87C61" w:rsidP="00F87C61">
            <w:pPr>
              <w:rPr>
                <w:rFonts w:ascii="Cambria" w:hAnsi="Cambria"/>
                <w:color w:val="000000"/>
                <w:sz w:val="18"/>
                <w:szCs w:val="18"/>
              </w:rPr>
            </w:pPr>
            <w:r w:rsidRPr="00F87C61">
              <w:rPr>
                <w:rFonts w:ascii="Cambria" w:hAnsi="Cambria"/>
                <w:color w:val="000000"/>
                <w:sz w:val="18"/>
                <w:szCs w:val="18"/>
              </w:rPr>
              <w:t xml:space="preserve">Механический  копировально-фрезерный  станок  KABAN Makina DF4060 фрезерует каналы под шпингалет, отверстия под замки, ручки на профиле из ПВХ и алюминия. Страна-изготовитель: Турция  </w:t>
            </w:r>
          </w:p>
        </w:tc>
        <w:tc>
          <w:tcPr>
            <w:tcW w:w="927" w:type="pct"/>
            <w:shd w:val="clear" w:color="auto" w:fill="auto"/>
            <w:noWrap/>
            <w:vAlign w:val="center"/>
          </w:tcPr>
          <w:p w:rsidR="00F87C61" w:rsidRPr="00A276AF" w:rsidRDefault="00F87C61" w:rsidP="00D70166">
            <w:pPr>
              <w:jc w:val="center"/>
              <w:rPr>
                <w:rFonts w:asciiTheme="majorHAnsi" w:hAnsiTheme="majorHAnsi"/>
                <w:color w:val="000000"/>
                <w:sz w:val="16"/>
                <w:szCs w:val="16"/>
              </w:rPr>
            </w:pPr>
            <w:r>
              <w:rPr>
                <w:rFonts w:asciiTheme="majorHAnsi" w:hAnsiTheme="majorHAnsi"/>
                <w:color w:val="000000"/>
                <w:sz w:val="16"/>
                <w:szCs w:val="16"/>
              </w:rPr>
              <w:t xml:space="preserve"> Хорошее</w:t>
            </w:r>
          </w:p>
        </w:tc>
        <w:tc>
          <w:tcPr>
            <w:tcW w:w="631" w:type="pct"/>
            <w:shd w:val="clear" w:color="auto" w:fill="auto"/>
            <w:noWrap/>
            <w:vAlign w:val="center"/>
          </w:tcPr>
          <w:p w:rsidR="00F87C61" w:rsidRPr="00A276AF" w:rsidRDefault="00F87C61" w:rsidP="00D70166">
            <w:pPr>
              <w:jc w:val="center"/>
              <w:rPr>
                <w:rFonts w:asciiTheme="majorHAnsi" w:hAnsiTheme="majorHAnsi"/>
                <w:color w:val="000000"/>
                <w:sz w:val="16"/>
                <w:szCs w:val="16"/>
              </w:rPr>
            </w:pPr>
            <w:r>
              <w:rPr>
                <w:rFonts w:asciiTheme="majorHAnsi" w:hAnsiTheme="majorHAnsi"/>
                <w:color w:val="000000"/>
                <w:sz w:val="16"/>
                <w:szCs w:val="16"/>
              </w:rPr>
              <w:t>3</w:t>
            </w:r>
            <w:r w:rsidRPr="00A276AF">
              <w:rPr>
                <w:rFonts w:asciiTheme="majorHAnsi" w:hAnsiTheme="majorHAnsi"/>
                <w:color w:val="000000"/>
                <w:sz w:val="16"/>
                <w:szCs w:val="16"/>
              </w:rPr>
              <w:t>5%</w:t>
            </w:r>
          </w:p>
        </w:tc>
      </w:tr>
      <w:tr w:rsidR="00F87C61" w:rsidRPr="00A276AF" w:rsidTr="00F87C61">
        <w:trPr>
          <w:cantSplit/>
          <w:trHeight w:val="227"/>
        </w:trPr>
        <w:tc>
          <w:tcPr>
            <w:tcW w:w="237" w:type="pct"/>
            <w:shd w:val="clear" w:color="auto" w:fill="auto"/>
            <w:noWrap/>
            <w:vAlign w:val="center"/>
          </w:tcPr>
          <w:p w:rsidR="00F87C61" w:rsidRDefault="00F87C61" w:rsidP="00D70166">
            <w:pPr>
              <w:jc w:val="center"/>
              <w:rPr>
                <w:rFonts w:asciiTheme="majorHAnsi" w:hAnsiTheme="majorHAnsi"/>
                <w:color w:val="000000"/>
                <w:sz w:val="16"/>
                <w:szCs w:val="16"/>
              </w:rPr>
            </w:pPr>
          </w:p>
        </w:tc>
        <w:tc>
          <w:tcPr>
            <w:tcW w:w="1146" w:type="pct"/>
            <w:shd w:val="clear" w:color="auto" w:fill="auto"/>
            <w:vAlign w:val="center"/>
          </w:tcPr>
          <w:p w:rsidR="00F87C61" w:rsidRDefault="00F87C61" w:rsidP="00F87C61">
            <w:pPr>
              <w:rPr>
                <w:rFonts w:ascii="Cambria" w:hAnsi="Cambria"/>
                <w:color w:val="000000"/>
                <w:sz w:val="18"/>
                <w:szCs w:val="18"/>
              </w:rPr>
            </w:pPr>
            <w:r>
              <w:rPr>
                <w:rFonts w:ascii="Cambria" w:hAnsi="Cambria"/>
                <w:color w:val="000000"/>
                <w:sz w:val="18"/>
                <w:szCs w:val="18"/>
              </w:rPr>
              <w:t>Автоматический станок для обработки импоста  KABAN Makina СF3060</w:t>
            </w:r>
          </w:p>
        </w:tc>
        <w:tc>
          <w:tcPr>
            <w:tcW w:w="381" w:type="pct"/>
            <w:shd w:val="clear" w:color="auto" w:fill="auto"/>
            <w:noWrap/>
            <w:vAlign w:val="center"/>
          </w:tcPr>
          <w:p w:rsidR="00F87C61" w:rsidRPr="00F87C61" w:rsidRDefault="00F87C61" w:rsidP="00F87C61">
            <w:pPr>
              <w:jc w:val="center"/>
              <w:rPr>
                <w:rFonts w:asciiTheme="majorHAnsi" w:hAnsiTheme="majorHAnsi"/>
                <w:color w:val="000000"/>
                <w:sz w:val="16"/>
                <w:szCs w:val="16"/>
              </w:rPr>
            </w:pPr>
            <w:r w:rsidRPr="00F87C61">
              <w:rPr>
                <w:rFonts w:asciiTheme="majorHAnsi" w:hAnsiTheme="majorHAnsi"/>
                <w:color w:val="000000"/>
                <w:sz w:val="16"/>
                <w:szCs w:val="16"/>
              </w:rPr>
              <w:t>1</w:t>
            </w:r>
          </w:p>
        </w:tc>
        <w:tc>
          <w:tcPr>
            <w:tcW w:w="1679" w:type="pct"/>
            <w:shd w:val="clear" w:color="auto" w:fill="auto"/>
            <w:vAlign w:val="center"/>
          </w:tcPr>
          <w:p w:rsidR="00F87C61" w:rsidRPr="00F87C61" w:rsidRDefault="00F87C61" w:rsidP="00F87C61">
            <w:pPr>
              <w:rPr>
                <w:rFonts w:ascii="Cambria" w:hAnsi="Cambria"/>
                <w:color w:val="000000"/>
                <w:sz w:val="18"/>
                <w:szCs w:val="18"/>
              </w:rPr>
            </w:pPr>
            <w:r w:rsidRPr="00F87C61">
              <w:rPr>
                <w:rFonts w:ascii="Cambria" w:hAnsi="Cambria"/>
                <w:color w:val="000000"/>
                <w:sz w:val="18"/>
                <w:szCs w:val="18"/>
              </w:rPr>
              <w:t xml:space="preserve">Автоматический станок для обработки импоста  KABAN Makina СF3060 производит высококачественную фрезеровку торцов импостного профиля из ПВХ и алюминияСтрана-изготовитель: Турция  </w:t>
            </w:r>
          </w:p>
        </w:tc>
        <w:tc>
          <w:tcPr>
            <w:tcW w:w="927" w:type="pct"/>
            <w:shd w:val="clear" w:color="auto" w:fill="auto"/>
            <w:noWrap/>
            <w:vAlign w:val="center"/>
          </w:tcPr>
          <w:p w:rsidR="00F87C61" w:rsidRPr="00A276AF" w:rsidRDefault="00F87C61" w:rsidP="00D70166">
            <w:pPr>
              <w:jc w:val="center"/>
              <w:rPr>
                <w:rFonts w:asciiTheme="majorHAnsi" w:hAnsiTheme="majorHAnsi"/>
                <w:color w:val="000000"/>
                <w:sz w:val="16"/>
                <w:szCs w:val="16"/>
              </w:rPr>
            </w:pPr>
            <w:r>
              <w:rPr>
                <w:rFonts w:asciiTheme="majorHAnsi" w:hAnsiTheme="majorHAnsi"/>
                <w:color w:val="000000"/>
                <w:sz w:val="16"/>
                <w:szCs w:val="16"/>
              </w:rPr>
              <w:t xml:space="preserve"> Хорошее</w:t>
            </w:r>
          </w:p>
        </w:tc>
        <w:tc>
          <w:tcPr>
            <w:tcW w:w="631" w:type="pct"/>
            <w:shd w:val="clear" w:color="auto" w:fill="auto"/>
            <w:noWrap/>
            <w:vAlign w:val="center"/>
          </w:tcPr>
          <w:p w:rsidR="00F87C61" w:rsidRPr="00A276AF" w:rsidRDefault="00F87C61" w:rsidP="00D70166">
            <w:pPr>
              <w:jc w:val="center"/>
              <w:rPr>
                <w:rFonts w:asciiTheme="majorHAnsi" w:hAnsiTheme="majorHAnsi"/>
                <w:color w:val="000000"/>
                <w:sz w:val="16"/>
                <w:szCs w:val="16"/>
              </w:rPr>
            </w:pPr>
            <w:r>
              <w:rPr>
                <w:rFonts w:asciiTheme="majorHAnsi" w:hAnsiTheme="majorHAnsi"/>
                <w:color w:val="000000"/>
                <w:sz w:val="16"/>
                <w:szCs w:val="16"/>
              </w:rPr>
              <w:t>3</w:t>
            </w:r>
            <w:r w:rsidRPr="00A276AF">
              <w:rPr>
                <w:rFonts w:asciiTheme="majorHAnsi" w:hAnsiTheme="majorHAnsi"/>
                <w:color w:val="000000"/>
                <w:sz w:val="16"/>
                <w:szCs w:val="16"/>
              </w:rPr>
              <w:t>5%</w:t>
            </w:r>
          </w:p>
        </w:tc>
      </w:tr>
    </w:tbl>
    <w:p w:rsidR="00A276AF" w:rsidRDefault="00A276AF" w:rsidP="00A276AF">
      <w:pPr>
        <w:spacing w:before="120" w:after="120"/>
        <w:jc w:val="both"/>
        <w:rPr>
          <w:rFonts w:ascii="Bookman Old Style" w:hAnsi="Bookman Old Style"/>
          <w:bCs/>
          <w:i/>
          <w:sz w:val="20"/>
          <w:szCs w:val="20"/>
        </w:rPr>
      </w:pPr>
      <w:r>
        <w:rPr>
          <w:rFonts w:ascii="Bookman Old Style" w:hAnsi="Bookman Old Style"/>
          <w:bCs/>
          <w:i/>
          <w:sz w:val="20"/>
          <w:szCs w:val="20"/>
        </w:rPr>
        <w:t>Фото элементов Объекта оценки</w:t>
      </w:r>
    </w:p>
    <w:p w:rsidR="00A276AF" w:rsidRPr="00F87C61" w:rsidRDefault="00A276AF" w:rsidP="00A276AF">
      <w:pPr>
        <w:spacing w:before="120" w:after="120"/>
        <w:rPr>
          <w:rFonts w:ascii="Bookman Old Style" w:hAnsi="Bookman Old Style"/>
          <w:sz w:val="18"/>
          <w:szCs w:val="18"/>
          <w:lang w:val="en-US"/>
        </w:rPr>
      </w:pPr>
      <w:r>
        <w:rPr>
          <w:rFonts w:ascii="Bookman Old Style" w:hAnsi="Bookman Old Style"/>
          <w:sz w:val="18"/>
          <w:szCs w:val="18"/>
        </w:rPr>
        <w:t>Фото</w:t>
      </w:r>
      <w:r w:rsidRPr="00D70166">
        <w:rPr>
          <w:rFonts w:ascii="Bookman Old Style" w:hAnsi="Bookman Old Style"/>
          <w:sz w:val="18"/>
          <w:szCs w:val="18"/>
          <w:lang w:val="en-US"/>
        </w:rPr>
        <w:t xml:space="preserve"> № 1. </w:t>
      </w:r>
      <w:r w:rsidR="00F87C61" w:rsidRPr="00F87C61">
        <w:rPr>
          <w:rFonts w:ascii="Bookman Old Style" w:hAnsi="Bookman Old Style"/>
          <w:sz w:val="18"/>
          <w:szCs w:val="18"/>
          <w:lang w:val="en-US"/>
        </w:rPr>
        <w:t xml:space="preserve">KABAN Makina FA 1030 </w:t>
      </w:r>
      <w:r w:rsidR="00F87C61" w:rsidRPr="00F87C61">
        <w:rPr>
          <w:rFonts w:ascii="Bookman Old Style" w:hAnsi="Bookman Old Style"/>
          <w:sz w:val="18"/>
          <w:szCs w:val="18"/>
          <w:lang w:val="en-US"/>
        </w:rPr>
        <w:tab/>
      </w:r>
      <w:r w:rsidR="00F87C61" w:rsidRPr="00F87C61">
        <w:rPr>
          <w:rFonts w:ascii="Bookman Old Style" w:hAnsi="Bookman Old Style"/>
          <w:sz w:val="18"/>
          <w:szCs w:val="18"/>
          <w:lang w:val="en-US"/>
        </w:rPr>
        <w:tab/>
      </w:r>
      <w:r w:rsidR="00F87C61" w:rsidRPr="00F87C61">
        <w:rPr>
          <w:rFonts w:ascii="Bookman Old Style" w:hAnsi="Bookman Old Style"/>
          <w:sz w:val="18"/>
          <w:szCs w:val="18"/>
          <w:lang w:val="en-US"/>
        </w:rPr>
        <w:tab/>
        <w:t xml:space="preserve">    </w:t>
      </w:r>
      <w:r>
        <w:rPr>
          <w:rFonts w:ascii="Bookman Old Style" w:hAnsi="Bookman Old Style"/>
          <w:sz w:val="18"/>
          <w:szCs w:val="18"/>
        </w:rPr>
        <w:t>Фото</w:t>
      </w:r>
      <w:r w:rsidRPr="00F87C61">
        <w:rPr>
          <w:rFonts w:ascii="Bookman Old Style" w:hAnsi="Bookman Old Style"/>
          <w:sz w:val="18"/>
          <w:szCs w:val="18"/>
          <w:lang w:val="en-US"/>
        </w:rPr>
        <w:t xml:space="preserve"> № 2. </w:t>
      </w:r>
      <w:r w:rsidR="00F87C61" w:rsidRPr="00F87C61">
        <w:rPr>
          <w:rFonts w:ascii="Bookman Old Style" w:hAnsi="Bookman Old Style"/>
          <w:sz w:val="18"/>
          <w:szCs w:val="18"/>
          <w:lang w:val="en-US"/>
        </w:rPr>
        <w:t>KABAN Makina FA 1030</w:t>
      </w:r>
    </w:p>
    <w:p w:rsidR="00A276AF" w:rsidRPr="00DB0AEE" w:rsidRDefault="00A276AF" w:rsidP="00A276AF">
      <w:pPr>
        <w:spacing w:before="120" w:after="120"/>
        <w:rPr>
          <w:rFonts w:ascii="Bookman Old Style" w:hAnsi="Bookman Old Style"/>
          <w:noProof/>
          <w:sz w:val="18"/>
          <w:szCs w:val="18"/>
          <w:lang w:val="en-US"/>
        </w:rPr>
      </w:pPr>
      <w:r>
        <w:rPr>
          <w:rFonts w:ascii="Bookman Old Style" w:hAnsi="Bookman Old Style"/>
          <w:noProof/>
          <w:sz w:val="18"/>
          <w:szCs w:val="18"/>
        </w:rPr>
        <w:drawing>
          <wp:inline distT="0" distB="0" distL="0" distR="0">
            <wp:extent cx="3121660" cy="2341245"/>
            <wp:effectExtent l="0" t="0" r="2540" b="1905"/>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3121660" cy="2341245"/>
                    </a:xfrm>
                    <a:prstGeom prst="rect">
                      <a:avLst/>
                    </a:prstGeom>
                    <a:noFill/>
                  </pic:spPr>
                </pic:pic>
              </a:graphicData>
            </a:graphic>
          </wp:inline>
        </w:drawing>
      </w:r>
      <w:r w:rsidRPr="00DB0AEE">
        <w:rPr>
          <w:rFonts w:ascii="Bookman Old Style" w:hAnsi="Bookman Old Style"/>
          <w:noProof/>
          <w:sz w:val="18"/>
          <w:szCs w:val="18"/>
          <w:lang w:val="en-US"/>
        </w:rPr>
        <w:t xml:space="preserve">      </w:t>
      </w:r>
      <w:r>
        <w:rPr>
          <w:rFonts w:ascii="Bookman Old Style" w:hAnsi="Bookman Old Style"/>
          <w:noProof/>
          <w:sz w:val="18"/>
          <w:szCs w:val="18"/>
        </w:rPr>
        <w:drawing>
          <wp:inline distT="0" distB="0" distL="0" distR="0">
            <wp:extent cx="3121660" cy="2341245"/>
            <wp:effectExtent l="0" t="0" r="2540" b="1905"/>
            <wp:docPr id="250"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3121660" cy="2341245"/>
                    </a:xfrm>
                    <a:prstGeom prst="rect">
                      <a:avLst/>
                    </a:prstGeom>
                    <a:noFill/>
                  </pic:spPr>
                </pic:pic>
              </a:graphicData>
            </a:graphic>
          </wp:inline>
        </w:drawing>
      </w:r>
    </w:p>
    <w:p w:rsidR="00F87C61" w:rsidRPr="00DB0AEE" w:rsidRDefault="00F87C61" w:rsidP="00F87C61">
      <w:pPr>
        <w:spacing w:before="120" w:after="120"/>
        <w:rPr>
          <w:rFonts w:ascii="Bookman Old Style" w:hAnsi="Bookman Old Style"/>
          <w:sz w:val="18"/>
          <w:szCs w:val="18"/>
          <w:lang w:val="en-US"/>
        </w:rPr>
      </w:pPr>
    </w:p>
    <w:p w:rsidR="00F87C61" w:rsidRPr="00F87C61" w:rsidRDefault="00F87C61" w:rsidP="00F87C61">
      <w:pPr>
        <w:spacing w:before="120" w:after="120"/>
        <w:rPr>
          <w:rFonts w:ascii="Bookman Old Style" w:hAnsi="Bookman Old Style"/>
          <w:sz w:val="18"/>
          <w:szCs w:val="18"/>
          <w:lang w:val="en-US"/>
        </w:rPr>
      </w:pPr>
      <w:r>
        <w:rPr>
          <w:rFonts w:ascii="Bookman Old Style" w:hAnsi="Bookman Old Style"/>
          <w:sz w:val="18"/>
          <w:szCs w:val="18"/>
        </w:rPr>
        <w:lastRenderedPageBreak/>
        <w:t>Фото</w:t>
      </w:r>
      <w:r>
        <w:rPr>
          <w:rFonts w:ascii="Bookman Old Style" w:hAnsi="Bookman Old Style"/>
          <w:sz w:val="18"/>
          <w:szCs w:val="18"/>
          <w:lang w:val="en-US"/>
        </w:rPr>
        <w:t xml:space="preserve"> № </w:t>
      </w:r>
      <w:r w:rsidRPr="00F87C61">
        <w:rPr>
          <w:rFonts w:ascii="Bookman Old Style" w:hAnsi="Bookman Old Style"/>
          <w:sz w:val="18"/>
          <w:szCs w:val="18"/>
          <w:lang w:val="en-US"/>
        </w:rPr>
        <w:t xml:space="preserve">3. KABAN Makina FA 1030 </w:t>
      </w:r>
      <w:r w:rsidRPr="00F87C61">
        <w:rPr>
          <w:rFonts w:ascii="Bookman Old Style" w:hAnsi="Bookman Old Style"/>
          <w:sz w:val="18"/>
          <w:szCs w:val="18"/>
          <w:lang w:val="en-US"/>
        </w:rPr>
        <w:tab/>
      </w:r>
      <w:r w:rsidRPr="00F87C61">
        <w:rPr>
          <w:rFonts w:ascii="Bookman Old Style" w:hAnsi="Bookman Old Style"/>
          <w:sz w:val="18"/>
          <w:szCs w:val="18"/>
          <w:lang w:val="en-US"/>
        </w:rPr>
        <w:tab/>
      </w:r>
      <w:r w:rsidRPr="00F87C61">
        <w:rPr>
          <w:rFonts w:ascii="Bookman Old Style" w:hAnsi="Bookman Old Style"/>
          <w:sz w:val="18"/>
          <w:szCs w:val="18"/>
          <w:lang w:val="en-US"/>
        </w:rPr>
        <w:tab/>
        <w:t xml:space="preserve">    </w:t>
      </w:r>
      <w:r>
        <w:rPr>
          <w:rFonts w:ascii="Bookman Old Style" w:hAnsi="Bookman Old Style"/>
          <w:sz w:val="18"/>
          <w:szCs w:val="18"/>
        </w:rPr>
        <w:t>Фото</w:t>
      </w:r>
      <w:r w:rsidRPr="00F87C61">
        <w:rPr>
          <w:rFonts w:ascii="Bookman Old Style" w:hAnsi="Bookman Old Style"/>
          <w:sz w:val="18"/>
          <w:szCs w:val="18"/>
          <w:lang w:val="en-US"/>
        </w:rPr>
        <w:t xml:space="preserve"> № 4. KABAN Makina </w:t>
      </w:r>
      <w:r w:rsidRPr="00F87C61">
        <w:rPr>
          <w:rFonts w:ascii="Bookman Old Style" w:hAnsi="Bookman Old Style"/>
          <w:sz w:val="18"/>
          <w:szCs w:val="18"/>
        </w:rPr>
        <w:t>КС</w:t>
      </w:r>
      <w:r w:rsidRPr="00F87C61">
        <w:rPr>
          <w:rFonts w:ascii="Bookman Old Style" w:hAnsi="Bookman Old Style"/>
          <w:sz w:val="18"/>
          <w:szCs w:val="18"/>
          <w:lang w:val="en-US"/>
        </w:rPr>
        <w:t>1010</w:t>
      </w:r>
    </w:p>
    <w:p w:rsidR="00F87C61" w:rsidRPr="00F87C61" w:rsidRDefault="00F87C61" w:rsidP="00F87C61">
      <w:pPr>
        <w:spacing w:before="120" w:after="120"/>
        <w:rPr>
          <w:rFonts w:ascii="Bookman Old Style" w:hAnsi="Bookman Old Style"/>
          <w:noProof/>
          <w:sz w:val="18"/>
          <w:szCs w:val="18"/>
          <w:lang w:val="en-US"/>
        </w:rPr>
      </w:pPr>
      <w:r>
        <w:rPr>
          <w:rFonts w:ascii="Bookman Old Style" w:hAnsi="Bookman Old Style"/>
          <w:noProof/>
          <w:sz w:val="18"/>
          <w:szCs w:val="18"/>
        </w:rPr>
        <w:drawing>
          <wp:inline distT="0" distB="0" distL="0" distR="0">
            <wp:extent cx="3121660" cy="2341245"/>
            <wp:effectExtent l="0" t="0" r="2540"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3121660" cy="2341245"/>
                    </a:xfrm>
                    <a:prstGeom prst="rect">
                      <a:avLst/>
                    </a:prstGeom>
                    <a:noFill/>
                  </pic:spPr>
                </pic:pic>
              </a:graphicData>
            </a:graphic>
          </wp:inline>
        </w:drawing>
      </w:r>
      <w:r w:rsidRPr="00F87C61">
        <w:rPr>
          <w:rFonts w:ascii="Bookman Old Style" w:hAnsi="Bookman Old Style"/>
          <w:noProof/>
          <w:sz w:val="18"/>
          <w:szCs w:val="18"/>
          <w:lang w:val="en-US"/>
        </w:rPr>
        <w:t xml:space="preserve">      </w:t>
      </w:r>
      <w:r>
        <w:rPr>
          <w:rFonts w:ascii="Bookman Old Style" w:hAnsi="Bookman Old Style"/>
          <w:noProof/>
          <w:sz w:val="18"/>
          <w:szCs w:val="18"/>
        </w:rPr>
        <w:drawing>
          <wp:inline distT="0" distB="0" distL="0" distR="0">
            <wp:extent cx="3121660" cy="2341245"/>
            <wp:effectExtent l="0" t="0" r="2540" b="190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3121660" cy="2341245"/>
                    </a:xfrm>
                    <a:prstGeom prst="rect">
                      <a:avLst/>
                    </a:prstGeom>
                    <a:noFill/>
                  </pic:spPr>
                </pic:pic>
              </a:graphicData>
            </a:graphic>
          </wp:inline>
        </w:drawing>
      </w:r>
    </w:p>
    <w:p w:rsidR="00F87C61" w:rsidRPr="00F87C61" w:rsidRDefault="00F87C61" w:rsidP="00F87C61">
      <w:pPr>
        <w:spacing w:before="120" w:after="120"/>
        <w:rPr>
          <w:rFonts w:ascii="Bookman Old Style" w:hAnsi="Bookman Old Style"/>
          <w:sz w:val="18"/>
          <w:szCs w:val="18"/>
          <w:lang w:val="en-US"/>
        </w:rPr>
      </w:pPr>
      <w:r>
        <w:rPr>
          <w:rFonts w:ascii="Bookman Old Style" w:hAnsi="Bookman Old Style"/>
          <w:sz w:val="18"/>
          <w:szCs w:val="18"/>
        </w:rPr>
        <w:t>Фото</w:t>
      </w:r>
      <w:r>
        <w:rPr>
          <w:rFonts w:ascii="Bookman Old Style" w:hAnsi="Bookman Old Style"/>
          <w:sz w:val="18"/>
          <w:szCs w:val="18"/>
          <w:lang w:val="en-US"/>
        </w:rPr>
        <w:t xml:space="preserve"> № </w:t>
      </w:r>
      <w:r w:rsidRPr="00F87C61">
        <w:rPr>
          <w:rFonts w:ascii="Bookman Old Style" w:hAnsi="Bookman Old Style"/>
          <w:sz w:val="18"/>
          <w:szCs w:val="18"/>
          <w:lang w:val="en-US"/>
        </w:rPr>
        <w:t xml:space="preserve">5. KABAN Makina </w:t>
      </w:r>
      <w:r w:rsidRPr="00F87C61">
        <w:rPr>
          <w:rFonts w:ascii="Bookman Old Style" w:hAnsi="Bookman Old Style"/>
          <w:sz w:val="18"/>
          <w:szCs w:val="18"/>
        </w:rPr>
        <w:t>КС</w:t>
      </w:r>
      <w:r w:rsidRPr="00F87C61">
        <w:rPr>
          <w:rFonts w:ascii="Bookman Old Style" w:hAnsi="Bookman Old Style"/>
          <w:sz w:val="18"/>
          <w:szCs w:val="18"/>
          <w:lang w:val="en-US"/>
        </w:rPr>
        <w:t xml:space="preserve">1010 </w:t>
      </w:r>
      <w:r w:rsidRPr="00F87C61">
        <w:rPr>
          <w:rFonts w:ascii="Bookman Old Style" w:hAnsi="Bookman Old Style"/>
          <w:sz w:val="18"/>
          <w:szCs w:val="18"/>
          <w:lang w:val="en-US"/>
        </w:rPr>
        <w:tab/>
      </w:r>
      <w:r w:rsidRPr="00F87C61">
        <w:rPr>
          <w:rFonts w:ascii="Bookman Old Style" w:hAnsi="Bookman Old Style"/>
          <w:sz w:val="18"/>
          <w:szCs w:val="18"/>
          <w:lang w:val="en-US"/>
        </w:rPr>
        <w:tab/>
      </w:r>
      <w:r w:rsidRPr="00F87C61">
        <w:rPr>
          <w:rFonts w:ascii="Bookman Old Style" w:hAnsi="Bookman Old Style"/>
          <w:sz w:val="18"/>
          <w:szCs w:val="18"/>
          <w:lang w:val="en-US"/>
        </w:rPr>
        <w:tab/>
        <w:t xml:space="preserve">    </w:t>
      </w:r>
      <w:r>
        <w:rPr>
          <w:rFonts w:ascii="Bookman Old Style" w:hAnsi="Bookman Old Style"/>
          <w:sz w:val="18"/>
          <w:szCs w:val="18"/>
        </w:rPr>
        <w:t>Фото</w:t>
      </w:r>
      <w:r w:rsidRPr="00F87C61">
        <w:rPr>
          <w:rFonts w:ascii="Bookman Old Style" w:hAnsi="Bookman Old Style"/>
          <w:sz w:val="18"/>
          <w:szCs w:val="18"/>
          <w:lang w:val="en-US"/>
        </w:rPr>
        <w:t xml:space="preserve"> № 6. KABAN Makina DS500</w:t>
      </w:r>
    </w:p>
    <w:p w:rsidR="00F87C61" w:rsidRPr="00F87C61" w:rsidRDefault="00F87C61" w:rsidP="00F87C61">
      <w:pPr>
        <w:spacing w:before="120" w:after="120"/>
        <w:rPr>
          <w:rFonts w:ascii="Bookman Old Style" w:hAnsi="Bookman Old Style"/>
          <w:noProof/>
          <w:sz w:val="18"/>
          <w:szCs w:val="18"/>
          <w:lang w:val="en-US"/>
        </w:rPr>
      </w:pPr>
      <w:r>
        <w:rPr>
          <w:rFonts w:ascii="Bookman Old Style" w:hAnsi="Bookman Old Style"/>
          <w:noProof/>
          <w:sz w:val="18"/>
          <w:szCs w:val="18"/>
        </w:rPr>
        <w:drawing>
          <wp:inline distT="0" distB="0" distL="0" distR="0">
            <wp:extent cx="3121660" cy="2341245"/>
            <wp:effectExtent l="0" t="0" r="2540" b="190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3121660" cy="2341245"/>
                    </a:xfrm>
                    <a:prstGeom prst="rect">
                      <a:avLst/>
                    </a:prstGeom>
                    <a:noFill/>
                  </pic:spPr>
                </pic:pic>
              </a:graphicData>
            </a:graphic>
          </wp:inline>
        </w:drawing>
      </w:r>
      <w:r w:rsidRPr="00F87C61">
        <w:rPr>
          <w:rFonts w:ascii="Bookman Old Style" w:hAnsi="Bookman Old Style"/>
          <w:noProof/>
          <w:sz w:val="18"/>
          <w:szCs w:val="18"/>
          <w:lang w:val="en-US"/>
        </w:rPr>
        <w:t xml:space="preserve">      </w:t>
      </w:r>
      <w:r>
        <w:rPr>
          <w:rFonts w:ascii="Bookman Old Style" w:hAnsi="Bookman Old Style"/>
          <w:noProof/>
          <w:sz w:val="18"/>
          <w:szCs w:val="18"/>
        </w:rPr>
        <w:drawing>
          <wp:inline distT="0" distB="0" distL="0" distR="0">
            <wp:extent cx="3121660" cy="2341245"/>
            <wp:effectExtent l="0" t="0" r="2540" b="190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3121660" cy="2341245"/>
                    </a:xfrm>
                    <a:prstGeom prst="rect">
                      <a:avLst/>
                    </a:prstGeom>
                    <a:noFill/>
                  </pic:spPr>
                </pic:pic>
              </a:graphicData>
            </a:graphic>
          </wp:inline>
        </w:drawing>
      </w:r>
    </w:p>
    <w:p w:rsidR="00F87C61" w:rsidRPr="00F87C61" w:rsidRDefault="00F87C61" w:rsidP="00F87C61">
      <w:pPr>
        <w:spacing w:before="120" w:after="120"/>
        <w:rPr>
          <w:rFonts w:ascii="Bookman Old Style" w:hAnsi="Bookman Old Style"/>
          <w:sz w:val="18"/>
          <w:szCs w:val="18"/>
          <w:lang w:val="en-US"/>
        </w:rPr>
      </w:pPr>
      <w:r>
        <w:rPr>
          <w:rFonts w:ascii="Bookman Old Style" w:hAnsi="Bookman Old Style"/>
          <w:sz w:val="18"/>
          <w:szCs w:val="18"/>
        </w:rPr>
        <w:t>Фото</w:t>
      </w:r>
      <w:r>
        <w:rPr>
          <w:rFonts w:ascii="Bookman Old Style" w:hAnsi="Bookman Old Style"/>
          <w:sz w:val="18"/>
          <w:szCs w:val="18"/>
          <w:lang w:val="en-US"/>
        </w:rPr>
        <w:t xml:space="preserve"> № </w:t>
      </w:r>
      <w:r w:rsidRPr="00F87C61">
        <w:rPr>
          <w:rFonts w:ascii="Bookman Old Style" w:hAnsi="Bookman Old Style"/>
          <w:sz w:val="18"/>
          <w:szCs w:val="18"/>
          <w:lang w:val="en-US"/>
        </w:rPr>
        <w:t xml:space="preserve">7. KABAN Makina DК 100 </w:t>
      </w:r>
      <w:r w:rsidRPr="00F87C61">
        <w:rPr>
          <w:rFonts w:ascii="Bookman Old Style" w:hAnsi="Bookman Old Style"/>
          <w:sz w:val="18"/>
          <w:szCs w:val="18"/>
          <w:lang w:val="en-US"/>
        </w:rPr>
        <w:tab/>
      </w:r>
      <w:r w:rsidRPr="00F87C61">
        <w:rPr>
          <w:rFonts w:ascii="Bookman Old Style" w:hAnsi="Bookman Old Style"/>
          <w:sz w:val="18"/>
          <w:szCs w:val="18"/>
          <w:lang w:val="en-US"/>
        </w:rPr>
        <w:tab/>
      </w:r>
      <w:r w:rsidRPr="00F87C61">
        <w:rPr>
          <w:rFonts w:ascii="Bookman Old Style" w:hAnsi="Bookman Old Style"/>
          <w:sz w:val="18"/>
          <w:szCs w:val="18"/>
          <w:lang w:val="en-US"/>
        </w:rPr>
        <w:tab/>
        <w:t xml:space="preserve">    </w:t>
      </w:r>
      <w:r>
        <w:rPr>
          <w:rFonts w:ascii="Bookman Old Style" w:hAnsi="Bookman Old Style"/>
          <w:sz w:val="18"/>
          <w:szCs w:val="18"/>
        </w:rPr>
        <w:t>Фото</w:t>
      </w:r>
      <w:r w:rsidRPr="00F87C61">
        <w:rPr>
          <w:rFonts w:ascii="Bookman Old Style" w:hAnsi="Bookman Old Style"/>
          <w:sz w:val="18"/>
          <w:szCs w:val="18"/>
          <w:lang w:val="en-US"/>
        </w:rPr>
        <w:t xml:space="preserve"> № 8. KABAN Makina DК 100</w:t>
      </w:r>
    </w:p>
    <w:p w:rsidR="00F87C61" w:rsidRPr="00F87C61" w:rsidRDefault="00F87C61" w:rsidP="00F87C61">
      <w:pPr>
        <w:spacing w:before="120" w:after="120"/>
        <w:rPr>
          <w:rFonts w:ascii="Bookman Old Style" w:hAnsi="Bookman Old Style"/>
          <w:noProof/>
          <w:sz w:val="18"/>
          <w:szCs w:val="18"/>
          <w:lang w:val="en-US"/>
        </w:rPr>
      </w:pPr>
      <w:r>
        <w:rPr>
          <w:rFonts w:ascii="Bookman Old Style" w:hAnsi="Bookman Old Style"/>
          <w:noProof/>
          <w:sz w:val="18"/>
          <w:szCs w:val="18"/>
        </w:rPr>
        <w:drawing>
          <wp:inline distT="0" distB="0" distL="0" distR="0">
            <wp:extent cx="3121660" cy="2341245"/>
            <wp:effectExtent l="0" t="0" r="2540" b="190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3121660" cy="2341245"/>
                    </a:xfrm>
                    <a:prstGeom prst="rect">
                      <a:avLst/>
                    </a:prstGeom>
                    <a:noFill/>
                  </pic:spPr>
                </pic:pic>
              </a:graphicData>
            </a:graphic>
          </wp:inline>
        </w:drawing>
      </w:r>
      <w:r w:rsidRPr="00F87C61">
        <w:rPr>
          <w:rFonts w:ascii="Bookman Old Style" w:hAnsi="Bookman Old Style"/>
          <w:noProof/>
          <w:sz w:val="18"/>
          <w:szCs w:val="18"/>
          <w:lang w:val="en-US"/>
        </w:rPr>
        <w:t xml:space="preserve">      </w:t>
      </w:r>
      <w:r>
        <w:rPr>
          <w:rFonts w:ascii="Bookman Old Style" w:hAnsi="Bookman Old Style"/>
          <w:noProof/>
          <w:sz w:val="18"/>
          <w:szCs w:val="18"/>
        </w:rPr>
        <w:drawing>
          <wp:inline distT="0" distB="0" distL="0" distR="0">
            <wp:extent cx="3121660" cy="2341245"/>
            <wp:effectExtent l="0" t="0" r="2540" b="190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3121660" cy="2341245"/>
                    </a:xfrm>
                    <a:prstGeom prst="rect">
                      <a:avLst/>
                    </a:prstGeom>
                    <a:noFill/>
                  </pic:spPr>
                </pic:pic>
              </a:graphicData>
            </a:graphic>
          </wp:inline>
        </w:drawing>
      </w:r>
    </w:p>
    <w:p w:rsidR="00A276AF" w:rsidRPr="00DB0AEE" w:rsidRDefault="00A276AF" w:rsidP="00300E68">
      <w:pPr>
        <w:pStyle w:val="1"/>
        <w:jc w:val="center"/>
        <w:rPr>
          <w:rFonts w:ascii="Bookman Old Style" w:hAnsi="Bookman Old Style"/>
          <w:lang w:val="en-US"/>
        </w:rPr>
      </w:pPr>
    </w:p>
    <w:p w:rsidR="00F87C61" w:rsidRPr="00DB0AEE" w:rsidRDefault="00F87C61" w:rsidP="00F87C61">
      <w:pPr>
        <w:rPr>
          <w:lang w:val="en-US"/>
        </w:rPr>
      </w:pPr>
    </w:p>
    <w:p w:rsidR="00F87C61" w:rsidRPr="00DB0AEE" w:rsidRDefault="00F87C61" w:rsidP="00F87C61">
      <w:pPr>
        <w:rPr>
          <w:lang w:val="en-US"/>
        </w:rPr>
      </w:pPr>
    </w:p>
    <w:p w:rsidR="00F87C61" w:rsidRPr="00DB0AEE" w:rsidRDefault="00F87C61" w:rsidP="00F87C61">
      <w:pPr>
        <w:rPr>
          <w:lang w:val="en-US"/>
        </w:rPr>
      </w:pPr>
    </w:p>
    <w:p w:rsidR="00F87C61" w:rsidRPr="00DB0AEE" w:rsidRDefault="00F87C61" w:rsidP="00F87C61">
      <w:pPr>
        <w:rPr>
          <w:lang w:val="en-US"/>
        </w:rPr>
      </w:pPr>
    </w:p>
    <w:p w:rsidR="00F87C61" w:rsidRPr="00DB0AEE" w:rsidRDefault="00F87C61" w:rsidP="00F87C61">
      <w:pPr>
        <w:rPr>
          <w:lang w:val="en-US"/>
        </w:rPr>
      </w:pPr>
    </w:p>
    <w:p w:rsidR="00F87C61" w:rsidRPr="00DB0AEE" w:rsidRDefault="00F87C61" w:rsidP="00F87C61">
      <w:pPr>
        <w:rPr>
          <w:lang w:val="en-US"/>
        </w:rPr>
      </w:pPr>
    </w:p>
    <w:p w:rsidR="00F87C61" w:rsidRPr="00F87C61" w:rsidRDefault="00F87C61" w:rsidP="00F87C61">
      <w:pPr>
        <w:spacing w:before="120" w:after="120"/>
        <w:rPr>
          <w:rFonts w:ascii="Bookman Old Style" w:hAnsi="Bookman Old Style"/>
          <w:sz w:val="18"/>
          <w:szCs w:val="18"/>
          <w:lang w:val="en-US"/>
        </w:rPr>
      </w:pPr>
      <w:r>
        <w:rPr>
          <w:rFonts w:ascii="Bookman Old Style" w:hAnsi="Bookman Old Style"/>
          <w:sz w:val="18"/>
          <w:szCs w:val="18"/>
        </w:rPr>
        <w:lastRenderedPageBreak/>
        <w:t>Фото</w:t>
      </w:r>
      <w:r>
        <w:rPr>
          <w:rFonts w:ascii="Bookman Old Style" w:hAnsi="Bookman Old Style"/>
          <w:sz w:val="18"/>
          <w:szCs w:val="18"/>
          <w:lang w:val="en-US"/>
        </w:rPr>
        <w:t xml:space="preserve"> № </w:t>
      </w:r>
      <w:r w:rsidRPr="00F87C61">
        <w:rPr>
          <w:rFonts w:ascii="Bookman Old Style" w:hAnsi="Bookman Old Style"/>
          <w:sz w:val="18"/>
          <w:szCs w:val="18"/>
          <w:lang w:val="en-US"/>
        </w:rPr>
        <w:t xml:space="preserve">9. KABAN Makina ВА2030 </w:t>
      </w:r>
      <w:r w:rsidRPr="00F87C61">
        <w:rPr>
          <w:rFonts w:ascii="Bookman Old Style" w:hAnsi="Bookman Old Style"/>
          <w:sz w:val="18"/>
          <w:szCs w:val="18"/>
          <w:lang w:val="en-US"/>
        </w:rPr>
        <w:tab/>
      </w:r>
      <w:r w:rsidRPr="00F87C61">
        <w:rPr>
          <w:rFonts w:ascii="Bookman Old Style" w:hAnsi="Bookman Old Style"/>
          <w:sz w:val="18"/>
          <w:szCs w:val="18"/>
          <w:lang w:val="en-US"/>
        </w:rPr>
        <w:tab/>
      </w:r>
      <w:r w:rsidRPr="00F87C61">
        <w:rPr>
          <w:rFonts w:ascii="Bookman Old Style" w:hAnsi="Bookman Old Style"/>
          <w:sz w:val="18"/>
          <w:szCs w:val="18"/>
          <w:lang w:val="en-US"/>
        </w:rPr>
        <w:tab/>
        <w:t xml:space="preserve">    </w:t>
      </w:r>
      <w:r>
        <w:rPr>
          <w:rFonts w:ascii="Bookman Old Style" w:hAnsi="Bookman Old Style"/>
          <w:sz w:val="18"/>
          <w:szCs w:val="18"/>
        </w:rPr>
        <w:t>Фото</w:t>
      </w:r>
      <w:r w:rsidRPr="00F87C61">
        <w:rPr>
          <w:rFonts w:ascii="Bookman Old Style" w:hAnsi="Bookman Old Style"/>
          <w:sz w:val="18"/>
          <w:szCs w:val="18"/>
          <w:lang w:val="en-US"/>
        </w:rPr>
        <w:t xml:space="preserve"> № 10. KABAN Makina DE 4060</w:t>
      </w:r>
    </w:p>
    <w:p w:rsidR="00F87C61" w:rsidRPr="00F87C61" w:rsidRDefault="00F87C61" w:rsidP="00F87C61">
      <w:pPr>
        <w:spacing w:before="120" w:after="120"/>
        <w:rPr>
          <w:rFonts w:ascii="Bookman Old Style" w:hAnsi="Bookman Old Style"/>
          <w:noProof/>
          <w:sz w:val="18"/>
          <w:szCs w:val="18"/>
          <w:lang w:val="en-US"/>
        </w:rPr>
      </w:pPr>
      <w:r>
        <w:rPr>
          <w:rFonts w:ascii="Bookman Old Style" w:hAnsi="Bookman Old Style"/>
          <w:noProof/>
          <w:sz w:val="18"/>
          <w:szCs w:val="18"/>
        </w:rPr>
        <w:drawing>
          <wp:inline distT="0" distB="0" distL="0" distR="0">
            <wp:extent cx="3121660" cy="2341245"/>
            <wp:effectExtent l="0" t="0" r="2540" b="190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3121660" cy="2341245"/>
                    </a:xfrm>
                    <a:prstGeom prst="rect">
                      <a:avLst/>
                    </a:prstGeom>
                    <a:noFill/>
                  </pic:spPr>
                </pic:pic>
              </a:graphicData>
            </a:graphic>
          </wp:inline>
        </w:drawing>
      </w:r>
      <w:r w:rsidRPr="00F87C61">
        <w:rPr>
          <w:rFonts w:ascii="Bookman Old Style" w:hAnsi="Bookman Old Style"/>
          <w:noProof/>
          <w:sz w:val="18"/>
          <w:szCs w:val="18"/>
          <w:lang w:val="en-US"/>
        </w:rPr>
        <w:t xml:space="preserve">      </w:t>
      </w:r>
      <w:r>
        <w:rPr>
          <w:rFonts w:ascii="Bookman Old Style" w:hAnsi="Bookman Old Style"/>
          <w:noProof/>
          <w:sz w:val="18"/>
          <w:szCs w:val="18"/>
        </w:rPr>
        <w:drawing>
          <wp:inline distT="0" distB="0" distL="0" distR="0">
            <wp:extent cx="3121660" cy="2341245"/>
            <wp:effectExtent l="0" t="0" r="2540" b="190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3121660" cy="2341245"/>
                    </a:xfrm>
                    <a:prstGeom prst="rect">
                      <a:avLst/>
                    </a:prstGeom>
                    <a:noFill/>
                  </pic:spPr>
                </pic:pic>
              </a:graphicData>
            </a:graphic>
          </wp:inline>
        </w:drawing>
      </w:r>
    </w:p>
    <w:p w:rsidR="00F87C61" w:rsidRPr="005F6A69" w:rsidRDefault="00F87C61" w:rsidP="00F87C61">
      <w:pPr>
        <w:spacing w:before="120" w:after="120"/>
        <w:rPr>
          <w:rFonts w:ascii="Bookman Old Style" w:hAnsi="Bookman Old Style"/>
          <w:sz w:val="18"/>
          <w:szCs w:val="18"/>
        </w:rPr>
      </w:pPr>
      <w:r>
        <w:rPr>
          <w:rFonts w:ascii="Bookman Old Style" w:hAnsi="Bookman Old Style"/>
          <w:sz w:val="18"/>
          <w:szCs w:val="18"/>
        </w:rPr>
        <w:t>Фото</w:t>
      </w:r>
      <w:r>
        <w:rPr>
          <w:rFonts w:ascii="Bookman Old Style" w:hAnsi="Bookman Old Style"/>
          <w:sz w:val="18"/>
          <w:szCs w:val="18"/>
          <w:lang w:val="en-US"/>
        </w:rPr>
        <w:t xml:space="preserve"> № </w:t>
      </w:r>
      <w:r w:rsidRPr="00F87C61">
        <w:rPr>
          <w:rFonts w:ascii="Bookman Old Style" w:hAnsi="Bookman Old Style"/>
          <w:sz w:val="18"/>
          <w:szCs w:val="18"/>
          <w:lang w:val="en-US"/>
        </w:rPr>
        <w:t xml:space="preserve">11. KABAN Makina DF4060 </w:t>
      </w:r>
      <w:r w:rsidRPr="00F87C61">
        <w:rPr>
          <w:rFonts w:ascii="Bookman Old Style" w:hAnsi="Bookman Old Style"/>
          <w:sz w:val="18"/>
          <w:szCs w:val="18"/>
          <w:lang w:val="en-US"/>
        </w:rPr>
        <w:tab/>
      </w:r>
      <w:r w:rsidRPr="00F87C61">
        <w:rPr>
          <w:rFonts w:ascii="Bookman Old Style" w:hAnsi="Bookman Old Style"/>
          <w:sz w:val="18"/>
          <w:szCs w:val="18"/>
          <w:lang w:val="en-US"/>
        </w:rPr>
        <w:tab/>
      </w:r>
      <w:r w:rsidRPr="00F87C61">
        <w:rPr>
          <w:rFonts w:ascii="Bookman Old Style" w:hAnsi="Bookman Old Style"/>
          <w:sz w:val="18"/>
          <w:szCs w:val="18"/>
          <w:lang w:val="en-US"/>
        </w:rPr>
        <w:tab/>
        <w:t xml:space="preserve">    </w:t>
      </w:r>
      <w:r>
        <w:rPr>
          <w:rFonts w:ascii="Bookman Old Style" w:hAnsi="Bookman Old Style"/>
          <w:sz w:val="18"/>
          <w:szCs w:val="18"/>
        </w:rPr>
        <w:t>Фото</w:t>
      </w:r>
      <w:r w:rsidRPr="00F87C61">
        <w:rPr>
          <w:rFonts w:ascii="Bookman Old Style" w:hAnsi="Bookman Old Style"/>
          <w:sz w:val="18"/>
          <w:szCs w:val="18"/>
          <w:lang w:val="en-US"/>
        </w:rPr>
        <w:t xml:space="preserve"> № 12. KABAN</w:t>
      </w:r>
      <w:r w:rsidRPr="005F6A69">
        <w:rPr>
          <w:rFonts w:ascii="Bookman Old Style" w:hAnsi="Bookman Old Style"/>
          <w:sz w:val="18"/>
          <w:szCs w:val="18"/>
        </w:rPr>
        <w:t xml:space="preserve"> </w:t>
      </w:r>
      <w:r w:rsidRPr="00F87C61">
        <w:rPr>
          <w:rFonts w:ascii="Bookman Old Style" w:hAnsi="Bookman Old Style"/>
          <w:sz w:val="18"/>
          <w:szCs w:val="18"/>
          <w:lang w:val="en-US"/>
        </w:rPr>
        <w:t>Makina</w:t>
      </w:r>
      <w:r w:rsidRPr="005F6A69">
        <w:rPr>
          <w:rFonts w:ascii="Bookman Old Style" w:hAnsi="Bookman Old Style"/>
          <w:sz w:val="18"/>
          <w:szCs w:val="18"/>
        </w:rPr>
        <w:t xml:space="preserve"> С</w:t>
      </w:r>
      <w:r w:rsidRPr="00F87C61">
        <w:rPr>
          <w:rFonts w:ascii="Bookman Old Style" w:hAnsi="Bookman Old Style"/>
          <w:sz w:val="18"/>
          <w:szCs w:val="18"/>
          <w:lang w:val="en-US"/>
        </w:rPr>
        <w:t>F</w:t>
      </w:r>
      <w:r w:rsidRPr="005F6A69">
        <w:rPr>
          <w:rFonts w:ascii="Bookman Old Style" w:hAnsi="Bookman Old Style"/>
          <w:sz w:val="18"/>
          <w:szCs w:val="18"/>
        </w:rPr>
        <w:t>3060</w:t>
      </w:r>
    </w:p>
    <w:p w:rsidR="00F87C61" w:rsidRPr="005F6A69" w:rsidRDefault="00F87C61" w:rsidP="00F87C61">
      <w:pPr>
        <w:spacing w:before="120" w:after="120"/>
        <w:rPr>
          <w:rFonts w:ascii="Bookman Old Style" w:hAnsi="Bookman Old Style"/>
          <w:noProof/>
          <w:sz w:val="18"/>
          <w:szCs w:val="18"/>
        </w:rPr>
      </w:pPr>
      <w:r>
        <w:rPr>
          <w:rFonts w:ascii="Bookman Old Style" w:hAnsi="Bookman Old Style"/>
          <w:noProof/>
          <w:sz w:val="18"/>
          <w:szCs w:val="18"/>
        </w:rPr>
        <w:drawing>
          <wp:inline distT="0" distB="0" distL="0" distR="0">
            <wp:extent cx="3121660" cy="2341245"/>
            <wp:effectExtent l="0" t="0" r="2540" b="190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3121660" cy="2341245"/>
                    </a:xfrm>
                    <a:prstGeom prst="rect">
                      <a:avLst/>
                    </a:prstGeom>
                    <a:noFill/>
                  </pic:spPr>
                </pic:pic>
              </a:graphicData>
            </a:graphic>
          </wp:inline>
        </w:drawing>
      </w:r>
      <w:r w:rsidRPr="005F6A69">
        <w:rPr>
          <w:rFonts w:ascii="Bookman Old Style" w:hAnsi="Bookman Old Style"/>
          <w:noProof/>
          <w:sz w:val="18"/>
          <w:szCs w:val="18"/>
        </w:rPr>
        <w:t xml:space="preserve">      </w:t>
      </w:r>
      <w:r>
        <w:rPr>
          <w:rFonts w:ascii="Bookman Old Style" w:hAnsi="Bookman Old Style"/>
          <w:noProof/>
          <w:sz w:val="18"/>
          <w:szCs w:val="18"/>
        </w:rPr>
        <w:drawing>
          <wp:inline distT="0" distB="0" distL="0" distR="0">
            <wp:extent cx="3121660" cy="2341245"/>
            <wp:effectExtent l="0" t="0" r="2540" b="190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3121660" cy="2341245"/>
                    </a:xfrm>
                    <a:prstGeom prst="rect">
                      <a:avLst/>
                    </a:prstGeom>
                    <a:noFill/>
                  </pic:spPr>
                </pic:pic>
              </a:graphicData>
            </a:graphic>
          </wp:inline>
        </w:drawing>
      </w:r>
    </w:p>
    <w:p w:rsidR="00992996" w:rsidRPr="00300E68" w:rsidRDefault="001E2769" w:rsidP="00300E68">
      <w:pPr>
        <w:pStyle w:val="1"/>
        <w:jc w:val="center"/>
        <w:rPr>
          <w:rFonts w:ascii="Bookman Old Style" w:hAnsi="Bookman Old Style"/>
        </w:rPr>
      </w:pPr>
      <w:bookmarkStart w:id="178" w:name="_Toc461206370"/>
      <w:r w:rsidRPr="00300E68">
        <w:rPr>
          <w:rFonts w:ascii="Bookman Old Style" w:hAnsi="Bookman Old Style"/>
        </w:rPr>
        <w:t xml:space="preserve">4. </w:t>
      </w:r>
      <w:r w:rsidR="00992996" w:rsidRPr="00300E68">
        <w:rPr>
          <w:rFonts w:ascii="Bookman Old Style" w:hAnsi="Bookman Old Style"/>
        </w:rPr>
        <w:t>АН</w:t>
      </w:r>
      <w:r w:rsidR="00992996" w:rsidRPr="006670B5">
        <w:rPr>
          <w:rStyle w:val="10"/>
          <w:rFonts w:ascii="Bookman Old Style" w:hAnsi="Bookman Old Style"/>
          <w:b/>
        </w:rPr>
        <w:t>А</w:t>
      </w:r>
      <w:r w:rsidR="00992996" w:rsidRPr="00300E68">
        <w:rPr>
          <w:rFonts w:ascii="Bookman Old Style" w:hAnsi="Bookman Old Style"/>
        </w:rPr>
        <w:t>ЛИЗ РЫНКА ОБЪЕКТА ОЦЕНКИ</w:t>
      </w:r>
      <w:bookmarkEnd w:id="178"/>
    </w:p>
    <w:p w:rsidR="00992996" w:rsidRDefault="00992996" w:rsidP="00511C52">
      <w:pPr>
        <w:spacing w:before="120" w:after="120"/>
        <w:ind w:firstLine="709"/>
        <w:jc w:val="both"/>
        <w:rPr>
          <w:rFonts w:ascii="Bookman Old Style" w:hAnsi="Bookman Old Style"/>
          <w:sz w:val="20"/>
          <w:szCs w:val="20"/>
        </w:rPr>
      </w:pPr>
      <w:r w:rsidRPr="00992996">
        <w:rPr>
          <w:rFonts w:ascii="Bookman Old Style" w:hAnsi="Bookman Old Style"/>
          <w:sz w:val="20"/>
          <w:szCs w:val="20"/>
        </w:rPr>
        <w:t>Согласно Федеральному стандарту оценки № 3</w:t>
      </w:r>
      <w:r w:rsidRPr="00992996">
        <w:rPr>
          <w:rFonts w:ascii="Bookman Old Style" w:hAnsi="Bookman Old Style"/>
          <w:sz w:val="20"/>
          <w:szCs w:val="20"/>
          <w:vertAlign w:val="superscript"/>
        </w:rPr>
        <w:footnoteReference w:id="23"/>
      </w:r>
      <w:r w:rsidRPr="00992996">
        <w:rPr>
          <w:rFonts w:ascii="Bookman Old Style" w:hAnsi="Bookman Old Style"/>
          <w:sz w:val="20"/>
          <w:szCs w:val="20"/>
        </w:rPr>
        <w:t xml:space="preserve"> пункт 4, при составлении отчета об оценке оценщик придерживается принципа существенности: в отчете должна быть изложена информация существенная с точки зрения стоимости Объекта оценки. В свою очередь, Отчет об оценке не должен содержать информацию, не использующуюся при проведении оценки.</w:t>
      </w:r>
    </w:p>
    <w:p w:rsidR="00056668" w:rsidRPr="00056668" w:rsidRDefault="00056668" w:rsidP="00056668">
      <w:pPr>
        <w:spacing w:before="120" w:after="120"/>
        <w:ind w:firstLine="709"/>
        <w:jc w:val="both"/>
        <w:rPr>
          <w:rFonts w:ascii="Bookman Old Style" w:hAnsi="Bookman Old Style"/>
          <w:sz w:val="20"/>
          <w:szCs w:val="20"/>
        </w:rPr>
      </w:pPr>
      <w:r>
        <w:rPr>
          <w:rFonts w:ascii="Bookman Old Style" w:hAnsi="Bookman Old Style"/>
          <w:sz w:val="20"/>
          <w:szCs w:val="20"/>
        </w:rPr>
        <w:t xml:space="preserve">ФСО № 7 определена последовательность анализа рынка недвижимости, согласно пункту </w:t>
      </w:r>
      <w:r>
        <w:rPr>
          <w:rFonts w:ascii="Bookman Old Style" w:hAnsi="Bookman Old Style"/>
          <w:sz w:val="20"/>
          <w:szCs w:val="20"/>
          <w:lang w:val="en-US"/>
        </w:rPr>
        <w:t>V</w:t>
      </w:r>
      <w:r>
        <w:rPr>
          <w:rFonts w:ascii="Bookman Old Style" w:hAnsi="Bookman Old Style"/>
          <w:sz w:val="20"/>
          <w:szCs w:val="20"/>
        </w:rPr>
        <w:t xml:space="preserve"> д: Объем исследований определяется оценщиком исходя из принципа достаточности. </w:t>
      </w:r>
    </w:p>
    <w:p w:rsidR="00992996" w:rsidRDefault="00992996" w:rsidP="00511C52">
      <w:pPr>
        <w:spacing w:before="120" w:after="120"/>
        <w:ind w:firstLine="709"/>
        <w:jc w:val="both"/>
        <w:rPr>
          <w:rFonts w:ascii="Bookman Old Style" w:hAnsi="Bookman Old Style"/>
          <w:sz w:val="20"/>
          <w:szCs w:val="20"/>
        </w:rPr>
      </w:pPr>
      <w:r w:rsidRPr="00992996">
        <w:rPr>
          <w:rFonts w:ascii="Bookman Old Style" w:hAnsi="Bookman Old Style"/>
          <w:sz w:val="20"/>
          <w:szCs w:val="20"/>
        </w:rPr>
        <w:t>В соответствии с этим, при составлении материалов анализа рынка использована информация существенная</w:t>
      </w:r>
      <w:r w:rsidR="00056668">
        <w:rPr>
          <w:rFonts w:ascii="Bookman Old Style" w:hAnsi="Bookman Old Style"/>
          <w:sz w:val="20"/>
          <w:szCs w:val="20"/>
        </w:rPr>
        <w:t xml:space="preserve"> и достаточная</w:t>
      </w:r>
      <w:r w:rsidRPr="00992996">
        <w:rPr>
          <w:rFonts w:ascii="Bookman Old Style" w:hAnsi="Bookman Old Style"/>
          <w:sz w:val="20"/>
          <w:szCs w:val="20"/>
        </w:rPr>
        <w:t xml:space="preserve"> </w:t>
      </w:r>
      <w:r w:rsidR="00056668">
        <w:rPr>
          <w:rFonts w:ascii="Bookman Old Style" w:hAnsi="Bookman Old Style"/>
          <w:sz w:val="20"/>
          <w:szCs w:val="20"/>
        </w:rPr>
        <w:t>для правильного понимания пользователем Отчета об оценке  ситуации на рынке недвижимости рассматриваемого региона.</w:t>
      </w:r>
    </w:p>
    <w:p w:rsidR="00992996" w:rsidRPr="00300E68" w:rsidRDefault="00992996" w:rsidP="00300E68">
      <w:pPr>
        <w:pStyle w:val="2"/>
        <w:rPr>
          <w:rFonts w:ascii="Bookman Old Style" w:hAnsi="Bookman Old Style"/>
          <w:b/>
          <w:sz w:val="20"/>
          <w:szCs w:val="20"/>
        </w:rPr>
      </w:pPr>
      <w:bookmarkStart w:id="179" w:name="_Toc461206371"/>
      <w:r w:rsidRPr="00300E68">
        <w:rPr>
          <w:rFonts w:ascii="Bookman Old Style" w:hAnsi="Bookman Old Style"/>
          <w:b/>
          <w:sz w:val="20"/>
          <w:szCs w:val="20"/>
        </w:rPr>
        <w:t>4.1. ИСТОЧНИКИ ИНФОРМАЦИИ, ИСПОЛЬЗУЕМЫЕ ПРИ АНАЛИЗЕ</w:t>
      </w:r>
      <w:bookmarkEnd w:id="179"/>
    </w:p>
    <w:p w:rsidR="00245588" w:rsidRPr="0080375D" w:rsidRDefault="00992996" w:rsidP="00511C52">
      <w:pPr>
        <w:spacing w:before="120" w:after="120"/>
        <w:ind w:firstLine="709"/>
        <w:jc w:val="both"/>
        <w:rPr>
          <w:rFonts w:ascii="Bookman Old Style" w:hAnsi="Bookman Old Style"/>
          <w:sz w:val="20"/>
          <w:szCs w:val="20"/>
        </w:rPr>
      </w:pPr>
      <w:r w:rsidRPr="0080375D">
        <w:rPr>
          <w:rFonts w:ascii="Bookman Old Style" w:hAnsi="Bookman Old Style"/>
          <w:sz w:val="20"/>
          <w:szCs w:val="20"/>
        </w:rPr>
        <w:t xml:space="preserve">При составлении анализа рынка Объекта оценки, использованы следующие источники информации: </w:t>
      </w:r>
    </w:p>
    <w:p w:rsidR="00EA72B3" w:rsidRPr="0080375D" w:rsidRDefault="006C4CCF" w:rsidP="006C02C0">
      <w:pPr>
        <w:spacing w:before="120" w:after="120"/>
        <w:ind w:firstLine="709"/>
        <w:contextualSpacing/>
        <w:jc w:val="both"/>
        <w:rPr>
          <w:rFonts w:ascii="Bookman Old Style" w:hAnsi="Bookman Old Style"/>
          <w:sz w:val="20"/>
          <w:szCs w:val="20"/>
        </w:rPr>
      </w:pPr>
      <w:hyperlink r:id="rId40" w:history="1">
        <w:r w:rsidR="008F3F3F" w:rsidRPr="0080375D">
          <w:rPr>
            <w:rStyle w:val="aa"/>
            <w:rFonts w:ascii="Bookman Old Style" w:hAnsi="Bookman Old Style"/>
            <w:color w:val="auto"/>
            <w:sz w:val="20"/>
            <w:szCs w:val="20"/>
            <w:u w:val="none"/>
          </w:rPr>
          <w:t>http://politrussia.com</w:t>
        </w:r>
      </w:hyperlink>
      <w:r w:rsidR="008F3F3F" w:rsidRPr="0080375D">
        <w:rPr>
          <w:rFonts w:ascii="Bookman Old Style" w:hAnsi="Bookman Old Style"/>
          <w:sz w:val="20"/>
          <w:szCs w:val="20"/>
        </w:rPr>
        <w:t xml:space="preserve"> </w:t>
      </w:r>
    </w:p>
    <w:p w:rsidR="00245588" w:rsidRPr="0080375D" w:rsidRDefault="006C4CCF" w:rsidP="006C02C0">
      <w:pPr>
        <w:spacing w:before="120" w:after="120"/>
        <w:ind w:firstLine="709"/>
        <w:contextualSpacing/>
        <w:jc w:val="both"/>
        <w:rPr>
          <w:rFonts w:ascii="Bookman Old Style" w:hAnsi="Bookman Old Style"/>
          <w:sz w:val="20"/>
          <w:szCs w:val="20"/>
        </w:rPr>
      </w:pPr>
      <w:hyperlink r:id="rId41" w:history="1">
        <w:r w:rsidR="008F3F3F" w:rsidRPr="0080375D">
          <w:rPr>
            <w:rStyle w:val="aa"/>
            <w:rFonts w:ascii="Bookman Old Style" w:hAnsi="Bookman Old Style"/>
            <w:color w:val="auto"/>
            <w:sz w:val="20"/>
            <w:szCs w:val="20"/>
            <w:u w:val="none"/>
          </w:rPr>
          <w:t>http://economy.gov.ru</w:t>
        </w:r>
      </w:hyperlink>
      <w:r w:rsidR="008F3F3F" w:rsidRPr="0080375D">
        <w:rPr>
          <w:rFonts w:ascii="Bookman Old Style" w:hAnsi="Bookman Old Style"/>
          <w:sz w:val="20"/>
          <w:szCs w:val="20"/>
        </w:rPr>
        <w:t xml:space="preserve"> </w:t>
      </w:r>
    </w:p>
    <w:p w:rsidR="008F3F3F" w:rsidRPr="0080375D" w:rsidRDefault="006C4CCF" w:rsidP="006C02C0">
      <w:pPr>
        <w:spacing w:before="120" w:after="120"/>
        <w:ind w:firstLine="709"/>
        <w:contextualSpacing/>
        <w:jc w:val="both"/>
        <w:rPr>
          <w:rFonts w:ascii="Bookman Old Style" w:hAnsi="Bookman Old Style"/>
          <w:sz w:val="20"/>
          <w:szCs w:val="20"/>
        </w:rPr>
      </w:pPr>
      <w:hyperlink r:id="rId42" w:history="1">
        <w:r w:rsidR="008F3F3F" w:rsidRPr="0080375D">
          <w:rPr>
            <w:rStyle w:val="aa"/>
            <w:rFonts w:ascii="Bookman Old Style" w:hAnsi="Bookman Old Style"/>
            <w:color w:val="auto"/>
            <w:sz w:val="20"/>
            <w:szCs w:val="20"/>
            <w:u w:val="none"/>
          </w:rPr>
          <w:t>http://www.econ.krskstate.ru</w:t>
        </w:r>
      </w:hyperlink>
      <w:r w:rsidR="008F3F3F" w:rsidRPr="0080375D">
        <w:rPr>
          <w:rFonts w:ascii="Bookman Old Style" w:hAnsi="Bookman Old Style"/>
          <w:sz w:val="20"/>
          <w:szCs w:val="20"/>
        </w:rPr>
        <w:t xml:space="preserve">  </w:t>
      </w:r>
    </w:p>
    <w:p w:rsidR="00245588" w:rsidRPr="0080375D" w:rsidRDefault="006C4CCF" w:rsidP="006C02C0">
      <w:pPr>
        <w:spacing w:before="120" w:after="120"/>
        <w:ind w:firstLine="709"/>
        <w:contextualSpacing/>
        <w:jc w:val="both"/>
        <w:rPr>
          <w:rFonts w:ascii="Bookman Old Style" w:hAnsi="Bookman Old Style"/>
          <w:sz w:val="20"/>
          <w:szCs w:val="20"/>
        </w:rPr>
      </w:pPr>
      <w:hyperlink r:id="rId43" w:history="1">
        <w:r w:rsidR="00C02CBD" w:rsidRPr="0080375D">
          <w:rPr>
            <w:rStyle w:val="aa"/>
            <w:rFonts w:ascii="Bookman Old Style" w:hAnsi="Bookman Old Style"/>
            <w:color w:val="auto"/>
            <w:sz w:val="20"/>
            <w:szCs w:val="20"/>
            <w:u w:val="none"/>
          </w:rPr>
          <w:t>http://www.ksonline.ru</w:t>
        </w:r>
      </w:hyperlink>
      <w:r w:rsidR="00C02CBD" w:rsidRPr="0080375D">
        <w:rPr>
          <w:rFonts w:ascii="Bookman Old Style" w:hAnsi="Bookman Old Style"/>
          <w:sz w:val="20"/>
          <w:szCs w:val="20"/>
        </w:rPr>
        <w:t xml:space="preserve"> </w:t>
      </w:r>
      <w:r w:rsidR="00992996" w:rsidRPr="0080375D">
        <w:rPr>
          <w:rFonts w:ascii="Bookman Old Style" w:hAnsi="Bookman Old Style"/>
          <w:sz w:val="20"/>
          <w:szCs w:val="20"/>
        </w:rPr>
        <w:t xml:space="preserve"> </w:t>
      </w:r>
    </w:p>
    <w:p w:rsidR="00245588" w:rsidRPr="0080375D" w:rsidRDefault="006C4CCF" w:rsidP="006C02C0">
      <w:pPr>
        <w:spacing w:before="120" w:after="120"/>
        <w:ind w:firstLine="709"/>
        <w:contextualSpacing/>
        <w:jc w:val="both"/>
        <w:rPr>
          <w:rFonts w:ascii="Bookman Old Style" w:hAnsi="Bookman Old Style"/>
          <w:sz w:val="20"/>
          <w:szCs w:val="20"/>
        </w:rPr>
      </w:pPr>
      <w:hyperlink r:id="rId44" w:history="1">
        <w:r w:rsidR="00992996" w:rsidRPr="0080375D">
          <w:rPr>
            <w:rFonts w:ascii="Bookman Old Style" w:hAnsi="Bookman Old Style"/>
            <w:sz w:val="20"/>
            <w:szCs w:val="20"/>
          </w:rPr>
          <w:t>http://www.krskstate.ru</w:t>
        </w:r>
      </w:hyperlink>
      <w:r w:rsidR="00992996" w:rsidRPr="0080375D">
        <w:rPr>
          <w:rFonts w:ascii="Bookman Old Style" w:hAnsi="Bookman Old Style"/>
          <w:sz w:val="20"/>
          <w:szCs w:val="20"/>
        </w:rPr>
        <w:t xml:space="preserve">, </w:t>
      </w:r>
    </w:p>
    <w:p w:rsidR="00245588" w:rsidRPr="0080375D" w:rsidRDefault="006C4CCF" w:rsidP="006C02C0">
      <w:pPr>
        <w:spacing w:before="120" w:after="120"/>
        <w:ind w:firstLine="709"/>
        <w:contextualSpacing/>
        <w:jc w:val="both"/>
        <w:rPr>
          <w:rFonts w:ascii="Bookman Old Style" w:hAnsi="Bookman Old Style"/>
          <w:sz w:val="20"/>
          <w:szCs w:val="20"/>
        </w:rPr>
      </w:pPr>
      <w:hyperlink r:id="rId45" w:history="1">
        <w:r w:rsidR="00992996" w:rsidRPr="0080375D">
          <w:rPr>
            <w:rFonts w:ascii="Bookman Old Style" w:hAnsi="Bookman Old Style"/>
            <w:sz w:val="20"/>
            <w:szCs w:val="20"/>
          </w:rPr>
          <w:t>http://www.izvestia.ru</w:t>
        </w:r>
      </w:hyperlink>
      <w:r w:rsidR="00992996" w:rsidRPr="0080375D">
        <w:rPr>
          <w:rFonts w:ascii="Bookman Old Style" w:hAnsi="Bookman Old Style"/>
          <w:sz w:val="20"/>
          <w:szCs w:val="20"/>
        </w:rPr>
        <w:t xml:space="preserve">, </w:t>
      </w:r>
    </w:p>
    <w:p w:rsidR="00992996" w:rsidRPr="0080375D" w:rsidRDefault="006C4CCF" w:rsidP="006C02C0">
      <w:pPr>
        <w:spacing w:before="120" w:after="120"/>
        <w:ind w:firstLine="709"/>
        <w:contextualSpacing/>
        <w:jc w:val="both"/>
        <w:rPr>
          <w:rFonts w:ascii="Bookman Old Style" w:hAnsi="Bookman Old Style"/>
          <w:sz w:val="20"/>
          <w:szCs w:val="20"/>
        </w:rPr>
      </w:pPr>
      <w:hyperlink r:id="rId46" w:history="1">
        <w:r w:rsidR="00992996" w:rsidRPr="0080375D">
          <w:rPr>
            <w:rFonts w:ascii="Bookman Old Style" w:hAnsi="Bookman Old Style"/>
            <w:sz w:val="20"/>
            <w:szCs w:val="20"/>
          </w:rPr>
          <w:t>http://smb.gov.ru</w:t>
        </w:r>
      </w:hyperlink>
      <w:r w:rsidR="00992996" w:rsidRPr="0080375D">
        <w:rPr>
          <w:rFonts w:ascii="Bookman Old Style" w:hAnsi="Bookman Old Style"/>
          <w:sz w:val="20"/>
          <w:szCs w:val="20"/>
        </w:rPr>
        <w:t xml:space="preserve">, </w:t>
      </w:r>
      <w:hyperlink r:id="rId47" w:history="1">
        <w:r w:rsidR="00992996" w:rsidRPr="0080375D">
          <w:rPr>
            <w:rFonts w:ascii="Bookman Old Style" w:hAnsi="Bookman Old Style"/>
            <w:sz w:val="20"/>
            <w:szCs w:val="20"/>
          </w:rPr>
          <w:t>http://finansist-kras.ru</w:t>
        </w:r>
      </w:hyperlink>
    </w:p>
    <w:p w:rsidR="002E21C2" w:rsidRPr="0080375D" w:rsidRDefault="006C4CCF" w:rsidP="006C02C0">
      <w:pPr>
        <w:spacing w:before="120" w:after="120"/>
        <w:ind w:firstLine="709"/>
        <w:contextualSpacing/>
        <w:jc w:val="both"/>
        <w:rPr>
          <w:rFonts w:ascii="Bookman Old Style" w:hAnsi="Bookman Old Style"/>
          <w:sz w:val="20"/>
          <w:szCs w:val="20"/>
        </w:rPr>
      </w:pPr>
      <w:hyperlink r:id="rId48" w:history="1">
        <w:r w:rsidR="0080375D" w:rsidRPr="0080375D">
          <w:rPr>
            <w:rStyle w:val="aa"/>
            <w:rFonts w:ascii="Bookman Old Style" w:hAnsi="Bookman Old Style"/>
            <w:color w:val="auto"/>
            <w:sz w:val="20"/>
            <w:szCs w:val="20"/>
            <w:u w:val="none"/>
          </w:rPr>
          <w:t>http://rusrand.ru/</w:t>
        </w:r>
      </w:hyperlink>
      <w:r w:rsidR="0080375D" w:rsidRPr="0080375D">
        <w:rPr>
          <w:rFonts w:ascii="Bookman Old Style" w:hAnsi="Bookman Old Style"/>
          <w:sz w:val="20"/>
          <w:szCs w:val="20"/>
        </w:rPr>
        <w:t xml:space="preserve"> </w:t>
      </w:r>
    </w:p>
    <w:p w:rsidR="00992996" w:rsidRPr="00300E68" w:rsidRDefault="00992996" w:rsidP="00300E68">
      <w:pPr>
        <w:pStyle w:val="2"/>
        <w:rPr>
          <w:rFonts w:ascii="Bookman Old Style" w:hAnsi="Bookman Old Style"/>
          <w:b/>
          <w:sz w:val="20"/>
          <w:szCs w:val="20"/>
        </w:rPr>
      </w:pPr>
      <w:bookmarkStart w:id="180" w:name="_Toc461206372"/>
      <w:r w:rsidRPr="00300E68">
        <w:rPr>
          <w:rFonts w:ascii="Bookman Old Style" w:hAnsi="Bookman Old Style"/>
          <w:b/>
          <w:sz w:val="20"/>
          <w:szCs w:val="20"/>
        </w:rPr>
        <w:lastRenderedPageBreak/>
        <w:t xml:space="preserve">4.2. </w:t>
      </w:r>
      <w:r w:rsidR="00D07734" w:rsidRPr="00300E68">
        <w:rPr>
          <w:rFonts w:ascii="Bookman Old Style" w:hAnsi="Bookman Old Style"/>
          <w:b/>
          <w:sz w:val="20"/>
          <w:szCs w:val="20"/>
        </w:rPr>
        <w:t>АНАЛИЗ ВЛИЯНИЯ ОБЩЕЙ ПОЛИТИЧЕСКОЙ И СОЦИАЛЬНО-ЭКОНОМИЧЕСКОЙ ОБСТАНОВКИ</w:t>
      </w:r>
      <w:bookmarkEnd w:id="180"/>
    </w:p>
    <w:p w:rsidR="00520EB5" w:rsidRPr="00391023" w:rsidRDefault="00520EB5" w:rsidP="00391023">
      <w:pPr>
        <w:spacing w:before="120" w:after="120"/>
        <w:jc w:val="both"/>
        <w:rPr>
          <w:rFonts w:ascii="Bookman Old Style" w:hAnsi="Bookman Old Style"/>
          <w:sz w:val="20"/>
          <w:szCs w:val="20"/>
        </w:rPr>
      </w:pPr>
      <w:r w:rsidRPr="00391023">
        <w:rPr>
          <w:rFonts w:ascii="Bookman Old Style" w:hAnsi="Bookman Old Style"/>
          <w:b/>
          <w:sz w:val="20"/>
          <w:szCs w:val="20"/>
        </w:rPr>
        <w:tab/>
      </w:r>
      <w:r w:rsidRPr="00391023">
        <w:rPr>
          <w:rFonts w:ascii="Bookman Old Style" w:hAnsi="Bookman Old Style"/>
          <w:sz w:val="20"/>
          <w:szCs w:val="20"/>
        </w:rPr>
        <w:t>Объект оценки расположен в г. Красноярске Красноярского края</w:t>
      </w:r>
      <w:r w:rsidR="000811CD" w:rsidRPr="00391023">
        <w:rPr>
          <w:rFonts w:ascii="Bookman Old Style" w:hAnsi="Bookman Old Style"/>
          <w:sz w:val="20"/>
          <w:szCs w:val="20"/>
        </w:rPr>
        <w:t xml:space="preserve"> Российской Федерации</w:t>
      </w:r>
      <w:r w:rsidRPr="00391023">
        <w:rPr>
          <w:rFonts w:ascii="Bookman Old Style" w:hAnsi="Bookman Old Style"/>
          <w:sz w:val="20"/>
          <w:szCs w:val="20"/>
        </w:rPr>
        <w:t>, для проведения анализа рассмотрено в</w:t>
      </w:r>
      <w:r w:rsidR="00DD1ED3" w:rsidRPr="00391023">
        <w:rPr>
          <w:rFonts w:ascii="Bookman Old Style" w:hAnsi="Bookman Old Style"/>
          <w:sz w:val="20"/>
          <w:szCs w:val="20"/>
        </w:rPr>
        <w:t>лияние политической и социально-</w:t>
      </w:r>
      <w:r w:rsidRPr="00391023">
        <w:rPr>
          <w:rFonts w:ascii="Bookman Old Style" w:hAnsi="Bookman Old Style"/>
          <w:sz w:val="20"/>
          <w:szCs w:val="20"/>
        </w:rPr>
        <w:t>экономической обстановки в России и Красноярском крае.</w:t>
      </w:r>
    </w:p>
    <w:p w:rsidR="00992996" w:rsidRPr="00300E68" w:rsidRDefault="00992996" w:rsidP="00DC584E">
      <w:pPr>
        <w:pStyle w:val="3"/>
        <w:rPr>
          <w:rFonts w:ascii="Bookman Old Style" w:hAnsi="Bookman Old Style"/>
          <w:sz w:val="20"/>
          <w:szCs w:val="20"/>
        </w:rPr>
      </w:pPr>
      <w:bookmarkStart w:id="181" w:name="_Toc461206373"/>
      <w:r w:rsidRPr="00300E68">
        <w:rPr>
          <w:rFonts w:ascii="Bookman Old Style" w:hAnsi="Bookman Old Style"/>
          <w:sz w:val="20"/>
          <w:szCs w:val="20"/>
        </w:rPr>
        <w:t xml:space="preserve">4.2.1. </w:t>
      </w:r>
      <w:r w:rsidR="00056668" w:rsidRPr="00300E68">
        <w:rPr>
          <w:rFonts w:ascii="Bookman Old Style" w:hAnsi="Bookman Old Style"/>
          <w:sz w:val="20"/>
          <w:szCs w:val="20"/>
        </w:rPr>
        <w:t>Анализ влияния общей политической и социально-экономической обстановки</w:t>
      </w:r>
      <w:r w:rsidR="00DD1ED3" w:rsidRPr="00300E68">
        <w:rPr>
          <w:rFonts w:ascii="Bookman Old Style" w:hAnsi="Bookman Old Style"/>
          <w:sz w:val="20"/>
          <w:szCs w:val="20"/>
        </w:rPr>
        <w:t xml:space="preserve"> в России</w:t>
      </w:r>
      <w:bookmarkEnd w:id="181"/>
    </w:p>
    <w:p w:rsidR="005F6A69" w:rsidRPr="00B647AA" w:rsidRDefault="005F6A69" w:rsidP="005F6A69">
      <w:pPr>
        <w:spacing w:before="120" w:after="120"/>
        <w:ind w:firstLine="709"/>
        <w:jc w:val="both"/>
        <w:rPr>
          <w:rFonts w:ascii="Bookman Old Style" w:hAnsi="Bookman Old Style"/>
          <w:sz w:val="20"/>
          <w:szCs w:val="20"/>
        </w:rPr>
      </w:pPr>
      <w:r w:rsidRPr="00B647AA">
        <w:rPr>
          <w:rFonts w:ascii="Bookman Old Style" w:hAnsi="Bookman Old Style"/>
          <w:sz w:val="20"/>
          <w:szCs w:val="20"/>
        </w:rPr>
        <w:t>Общественно-политическая ситуация в России в последние полтора года продолжает находиться под сильным влиянием внешнеполитических факторов, в первую очередь, связанных с событиями в Крыму и на Украине.</w:t>
      </w:r>
    </w:p>
    <w:p w:rsidR="005F6A69" w:rsidRPr="00B647AA" w:rsidRDefault="005F6A69" w:rsidP="005F6A69">
      <w:pPr>
        <w:spacing w:before="120" w:after="120"/>
        <w:ind w:firstLine="709"/>
        <w:jc w:val="both"/>
        <w:rPr>
          <w:rFonts w:ascii="Bookman Old Style" w:hAnsi="Bookman Old Style"/>
          <w:sz w:val="20"/>
          <w:szCs w:val="20"/>
        </w:rPr>
      </w:pPr>
      <w:r w:rsidRPr="00B647AA">
        <w:rPr>
          <w:rFonts w:ascii="Bookman Old Style" w:hAnsi="Bookman Old Style"/>
          <w:sz w:val="20"/>
          <w:szCs w:val="20"/>
        </w:rPr>
        <w:t>Экономическая ситуация с 2015 года складывалась под влиянием ухудшения внешнеэкономических условий, прежде всего снижения цен на нефть, продолжения действия экономических санкций со стороны ЕС и США, сохранения тенденции к снижению инвестиционной активности, а также масштабного оттока капитала, усилившегося в том числе ввиду погашения значительного объема внешнего долга.</w:t>
      </w:r>
    </w:p>
    <w:p w:rsidR="005F6A69" w:rsidRDefault="005F6A69" w:rsidP="005F6A69">
      <w:pPr>
        <w:spacing w:before="120" w:after="120"/>
        <w:ind w:firstLine="709"/>
        <w:jc w:val="both"/>
        <w:rPr>
          <w:rFonts w:ascii="Bookman Old Style" w:hAnsi="Bookman Old Style"/>
          <w:sz w:val="20"/>
          <w:szCs w:val="20"/>
        </w:rPr>
      </w:pPr>
      <w:r w:rsidRPr="00806CAC">
        <w:rPr>
          <w:rFonts w:ascii="Bookman Old Style" w:hAnsi="Bookman Old Style"/>
          <w:sz w:val="20"/>
          <w:szCs w:val="20"/>
        </w:rPr>
        <w:t xml:space="preserve">В первом полугодии 2016 года происходило последовательное замедление экономического спада. Если в I квартале снижение ВВП составляло -1,2 % к соответствующему периоду прошлого года, то во II квартале оно составило, по оценке Минэкономразвития России, -0,6 процента. Темп спада ВВП сокращался с -0,8 % в апреле, до -0,6 % в мае и -0,5 % в июне. При этом сезонно очищенный спад ВВП практически остановился (в апреле он составлял -0,2 %, в мае - -0,1 %, в июне – 0 %). </w:t>
      </w:r>
    </w:p>
    <w:p w:rsidR="005F6A69" w:rsidRDefault="005F6A69" w:rsidP="005F6A69">
      <w:pPr>
        <w:spacing w:before="120" w:after="120"/>
        <w:ind w:firstLine="709"/>
        <w:jc w:val="both"/>
        <w:rPr>
          <w:rFonts w:ascii="Bookman Old Style" w:hAnsi="Bookman Old Style"/>
          <w:sz w:val="20"/>
          <w:szCs w:val="20"/>
        </w:rPr>
      </w:pPr>
      <w:r w:rsidRPr="00806CAC">
        <w:rPr>
          <w:rFonts w:ascii="Bookman Old Style" w:hAnsi="Bookman Old Style"/>
          <w:sz w:val="20"/>
          <w:szCs w:val="20"/>
        </w:rPr>
        <w:t xml:space="preserve">Основное влияние на замедление экономического спада во II квартале оказали промышленное производство, транспорт, сельское хозяйство. Отрицательное влияние продолжают оказывать строительство и розничная торговля. </w:t>
      </w:r>
    </w:p>
    <w:p w:rsidR="005F6A69" w:rsidRDefault="005F6A69" w:rsidP="005F6A69">
      <w:pPr>
        <w:spacing w:before="120" w:after="120"/>
        <w:ind w:firstLine="709"/>
        <w:jc w:val="both"/>
        <w:rPr>
          <w:rFonts w:ascii="Bookman Old Style" w:hAnsi="Bookman Old Style"/>
          <w:sz w:val="20"/>
          <w:szCs w:val="20"/>
        </w:rPr>
      </w:pPr>
      <w:r w:rsidRPr="00806CAC">
        <w:rPr>
          <w:rFonts w:ascii="Bookman Old Style" w:hAnsi="Bookman Old Style"/>
          <w:sz w:val="20"/>
          <w:szCs w:val="20"/>
        </w:rPr>
        <w:t xml:space="preserve">По оценке Минэкономразвития России, снижение ВВП за </w:t>
      </w:r>
      <w:r>
        <w:rPr>
          <w:rFonts w:ascii="Bookman Old Style" w:hAnsi="Bookman Old Style"/>
          <w:sz w:val="20"/>
          <w:szCs w:val="20"/>
        </w:rPr>
        <w:t>первое полугодие составило -0,9</w:t>
      </w:r>
      <w:r w:rsidRPr="00806CAC">
        <w:rPr>
          <w:rFonts w:ascii="Bookman Old Style" w:hAnsi="Bookman Old Style"/>
          <w:sz w:val="20"/>
          <w:szCs w:val="20"/>
        </w:rPr>
        <w:t xml:space="preserve">% к соответствующему периоду прошлого года. </w:t>
      </w:r>
    </w:p>
    <w:p w:rsidR="005F6A69" w:rsidRDefault="005F6A69" w:rsidP="005F6A69">
      <w:pPr>
        <w:spacing w:before="120" w:after="120"/>
        <w:ind w:firstLine="709"/>
        <w:jc w:val="both"/>
        <w:rPr>
          <w:rFonts w:ascii="Bookman Old Style" w:hAnsi="Bookman Old Style"/>
          <w:sz w:val="20"/>
          <w:szCs w:val="20"/>
        </w:rPr>
      </w:pPr>
      <w:r w:rsidRPr="00806CAC">
        <w:rPr>
          <w:rFonts w:ascii="Bookman Old Style" w:hAnsi="Bookman Old Style"/>
          <w:sz w:val="20"/>
          <w:szCs w:val="20"/>
        </w:rPr>
        <w:t>Июньская статистика по промышленному производству свидетельствует об определенном улучшении ситуации: сезонно очищенный показатель, рассчитываемый Минэкономразвития России, вырос на 0,3 %, м/м (в мае: -0,2 %, м/м). Отмечен рост во всех трех компонентах: добыча пол</w:t>
      </w:r>
      <w:r>
        <w:rPr>
          <w:rFonts w:ascii="Bookman Old Style" w:hAnsi="Bookman Old Style"/>
          <w:sz w:val="20"/>
          <w:szCs w:val="20"/>
        </w:rPr>
        <w:t>езных ископаемых выросла на 0,1</w:t>
      </w:r>
      <w:r w:rsidRPr="00806CAC">
        <w:rPr>
          <w:rFonts w:ascii="Bookman Old Style" w:hAnsi="Bookman Old Style"/>
          <w:sz w:val="20"/>
          <w:szCs w:val="20"/>
        </w:rPr>
        <w:t>%, м/м, обрабатывающие производства продемон</w:t>
      </w:r>
      <w:r>
        <w:rPr>
          <w:rFonts w:ascii="Bookman Old Style" w:hAnsi="Bookman Old Style"/>
          <w:sz w:val="20"/>
          <w:szCs w:val="20"/>
        </w:rPr>
        <w:t>стрировали темпы прироста в 0,5</w:t>
      </w:r>
      <w:r w:rsidRPr="00806CAC">
        <w:rPr>
          <w:rFonts w:ascii="Bookman Old Style" w:hAnsi="Bookman Old Style"/>
          <w:sz w:val="20"/>
          <w:szCs w:val="20"/>
        </w:rPr>
        <w:t>%, м/м, производство и распределение электроэнерг</w:t>
      </w:r>
      <w:r>
        <w:rPr>
          <w:rFonts w:ascii="Bookman Old Style" w:hAnsi="Bookman Old Style"/>
          <w:sz w:val="20"/>
          <w:szCs w:val="20"/>
        </w:rPr>
        <w:t>ии, газа и воды возросло на 0,2</w:t>
      </w:r>
      <w:r w:rsidRPr="00806CAC">
        <w:rPr>
          <w:rFonts w:ascii="Bookman Old Style" w:hAnsi="Bookman Old Style"/>
          <w:sz w:val="20"/>
          <w:szCs w:val="20"/>
        </w:rPr>
        <w:t xml:space="preserve">%, м/м. </w:t>
      </w:r>
    </w:p>
    <w:p w:rsidR="005F6A69" w:rsidRDefault="005F6A69" w:rsidP="005F6A69">
      <w:pPr>
        <w:spacing w:before="120" w:after="120"/>
        <w:ind w:firstLine="709"/>
        <w:jc w:val="both"/>
        <w:rPr>
          <w:rFonts w:ascii="Bookman Old Style" w:hAnsi="Bookman Old Style"/>
          <w:sz w:val="20"/>
          <w:szCs w:val="20"/>
        </w:rPr>
      </w:pPr>
      <w:r w:rsidRPr="00806CAC">
        <w:rPr>
          <w:rFonts w:ascii="Bookman Old Style" w:hAnsi="Bookman Old Style"/>
          <w:sz w:val="20"/>
          <w:szCs w:val="20"/>
        </w:rPr>
        <w:t xml:space="preserve">Производство сельскохозяйственной продукции продолжает показывать положительную динамику. Темп прироста производства сельскохозяйственной продукции с исключением сезонности в июне составил 0,1 процента. </w:t>
      </w:r>
    </w:p>
    <w:p w:rsidR="005F6A69" w:rsidRDefault="005F6A69" w:rsidP="005F6A69">
      <w:pPr>
        <w:spacing w:before="120" w:after="120"/>
        <w:ind w:firstLine="709"/>
        <w:jc w:val="both"/>
        <w:rPr>
          <w:rFonts w:ascii="Bookman Old Style" w:hAnsi="Bookman Old Style"/>
          <w:sz w:val="20"/>
          <w:szCs w:val="20"/>
        </w:rPr>
      </w:pPr>
      <w:r w:rsidRPr="00806CAC">
        <w:rPr>
          <w:rFonts w:ascii="Bookman Old Style" w:hAnsi="Bookman Old Style"/>
          <w:sz w:val="20"/>
          <w:szCs w:val="20"/>
        </w:rPr>
        <w:t xml:space="preserve">В июне безработица снизилась до 5,4 % от рабочей силы, с исключением сезонного фактора – до 5,6 % от рабочей силы. </w:t>
      </w:r>
    </w:p>
    <w:p w:rsidR="005F6A69" w:rsidRDefault="005F6A69" w:rsidP="005F6A69">
      <w:pPr>
        <w:spacing w:before="120" w:after="120"/>
        <w:ind w:firstLine="709"/>
        <w:jc w:val="both"/>
        <w:rPr>
          <w:rFonts w:ascii="Bookman Old Style" w:hAnsi="Bookman Old Style"/>
          <w:sz w:val="20"/>
          <w:szCs w:val="20"/>
        </w:rPr>
      </w:pPr>
      <w:r w:rsidRPr="00806CAC">
        <w:rPr>
          <w:rFonts w:ascii="Bookman Old Style" w:hAnsi="Bookman Old Style"/>
          <w:sz w:val="20"/>
          <w:szCs w:val="20"/>
        </w:rPr>
        <w:t xml:space="preserve">Реальная заработная плата с исключением сезонного фактора в июне, по предварительным данным, снизилась на 0,1 % относительно мая (по уточненным данным в мае сезонно очищенный рост составил 1,4 процента). </w:t>
      </w:r>
    </w:p>
    <w:p w:rsidR="005F6A69" w:rsidRDefault="005F6A69" w:rsidP="005F6A69">
      <w:pPr>
        <w:spacing w:before="120" w:after="120"/>
        <w:ind w:firstLine="709"/>
        <w:jc w:val="both"/>
        <w:rPr>
          <w:rFonts w:ascii="Bookman Old Style" w:hAnsi="Bookman Old Style"/>
          <w:sz w:val="20"/>
          <w:szCs w:val="20"/>
        </w:rPr>
      </w:pPr>
      <w:r w:rsidRPr="00806CAC">
        <w:rPr>
          <w:rFonts w:ascii="Bookman Old Style" w:hAnsi="Bookman Old Style"/>
          <w:sz w:val="20"/>
          <w:szCs w:val="20"/>
        </w:rPr>
        <w:t xml:space="preserve">После двух месяцев снижения реальные располагаемые доходы с исключением сезонного фактора в июне вновь вышли в область положительных значений: рост на 0,4 процента. </w:t>
      </w:r>
    </w:p>
    <w:p w:rsidR="005F6A69" w:rsidRDefault="005F6A69" w:rsidP="005F6A69">
      <w:pPr>
        <w:spacing w:before="120" w:after="120"/>
        <w:ind w:firstLine="709"/>
        <w:jc w:val="both"/>
        <w:rPr>
          <w:rFonts w:ascii="Bookman Old Style" w:hAnsi="Bookman Old Style"/>
          <w:sz w:val="20"/>
          <w:szCs w:val="20"/>
        </w:rPr>
      </w:pPr>
      <w:r w:rsidRPr="00806CAC">
        <w:rPr>
          <w:rFonts w:ascii="Bookman Old Style" w:hAnsi="Bookman Old Style"/>
          <w:sz w:val="20"/>
          <w:szCs w:val="20"/>
        </w:rPr>
        <w:t xml:space="preserve">Снижение оборота розничной торговли с исключением сезонного фактора в июне замедлилось до 0,3 % после 0,6 % в мае текущего года. </w:t>
      </w:r>
    </w:p>
    <w:p w:rsidR="005F6A69" w:rsidRDefault="005F6A69" w:rsidP="005F6A69">
      <w:pPr>
        <w:spacing w:before="120" w:after="120"/>
        <w:ind w:firstLine="709"/>
        <w:jc w:val="both"/>
        <w:rPr>
          <w:rFonts w:ascii="Bookman Old Style" w:hAnsi="Bookman Old Style"/>
          <w:sz w:val="20"/>
          <w:szCs w:val="20"/>
        </w:rPr>
      </w:pPr>
      <w:r w:rsidRPr="00806CAC">
        <w:rPr>
          <w:rFonts w:ascii="Bookman Old Style" w:hAnsi="Bookman Old Style"/>
          <w:sz w:val="20"/>
          <w:szCs w:val="20"/>
        </w:rPr>
        <w:t xml:space="preserve">Платные услуги населению (с исключением сезонного фактора) в июне снизились на 0,7 процента. </w:t>
      </w:r>
    </w:p>
    <w:p w:rsidR="005F6A69" w:rsidRDefault="005F6A69" w:rsidP="005F6A69">
      <w:pPr>
        <w:spacing w:before="120" w:after="120"/>
        <w:ind w:firstLine="709"/>
        <w:jc w:val="both"/>
        <w:rPr>
          <w:rFonts w:ascii="Bookman Old Style" w:hAnsi="Bookman Old Style"/>
          <w:sz w:val="20"/>
          <w:szCs w:val="20"/>
        </w:rPr>
      </w:pPr>
      <w:r w:rsidRPr="00806CAC">
        <w:rPr>
          <w:rFonts w:ascii="Bookman Old Style" w:hAnsi="Bookman Old Style"/>
          <w:sz w:val="20"/>
          <w:szCs w:val="20"/>
        </w:rPr>
        <w:t>Экспорт товаров в январе-июне 2016 г., по оценке, составил 127,7 млрд. долл. США (снижение на 29,7 % к январю-июню к 2015 г.). Импорт товаров в январе-июне 2016 г., по оценке, составил 83,6 млрд. долл. США (снижение на 9,5 % к январю-июню 2015 года). Положительное сальдо торгового баланса в январе-июне 2016 г., по оценке, составило 44,1 млрд. долл. США, относительно января-июня 2015 г. снизилось на 50,6 процента. По данным Росстата, инфляция в июне составила 0,4 %, с начала года – 3,3 %, за годовой период – 7,5 процента</w:t>
      </w:r>
    </w:p>
    <w:p w:rsidR="005F6A69" w:rsidRDefault="005F6A69" w:rsidP="005F6A69">
      <w:pPr>
        <w:spacing w:before="120" w:after="120"/>
        <w:ind w:firstLine="709"/>
        <w:jc w:val="both"/>
        <w:rPr>
          <w:rFonts w:ascii="Bookman Old Style" w:hAnsi="Bookman Old Style"/>
          <w:sz w:val="20"/>
          <w:szCs w:val="20"/>
        </w:rPr>
      </w:pPr>
      <w:r w:rsidRPr="00806CAC">
        <w:rPr>
          <w:rFonts w:ascii="Bookman Old Style" w:hAnsi="Bookman Old Style"/>
          <w:sz w:val="20"/>
          <w:szCs w:val="20"/>
        </w:rPr>
        <w:t xml:space="preserve">Потребительский спрос продолжил сокращение, в то время как инвестиционный возобновил рост, благодаря замедлению сокращения запасов. </w:t>
      </w:r>
    </w:p>
    <w:p w:rsidR="005F6A69" w:rsidRDefault="005F6A69" w:rsidP="005F6A69">
      <w:pPr>
        <w:spacing w:before="120" w:after="120"/>
        <w:ind w:firstLine="709"/>
        <w:jc w:val="both"/>
        <w:rPr>
          <w:rFonts w:ascii="Bookman Old Style" w:hAnsi="Bookman Old Style"/>
          <w:sz w:val="20"/>
          <w:szCs w:val="20"/>
        </w:rPr>
      </w:pPr>
      <w:r w:rsidRPr="00806CAC">
        <w:rPr>
          <w:rFonts w:ascii="Bookman Old Style" w:hAnsi="Bookman Old Style"/>
          <w:sz w:val="20"/>
          <w:szCs w:val="20"/>
        </w:rPr>
        <w:lastRenderedPageBreak/>
        <w:t>Расходы на конечное потребление сократились в квартальной оценке на 3,5 процента. Потребление домашних хозяйств снизилось на 4,3 %, сектора государственного управления – на 1,5 %, а расходы некоммерческих организаций, обслуживающих домашние хозяйства, выросли на 0,2 процента. В I квартале 201</w:t>
      </w:r>
      <w:r>
        <w:rPr>
          <w:rFonts w:ascii="Bookman Old Style" w:hAnsi="Bookman Old Style"/>
          <w:sz w:val="20"/>
          <w:szCs w:val="20"/>
        </w:rPr>
        <w:t>6</w:t>
      </w:r>
      <w:r w:rsidRPr="00806CAC">
        <w:rPr>
          <w:rFonts w:ascii="Bookman Old Style" w:hAnsi="Bookman Old Style"/>
          <w:sz w:val="20"/>
          <w:szCs w:val="20"/>
        </w:rPr>
        <w:t xml:space="preserve"> г. динамика потребительских расходов населения и государства сократилась на 6,9 % и 1,8 % соответственно, а расходы некоммерческих организаций, обслуживающих домашние хозяйства увеличились на 0,5 процента. В то же время произошел рост инвестиционного спроса. Валовое накопление увеличилось в годовой оценке на 8,2 % против пад</w:t>
      </w:r>
      <w:r>
        <w:rPr>
          <w:rFonts w:ascii="Bookman Old Style" w:hAnsi="Bookman Old Style"/>
          <w:sz w:val="20"/>
          <w:szCs w:val="20"/>
        </w:rPr>
        <w:t>ения на 32,2 % в I квартале 2016</w:t>
      </w:r>
      <w:r w:rsidRPr="00806CAC">
        <w:rPr>
          <w:rFonts w:ascii="Bookman Old Style" w:hAnsi="Bookman Old Style"/>
          <w:sz w:val="20"/>
          <w:szCs w:val="20"/>
        </w:rPr>
        <w:t xml:space="preserve"> года. Увеличение валового накопления связано со снижением изменения запасов материальных средств, объем снижения которых в номинальном выражении составил лишь 0,5 % ВВП, по сравнению с их сокращение</w:t>
      </w:r>
      <w:r>
        <w:rPr>
          <w:rFonts w:ascii="Bookman Old Style" w:hAnsi="Bookman Old Style"/>
          <w:sz w:val="20"/>
          <w:szCs w:val="20"/>
        </w:rPr>
        <w:t>м на 3,2 % ВВП в I квартале 2016</w:t>
      </w:r>
      <w:r w:rsidRPr="00806CAC">
        <w:rPr>
          <w:rFonts w:ascii="Bookman Old Style" w:hAnsi="Bookman Old Style"/>
          <w:sz w:val="20"/>
          <w:szCs w:val="20"/>
        </w:rPr>
        <w:t xml:space="preserve"> года. </w:t>
      </w:r>
    </w:p>
    <w:p w:rsidR="005F6A69" w:rsidRDefault="005F6A69" w:rsidP="005F6A69">
      <w:pPr>
        <w:spacing w:before="120" w:after="120"/>
        <w:ind w:firstLine="709"/>
        <w:jc w:val="both"/>
        <w:rPr>
          <w:rFonts w:ascii="Bookman Old Style" w:hAnsi="Bookman Old Style"/>
          <w:sz w:val="20"/>
          <w:szCs w:val="20"/>
        </w:rPr>
      </w:pPr>
      <w:r w:rsidRPr="00806CAC">
        <w:rPr>
          <w:rFonts w:ascii="Bookman Old Style" w:hAnsi="Bookman Old Style"/>
          <w:sz w:val="20"/>
          <w:szCs w:val="20"/>
        </w:rPr>
        <w:t xml:space="preserve">В то же время значительно увеличился спад накопления основного капитала (до 9,9 % против 6,4 % в I квартале 2015 года). Таким образом, отмечается замедление сокращения запасов материальных оборотных средств (МОС), а 8 %-ый рост валового накопления при почти 10 %-ом сокращении накопления основного капитала связан с шемтикратным номинальным сокращением отрицательного прироста запасов МОС. </w:t>
      </w:r>
    </w:p>
    <w:p w:rsidR="005F6A69" w:rsidRDefault="005F6A69" w:rsidP="005F6A69">
      <w:pPr>
        <w:spacing w:before="120" w:after="120"/>
        <w:ind w:firstLine="709"/>
        <w:jc w:val="both"/>
        <w:rPr>
          <w:rFonts w:ascii="Bookman Old Style" w:hAnsi="Bookman Old Style"/>
          <w:sz w:val="20"/>
          <w:szCs w:val="20"/>
        </w:rPr>
      </w:pPr>
      <w:r w:rsidRPr="00806CAC">
        <w:rPr>
          <w:rFonts w:ascii="Bookman Old Style" w:hAnsi="Bookman Old Style"/>
          <w:sz w:val="20"/>
          <w:szCs w:val="20"/>
        </w:rPr>
        <w:t>Отрицательная динамика импорта товаров и услуг (-10,9 %), почти вдвое опередившая сокращение их экспорта (-5,6 %), оказала поддерживающее влияние на чистый экспорт товаров и услуг, рост которого по итогам I квартала 2016 г. составил 3,2 % в годовой оценке.</w:t>
      </w:r>
    </w:p>
    <w:p w:rsidR="005F6A69" w:rsidRDefault="005F6A69" w:rsidP="005F6A69">
      <w:pPr>
        <w:spacing w:before="120" w:after="120"/>
        <w:ind w:firstLine="709"/>
        <w:jc w:val="both"/>
        <w:rPr>
          <w:rFonts w:ascii="Bookman Old Style" w:hAnsi="Bookman Old Style"/>
          <w:sz w:val="20"/>
          <w:szCs w:val="20"/>
        </w:rPr>
      </w:pPr>
      <w:r w:rsidRPr="00806CAC">
        <w:rPr>
          <w:rFonts w:ascii="Bookman Old Style" w:hAnsi="Bookman Old Style"/>
          <w:sz w:val="20"/>
          <w:szCs w:val="20"/>
        </w:rPr>
        <w:t>В использовании ВВП в I кв. 2016 г. – по сравнению с I кв. 2015 г. - произошел структурный сдвиг в сторону увеличения расходов на конечное потребление и валового накопления при снижении доли чистого экспорта. Доля потребительских расходов и валового накопления увеличилась до 77,4 % и 15,5 % ВВП (I квартал 2015 г. – 75,5 % и 12,1 % ВВП), соответственно, при снижении чистого экспорта до 7,1 % ВВП (I квартал 2015 г. – 12,4 % ВВП)</w:t>
      </w:r>
    </w:p>
    <w:p w:rsidR="005F6A69" w:rsidRDefault="005F6A69" w:rsidP="005F6A69">
      <w:pPr>
        <w:spacing w:before="120" w:after="120"/>
        <w:ind w:firstLine="709"/>
        <w:jc w:val="both"/>
        <w:rPr>
          <w:rFonts w:ascii="Bookman Old Style" w:hAnsi="Bookman Old Style"/>
          <w:sz w:val="20"/>
          <w:szCs w:val="20"/>
        </w:rPr>
      </w:pPr>
      <w:r>
        <w:rPr>
          <w:rFonts w:ascii="Bookman Old Style" w:hAnsi="Bookman Old Style"/>
          <w:sz w:val="20"/>
          <w:szCs w:val="20"/>
        </w:rPr>
        <w:t>И</w:t>
      </w:r>
      <w:r w:rsidRPr="00806CAC">
        <w:rPr>
          <w:rFonts w:ascii="Bookman Old Style" w:hAnsi="Bookman Old Style"/>
          <w:sz w:val="20"/>
          <w:szCs w:val="20"/>
        </w:rPr>
        <w:t>ндекс промышленного производства в июне</w:t>
      </w:r>
      <w:r>
        <w:rPr>
          <w:rFonts w:ascii="Bookman Old Style" w:hAnsi="Bookman Old Style"/>
          <w:sz w:val="20"/>
          <w:szCs w:val="20"/>
        </w:rPr>
        <w:t xml:space="preserve"> текущего года</w:t>
      </w:r>
      <w:r w:rsidRPr="00806CAC">
        <w:rPr>
          <w:rFonts w:ascii="Bookman Old Style" w:hAnsi="Bookman Old Style"/>
          <w:sz w:val="20"/>
          <w:szCs w:val="20"/>
        </w:rPr>
        <w:t xml:space="preserve"> вырос на 1,7 % по сравнению с соответствующим периодом прошлого года, по итогам I полугодия - 0,4 процента. Объемы добычи полезных ископаемых увеличились на 1,6 %, г/г в июне и на 2,6 %, г/г за полугодие, обрабатывающие производства третий месяц 7 подряд находятся в положительной области (1,6 %, г/г в июне), но за полугодие динамика все еще отрицательная (-0,9 %, г/г). Производство и распределение электроэнергии, газа и воды по итогам I полугодия выросло на 0,4 % к соответствующему периоду прошлого года</w:t>
      </w:r>
    </w:p>
    <w:p w:rsidR="005F6A69" w:rsidRDefault="005F6A69" w:rsidP="005F6A69">
      <w:pPr>
        <w:spacing w:before="120" w:after="120"/>
        <w:ind w:firstLine="709"/>
        <w:jc w:val="both"/>
        <w:rPr>
          <w:rFonts w:ascii="Bookman Old Style" w:hAnsi="Bookman Old Style"/>
          <w:sz w:val="20"/>
          <w:szCs w:val="20"/>
        </w:rPr>
      </w:pPr>
      <w:r w:rsidRPr="00806CAC">
        <w:rPr>
          <w:rFonts w:ascii="Bookman Old Style" w:hAnsi="Bookman Old Style"/>
          <w:sz w:val="20"/>
          <w:szCs w:val="20"/>
        </w:rPr>
        <w:t xml:space="preserve">В июне текущего года имел место негативный разворот в динамике производства легковых автомобилей. Темп падения объёмов производства по данной позиции составил 5,3 % по отношению к июню прошлого года. Для сравнения, в мае объём производства легковых автомобилей вырос на 4,1 процента. По итогам I полугодия объём производства легковых автомобилей сократился практически на 18 процентов. </w:t>
      </w:r>
    </w:p>
    <w:p w:rsidR="005F6A69" w:rsidRDefault="005F6A69" w:rsidP="005F6A69">
      <w:pPr>
        <w:spacing w:before="120" w:after="120"/>
        <w:ind w:firstLine="709"/>
        <w:jc w:val="both"/>
        <w:rPr>
          <w:rFonts w:ascii="Bookman Old Style" w:hAnsi="Bookman Old Style"/>
          <w:sz w:val="20"/>
          <w:szCs w:val="20"/>
        </w:rPr>
      </w:pPr>
      <w:r w:rsidRPr="00806CAC">
        <w:rPr>
          <w:rFonts w:ascii="Bookman Old Style" w:hAnsi="Bookman Old Style"/>
          <w:sz w:val="20"/>
          <w:szCs w:val="20"/>
        </w:rPr>
        <w:t xml:space="preserve">В то же время, в июне имел место позитивный разворот в производстве автобусов. Динамика по данной позиции вышла в положительную область, темп роста объёмов производства составил почти 14 % по отношению к июню прошлого года. Для сравнения, в мае темп спада объёмов производства автобусов составил практически 6 процентов. По итогам I полугодия объём производства автобусов сократился на 0,9 % по отношению к I полугодию предыдущего года. </w:t>
      </w:r>
    </w:p>
    <w:p w:rsidR="005F6A69" w:rsidRDefault="005F6A69" w:rsidP="005F6A69">
      <w:pPr>
        <w:spacing w:before="120" w:after="120"/>
        <w:ind w:firstLine="709"/>
        <w:jc w:val="both"/>
        <w:rPr>
          <w:rFonts w:ascii="Bookman Old Style" w:hAnsi="Bookman Old Style"/>
          <w:sz w:val="20"/>
          <w:szCs w:val="20"/>
        </w:rPr>
      </w:pPr>
      <w:r w:rsidRPr="00806CAC">
        <w:rPr>
          <w:rFonts w:ascii="Bookman Old Style" w:hAnsi="Bookman Old Style"/>
          <w:sz w:val="20"/>
          <w:szCs w:val="20"/>
        </w:rPr>
        <w:t>Позитивный разворот произошёл в июне и в производстве грузовых автомобилей. Темп прироста объёмов производства по данной позиции составил 21,4 % по отношению к июню прошлого года, тогда как в мае темп спада объёмов производства грузовых автомобилей составил более 25 процентов. По итогам I полугодия рост объёмов производства грузовых автомобилей составил 4,4 процента</w:t>
      </w:r>
    </w:p>
    <w:p w:rsidR="005F6A69" w:rsidRDefault="005F6A69" w:rsidP="005F6A69">
      <w:pPr>
        <w:spacing w:before="120" w:after="120"/>
        <w:ind w:firstLine="709"/>
        <w:jc w:val="both"/>
        <w:rPr>
          <w:rFonts w:ascii="Bookman Old Style" w:hAnsi="Bookman Old Style"/>
          <w:sz w:val="20"/>
          <w:szCs w:val="20"/>
        </w:rPr>
      </w:pPr>
      <w:r w:rsidRPr="00806CAC">
        <w:rPr>
          <w:rFonts w:ascii="Bookman Old Style" w:hAnsi="Bookman Old Style"/>
          <w:sz w:val="20"/>
          <w:szCs w:val="20"/>
        </w:rPr>
        <w:t>Производство машин и оборудования в I полугодии 2016 года по отношению к I полугодию 2015 года выросло на 2,8 процента</w:t>
      </w:r>
    </w:p>
    <w:p w:rsidR="00D74801" w:rsidRDefault="005F6A69" w:rsidP="005F6A69">
      <w:pPr>
        <w:spacing w:before="120" w:after="120"/>
        <w:ind w:firstLine="709"/>
        <w:jc w:val="both"/>
        <w:rPr>
          <w:rFonts w:ascii="Bookman Old Style" w:hAnsi="Bookman Old Style"/>
          <w:sz w:val="20"/>
          <w:szCs w:val="20"/>
        </w:rPr>
      </w:pPr>
      <w:r w:rsidRPr="00806CAC">
        <w:rPr>
          <w:rFonts w:ascii="Bookman Old Style" w:hAnsi="Bookman Old Style"/>
          <w:sz w:val="20"/>
          <w:szCs w:val="20"/>
        </w:rPr>
        <w:t>Сокращение объема работ при реализации строительных проектов, а также неблагоприятная экономическая ситуация на рынке способствовали снижению объемов производства прочих машин и оборудования специального назначения в I полугодии 2016 года по отношению к I полугодию 2015 года на 21,8 процента. В частности, отмечается сокращение в I полугодии 2016 года относительно I полугодия 2015 года объема производства грейдеров самоходных (автогрейдеров) на 13,8%, установок буровых для эксплуатационного и глубокого разведочного бурения на 45,5%, сталеплавильного оборудования и литейных машин – на 50,0 процентов</w:t>
      </w:r>
      <w:r w:rsidR="00D74801" w:rsidRPr="00D74801">
        <w:rPr>
          <w:rFonts w:ascii="Bookman Old Style" w:hAnsi="Bookman Old Style"/>
          <w:sz w:val="20"/>
          <w:szCs w:val="20"/>
        </w:rPr>
        <w:t>.</w:t>
      </w:r>
    </w:p>
    <w:p w:rsidR="000307A5" w:rsidRPr="00BD39DF" w:rsidRDefault="000307A5" w:rsidP="00AD346D">
      <w:pPr>
        <w:pStyle w:val="3"/>
        <w:rPr>
          <w:rFonts w:ascii="Bookman Old Style" w:hAnsi="Bookman Old Style"/>
          <w:sz w:val="20"/>
          <w:szCs w:val="20"/>
        </w:rPr>
      </w:pPr>
      <w:bookmarkStart w:id="182" w:name="_Toc461206374"/>
      <w:r w:rsidRPr="00BD39DF">
        <w:rPr>
          <w:rFonts w:ascii="Bookman Old Style" w:hAnsi="Bookman Old Style"/>
          <w:sz w:val="20"/>
          <w:szCs w:val="20"/>
        </w:rPr>
        <w:lastRenderedPageBreak/>
        <w:t>4.2.</w:t>
      </w:r>
      <w:r w:rsidR="00D07734" w:rsidRPr="00BD39DF">
        <w:rPr>
          <w:rFonts w:ascii="Bookman Old Style" w:hAnsi="Bookman Old Style"/>
          <w:sz w:val="20"/>
          <w:szCs w:val="20"/>
        </w:rPr>
        <w:t>2</w:t>
      </w:r>
      <w:r w:rsidRPr="00BD39DF">
        <w:rPr>
          <w:rFonts w:ascii="Bookman Old Style" w:hAnsi="Bookman Old Style"/>
          <w:sz w:val="20"/>
          <w:szCs w:val="20"/>
        </w:rPr>
        <w:t>. Анализ влияния общей политической и социально-экономической обстановки</w:t>
      </w:r>
      <w:r w:rsidR="00D07734" w:rsidRPr="00BD39DF">
        <w:rPr>
          <w:rFonts w:ascii="Bookman Old Style" w:hAnsi="Bookman Old Style"/>
          <w:sz w:val="20"/>
          <w:szCs w:val="20"/>
        </w:rPr>
        <w:t xml:space="preserve"> в Красноярском крае</w:t>
      </w:r>
      <w:bookmarkEnd w:id="182"/>
    </w:p>
    <w:p w:rsidR="00B12755" w:rsidRDefault="00B12755" w:rsidP="00B12755">
      <w:pPr>
        <w:autoSpaceDE w:val="0"/>
        <w:autoSpaceDN w:val="0"/>
        <w:adjustRightInd w:val="0"/>
        <w:spacing w:before="120" w:after="120"/>
        <w:ind w:firstLine="720"/>
        <w:jc w:val="both"/>
        <w:rPr>
          <w:rFonts w:ascii="Bookman Old Style" w:hAnsi="Bookman Old Style"/>
          <w:bCs/>
          <w:sz w:val="20"/>
          <w:szCs w:val="20"/>
        </w:rPr>
      </w:pPr>
      <w:r w:rsidRPr="00B647AA">
        <w:rPr>
          <w:rFonts w:ascii="Bookman Old Style" w:hAnsi="Bookman Old Style"/>
          <w:bCs/>
          <w:sz w:val="20"/>
          <w:szCs w:val="20"/>
        </w:rPr>
        <w:t xml:space="preserve">Красноярский край – самый крупный субъект Федерации в составе Сибирского федерального округа по важнейшим макроэкономическим показателям – численности населения, объемам валового регионального продукта, промышленного производства, строительных работ и инвестиций в основной капитал. </w:t>
      </w:r>
    </w:p>
    <w:p w:rsidR="00B12755" w:rsidRPr="00B647AA" w:rsidRDefault="00B12755" w:rsidP="00B12755">
      <w:pPr>
        <w:autoSpaceDE w:val="0"/>
        <w:autoSpaceDN w:val="0"/>
        <w:adjustRightInd w:val="0"/>
        <w:spacing w:before="120" w:after="120"/>
        <w:ind w:firstLine="720"/>
        <w:jc w:val="both"/>
        <w:rPr>
          <w:rFonts w:ascii="Bookman Old Style" w:hAnsi="Bookman Old Style"/>
          <w:b/>
          <w:bCs/>
          <w:sz w:val="20"/>
          <w:szCs w:val="20"/>
        </w:rPr>
      </w:pPr>
      <w:r w:rsidRPr="00B647AA">
        <w:rPr>
          <w:rFonts w:ascii="Bookman Old Style" w:hAnsi="Bookman Old Style"/>
          <w:b/>
          <w:bCs/>
          <w:sz w:val="20"/>
          <w:szCs w:val="20"/>
        </w:rPr>
        <w:t>Таблица 4.</w:t>
      </w:r>
      <w:r>
        <w:rPr>
          <w:rFonts w:ascii="Bookman Old Style" w:hAnsi="Bookman Old Style"/>
          <w:b/>
          <w:bCs/>
          <w:sz w:val="20"/>
          <w:szCs w:val="20"/>
        </w:rPr>
        <w:t>2</w:t>
      </w:r>
      <w:r w:rsidRPr="00B647AA">
        <w:rPr>
          <w:rFonts w:ascii="Bookman Old Style" w:hAnsi="Bookman Old Style"/>
          <w:b/>
          <w:bCs/>
          <w:sz w:val="20"/>
          <w:szCs w:val="20"/>
        </w:rPr>
        <w:t>.2.1. Основные экономические и социальные показатели Красноярского края</w:t>
      </w:r>
      <w:r w:rsidRPr="00B647AA">
        <w:rPr>
          <w:rFonts w:ascii="Bookman Old Style" w:hAnsi="Bookman Old Style"/>
          <w:b/>
          <w:bCs/>
          <w:sz w:val="20"/>
          <w:szCs w:val="20"/>
          <w:vertAlign w:val="superscript"/>
        </w:rPr>
        <w:footnoteReference w:id="24"/>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6" w:type="dxa"/>
          <w:right w:w="56" w:type="dxa"/>
        </w:tblCellMar>
        <w:tblLook w:val="04A0"/>
      </w:tblPr>
      <w:tblGrid>
        <w:gridCol w:w="3343"/>
        <w:gridCol w:w="1337"/>
        <w:gridCol w:w="1337"/>
        <w:gridCol w:w="1250"/>
        <w:gridCol w:w="1424"/>
        <w:gridCol w:w="1626"/>
      </w:tblGrid>
      <w:tr w:rsidR="00B12755" w:rsidRPr="003A6760" w:rsidTr="009E33BE">
        <w:trPr>
          <w:cantSplit/>
          <w:trHeight w:val="170"/>
        </w:trPr>
        <w:tc>
          <w:tcPr>
            <w:tcW w:w="1620" w:type="pct"/>
            <w:shd w:val="clear" w:color="auto" w:fill="F2F2F2" w:themeFill="background1" w:themeFillShade="F2"/>
            <w:vAlign w:val="center"/>
            <w:hideMark/>
          </w:tcPr>
          <w:p w:rsidR="00B12755" w:rsidRPr="003A6760" w:rsidRDefault="00B12755" w:rsidP="00D70166">
            <w:pPr>
              <w:widowControl w:val="0"/>
              <w:jc w:val="center"/>
              <w:rPr>
                <w:rFonts w:ascii="Cambria" w:hAnsi="Cambria"/>
                <w:b/>
                <w:sz w:val="16"/>
                <w:szCs w:val="16"/>
              </w:rPr>
            </w:pPr>
            <w:r w:rsidRPr="003A6760">
              <w:rPr>
                <w:rFonts w:ascii="Cambria" w:hAnsi="Cambria"/>
                <w:b/>
                <w:sz w:val="16"/>
                <w:szCs w:val="16"/>
              </w:rPr>
              <w:t>Наименование показателя</w:t>
            </w:r>
          </w:p>
        </w:tc>
        <w:tc>
          <w:tcPr>
            <w:tcW w:w="648" w:type="pct"/>
            <w:shd w:val="clear" w:color="auto" w:fill="F2F2F2" w:themeFill="background1" w:themeFillShade="F2"/>
            <w:vAlign w:val="center"/>
            <w:hideMark/>
          </w:tcPr>
          <w:p w:rsidR="00B12755" w:rsidRPr="003A6760" w:rsidRDefault="00B12755" w:rsidP="00D70166">
            <w:pPr>
              <w:pStyle w:val="3"/>
              <w:keepNext w:val="0"/>
              <w:widowControl w:val="0"/>
              <w:spacing w:before="0"/>
              <w:jc w:val="center"/>
              <w:rPr>
                <w:rFonts w:ascii="Cambria" w:hAnsi="Cambria"/>
                <w:sz w:val="16"/>
                <w:szCs w:val="16"/>
              </w:rPr>
            </w:pPr>
            <w:bookmarkStart w:id="183" w:name="_Toc459223066"/>
            <w:bookmarkStart w:id="184" w:name="_Toc459227388"/>
            <w:bookmarkStart w:id="185" w:name="_Toc460154652"/>
            <w:bookmarkStart w:id="186" w:name="_Toc461206375"/>
            <w:r w:rsidRPr="003A6760">
              <w:rPr>
                <w:rFonts w:ascii="Cambria" w:hAnsi="Cambria"/>
                <w:sz w:val="16"/>
                <w:szCs w:val="16"/>
              </w:rPr>
              <w:t>Июнь</w:t>
            </w:r>
            <w:bookmarkEnd w:id="183"/>
            <w:bookmarkEnd w:id="184"/>
            <w:bookmarkEnd w:id="185"/>
            <w:bookmarkEnd w:id="186"/>
          </w:p>
          <w:p w:rsidR="00B12755" w:rsidRPr="003A6760" w:rsidRDefault="00B12755" w:rsidP="00D70166">
            <w:pPr>
              <w:widowControl w:val="0"/>
              <w:jc w:val="center"/>
              <w:rPr>
                <w:rFonts w:ascii="Cambria" w:hAnsi="Cambria"/>
                <w:b/>
                <w:sz w:val="16"/>
                <w:szCs w:val="16"/>
              </w:rPr>
            </w:pPr>
            <w:r w:rsidRPr="003A6760">
              <w:rPr>
                <w:rFonts w:ascii="Cambria" w:hAnsi="Cambria"/>
                <w:b/>
                <w:sz w:val="16"/>
                <w:szCs w:val="16"/>
              </w:rPr>
              <w:t>2016 г.</w:t>
            </w:r>
          </w:p>
        </w:tc>
        <w:tc>
          <w:tcPr>
            <w:tcW w:w="648" w:type="pct"/>
            <w:shd w:val="clear" w:color="auto" w:fill="F2F2F2" w:themeFill="background1" w:themeFillShade="F2"/>
            <w:vAlign w:val="center"/>
            <w:hideMark/>
          </w:tcPr>
          <w:p w:rsidR="00B12755" w:rsidRPr="003A6760" w:rsidRDefault="00B12755" w:rsidP="00D70166">
            <w:pPr>
              <w:widowControl w:val="0"/>
              <w:jc w:val="center"/>
              <w:rPr>
                <w:rFonts w:ascii="Cambria" w:hAnsi="Cambria"/>
                <w:b/>
                <w:sz w:val="16"/>
                <w:szCs w:val="16"/>
              </w:rPr>
            </w:pPr>
            <w:r w:rsidRPr="003A6760">
              <w:rPr>
                <w:rFonts w:ascii="Cambria" w:hAnsi="Cambria"/>
                <w:b/>
                <w:sz w:val="16"/>
                <w:szCs w:val="16"/>
              </w:rPr>
              <w:t>Июнь</w:t>
            </w:r>
          </w:p>
          <w:p w:rsidR="00B12755" w:rsidRPr="003A6760" w:rsidRDefault="00B12755" w:rsidP="00D70166">
            <w:pPr>
              <w:widowControl w:val="0"/>
              <w:jc w:val="center"/>
              <w:rPr>
                <w:rFonts w:ascii="Cambria" w:hAnsi="Cambria"/>
                <w:b/>
                <w:sz w:val="16"/>
                <w:szCs w:val="16"/>
              </w:rPr>
            </w:pPr>
            <w:r w:rsidRPr="003A6760">
              <w:rPr>
                <w:rFonts w:ascii="Cambria" w:hAnsi="Cambria"/>
                <w:b/>
                <w:sz w:val="16"/>
                <w:szCs w:val="16"/>
              </w:rPr>
              <w:t>2016 г.</w:t>
            </w:r>
          </w:p>
          <w:p w:rsidR="00B12755" w:rsidRPr="003A6760" w:rsidRDefault="00B12755" w:rsidP="00D70166">
            <w:pPr>
              <w:widowControl w:val="0"/>
              <w:jc w:val="center"/>
              <w:rPr>
                <w:rFonts w:ascii="Cambria" w:hAnsi="Cambria"/>
                <w:b/>
                <w:sz w:val="16"/>
                <w:szCs w:val="16"/>
              </w:rPr>
            </w:pPr>
            <w:r w:rsidRPr="003A6760">
              <w:rPr>
                <w:rFonts w:ascii="Cambria" w:hAnsi="Cambria"/>
                <w:b/>
                <w:sz w:val="16"/>
                <w:szCs w:val="16"/>
              </w:rPr>
              <w:t>в % к</w:t>
            </w:r>
          </w:p>
          <w:p w:rsidR="00B12755" w:rsidRPr="003A6760" w:rsidRDefault="00B12755" w:rsidP="00D70166">
            <w:pPr>
              <w:widowControl w:val="0"/>
              <w:jc w:val="center"/>
              <w:rPr>
                <w:rFonts w:ascii="Cambria" w:hAnsi="Cambria"/>
                <w:b/>
                <w:sz w:val="16"/>
                <w:szCs w:val="16"/>
              </w:rPr>
            </w:pPr>
            <w:r w:rsidRPr="003A6760">
              <w:rPr>
                <w:rFonts w:ascii="Cambria" w:hAnsi="Cambria"/>
                <w:b/>
                <w:sz w:val="16"/>
                <w:szCs w:val="16"/>
              </w:rPr>
              <w:t>июню</w:t>
            </w:r>
          </w:p>
          <w:p w:rsidR="00B12755" w:rsidRPr="003A6760" w:rsidRDefault="00B12755" w:rsidP="00D70166">
            <w:pPr>
              <w:widowControl w:val="0"/>
              <w:jc w:val="center"/>
              <w:rPr>
                <w:rFonts w:ascii="Cambria" w:hAnsi="Cambria"/>
                <w:b/>
                <w:sz w:val="16"/>
                <w:szCs w:val="16"/>
              </w:rPr>
            </w:pPr>
            <w:r w:rsidRPr="003A6760">
              <w:rPr>
                <w:rFonts w:ascii="Cambria" w:hAnsi="Cambria"/>
                <w:b/>
                <w:sz w:val="16"/>
                <w:szCs w:val="16"/>
              </w:rPr>
              <w:t>201</w:t>
            </w:r>
            <w:r>
              <w:rPr>
                <w:rFonts w:ascii="Cambria" w:hAnsi="Cambria"/>
                <w:b/>
                <w:sz w:val="16"/>
                <w:szCs w:val="16"/>
              </w:rPr>
              <w:t>6</w:t>
            </w:r>
            <w:r w:rsidRPr="003A6760">
              <w:rPr>
                <w:rFonts w:ascii="Cambria" w:hAnsi="Cambria"/>
                <w:b/>
                <w:sz w:val="16"/>
                <w:szCs w:val="16"/>
              </w:rPr>
              <w:t xml:space="preserve"> г.</w:t>
            </w:r>
          </w:p>
        </w:tc>
        <w:tc>
          <w:tcPr>
            <w:tcW w:w="606" w:type="pct"/>
            <w:shd w:val="clear" w:color="auto" w:fill="F2F2F2" w:themeFill="background1" w:themeFillShade="F2"/>
            <w:vAlign w:val="center"/>
            <w:hideMark/>
          </w:tcPr>
          <w:p w:rsidR="00B12755" w:rsidRPr="003A6760" w:rsidRDefault="00B12755" w:rsidP="00D70166">
            <w:pPr>
              <w:pStyle w:val="33"/>
              <w:widowControl w:val="0"/>
              <w:spacing w:after="0"/>
              <w:jc w:val="center"/>
              <w:rPr>
                <w:rFonts w:ascii="Cambria" w:hAnsi="Cambria"/>
                <w:b/>
              </w:rPr>
            </w:pPr>
            <w:r w:rsidRPr="003A6760">
              <w:rPr>
                <w:rFonts w:ascii="Cambria" w:hAnsi="Cambria"/>
                <w:b/>
              </w:rPr>
              <w:t>Январь-</w:t>
            </w:r>
          </w:p>
          <w:p w:rsidR="00B12755" w:rsidRPr="003A6760" w:rsidRDefault="00B12755" w:rsidP="00D70166">
            <w:pPr>
              <w:pStyle w:val="33"/>
              <w:widowControl w:val="0"/>
              <w:spacing w:after="0"/>
              <w:jc w:val="center"/>
              <w:rPr>
                <w:rFonts w:ascii="Cambria" w:hAnsi="Cambria"/>
                <w:b/>
              </w:rPr>
            </w:pPr>
            <w:r w:rsidRPr="003A6760">
              <w:rPr>
                <w:rFonts w:ascii="Cambria" w:hAnsi="Cambria"/>
                <w:b/>
              </w:rPr>
              <w:t>июнь</w:t>
            </w:r>
          </w:p>
          <w:p w:rsidR="00B12755" w:rsidRPr="003A6760" w:rsidRDefault="00B12755" w:rsidP="00D70166">
            <w:pPr>
              <w:pStyle w:val="33"/>
              <w:widowControl w:val="0"/>
              <w:spacing w:after="0"/>
              <w:jc w:val="center"/>
              <w:rPr>
                <w:rFonts w:ascii="Cambria" w:hAnsi="Cambria"/>
                <w:b/>
              </w:rPr>
            </w:pPr>
            <w:r w:rsidRPr="003A6760">
              <w:rPr>
                <w:rFonts w:ascii="Cambria" w:hAnsi="Cambria"/>
                <w:b/>
              </w:rPr>
              <w:t>2016 г.</w:t>
            </w:r>
          </w:p>
        </w:tc>
        <w:tc>
          <w:tcPr>
            <w:tcW w:w="690" w:type="pct"/>
            <w:shd w:val="clear" w:color="auto" w:fill="F2F2F2" w:themeFill="background1" w:themeFillShade="F2"/>
            <w:vAlign w:val="center"/>
            <w:hideMark/>
          </w:tcPr>
          <w:p w:rsidR="00B12755" w:rsidRPr="003A6760" w:rsidRDefault="00B12755" w:rsidP="00D70166">
            <w:pPr>
              <w:pStyle w:val="33"/>
              <w:widowControl w:val="0"/>
              <w:spacing w:after="0"/>
              <w:jc w:val="center"/>
              <w:rPr>
                <w:rFonts w:ascii="Cambria" w:hAnsi="Cambria"/>
                <w:b/>
              </w:rPr>
            </w:pPr>
            <w:r w:rsidRPr="003A6760">
              <w:rPr>
                <w:rFonts w:ascii="Cambria" w:hAnsi="Cambria"/>
                <w:b/>
              </w:rPr>
              <w:t>Январь-июнь</w:t>
            </w:r>
            <w:r w:rsidRPr="003A6760">
              <w:rPr>
                <w:rFonts w:ascii="Cambria" w:hAnsi="Cambria"/>
                <w:b/>
              </w:rPr>
              <w:br/>
              <w:t>2016 г.</w:t>
            </w:r>
            <w:r w:rsidRPr="003A6760">
              <w:rPr>
                <w:rFonts w:ascii="Cambria" w:hAnsi="Cambria"/>
                <w:b/>
              </w:rPr>
              <w:br/>
              <w:t xml:space="preserve"> в % к</w:t>
            </w:r>
          </w:p>
          <w:p w:rsidR="00B12755" w:rsidRPr="003A6760" w:rsidRDefault="00B12755" w:rsidP="00D70166">
            <w:pPr>
              <w:pStyle w:val="33"/>
              <w:widowControl w:val="0"/>
              <w:spacing w:after="0"/>
              <w:jc w:val="center"/>
              <w:rPr>
                <w:rFonts w:ascii="Cambria" w:hAnsi="Cambria"/>
                <w:b/>
              </w:rPr>
            </w:pPr>
            <w:r w:rsidRPr="003A6760">
              <w:rPr>
                <w:rFonts w:ascii="Cambria" w:hAnsi="Cambria"/>
                <w:b/>
              </w:rPr>
              <w:t>январю-июню</w:t>
            </w:r>
            <w:r w:rsidRPr="003A6760">
              <w:rPr>
                <w:rFonts w:ascii="Cambria" w:hAnsi="Cambria"/>
                <w:b/>
              </w:rPr>
              <w:br/>
              <w:t>201</w:t>
            </w:r>
            <w:r>
              <w:rPr>
                <w:rFonts w:ascii="Cambria" w:hAnsi="Cambria"/>
                <w:b/>
              </w:rPr>
              <w:t>6</w:t>
            </w:r>
            <w:r w:rsidRPr="003A6760">
              <w:rPr>
                <w:rFonts w:ascii="Cambria" w:hAnsi="Cambria"/>
                <w:b/>
              </w:rPr>
              <w:t xml:space="preserve"> г.</w:t>
            </w:r>
          </w:p>
        </w:tc>
        <w:tc>
          <w:tcPr>
            <w:tcW w:w="789" w:type="pct"/>
            <w:shd w:val="clear" w:color="auto" w:fill="F2F2F2" w:themeFill="background1" w:themeFillShade="F2"/>
            <w:vAlign w:val="center"/>
            <w:hideMark/>
          </w:tcPr>
          <w:p w:rsidR="00B12755" w:rsidRPr="003A6760" w:rsidRDefault="00B12755" w:rsidP="00D70166">
            <w:pPr>
              <w:pStyle w:val="2d"/>
              <w:widowControl w:val="0"/>
              <w:spacing w:after="0" w:line="240" w:lineRule="auto"/>
              <w:jc w:val="center"/>
              <w:rPr>
                <w:rFonts w:ascii="Cambria" w:hAnsi="Cambria"/>
                <w:b/>
                <w:i/>
                <w:sz w:val="16"/>
                <w:szCs w:val="16"/>
              </w:rPr>
            </w:pPr>
            <w:r w:rsidRPr="003A6760">
              <w:rPr>
                <w:rFonts w:ascii="Cambria" w:hAnsi="Cambria"/>
                <w:b/>
                <w:i/>
                <w:sz w:val="16"/>
                <w:szCs w:val="16"/>
              </w:rPr>
              <w:t>Справочно</w:t>
            </w:r>
          </w:p>
          <w:p w:rsidR="00B12755" w:rsidRPr="003A6760" w:rsidRDefault="00B12755" w:rsidP="00D70166">
            <w:pPr>
              <w:pStyle w:val="33"/>
              <w:widowControl w:val="0"/>
              <w:spacing w:after="0"/>
              <w:jc w:val="center"/>
              <w:rPr>
                <w:rFonts w:ascii="Cambria" w:hAnsi="Cambria"/>
                <w:b/>
              </w:rPr>
            </w:pPr>
            <w:r w:rsidRPr="003A6760">
              <w:rPr>
                <w:rFonts w:ascii="Cambria" w:hAnsi="Cambria"/>
                <w:b/>
              </w:rPr>
              <w:t>январь-</w:t>
            </w:r>
          </w:p>
          <w:p w:rsidR="00B12755" w:rsidRPr="003A6760" w:rsidRDefault="00B12755" w:rsidP="00D70166">
            <w:pPr>
              <w:pStyle w:val="33"/>
              <w:widowControl w:val="0"/>
              <w:spacing w:after="0"/>
              <w:jc w:val="center"/>
              <w:rPr>
                <w:rFonts w:ascii="Cambria" w:hAnsi="Cambria"/>
                <w:b/>
              </w:rPr>
            </w:pPr>
            <w:r w:rsidRPr="003A6760">
              <w:rPr>
                <w:rFonts w:ascii="Cambria" w:hAnsi="Cambria"/>
                <w:b/>
              </w:rPr>
              <w:t>июнь</w:t>
            </w:r>
          </w:p>
          <w:p w:rsidR="00B12755" w:rsidRPr="003A6760" w:rsidRDefault="00B12755" w:rsidP="00D70166">
            <w:pPr>
              <w:pStyle w:val="33"/>
              <w:widowControl w:val="0"/>
              <w:spacing w:after="0"/>
              <w:jc w:val="center"/>
              <w:rPr>
                <w:rFonts w:ascii="Cambria" w:hAnsi="Cambria"/>
                <w:b/>
              </w:rPr>
            </w:pPr>
            <w:r w:rsidRPr="003A6760">
              <w:rPr>
                <w:rFonts w:ascii="Cambria" w:hAnsi="Cambria"/>
                <w:b/>
              </w:rPr>
              <w:t>2015 г.</w:t>
            </w:r>
          </w:p>
          <w:p w:rsidR="00B12755" w:rsidRPr="003A6760" w:rsidRDefault="00B12755" w:rsidP="00D70166">
            <w:pPr>
              <w:pStyle w:val="33"/>
              <w:widowControl w:val="0"/>
              <w:spacing w:after="0"/>
              <w:jc w:val="center"/>
              <w:rPr>
                <w:rFonts w:ascii="Cambria" w:hAnsi="Cambria"/>
                <w:b/>
              </w:rPr>
            </w:pPr>
            <w:r w:rsidRPr="003A6760">
              <w:rPr>
                <w:rFonts w:ascii="Cambria" w:hAnsi="Cambria"/>
                <w:b/>
              </w:rPr>
              <w:t>в % к</w:t>
            </w:r>
          </w:p>
          <w:p w:rsidR="00B12755" w:rsidRPr="003A6760" w:rsidRDefault="00B12755" w:rsidP="00D70166">
            <w:pPr>
              <w:widowControl w:val="0"/>
              <w:jc w:val="center"/>
              <w:rPr>
                <w:rFonts w:ascii="Cambria" w:hAnsi="Cambria"/>
                <w:b/>
                <w:sz w:val="16"/>
                <w:szCs w:val="16"/>
              </w:rPr>
            </w:pPr>
            <w:r w:rsidRPr="003A6760">
              <w:rPr>
                <w:rFonts w:ascii="Cambria" w:hAnsi="Cambria"/>
                <w:b/>
                <w:sz w:val="16"/>
                <w:szCs w:val="16"/>
              </w:rPr>
              <w:t>январю-</w:t>
            </w:r>
            <w:r w:rsidRPr="003A6760">
              <w:rPr>
                <w:rFonts w:ascii="Cambria" w:hAnsi="Cambria"/>
                <w:b/>
                <w:sz w:val="16"/>
                <w:szCs w:val="16"/>
              </w:rPr>
              <w:br/>
              <w:t>июню  201</w:t>
            </w:r>
            <w:r>
              <w:rPr>
                <w:rFonts w:ascii="Cambria" w:hAnsi="Cambria"/>
                <w:b/>
                <w:sz w:val="16"/>
                <w:szCs w:val="16"/>
              </w:rPr>
              <w:t>6</w:t>
            </w:r>
            <w:r w:rsidRPr="003A6760">
              <w:rPr>
                <w:rFonts w:ascii="Cambria" w:hAnsi="Cambria"/>
                <w:b/>
                <w:sz w:val="16"/>
                <w:szCs w:val="16"/>
              </w:rPr>
              <w:t xml:space="preserve"> г.</w:t>
            </w:r>
          </w:p>
        </w:tc>
      </w:tr>
      <w:tr w:rsidR="00B12755" w:rsidRPr="003A6760" w:rsidTr="009E33BE">
        <w:trPr>
          <w:cantSplit/>
          <w:trHeight w:val="170"/>
        </w:trPr>
        <w:tc>
          <w:tcPr>
            <w:tcW w:w="1620" w:type="pct"/>
            <w:hideMark/>
          </w:tcPr>
          <w:p w:rsidR="00B12755" w:rsidRPr="003A6760" w:rsidRDefault="00B12755" w:rsidP="00D70166">
            <w:pPr>
              <w:pStyle w:val="a7"/>
              <w:widowControl w:val="0"/>
              <w:tabs>
                <w:tab w:val="left" w:pos="708"/>
              </w:tabs>
              <w:rPr>
                <w:rFonts w:ascii="Cambria" w:hAnsi="Cambria"/>
                <w:sz w:val="16"/>
                <w:szCs w:val="16"/>
              </w:rPr>
            </w:pPr>
            <w:r w:rsidRPr="003A6760">
              <w:rPr>
                <w:rFonts w:ascii="Cambria" w:hAnsi="Cambria"/>
                <w:sz w:val="16"/>
                <w:szCs w:val="16"/>
              </w:rPr>
              <w:t>Индекс промышленного</w:t>
            </w:r>
          </w:p>
          <w:p w:rsidR="00B12755" w:rsidRPr="003A6760" w:rsidRDefault="00B12755" w:rsidP="00D70166">
            <w:pPr>
              <w:widowControl w:val="0"/>
              <w:rPr>
                <w:rFonts w:ascii="Cambria" w:hAnsi="Cambria"/>
                <w:sz w:val="16"/>
                <w:szCs w:val="16"/>
                <w:vertAlign w:val="superscript"/>
              </w:rPr>
            </w:pPr>
            <w:r w:rsidRPr="003A6760">
              <w:rPr>
                <w:rFonts w:ascii="Cambria" w:hAnsi="Cambria"/>
                <w:sz w:val="16"/>
                <w:szCs w:val="16"/>
              </w:rPr>
              <w:t xml:space="preserve">  производства</w:t>
            </w:r>
            <w:r w:rsidRPr="003A6760">
              <w:rPr>
                <w:rFonts w:ascii="Cambria" w:hAnsi="Cambria"/>
                <w:sz w:val="16"/>
                <w:szCs w:val="16"/>
                <w:vertAlign w:val="superscript"/>
              </w:rPr>
              <w:t>1)</w:t>
            </w:r>
          </w:p>
        </w:tc>
        <w:tc>
          <w:tcPr>
            <w:tcW w:w="648" w:type="pct"/>
            <w:vAlign w:val="center"/>
            <w:hideMark/>
          </w:tcPr>
          <w:p w:rsidR="00B12755" w:rsidRPr="003A6760" w:rsidRDefault="00B12755" w:rsidP="00D70166">
            <w:pPr>
              <w:widowControl w:val="0"/>
              <w:spacing w:line="270" w:lineRule="exact"/>
              <w:jc w:val="center"/>
              <w:rPr>
                <w:rFonts w:ascii="Cambria" w:hAnsi="Cambria"/>
                <w:sz w:val="16"/>
                <w:szCs w:val="16"/>
              </w:rPr>
            </w:pPr>
            <w:r w:rsidRPr="003A6760">
              <w:rPr>
                <w:rFonts w:ascii="Cambria" w:hAnsi="Cambria"/>
                <w:sz w:val="16"/>
                <w:szCs w:val="16"/>
              </w:rPr>
              <w:t>х</w:t>
            </w:r>
          </w:p>
        </w:tc>
        <w:tc>
          <w:tcPr>
            <w:tcW w:w="648" w:type="pct"/>
            <w:vAlign w:val="center"/>
            <w:hideMark/>
          </w:tcPr>
          <w:p w:rsidR="00B12755" w:rsidRPr="003A6760" w:rsidRDefault="00B12755" w:rsidP="00D70166">
            <w:pPr>
              <w:widowControl w:val="0"/>
              <w:spacing w:line="270" w:lineRule="exact"/>
              <w:jc w:val="center"/>
              <w:rPr>
                <w:rFonts w:ascii="Cambria" w:hAnsi="Cambria"/>
                <w:sz w:val="16"/>
                <w:szCs w:val="16"/>
              </w:rPr>
            </w:pPr>
            <w:r w:rsidRPr="003A6760">
              <w:rPr>
                <w:rFonts w:ascii="Cambria" w:hAnsi="Cambria"/>
                <w:sz w:val="16"/>
                <w:szCs w:val="16"/>
              </w:rPr>
              <w:t>98,5</w:t>
            </w:r>
          </w:p>
        </w:tc>
        <w:tc>
          <w:tcPr>
            <w:tcW w:w="606" w:type="pct"/>
            <w:vAlign w:val="center"/>
            <w:hideMark/>
          </w:tcPr>
          <w:p w:rsidR="00B12755" w:rsidRPr="003A6760" w:rsidRDefault="00B12755" w:rsidP="00D70166">
            <w:pPr>
              <w:widowControl w:val="0"/>
              <w:spacing w:line="270" w:lineRule="exact"/>
              <w:jc w:val="center"/>
              <w:rPr>
                <w:rFonts w:ascii="Cambria" w:hAnsi="Cambria"/>
                <w:sz w:val="16"/>
                <w:szCs w:val="16"/>
              </w:rPr>
            </w:pPr>
            <w:r w:rsidRPr="003A6760">
              <w:rPr>
                <w:rFonts w:ascii="Cambria" w:hAnsi="Cambria"/>
                <w:sz w:val="16"/>
                <w:szCs w:val="16"/>
              </w:rPr>
              <w:t>х</w:t>
            </w:r>
          </w:p>
        </w:tc>
        <w:tc>
          <w:tcPr>
            <w:tcW w:w="690" w:type="pct"/>
            <w:vAlign w:val="center"/>
            <w:hideMark/>
          </w:tcPr>
          <w:p w:rsidR="00B12755" w:rsidRPr="003A6760" w:rsidRDefault="00B12755" w:rsidP="00D70166">
            <w:pPr>
              <w:widowControl w:val="0"/>
              <w:spacing w:line="270" w:lineRule="exact"/>
              <w:jc w:val="center"/>
              <w:rPr>
                <w:rFonts w:ascii="Cambria" w:hAnsi="Cambria"/>
                <w:sz w:val="16"/>
                <w:szCs w:val="16"/>
              </w:rPr>
            </w:pPr>
            <w:r w:rsidRPr="003A6760">
              <w:rPr>
                <w:rFonts w:ascii="Cambria" w:hAnsi="Cambria"/>
                <w:sz w:val="16"/>
                <w:szCs w:val="16"/>
              </w:rPr>
              <w:t>98,3</w:t>
            </w:r>
          </w:p>
        </w:tc>
        <w:tc>
          <w:tcPr>
            <w:tcW w:w="789" w:type="pct"/>
            <w:vAlign w:val="center"/>
            <w:hideMark/>
          </w:tcPr>
          <w:p w:rsidR="00B12755" w:rsidRPr="003A6760" w:rsidRDefault="00B12755" w:rsidP="00D70166">
            <w:pPr>
              <w:widowControl w:val="0"/>
              <w:spacing w:line="270" w:lineRule="exact"/>
              <w:jc w:val="center"/>
              <w:rPr>
                <w:rFonts w:ascii="Cambria" w:hAnsi="Cambria"/>
                <w:sz w:val="16"/>
                <w:szCs w:val="16"/>
              </w:rPr>
            </w:pPr>
            <w:r w:rsidRPr="003A6760">
              <w:rPr>
                <w:rFonts w:ascii="Cambria" w:hAnsi="Cambria"/>
                <w:sz w:val="16"/>
                <w:szCs w:val="16"/>
              </w:rPr>
              <w:t>96,4</w:t>
            </w:r>
          </w:p>
        </w:tc>
      </w:tr>
      <w:tr w:rsidR="00B12755" w:rsidRPr="003A6760" w:rsidTr="009E33BE">
        <w:trPr>
          <w:cantSplit/>
          <w:trHeight w:val="170"/>
        </w:trPr>
        <w:tc>
          <w:tcPr>
            <w:tcW w:w="1620" w:type="pct"/>
            <w:hideMark/>
          </w:tcPr>
          <w:p w:rsidR="00B12755" w:rsidRPr="003A6760" w:rsidRDefault="00B12755" w:rsidP="00D70166">
            <w:pPr>
              <w:widowControl w:val="0"/>
              <w:rPr>
                <w:rFonts w:ascii="Cambria" w:hAnsi="Cambria"/>
                <w:sz w:val="16"/>
                <w:szCs w:val="16"/>
              </w:rPr>
            </w:pPr>
            <w:r w:rsidRPr="003A6760">
              <w:rPr>
                <w:rFonts w:ascii="Cambria" w:hAnsi="Cambria"/>
                <w:sz w:val="16"/>
                <w:szCs w:val="16"/>
              </w:rPr>
              <w:t xml:space="preserve">Ввод в действие общей площади </w:t>
            </w:r>
          </w:p>
          <w:p w:rsidR="00B12755" w:rsidRPr="003A6760" w:rsidRDefault="00B12755" w:rsidP="00D70166">
            <w:pPr>
              <w:widowControl w:val="0"/>
              <w:rPr>
                <w:rFonts w:ascii="Cambria" w:hAnsi="Cambria"/>
                <w:sz w:val="16"/>
                <w:szCs w:val="16"/>
              </w:rPr>
            </w:pPr>
            <w:r w:rsidRPr="003A6760">
              <w:rPr>
                <w:rFonts w:ascii="Cambria" w:hAnsi="Cambria"/>
                <w:sz w:val="16"/>
                <w:szCs w:val="16"/>
              </w:rPr>
              <w:t xml:space="preserve">  жилых домов (за счет  всех </w:t>
            </w:r>
          </w:p>
          <w:p w:rsidR="00B12755" w:rsidRPr="003A6760" w:rsidRDefault="00B12755" w:rsidP="00D70166">
            <w:pPr>
              <w:widowControl w:val="0"/>
              <w:rPr>
                <w:rFonts w:ascii="Cambria" w:hAnsi="Cambria"/>
                <w:sz w:val="16"/>
                <w:szCs w:val="16"/>
              </w:rPr>
            </w:pPr>
            <w:r w:rsidRPr="003A6760">
              <w:rPr>
                <w:rFonts w:ascii="Cambria" w:hAnsi="Cambria"/>
                <w:sz w:val="16"/>
                <w:szCs w:val="16"/>
              </w:rPr>
              <w:t xml:space="preserve">  источников финансирования),</w:t>
            </w:r>
          </w:p>
        </w:tc>
        <w:tc>
          <w:tcPr>
            <w:tcW w:w="3380" w:type="pct"/>
            <w:gridSpan w:val="5"/>
            <w:vAlign w:val="center"/>
          </w:tcPr>
          <w:p w:rsidR="00B12755" w:rsidRPr="003A6760" w:rsidRDefault="00B12755" w:rsidP="00D70166">
            <w:pPr>
              <w:widowControl w:val="0"/>
              <w:jc w:val="center"/>
              <w:rPr>
                <w:rFonts w:ascii="Cambria" w:hAnsi="Cambria"/>
                <w:color w:val="000000"/>
                <w:sz w:val="16"/>
                <w:szCs w:val="16"/>
              </w:rPr>
            </w:pPr>
          </w:p>
        </w:tc>
      </w:tr>
      <w:tr w:rsidR="00B12755" w:rsidRPr="003A6760" w:rsidTr="009E33BE">
        <w:trPr>
          <w:cantSplit/>
          <w:trHeight w:val="170"/>
        </w:trPr>
        <w:tc>
          <w:tcPr>
            <w:tcW w:w="1620" w:type="pct"/>
            <w:hideMark/>
          </w:tcPr>
          <w:p w:rsidR="00B12755" w:rsidRPr="003A6760" w:rsidRDefault="00B12755" w:rsidP="00D70166">
            <w:pPr>
              <w:widowControl w:val="0"/>
              <w:rPr>
                <w:rFonts w:ascii="Cambria" w:hAnsi="Cambria"/>
                <w:sz w:val="16"/>
                <w:szCs w:val="16"/>
              </w:rPr>
            </w:pPr>
            <w:r w:rsidRPr="003A6760">
              <w:rPr>
                <w:rFonts w:ascii="Cambria" w:hAnsi="Cambria"/>
                <w:sz w:val="16"/>
                <w:szCs w:val="16"/>
              </w:rPr>
              <w:t xml:space="preserve">  тыс. кв. метров </w:t>
            </w:r>
          </w:p>
        </w:tc>
        <w:tc>
          <w:tcPr>
            <w:tcW w:w="648" w:type="pct"/>
            <w:vAlign w:val="center"/>
            <w:hideMark/>
          </w:tcPr>
          <w:p w:rsidR="00B12755" w:rsidRPr="003A6760" w:rsidRDefault="00B12755" w:rsidP="00D70166">
            <w:pPr>
              <w:widowControl w:val="0"/>
              <w:spacing w:line="270" w:lineRule="exact"/>
              <w:jc w:val="center"/>
              <w:rPr>
                <w:rFonts w:ascii="Cambria" w:hAnsi="Cambria"/>
                <w:color w:val="000000"/>
                <w:sz w:val="16"/>
                <w:szCs w:val="16"/>
              </w:rPr>
            </w:pPr>
            <w:r w:rsidRPr="003A6760">
              <w:rPr>
                <w:rFonts w:ascii="Cambria" w:hAnsi="Cambria"/>
                <w:color w:val="000000"/>
                <w:sz w:val="16"/>
                <w:szCs w:val="16"/>
              </w:rPr>
              <w:t>82,4</w:t>
            </w:r>
          </w:p>
        </w:tc>
        <w:tc>
          <w:tcPr>
            <w:tcW w:w="648" w:type="pct"/>
            <w:vAlign w:val="center"/>
            <w:hideMark/>
          </w:tcPr>
          <w:p w:rsidR="00B12755" w:rsidRPr="003A6760" w:rsidRDefault="00B12755" w:rsidP="00D70166">
            <w:pPr>
              <w:widowControl w:val="0"/>
              <w:spacing w:line="270" w:lineRule="exact"/>
              <w:jc w:val="center"/>
              <w:rPr>
                <w:rFonts w:ascii="Cambria" w:hAnsi="Cambria"/>
                <w:color w:val="000000"/>
                <w:sz w:val="16"/>
                <w:szCs w:val="16"/>
              </w:rPr>
            </w:pPr>
            <w:r w:rsidRPr="003A6760">
              <w:rPr>
                <w:rFonts w:ascii="Cambria" w:hAnsi="Cambria"/>
                <w:color w:val="000000"/>
                <w:sz w:val="16"/>
                <w:szCs w:val="16"/>
              </w:rPr>
              <w:t>94,3</w:t>
            </w:r>
          </w:p>
        </w:tc>
        <w:tc>
          <w:tcPr>
            <w:tcW w:w="606" w:type="pct"/>
            <w:vAlign w:val="center"/>
            <w:hideMark/>
          </w:tcPr>
          <w:p w:rsidR="00B12755" w:rsidRPr="003A6760" w:rsidRDefault="00B12755" w:rsidP="00D70166">
            <w:pPr>
              <w:widowControl w:val="0"/>
              <w:spacing w:line="270" w:lineRule="exact"/>
              <w:jc w:val="center"/>
              <w:rPr>
                <w:rFonts w:ascii="Cambria" w:hAnsi="Cambria"/>
                <w:color w:val="000000"/>
                <w:sz w:val="16"/>
                <w:szCs w:val="16"/>
              </w:rPr>
            </w:pPr>
            <w:r w:rsidRPr="003A6760">
              <w:rPr>
                <w:rFonts w:ascii="Cambria" w:hAnsi="Cambria"/>
                <w:color w:val="000000"/>
                <w:sz w:val="16"/>
                <w:szCs w:val="16"/>
              </w:rPr>
              <w:t>542,3</w:t>
            </w:r>
          </w:p>
        </w:tc>
        <w:tc>
          <w:tcPr>
            <w:tcW w:w="690" w:type="pct"/>
            <w:vAlign w:val="center"/>
            <w:hideMark/>
          </w:tcPr>
          <w:p w:rsidR="00B12755" w:rsidRPr="003A6760" w:rsidRDefault="00B12755" w:rsidP="00D70166">
            <w:pPr>
              <w:widowControl w:val="0"/>
              <w:spacing w:line="270" w:lineRule="exact"/>
              <w:jc w:val="center"/>
              <w:rPr>
                <w:rFonts w:ascii="Cambria" w:hAnsi="Cambria"/>
                <w:color w:val="000000"/>
                <w:sz w:val="16"/>
                <w:szCs w:val="16"/>
              </w:rPr>
            </w:pPr>
            <w:r w:rsidRPr="003A6760">
              <w:rPr>
                <w:rFonts w:ascii="Cambria" w:hAnsi="Cambria"/>
                <w:color w:val="000000"/>
                <w:sz w:val="16"/>
                <w:szCs w:val="16"/>
              </w:rPr>
              <w:t>102,1</w:t>
            </w:r>
          </w:p>
        </w:tc>
        <w:tc>
          <w:tcPr>
            <w:tcW w:w="789" w:type="pct"/>
            <w:vAlign w:val="center"/>
            <w:hideMark/>
          </w:tcPr>
          <w:p w:rsidR="00B12755" w:rsidRPr="003A6760" w:rsidRDefault="00B12755" w:rsidP="00D70166">
            <w:pPr>
              <w:widowControl w:val="0"/>
              <w:spacing w:line="270" w:lineRule="exact"/>
              <w:jc w:val="center"/>
              <w:rPr>
                <w:rFonts w:ascii="Cambria" w:hAnsi="Cambria"/>
                <w:color w:val="000000"/>
                <w:sz w:val="16"/>
                <w:szCs w:val="16"/>
              </w:rPr>
            </w:pPr>
            <w:r w:rsidRPr="003A6760">
              <w:rPr>
                <w:rFonts w:ascii="Cambria" w:hAnsi="Cambria"/>
                <w:color w:val="000000"/>
                <w:sz w:val="16"/>
                <w:szCs w:val="16"/>
              </w:rPr>
              <w:t>131,7</w:t>
            </w:r>
          </w:p>
        </w:tc>
      </w:tr>
      <w:tr w:rsidR="00B12755" w:rsidRPr="003A6760" w:rsidTr="009E33BE">
        <w:trPr>
          <w:cantSplit/>
          <w:trHeight w:val="170"/>
        </w:trPr>
        <w:tc>
          <w:tcPr>
            <w:tcW w:w="1620" w:type="pct"/>
            <w:hideMark/>
          </w:tcPr>
          <w:p w:rsidR="00B12755" w:rsidRPr="003A6760" w:rsidRDefault="00B12755" w:rsidP="00D70166">
            <w:pPr>
              <w:widowControl w:val="0"/>
              <w:rPr>
                <w:rFonts w:ascii="Cambria" w:hAnsi="Cambria"/>
                <w:sz w:val="16"/>
                <w:szCs w:val="16"/>
              </w:rPr>
            </w:pPr>
            <w:r w:rsidRPr="003A6760">
              <w:rPr>
                <w:rFonts w:ascii="Cambria" w:hAnsi="Cambria"/>
                <w:sz w:val="16"/>
                <w:szCs w:val="16"/>
              </w:rPr>
              <w:t xml:space="preserve">Произведено в хозяйствах всех </w:t>
            </w:r>
          </w:p>
          <w:p w:rsidR="00B12755" w:rsidRPr="003A6760" w:rsidRDefault="00B12755" w:rsidP="00D70166">
            <w:pPr>
              <w:widowControl w:val="0"/>
              <w:rPr>
                <w:rFonts w:ascii="Cambria" w:hAnsi="Cambria"/>
                <w:sz w:val="16"/>
                <w:szCs w:val="16"/>
              </w:rPr>
            </w:pPr>
            <w:r w:rsidRPr="003A6760">
              <w:rPr>
                <w:rFonts w:ascii="Cambria" w:hAnsi="Cambria"/>
                <w:sz w:val="16"/>
                <w:szCs w:val="16"/>
              </w:rPr>
              <w:t xml:space="preserve">  категорий</w:t>
            </w:r>
          </w:p>
        </w:tc>
        <w:tc>
          <w:tcPr>
            <w:tcW w:w="648" w:type="pct"/>
            <w:vAlign w:val="center"/>
          </w:tcPr>
          <w:p w:rsidR="00B12755" w:rsidRPr="003A6760" w:rsidRDefault="00B12755" w:rsidP="00D70166">
            <w:pPr>
              <w:widowControl w:val="0"/>
              <w:jc w:val="center"/>
              <w:rPr>
                <w:rFonts w:ascii="Cambria" w:hAnsi="Cambria"/>
                <w:color w:val="000000"/>
                <w:sz w:val="16"/>
                <w:szCs w:val="16"/>
              </w:rPr>
            </w:pPr>
          </w:p>
        </w:tc>
        <w:tc>
          <w:tcPr>
            <w:tcW w:w="648" w:type="pct"/>
            <w:vAlign w:val="center"/>
          </w:tcPr>
          <w:p w:rsidR="00B12755" w:rsidRPr="003A6760" w:rsidRDefault="00B12755" w:rsidP="00D70166">
            <w:pPr>
              <w:widowControl w:val="0"/>
              <w:jc w:val="center"/>
              <w:rPr>
                <w:rFonts w:ascii="Cambria" w:hAnsi="Cambria"/>
                <w:color w:val="000000"/>
                <w:sz w:val="16"/>
                <w:szCs w:val="16"/>
              </w:rPr>
            </w:pPr>
          </w:p>
        </w:tc>
        <w:tc>
          <w:tcPr>
            <w:tcW w:w="606" w:type="pct"/>
            <w:vAlign w:val="center"/>
          </w:tcPr>
          <w:p w:rsidR="00B12755" w:rsidRPr="003A6760" w:rsidRDefault="00B12755" w:rsidP="00D70166">
            <w:pPr>
              <w:widowControl w:val="0"/>
              <w:jc w:val="center"/>
              <w:rPr>
                <w:rFonts w:ascii="Cambria" w:hAnsi="Cambria"/>
                <w:color w:val="000000"/>
                <w:sz w:val="16"/>
                <w:szCs w:val="16"/>
              </w:rPr>
            </w:pPr>
          </w:p>
        </w:tc>
        <w:tc>
          <w:tcPr>
            <w:tcW w:w="690" w:type="pct"/>
            <w:vAlign w:val="center"/>
          </w:tcPr>
          <w:p w:rsidR="00B12755" w:rsidRPr="003A6760" w:rsidRDefault="00B12755" w:rsidP="00D70166">
            <w:pPr>
              <w:widowControl w:val="0"/>
              <w:jc w:val="center"/>
              <w:rPr>
                <w:rFonts w:ascii="Cambria" w:hAnsi="Cambria"/>
                <w:color w:val="000000"/>
                <w:sz w:val="16"/>
                <w:szCs w:val="16"/>
              </w:rPr>
            </w:pPr>
          </w:p>
        </w:tc>
        <w:tc>
          <w:tcPr>
            <w:tcW w:w="789" w:type="pct"/>
            <w:vAlign w:val="center"/>
          </w:tcPr>
          <w:p w:rsidR="00B12755" w:rsidRPr="003A6760" w:rsidRDefault="00B12755" w:rsidP="00D70166">
            <w:pPr>
              <w:widowControl w:val="0"/>
              <w:jc w:val="center"/>
              <w:rPr>
                <w:rFonts w:ascii="Cambria" w:hAnsi="Cambria"/>
                <w:color w:val="000000"/>
                <w:sz w:val="16"/>
                <w:szCs w:val="16"/>
              </w:rPr>
            </w:pPr>
          </w:p>
        </w:tc>
      </w:tr>
      <w:tr w:rsidR="00B12755" w:rsidRPr="003A6760" w:rsidTr="009E33BE">
        <w:trPr>
          <w:cantSplit/>
          <w:trHeight w:val="170"/>
        </w:trPr>
        <w:tc>
          <w:tcPr>
            <w:tcW w:w="1620" w:type="pct"/>
            <w:hideMark/>
          </w:tcPr>
          <w:p w:rsidR="00B12755" w:rsidRPr="003A6760" w:rsidRDefault="00B12755" w:rsidP="00D70166">
            <w:pPr>
              <w:widowControl w:val="0"/>
              <w:rPr>
                <w:rFonts w:ascii="Cambria" w:hAnsi="Cambria"/>
                <w:sz w:val="16"/>
                <w:szCs w:val="16"/>
              </w:rPr>
            </w:pPr>
            <w:r w:rsidRPr="003A6760">
              <w:rPr>
                <w:rFonts w:ascii="Cambria" w:hAnsi="Cambria"/>
                <w:sz w:val="16"/>
                <w:szCs w:val="16"/>
              </w:rPr>
              <w:t xml:space="preserve">    скота и птицы на убой </w:t>
            </w:r>
          </w:p>
          <w:p w:rsidR="00B12755" w:rsidRPr="003A6760" w:rsidRDefault="00B12755" w:rsidP="00D70166">
            <w:pPr>
              <w:widowControl w:val="0"/>
              <w:rPr>
                <w:rFonts w:ascii="Cambria" w:hAnsi="Cambria"/>
                <w:sz w:val="16"/>
                <w:szCs w:val="16"/>
              </w:rPr>
            </w:pPr>
            <w:r w:rsidRPr="003A6760">
              <w:rPr>
                <w:rFonts w:ascii="Cambria" w:hAnsi="Cambria"/>
                <w:sz w:val="16"/>
                <w:szCs w:val="16"/>
              </w:rPr>
              <w:t xml:space="preserve">      (в живом весе), тыс. тонн</w:t>
            </w:r>
          </w:p>
        </w:tc>
        <w:tc>
          <w:tcPr>
            <w:tcW w:w="648" w:type="pct"/>
            <w:vAlign w:val="center"/>
            <w:hideMark/>
          </w:tcPr>
          <w:p w:rsidR="00B12755" w:rsidRPr="003A6760" w:rsidRDefault="00B12755" w:rsidP="00D70166">
            <w:pPr>
              <w:keepLines/>
              <w:widowControl w:val="0"/>
              <w:spacing w:line="270" w:lineRule="exact"/>
              <w:jc w:val="center"/>
              <w:rPr>
                <w:rFonts w:ascii="Cambria" w:hAnsi="Cambria"/>
                <w:sz w:val="16"/>
                <w:szCs w:val="16"/>
              </w:rPr>
            </w:pPr>
            <w:r w:rsidRPr="003A6760">
              <w:rPr>
                <w:rFonts w:ascii="Cambria" w:hAnsi="Cambria"/>
                <w:sz w:val="16"/>
                <w:szCs w:val="16"/>
              </w:rPr>
              <w:t>13,1</w:t>
            </w:r>
          </w:p>
        </w:tc>
        <w:tc>
          <w:tcPr>
            <w:tcW w:w="648" w:type="pct"/>
            <w:vAlign w:val="center"/>
            <w:hideMark/>
          </w:tcPr>
          <w:p w:rsidR="00B12755" w:rsidRPr="003A6760" w:rsidRDefault="00B12755" w:rsidP="00D70166">
            <w:pPr>
              <w:keepLines/>
              <w:widowControl w:val="0"/>
              <w:spacing w:line="270" w:lineRule="exact"/>
              <w:jc w:val="center"/>
              <w:rPr>
                <w:rFonts w:ascii="Cambria" w:hAnsi="Cambria"/>
                <w:sz w:val="16"/>
                <w:szCs w:val="16"/>
              </w:rPr>
            </w:pPr>
            <w:r w:rsidRPr="003A6760">
              <w:rPr>
                <w:rFonts w:ascii="Cambria" w:hAnsi="Cambria"/>
                <w:sz w:val="16"/>
                <w:szCs w:val="16"/>
              </w:rPr>
              <w:t>132,5</w:t>
            </w:r>
          </w:p>
        </w:tc>
        <w:tc>
          <w:tcPr>
            <w:tcW w:w="606" w:type="pct"/>
            <w:vAlign w:val="center"/>
            <w:hideMark/>
          </w:tcPr>
          <w:p w:rsidR="00B12755" w:rsidRPr="003A6760" w:rsidRDefault="00B12755" w:rsidP="00D70166">
            <w:pPr>
              <w:spacing w:line="270" w:lineRule="exact"/>
              <w:jc w:val="center"/>
              <w:rPr>
                <w:rFonts w:ascii="Cambria" w:hAnsi="Cambria"/>
                <w:sz w:val="16"/>
                <w:szCs w:val="16"/>
              </w:rPr>
            </w:pPr>
            <w:r w:rsidRPr="003A6760">
              <w:rPr>
                <w:rFonts w:ascii="Cambria" w:hAnsi="Cambria"/>
                <w:sz w:val="16"/>
                <w:szCs w:val="16"/>
              </w:rPr>
              <w:t>79,2</w:t>
            </w:r>
          </w:p>
        </w:tc>
        <w:tc>
          <w:tcPr>
            <w:tcW w:w="690" w:type="pct"/>
            <w:vAlign w:val="center"/>
            <w:hideMark/>
          </w:tcPr>
          <w:p w:rsidR="00B12755" w:rsidRPr="003A6760" w:rsidRDefault="00B12755" w:rsidP="00D70166">
            <w:pPr>
              <w:spacing w:line="270" w:lineRule="exact"/>
              <w:jc w:val="center"/>
              <w:rPr>
                <w:rFonts w:ascii="Cambria" w:hAnsi="Cambria"/>
                <w:sz w:val="16"/>
                <w:szCs w:val="16"/>
              </w:rPr>
            </w:pPr>
            <w:r w:rsidRPr="003A6760">
              <w:rPr>
                <w:rFonts w:ascii="Cambria" w:hAnsi="Cambria"/>
                <w:sz w:val="16"/>
                <w:szCs w:val="16"/>
              </w:rPr>
              <w:t>121,9</w:t>
            </w:r>
          </w:p>
        </w:tc>
        <w:tc>
          <w:tcPr>
            <w:tcW w:w="789" w:type="pct"/>
            <w:vAlign w:val="center"/>
            <w:hideMark/>
          </w:tcPr>
          <w:p w:rsidR="00B12755" w:rsidRPr="003A6760" w:rsidRDefault="00B12755" w:rsidP="00D70166">
            <w:pPr>
              <w:keepLines/>
              <w:widowControl w:val="0"/>
              <w:spacing w:line="270" w:lineRule="exact"/>
              <w:jc w:val="center"/>
              <w:rPr>
                <w:rFonts w:ascii="Cambria" w:hAnsi="Cambria"/>
                <w:sz w:val="16"/>
                <w:szCs w:val="16"/>
              </w:rPr>
            </w:pPr>
            <w:r w:rsidRPr="003A6760">
              <w:rPr>
                <w:rFonts w:ascii="Cambria" w:hAnsi="Cambria"/>
                <w:sz w:val="16"/>
                <w:szCs w:val="16"/>
              </w:rPr>
              <w:t>92,9</w:t>
            </w:r>
          </w:p>
        </w:tc>
      </w:tr>
      <w:tr w:rsidR="00B12755" w:rsidRPr="003A6760" w:rsidTr="009E33BE">
        <w:trPr>
          <w:cantSplit/>
          <w:trHeight w:val="170"/>
        </w:trPr>
        <w:tc>
          <w:tcPr>
            <w:tcW w:w="1620" w:type="pct"/>
            <w:hideMark/>
          </w:tcPr>
          <w:p w:rsidR="00B12755" w:rsidRPr="003A6760" w:rsidRDefault="00B12755" w:rsidP="00D70166">
            <w:pPr>
              <w:widowControl w:val="0"/>
              <w:rPr>
                <w:rFonts w:ascii="Cambria" w:hAnsi="Cambria"/>
                <w:sz w:val="16"/>
                <w:szCs w:val="16"/>
              </w:rPr>
            </w:pPr>
            <w:r w:rsidRPr="003A6760">
              <w:rPr>
                <w:rFonts w:ascii="Cambria" w:hAnsi="Cambria"/>
                <w:sz w:val="16"/>
                <w:szCs w:val="16"/>
              </w:rPr>
              <w:t xml:space="preserve">    молока, тыс. тонн</w:t>
            </w:r>
          </w:p>
        </w:tc>
        <w:tc>
          <w:tcPr>
            <w:tcW w:w="648" w:type="pct"/>
            <w:vAlign w:val="center"/>
            <w:hideMark/>
          </w:tcPr>
          <w:p w:rsidR="00B12755" w:rsidRPr="003A6760" w:rsidRDefault="00B12755" w:rsidP="00D70166">
            <w:pPr>
              <w:keepLines/>
              <w:widowControl w:val="0"/>
              <w:spacing w:line="270" w:lineRule="exact"/>
              <w:jc w:val="center"/>
              <w:rPr>
                <w:rFonts w:ascii="Cambria" w:hAnsi="Cambria"/>
                <w:sz w:val="16"/>
                <w:szCs w:val="16"/>
              </w:rPr>
            </w:pPr>
            <w:r w:rsidRPr="003A6760">
              <w:rPr>
                <w:rFonts w:ascii="Cambria" w:hAnsi="Cambria"/>
                <w:sz w:val="16"/>
                <w:szCs w:val="16"/>
              </w:rPr>
              <w:t>73,1</w:t>
            </w:r>
          </w:p>
        </w:tc>
        <w:tc>
          <w:tcPr>
            <w:tcW w:w="648" w:type="pct"/>
            <w:vAlign w:val="center"/>
            <w:hideMark/>
          </w:tcPr>
          <w:p w:rsidR="00B12755" w:rsidRPr="003A6760" w:rsidRDefault="00B12755" w:rsidP="00D70166">
            <w:pPr>
              <w:keepLines/>
              <w:widowControl w:val="0"/>
              <w:spacing w:line="270" w:lineRule="exact"/>
              <w:jc w:val="center"/>
              <w:rPr>
                <w:rFonts w:ascii="Cambria" w:hAnsi="Cambria"/>
                <w:sz w:val="16"/>
                <w:szCs w:val="16"/>
              </w:rPr>
            </w:pPr>
            <w:r w:rsidRPr="003A6760">
              <w:rPr>
                <w:rFonts w:ascii="Cambria" w:hAnsi="Cambria"/>
                <w:sz w:val="16"/>
                <w:szCs w:val="16"/>
              </w:rPr>
              <w:t>97,1</w:t>
            </w:r>
          </w:p>
        </w:tc>
        <w:tc>
          <w:tcPr>
            <w:tcW w:w="606" w:type="pct"/>
            <w:vAlign w:val="center"/>
            <w:hideMark/>
          </w:tcPr>
          <w:p w:rsidR="00B12755" w:rsidRPr="003A6760" w:rsidRDefault="00B12755" w:rsidP="00D70166">
            <w:pPr>
              <w:spacing w:line="270" w:lineRule="exact"/>
              <w:jc w:val="center"/>
              <w:rPr>
                <w:rFonts w:ascii="Cambria" w:hAnsi="Cambria"/>
                <w:sz w:val="16"/>
                <w:szCs w:val="16"/>
              </w:rPr>
            </w:pPr>
            <w:r w:rsidRPr="003A6760">
              <w:rPr>
                <w:rFonts w:ascii="Cambria" w:hAnsi="Cambria"/>
                <w:sz w:val="16"/>
                <w:szCs w:val="16"/>
              </w:rPr>
              <w:t>350,9</w:t>
            </w:r>
          </w:p>
        </w:tc>
        <w:tc>
          <w:tcPr>
            <w:tcW w:w="690" w:type="pct"/>
            <w:vAlign w:val="center"/>
            <w:hideMark/>
          </w:tcPr>
          <w:p w:rsidR="00B12755" w:rsidRPr="003A6760" w:rsidRDefault="00B12755" w:rsidP="00D70166">
            <w:pPr>
              <w:spacing w:line="270" w:lineRule="exact"/>
              <w:jc w:val="center"/>
              <w:rPr>
                <w:rFonts w:ascii="Cambria" w:hAnsi="Cambria"/>
                <w:sz w:val="16"/>
                <w:szCs w:val="16"/>
              </w:rPr>
            </w:pPr>
            <w:r w:rsidRPr="003A6760">
              <w:rPr>
                <w:rFonts w:ascii="Cambria" w:hAnsi="Cambria"/>
                <w:sz w:val="16"/>
                <w:szCs w:val="16"/>
              </w:rPr>
              <w:t>98,5</w:t>
            </w:r>
          </w:p>
        </w:tc>
        <w:tc>
          <w:tcPr>
            <w:tcW w:w="789" w:type="pct"/>
            <w:vAlign w:val="center"/>
            <w:hideMark/>
          </w:tcPr>
          <w:p w:rsidR="00B12755" w:rsidRPr="003A6760" w:rsidRDefault="00B12755" w:rsidP="00D70166">
            <w:pPr>
              <w:keepLines/>
              <w:widowControl w:val="0"/>
              <w:spacing w:line="270" w:lineRule="exact"/>
              <w:jc w:val="center"/>
              <w:rPr>
                <w:rFonts w:ascii="Cambria" w:hAnsi="Cambria"/>
                <w:sz w:val="16"/>
                <w:szCs w:val="16"/>
              </w:rPr>
            </w:pPr>
            <w:r w:rsidRPr="003A6760">
              <w:rPr>
                <w:rFonts w:ascii="Cambria" w:hAnsi="Cambria"/>
                <w:sz w:val="16"/>
                <w:szCs w:val="16"/>
              </w:rPr>
              <w:t>103,8</w:t>
            </w:r>
          </w:p>
        </w:tc>
      </w:tr>
      <w:tr w:rsidR="00B12755" w:rsidRPr="003A6760" w:rsidTr="009E33BE">
        <w:trPr>
          <w:cantSplit/>
          <w:trHeight w:val="170"/>
        </w:trPr>
        <w:tc>
          <w:tcPr>
            <w:tcW w:w="1620" w:type="pct"/>
            <w:hideMark/>
          </w:tcPr>
          <w:p w:rsidR="00B12755" w:rsidRPr="003A6760" w:rsidRDefault="00B12755" w:rsidP="00D70166">
            <w:pPr>
              <w:widowControl w:val="0"/>
              <w:rPr>
                <w:rFonts w:ascii="Cambria" w:hAnsi="Cambria"/>
                <w:sz w:val="16"/>
                <w:szCs w:val="16"/>
              </w:rPr>
            </w:pPr>
            <w:r w:rsidRPr="003A6760">
              <w:rPr>
                <w:rFonts w:ascii="Cambria" w:hAnsi="Cambria"/>
                <w:sz w:val="16"/>
                <w:szCs w:val="16"/>
              </w:rPr>
              <w:t xml:space="preserve">    яиц, млн штук</w:t>
            </w:r>
          </w:p>
        </w:tc>
        <w:tc>
          <w:tcPr>
            <w:tcW w:w="648" w:type="pct"/>
            <w:vAlign w:val="center"/>
            <w:hideMark/>
          </w:tcPr>
          <w:p w:rsidR="00B12755" w:rsidRPr="003A6760" w:rsidRDefault="00B12755" w:rsidP="00D70166">
            <w:pPr>
              <w:keepLines/>
              <w:widowControl w:val="0"/>
              <w:spacing w:line="270" w:lineRule="exact"/>
              <w:jc w:val="center"/>
              <w:rPr>
                <w:rFonts w:ascii="Cambria" w:hAnsi="Cambria"/>
                <w:sz w:val="16"/>
                <w:szCs w:val="16"/>
              </w:rPr>
            </w:pPr>
            <w:r w:rsidRPr="003A6760">
              <w:rPr>
                <w:rFonts w:ascii="Cambria" w:hAnsi="Cambria"/>
                <w:sz w:val="16"/>
                <w:szCs w:val="16"/>
              </w:rPr>
              <w:t>60,6</w:t>
            </w:r>
          </w:p>
        </w:tc>
        <w:tc>
          <w:tcPr>
            <w:tcW w:w="648" w:type="pct"/>
            <w:vAlign w:val="center"/>
            <w:hideMark/>
          </w:tcPr>
          <w:p w:rsidR="00B12755" w:rsidRPr="003A6760" w:rsidRDefault="00B12755" w:rsidP="00D70166">
            <w:pPr>
              <w:keepLines/>
              <w:widowControl w:val="0"/>
              <w:spacing w:line="270" w:lineRule="exact"/>
              <w:jc w:val="center"/>
              <w:rPr>
                <w:rFonts w:ascii="Cambria" w:hAnsi="Cambria"/>
                <w:sz w:val="16"/>
                <w:szCs w:val="16"/>
              </w:rPr>
            </w:pPr>
            <w:r w:rsidRPr="003A6760">
              <w:rPr>
                <w:rFonts w:ascii="Cambria" w:hAnsi="Cambria"/>
                <w:sz w:val="16"/>
                <w:szCs w:val="16"/>
              </w:rPr>
              <w:t>89,2</w:t>
            </w:r>
          </w:p>
        </w:tc>
        <w:tc>
          <w:tcPr>
            <w:tcW w:w="606" w:type="pct"/>
            <w:vAlign w:val="center"/>
            <w:hideMark/>
          </w:tcPr>
          <w:p w:rsidR="00B12755" w:rsidRPr="003A6760" w:rsidRDefault="00B12755" w:rsidP="00D70166">
            <w:pPr>
              <w:spacing w:line="270" w:lineRule="exact"/>
              <w:jc w:val="center"/>
              <w:rPr>
                <w:rFonts w:ascii="Cambria" w:hAnsi="Cambria"/>
                <w:sz w:val="16"/>
                <w:szCs w:val="16"/>
              </w:rPr>
            </w:pPr>
            <w:r w:rsidRPr="003A6760">
              <w:rPr>
                <w:rFonts w:ascii="Cambria" w:hAnsi="Cambria"/>
                <w:sz w:val="16"/>
                <w:szCs w:val="16"/>
              </w:rPr>
              <w:t>381,8</w:t>
            </w:r>
          </w:p>
        </w:tc>
        <w:tc>
          <w:tcPr>
            <w:tcW w:w="690" w:type="pct"/>
            <w:vAlign w:val="center"/>
            <w:hideMark/>
          </w:tcPr>
          <w:p w:rsidR="00B12755" w:rsidRPr="003A6760" w:rsidRDefault="00B12755" w:rsidP="00D70166">
            <w:pPr>
              <w:spacing w:line="270" w:lineRule="exact"/>
              <w:jc w:val="center"/>
              <w:rPr>
                <w:rFonts w:ascii="Cambria" w:hAnsi="Cambria"/>
                <w:sz w:val="16"/>
                <w:szCs w:val="16"/>
              </w:rPr>
            </w:pPr>
            <w:r w:rsidRPr="003A6760">
              <w:rPr>
                <w:rFonts w:ascii="Cambria" w:hAnsi="Cambria"/>
                <w:sz w:val="16"/>
                <w:szCs w:val="16"/>
              </w:rPr>
              <w:t>90,1</w:t>
            </w:r>
          </w:p>
        </w:tc>
        <w:tc>
          <w:tcPr>
            <w:tcW w:w="789" w:type="pct"/>
            <w:vAlign w:val="center"/>
            <w:hideMark/>
          </w:tcPr>
          <w:p w:rsidR="00B12755" w:rsidRPr="003A6760" w:rsidRDefault="00B12755" w:rsidP="00D70166">
            <w:pPr>
              <w:keepLines/>
              <w:widowControl w:val="0"/>
              <w:spacing w:line="270" w:lineRule="exact"/>
              <w:jc w:val="center"/>
              <w:rPr>
                <w:rFonts w:ascii="Cambria" w:hAnsi="Cambria"/>
                <w:sz w:val="16"/>
                <w:szCs w:val="16"/>
              </w:rPr>
            </w:pPr>
            <w:r w:rsidRPr="003A6760">
              <w:rPr>
                <w:rFonts w:ascii="Cambria" w:hAnsi="Cambria"/>
                <w:sz w:val="16"/>
                <w:szCs w:val="16"/>
              </w:rPr>
              <w:t>107,2</w:t>
            </w:r>
          </w:p>
        </w:tc>
      </w:tr>
      <w:tr w:rsidR="00B12755" w:rsidRPr="003A6760" w:rsidTr="009E33BE">
        <w:trPr>
          <w:cantSplit/>
          <w:trHeight w:val="170"/>
        </w:trPr>
        <w:tc>
          <w:tcPr>
            <w:tcW w:w="1620" w:type="pct"/>
            <w:hideMark/>
          </w:tcPr>
          <w:p w:rsidR="00B12755" w:rsidRPr="003A6760" w:rsidRDefault="00B12755" w:rsidP="00D70166">
            <w:pPr>
              <w:widowControl w:val="0"/>
              <w:rPr>
                <w:rFonts w:ascii="Cambria" w:hAnsi="Cambria"/>
                <w:sz w:val="16"/>
                <w:szCs w:val="16"/>
              </w:rPr>
            </w:pPr>
            <w:r w:rsidRPr="003A6760">
              <w:rPr>
                <w:rFonts w:ascii="Cambria" w:hAnsi="Cambria"/>
                <w:sz w:val="16"/>
                <w:szCs w:val="16"/>
              </w:rPr>
              <w:t xml:space="preserve">Грузооборот автомобильного </w:t>
            </w:r>
          </w:p>
          <w:p w:rsidR="00B12755" w:rsidRPr="003A6760" w:rsidRDefault="00B12755" w:rsidP="00D70166">
            <w:pPr>
              <w:widowControl w:val="0"/>
              <w:rPr>
                <w:rFonts w:ascii="Cambria" w:hAnsi="Cambria"/>
                <w:sz w:val="16"/>
                <w:szCs w:val="16"/>
              </w:rPr>
            </w:pPr>
            <w:r w:rsidRPr="003A6760">
              <w:rPr>
                <w:rFonts w:ascii="Cambria" w:hAnsi="Cambria"/>
                <w:sz w:val="16"/>
                <w:szCs w:val="16"/>
              </w:rPr>
              <w:t xml:space="preserve">  транспорта</w:t>
            </w:r>
            <w:r w:rsidRPr="003A6760">
              <w:rPr>
                <w:rFonts w:ascii="Cambria" w:hAnsi="Cambria"/>
                <w:sz w:val="16"/>
                <w:szCs w:val="16"/>
                <w:vertAlign w:val="superscript"/>
              </w:rPr>
              <w:t>2)</w:t>
            </w:r>
            <w:r w:rsidRPr="003A6760">
              <w:rPr>
                <w:rFonts w:ascii="Cambria" w:hAnsi="Cambria"/>
                <w:sz w:val="16"/>
                <w:szCs w:val="16"/>
              </w:rPr>
              <w:t>, млн т-км</w:t>
            </w:r>
          </w:p>
        </w:tc>
        <w:tc>
          <w:tcPr>
            <w:tcW w:w="648" w:type="pct"/>
            <w:vAlign w:val="center"/>
            <w:hideMark/>
          </w:tcPr>
          <w:p w:rsidR="00B12755" w:rsidRPr="003A6760" w:rsidRDefault="00B12755" w:rsidP="00D70166">
            <w:pPr>
              <w:widowControl w:val="0"/>
              <w:spacing w:line="270" w:lineRule="exact"/>
              <w:jc w:val="center"/>
              <w:rPr>
                <w:rFonts w:ascii="Cambria" w:hAnsi="Cambria"/>
                <w:sz w:val="16"/>
                <w:szCs w:val="16"/>
              </w:rPr>
            </w:pPr>
            <w:r w:rsidRPr="003A6760">
              <w:rPr>
                <w:rFonts w:ascii="Cambria" w:hAnsi="Cambria"/>
                <w:sz w:val="16"/>
                <w:szCs w:val="16"/>
              </w:rPr>
              <w:t>81,3</w:t>
            </w:r>
          </w:p>
        </w:tc>
        <w:tc>
          <w:tcPr>
            <w:tcW w:w="648" w:type="pct"/>
            <w:vAlign w:val="center"/>
            <w:hideMark/>
          </w:tcPr>
          <w:p w:rsidR="00B12755" w:rsidRPr="003A6760" w:rsidRDefault="00B12755" w:rsidP="00D70166">
            <w:pPr>
              <w:widowControl w:val="0"/>
              <w:spacing w:line="270" w:lineRule="exact"/>
              <w:jc w:val="center"/>
              <w:rPr>
                <w:rFonts w:ascii="Cambria" w:hAnsi="Cambria"/>
                <w:sz w:val="16"/>
                <w:szCs w:val="16"/>
              </w:rPr>
            </w:pPr>
            <w:r w:rsidRPr="003A6760">
              <w:rPr>
                <w:rFonts w:ascii="Cambria" w:hAnsi="Cambria"/>
                <w:sz w:val="16"/>
                <w:szCs w:val="16"/>
              </w:rPr>
              <w:t>88,4</w:t>
            </w:r>
          </w:p>
        </w:tc>
        <w:tc>
          <w:tcPr>
            <w:tcW w:w="606" w:type="pct"/>
            <w:vAlign w:val="center"/>
            <w:hideMark/>
          </w:tcPr>
          <w:p w:rsidR="00B12755" w:rsidRPr="003A6760" w:rsidRDefault="00B12755" w:rsidP="00D70166">
            <w:pPr>
              <w:widowControl w:val="0"/>
              <w:spacing w:line="270" w:lineRule="exact"/>
              <w:jc w:val="center"/>
              <w:rPr>
                <w:rFonts w:ascii="Cambria" w:hAnsi="Cambria"/>
                <w:sz w:val="16"/>
                <w:szCs w:val="16"/>
              </w:rPr>
            </w:pPr>
            <w:r w:rsidRPr="003A6760">
              <w:rPr>
                <w:rFonts w:ascii="Cambria" w:hAnsi="Cambria"/>
                <w:sz w:val="16"/>
                <w:szCs w:val="16"/>
              </w:rPr>
              <w:t>511,4</w:t>
            </w:r>
          </w:p>
        </w:tc>
        <w:tc>
          <w:tcPr>
            <w:tcW w:w="690" w:type="pct"/>
            <w:vAlign w:val="center"/>
            <w:hideMark/>
          </w:tcPr>
          <w:p w:rsidR="00B12755" w:rsidRPr="003A6760" w:rsidRDefault="00B12755" w:rsidP="00D70166">
            <w:pPr>
              <w:widowControl w:val="0"/>
              <w:spacing w:line="270" w:lineRule="exact"/>
              <w:jc w:val="center"/>
              <w:rPr>
                <w:rFonts w:ascii="Cambria" w:hAnsi="Cambria"/>
                <w:sz w:val="16"/>
                <w:szCs w:val="16"/>
              </w:rPr>
            </w:pPr>
            <w:r w:rsidRPr="003A6760">
              <w:rPr>
                <w:rFonts w:ascii="Cambria" w:hAnsi="Cambria"/>
                <w:sz w:val="16"/>
                <w:szCs w:val="16"/>
              </w:rPr>
              <w:t>78,6</w:t>
            </w:r>
          </w:p>
        </w:tc>
        <w:tc>
          <w:tcPr>
            <w:tcW w:w="789" w:type="pct"/>
            <w:vAlign w:val="center"/>
            <w:hideMark/>
          </w:tcPr>
          <w:p w:rsidR="00B12755" w:rsidRPr="003A6760" w:rsidRDefault="00B12755" w:rsidP="00D70166">
            <w:pPr>
              <w:widowControl w:val="0"/>
              <w:spacing w:line="270" w:lineRule="exact"/>
              <w:jc w:val="center"/>
              <w:rPr>
                <w:rFonts w:ascii="Cambria" w:hAnsi="Cambria"/>
                <w:sz w:val="16"/>
                <w:szCs w:val="16"/>
              </w:rPr>
            </w:pPr>
            <w:r w:rsidRPr="003A6760">
              <w:rPr>
                <w:rFonts w:ascii="Cambria" w:hAnsi="Cambria"/>
                <w:sz w:val="16"/>
                <w:szCs w:val="16"/>
              </w:rPr>
              <w:t>80,2</w:t>
            </w:r>
          </w:p>
        </w:tc>
      </w:tr>
      <w:tr w:rsidR="00B12755" w:rsidRPr="003A6760" w:rsidTr="009E33BE">
        <w:trPr>
          <w:cantSplit/>
          <w:trHeight w:val="170"/>
        </w:trPr>
        <w:tc>
          <w:tcPr>
            <w:tcW w:w="1620" w:type="pct"/>
            <w:hideMark/>
          </w:tcPr>
          <w:p w:rsidR="00B12755" w:rsidRPr="003A6760" w:rsidRDefault="00B12755" w:rsidP="00D70166">
            <w:pPr>
              <w:widowControl w:val="0"/>
              <w:rPr>
                <w:rFonts w:ascii="Cambria" w:hAnsi="Cambria"/>
                <w:sz w:val="16"/>
                <w:szCs w:val="16"/>
              </w:rPr>
            </w:pPr>
            <w:r w:rsidRPr="003A6760">
              <w:rPr>
                <w:rFonts w:ascii="Cambria" w:hAnsi="Cambria"/>
                <w:sz w:val="16"/>
                <w:szCs w:val="16"/>
              </w:rPr>
              <w:t xml:space="preserve">Оборот розничной торговли,    </w:t>
            </w:r>
          </w:p>
          <w:p w:rsidR="00B12755" w:rsidRPr="003A6760" w:rsidRDefault="00B12755" w:rsidP="00D70166">
            <w:pPr>
              <w:pStyle w:val="a7"/>
              <w:widowControl w:val="0"/>
              <w:tabs>
                <w:tab w:val="left" w:pos="708"/>
              </w:tabs>
              <w:rPr>
                <w:rFonts w:ascii="Cambria" w:hAnsi="Cambria"/>
                <w:sz w:val="16"/>
                <w:szCs w:val="16"/>
              </w:rPr>
            </w:pPr>
            <w:r w:rsidRPr="003A6760">
              <w:rPr>
                <w:rFonts w:ascii="Cambria" w:hAnsi="Cambria"/>
                <w:sz w:val="16"/>
                <w:szCs w:val="16"/>
              </w:rPr>
              <w:t xml:space="preserve">  млрд рублей</w:t>
            </w:r>
          </w:p>
        </w:tc>
        <w:tc>
          <w:tcPr>
            <w:tcW w:w="648" w:type="pct"/>
            <w:vAlign w:val="center"/>
            <w:hideMark/>
          </w:tcPr>
          <w:p w:rsidR="00B12755" w:rsidRPr="003A6760" w:rsidRDefault="00B12755" w:rsidP="00D70166">
            <w:pPr>
              <w:widowControl w:val="0"/>
              <w:spacing w:line="270" w:lineRule="exact"/>
              <w:jc w:val="center"/>
              <w:rPr>
                <w:rFonts w:ascii="Cambria" w:hAnsi="Cambria"/>
                <w:sz w:val="16"/>
                <w:szCs w:val="16"/>
              </w:rPr>
            </w:pPr>
            <w:r w:rsidRPr="003A6760">
              <w:rPr>
                <w:rFonts w:ascii="Cambria" w:hAnsi="Cambria"/>
                <w:sz w:val="16"/>
                <w:szCs w:val="16"/>
              </w:rPr>
              <w:t>40,3</w:t>
            </w:r>
          </w:p>
        </w:tc>
        <w:tc>
          <w:tcPr>
            <w:tcW w:w="648" w:type="pct"/>
            <w:vAlign w:val="center"/>
            <w:hideMark/>
          </w:tcPr>
          <w:p w:rsidR="00B12755" w:rsidRPr="003A6760" w:rsidRDefault="00B12755" w:rsidP="00D70166">
            <w:pPr>
              <w:widowControl w:val="0"/>
              <w:spacing w:line="270" w:lineRule="exact"/>
              <w:jc w:val="center"/>
              <w:rPr>
                <w:rFonts w:ascii="Cambria" w:hAnsi="Cambria"/>
                <w:sz w:val="16"/>
                <w:szCs w:val="16"/>
              </w:rPr>
            </w:pPr>
            <w:r w:rsidRPr="003A6760">
              <w:rPr>
                <w:rFonts w:ascii="Cambria" w:hAnsi="Cambria"/>
                <w:sz w:val="16"/>
                <w:szCs w:val="16"/>
              </w:rPr>
              <w:t>96,2</w:t>
            </w:r>
          </w:p>
        </w:tc>
        <w:tc>
          <w:tcPr>
            <w:tcW w:w="606" w:type="pct"/>
            <w:vAlign w:val="center"/>
            <w:hideMark/>
          </w:tcPr>
          <w:p w:rsidR="00B12755" w:rsidRPr="003A6760" w:rsidRDefault="00B12755" w:rsidP="00D70166">
            <w:pPr>
              <w:widowControl w:val="0"/>
              <w:spacing w:line="270" w:lineRule="exact"/>
              <w:jc w:val="center"/>
              <w:rPr>
                <w:rFonts w:ascii="Cambria" w:hAnsi="Cambria"/>
                <w:sz w:val="16"/>
                <w:szCs w:val="16"/>
              </w:rPr>
            </w:pPr>
            <w:r w:rsidRPr="003A6760">
              <w:rPr>
                <w:rFonts w:ascii="Cambria" w:hAnsi="Cambria"/>
                <w:sz w:val="16"/>
                <w:szCs w:val="16"/>
              </w:rPr>
              <w:t>234,9</w:t>
            </w:r>
          </w:p>
        </w:tc>
        <w:tc>
          <w:tcPr>
            <w:tcW w:w="690" w:type="pct"/>
            <w:vAlign w:val="center"/>
            <w:hideMark/>
          </w:tcPr>
          <w:p w:rsidR="00B12755" w:rsidRPr="003A6760" w:rsidRDefault="00B12755" w:rsidP="00D70166">
            <w:pPr>
              <w:widowControl w:val="0"/>
              <w:spacing w:line="270" w:lineRule="exact"/>
              <w:jc w:val="center"/>
              <w:rPr>
                <w:rFonts w:ascii="Cambria" w:hAnsi="Cambria"/>
                <w:sz w:val="16"/>
                <w:szCs w:val="16"/>
              </w:rPr>
            </w:pPr>
            <w:r w:rsidRPr="003A6760">
              <w:rPr>
                <w:rFonts w:ascii="Cambria" w:hAnsi="Cambria"/>
                <w:sz w:val="16"/>
                <w:szCs w:val="16"/>
              </w:rPr>
              <w:t>95,5</w:t>
            </w:r>
          </w:p>
        </w:tc>
        <w:tc>
          <w:tcPr>
            <w:tcW w:w="789" w:type="pct"/>
            <w:vAlign w:val="center"/>
            <w:hideMark/>
          </w:tcPr>
          <w:p w:rsidR="00B12755" w:rsidRPr="003A6760" w:rsidRDefault="00B12755" w:rsidP="00D70166">
            <w:pPr>
              <w:widowControl w:val="0"/>
              <w:spacing w:line="270" w:lineRule="exact"/>
              <w:jc w:val="center"/>
              <w:rPr>
                <w:rFonts w:ascii="Cambria" w:hAnsi="Cambria"/>
                <w:sz w:val="16"/>
                <w:szCs w:val="16"/>
              </w:rPr>
            </w:pPr>
            <w:r w:rsidRPr="003A6760">
              <w:rPr>
                <w:rFonts w:ascii="Cambria" w:hAnsi="Cambria"/>
                <w:sz w:val="16"/>
                <w:szCs w:val="16"/>
              </w:rPr>
              <w:t>85,8</w:t>
            </w:r>
          </w:p>
        </w:tc>
      </w:tr>
      <w:tr w:rsidR="00B12755" w:rsidRPr="003A6760" w:rsidTr="009E33BE">
        <w:trPr>
          <w:cantSplit/>
          <w:trHeight w:val="170"/>
        </w:trPr>
        <w:tc>
          <w:tcPr>
            <w:tcW w:w="1620" w:type="pct"/>
            <w:hideMark/>
          </w:tcPr>
          <w:p w:rsidR="00B12755" w:rsidRPr="003A6760" w:rsidRDefault="00B12755" w:rsidP="00D70166">
            <w:pPr>
              <w:pStyle w:val="affe"/>
              <w:widowControl w:val="0"/>
              <w:rPr>
                <w:rFonts w:ascii="Cambria" w:hAnsi="Cambria"/>
                <w:sz w:val="16"/>
                <w:szCs w:val="16"/>
              </w:rPr>
            </w:pPr>
            <w:r w:rsidRPr="003A6760">
              <w:rPr>
                <w:rFonts w:ascii="Cambria" w:hAnsi="Cambria"/>
                <w:sz w:val="16"/>
                <w:szCs w:val="16"/>
              </w:rPr>
              <w:t xml:space="preserve">Объем платных услуг населению, </w:t>
            </w:r>
          </w:p>
          <w:p w:rsidR="00B12755" w:rsidRPr="003A6760" w:rsidRDefault="00B12755" w:rsidP="00D70166">
            <w:pPr>
              <w:pStyle w:val="affe"/>
              <w:widowControl w:val="0"/>
              <w:rPr>
                <w:rFonts w:ascii="Cambria" w:hAnsi="Cambria"/>
                <w:sz w:val="16"/>
                <w:szCs w:val="16"/>
              </w:rPr>
            </w:pPr>
            <w:r w:rsidRPr="003A6760">
              <w:rPr>
                <w:rFonts w:ascii="Cambria" w:hAnsi="Cambria"/>
                <w:sz w:val="16"/>
                <w:szCs w:val="16"/>
              </w:rPr>
              <w:t xml:space="preserve">  млрд рублей</w:t>
            </w:r>
          </w:p>
        </w:tc>
        <w:tc>
          <w:tcPr>
            <w:tcW w:w="648" w:type="pct"/>
            <w:vAlign w:val="center"/>
            <w:hideMark/>
          </w:tcPr>
          <w:p w:rsidR="00B12755" w:rsidRPr="003A6760" w:rsidRDefault="00B12755" w:rsidP="00D70166">
            <w:pPr>
              <w:widowControl w:val="0"/>
              <w:spacing w:line="270" w:lineRule="exact"/>
              <w:jc w:val="center"/>
              <w:rPr>
                <w:rFonts w:ascii="Cambria" w:hAnsi="Cambria"/>
                <w:sz w:val="16"/>
                <w:szCs w:val="16"/>
              </w:rPr>
            </w:pPr>
            <w:r w:rsidRPr="003A6760">
              <w:rPr>
                <w:rFonts w:ascii="Cambria" w:hAnsi="Cambria"/>
                <w:sz w:val="16"/>
                <w:szCs w:val="16"/>
              </w:rPr>
              <w:t>11,4</w:t>
            </w:r>
          </w:p>
        </w:tc>
        <w:tc>
          <w:tcPr>
            <w:tcW w:w="648" w:type="pct"/>
            <w:vAlign w:val="center"/>
            <w:hideMark/>
          </w:tcPr>
          <w:p w:rsidR="00B12755" w:rsidRPr="003A6760" w:rsidRDefault="00B12755" w:rsidP="00D70166">
            <w:pPr>
              <w:widowControl w:val="0"/>
              <w:spacing w:line="270" w:lineRule="exact"/>
              <w:jc w:val="center"/>
              <w:rPr>
                <w:rFonts w:ascii="Cambria" w:hAnsi="Cambria"/>
                <w:sz w:val="16"/>
                <w:szCs w:val="16"/>
              </w:rPr>
            </w:pPr>
            <w:r w:rsidRPr="003A6760">
              <w:rPr>
                <w:rFonts w:ascii="Cambria" w:hAnsi="Cambria"/>
                <w:sz w:val="16"/>
                <w:szCs w:val="16"/>
              </w:rPr>
              <w:t>98,6</w:t>
            </w:r>
          </w:p>
        </w:tc>
        <w:tc>
          <w:tcPr>
            <w:tcW w:w="606" w:type="pct"/>
            <w:vAlign w:val="center"/>
            <w:hideMark/>
          </w:tcPr>
          <w:p w:rsidR="00B12755" w:rsidRPr="003A6760" w:rsidRDefault="00B12755" w:rsidP="00D70166">
            <w:pPr>
              <w:widowControl w:val="0"/>
              <w:spacing w:line="270" w:lineRule="exact"/>
              <w:jc w:val="center"/>
              <w:rPr>
                <w:rFonts w:ascii="Cambria" w:hAnsi="Cambria"/>
                <w:sz w:val="16"/>
                <w:szCs w:val="16"/>
              </w:rPr>
            </w:pPr>
            <w:r w:rsidRPr="003A6760">
              <w:rPr>
                <w:rFonts w:ascii="Cambria" w:hAnsi="Cambria"/>
                <w:sz w:val="16"/>
                <w:szCs w:val="16"/>
              </w:rPr>
              <w:t>63,0</w:t>
            </w:r>
          </w:p>
        </w:tc>
        <w:tc>
          <w:tcPr>
            <w:tcW w:w="690" w:type="pct"/>
            <w:vAlign w:val="center"/>
            <w:hideMark/>
          </w:tcPr>
          <w:p w:rsidR="00B12755" w:rsidRPr="003A6760" w:rsidRDefault="00B12755" w:rsidP="00D70166">
            <w:pPr>
              <w:widowControl w:val="0"/>
              <w:spacing w:line="270" w:lineRule="exact"/>
              <w:jc w:val="center"/>
              <w:rPr>
                <w:rFonts w:ascii="Cambria" w:hAnsi="Cambria"/>
                <w:sz w:val="16"/>
                <w:szCs w:val="16"/>
              </w:rPr>
            </w:pPr>
            <w:r w:rsidRPr="003A6760">
              <w:rPr>
                <w:rFonts w:ascii="Cambria" w:hAnsi="Cambria"/>
                <w:sz w:val="16"/>
                <w:szCs w:val="16"/>
              </w:rPr>
              <w:t>95,9</w:t>
            </w:r>
          </w:p>
        </w:tc>
        <w:tc>
          <w:tcPr>
            <w:tcW w:w="789" w:type="pct"/>
            <w:vAlign w:val="center"/>
            <w:hideMark/>
          </w:tcPr>
          <w:p w:rsidR="00B12755" w:rsidRPr="003A6760" w:rsidRDefault="00B12755" w:rsidP="00D70166">
            <w:pPr>
              <w:widowControl w:val="0"/>
              <w:spacing w:line="270" w:lineRule="exact"/>
              <w:jc w:val="center"/>
              <w:rPr>
                <w:rFonts w:ascii="Cambria" w:hAnsi="Cambria"/>
                <w:sz w:val="16"/>
                <w:szCs w:val="16"/>
              </w:rPr>
            </w:pPr>
            <w:r w:rsidRPr="003A6760">
              <w:rPr>
                <w:rFonts w:ascii="Cambria" w:hAnsi="Cambria"/>
                <w:sz w:val="16"/>
                <w:szCs w:val="16"/>
              </w:rPr>
              <w:t>92,0</w:t>
            </w:r>
          </w:p>
        </w:tc>
      </w:tr>
      <w:tr w:rsidR="00B12755" w:rsidRPr="003A6760" w:rsidTr="009E33BE">
        <w:trPr>
          <w:cantSplit/>
          <w:trHeight w:val="170"/>
        </w:trPr>
        <w:tc>
          <w:tcPr>
            <w:tcW w:w="1620" w:type="pct"/>
          </w:tcPr>
          <w:p w:rsidR="00B12755" w:rsidRPr="003A6760" w:rsidRDefault="00B12755" w:rsidP="00D70166">
            <w:pPr>
              <w:pStyle w:val="affe"/>
              <w:widowControl w:val="0"/>
              <w:rPr>
                <w:rFonts w:ascii="Cambria" w:hAnsi="Cambria"/>
                <w:sz w:val="16"/>
                <w:szCs w:val="16"/>
              </w:rPr>
            </w:pPr>
            <w:r w:rsidRPr="003A6760">
              <w:rPr>
                <w:rFonts w:ascii="Cambria" w:hAnsi="Cambria"/>
                <w:sz w:val="16"/>
                <w:szCs w:val="16"/>
              </w:rPr>
              <w:t>Среднемесячная начисленная заработная плата одного работника</w:t>
            </w:r>
            <w:r w:rsidRPr="003A6760">
              <w:rPr>
                <w:rFonts w:ascii="Cambria" w:hAnsi="Cambria"/>
                <w:sz w:val="16"/>
                <w:szCs w:val="16"/>
                <w:vertAlign w:val="superscript"/>
              </w:rPr>
              <w:t>3)</w:t>
            </w:r>
          </w:p>
        </w:tc>
        <w:tc>
          <w:tcPr>
            <w:tcW w:w="3380" w:type="pct"/>
            <w:gridSpan w:val="5"/>
            <w:vAlign w:val="center"/>
          </w:tcPr>
          <w:p w:rsidR="00B12755" w:rsidRPr="003A6760" w:rsidRDefault="00B12755" w:rsidP="00D70166">
            <w:pPr>
              <w:widowControl w:val="0"/>
              <w:jc w:val="center"/>
              <w:rPr>
                <w:rFonts w:ascii="Cambria" w:hAnsi="Cambria"/>
                <w:sz w:val="16"/>
                <w:szCs w:val="16"/>
              </w:rPr>
            </w:pPr>
          </w:p>
        </w:tc>
      </w:tr>
      <w:tr w:rsidR="00B12755" w:rsidRPr="003A6760" w:rsidTr="009E33BE">
        <w:trPr>
          <w:cantSplit/>
          <w:trHeight w:val="170"/>
        </w:trPr>
        <w:tc>
          <w:tcPr>
            <w:tcW w:w="1620" w:type="pct"/>
            <w:hideMark/>
          </w:tcPr>
          <w:p w:rsidR="00B12755" w:rsidRPr="003A6760" w:rsidRDefault="00B12755" w:rsidP="00D70166">
            <w:pPr>
              <w:widowControl w:val="0"/>
              <w:rPr>
                <w:rFonts w:ascii="Cambria" w:hAnsi="Cambria"/>
                <w:sz w:val="16"/>
                <w:szCs w:val="16"/>
              </w:rPr>
            </w:pPr>
            <w:r w:rsidRPr="003A6760">
              <w:rPr>
                <w:rFonts w:ascii="Cambria" w:hAnsi="Cambria"/>
                <w:sz w:val="16"/>
                <w:szCs w:val="16"/>
              </w:rPr>
              <w:t>номинальная, рублей</w:t>
            </w:r>
          </w:p>
        </w:tc>
        <w:tc>
          <w:tcPr>
            <w:tcW w:w="648" w:type="pct"/>
            <w:vAlign w:val="center"/>
            <w:hideMark/>
          </w:tcPr>
          <w:p w:rsidR="00B12755" w:rsidRPr="003A6760" w:rsidRDefault="00B12755" w:rsidP="00D70166">
            <w:pPr>
              <w:widowControl w:val="0"/>
              <w:spacing w:line="270" w:lineRule="exact"/>
              <w:jc w:val="center"/>
              <w:rPr>
                <w:rFonts w:ascii="Cambria" w:hAnsi="Cambria"/>
                <w:sz w:val="16"/>
                <w:szCs w:val="16"/>
              </w:rPr>
            </w:pPr>
            <w:r w:rsidRPr="003A6760">
              <w:rPr>
                <w:rFonts w:ascii="Cambria" w:hAnsi="Cambria"/>
                <w:sz w:val="16"/>
                <w:szCs w:val="16"/>
              </w:rPr>
              <w:t>40963,7</w:t>
            </w:r>
          </w:p>
        </w:tc>
        <w:tc>
          <w:tcPr>
            <w:tcW w:w="648" w:type="pct"/>
            <w:vAlign w:val="center"/>
            <w:hideMark/>
          </w:tcPr>
          <w:p w:rsidR="00B12755" w:rsidRPr="003A6760" w:rsidRDefault="00B12755" w:rsidP="00D70166">
            <w:pPr>
              <w:widowControl w:val="0"/>
              <w:spacing w:line="270" w:lineRule="exact"/>
              <w:jc w:val="center"/>
              <w:rPr>
                <w:rFonts w:ascii="Cambria" w:hAnsi="Cambria"/>
                <w:sz w:val="16"/>
                <w:szCs w:val="16"/>
              </w:rPr>
            </w:pPr>
            <w:r w:rsidRPr="003A6760">
              <w:rPr>
                <w:rFonts w:ascii="Cambria" w:hAnsi="Cambria"/>
                <w:sz w:val="16"/>
                <w:szCs w:val="16"/>
              </w:rPr>
              <w:t>108,5</w:t>
            </w:r>
          </w:p>
        </w:tc>
        <w:tc>
          <w:tcPr>
            <w:tcW w:w="606" w:type="pct"/>
            <w:vAlign w:val="center"/>
            <w:hideMark/>
          </w:tcPr>
          <w:p w:rsidR="00B12755" w:rsidRPr="003A6760" w:rsidRDefault="00B12755" w:rsidP="00D70166">
            <w:pPr>
              <w:widowControl w:val="0"/>
              <w:spacing w:line="270" w:lineRule="exact"/>
              <w:jc w:val="center"/>
              <w:rPr>
                <w:rFonts w:ascii="Cambria" w:hAnsi="Cambria"/>
                <w:sz w:val="16"/>
                <w:szCs w:val="16"/>
              </w:rPr>
            </w:pPr>
            <w:r w:rsidRPr="003A6760">
              <w:rPr>
                <w:rFonts w:ascii="Cambria" w:hAnsi="Cambria"/>
                <w:sz w:val="16"/>
                <w:szCs w:val="16"/>
              </w:rPr>
              <w:t>37198,7</w:t>
            </w:r>
          </w:p>
        </w:tc>
        <w:tc>
          <w:tcPr>
            <w:tcW w:w="690" w:type="pct"/>
            <w:vAlign w:val="center"/>
            <w:hideMark/>
          </w:tcPr>
          <w:p w:rsidR="00B12755" w:rsidRPr="003A6760" w:rsidRDefault="00B12755" w:rsidP="00D70166">
            <w:pPr>
              <w:widowControl w:val="0"/>
              <w:spacing w:line="270" w:lineRule="exact"/>
              <w:jc w:val="center"/>
              <w:rPr>
                <w:rFonts w:ascii="Cambria" w:hAnsi="Cambria"/>
                <w:sz w:val="16"/>
                <w:szCs w:val="16"/>
              </w:rPr>
            </w:pPr>
            <w:r w:rsidRPr="003A6760">
              <w:rPr>
                <w:rFonts w:ascii="Cambria" w:hAnsi="Cambria"/>
                <w:sz w:val="16"/>
                <w:szCs w:val="16"/>
              </w:rPr>
              <w:t>105,8</w:t>
            </w:r>
          </w:p>
        </w:tc>
        <w:tc>
          <w:tcPr>
            <w:tcW w:w="789" w:type="pct"/>
            <w:vAlign w:val="center"/>
            <w:hideMark/>
          </w:tcPr>
          <w:p w:rsidR="00B12755" w:rsidRPr="003A6760" w:rsidRDefault="00B12755" w:rsidP="00D70166">
            <w:pPr>
              <w:widowControl w:val="0"/>
              <w:spacing w:line="270" w:lineRule="exact"/>
              <w:jc w:val="center"/>
              <w:rPr>
                <w:rFonts w:ascii="Cambria" w:hAnsi="Cambria"/>
                <w:sz w:val="16"/>
                <w:szCs w:val="16"/>
              </w:rPr>
            </w:pPr>
            <w:r w:rsidRPr="003A6760">
              <w:rPr>
                <w:rFonts w:ascii="Cambria" w:hAnsi="Cambria"/>
                <w:sz w:val="16"/>
                <w:szCs w:val="16"/>
              </w:rPr>
              <w:t>104,9</w:t>
            </w:r>
          </w:p>
        </w:tc>
      </w:tr>
      <w:tr w:rsidR="00B12755" w:rsidRPr="003A6760" w:rsidTr="009E33BE">
        <w:trPr>
          <w:cantSplit/>
          <w:trHeight w:val="170"/>
        </w:trPr>
        <w:tc>
          <w:tcPr>
            <w:tcW w:w="1620" w:type="pct"/>
            <w:hideMark/>
          </w:tcPr>
          <w:p w:rsidR="00B12755" w:rsidRPr="003A6760" w:rsidRDefault="00B12755" w:rsidP="00D70166">
            <w:pPr>
              <w:widowControl w:val="0"/>
              <w:rPr>
                <w:rFonts w:ascii="Cambria" w:hAnsi="Cambria"/>
                <w:sz w:val="16"/>
                <w:szCs w:val="16"/>
              </w:rPr>
            </w:pPr>
            <w:r w:rsidRPr="003A6760">
              <w:rPr>
                <w:rFonts w:ascii="Cambria" w:hAnsi="Cambria"/>
                <w:sz w:val="16"/>
                <w:szCs w:val="16"/>
              </w:rPr>
              <w:t>реальная</w:t>
            </w:r>
          </w:p>
        </w:tc>
        <w:tc>
          <w:tcPr>
            <w:tcW w:w="648" w:type="pct"/>
            <w:vAlign w:val="center"/>
            <w:hideMark/>
          </w:tcPr>
          <w:p w:rsidR="00B12755" w:rsidRPr="003A6760" w:rsidRDefault="00B12755" w:rsidP="00D70166">
            <w:pPr>
              <w:widowControl w:val="0"/>
              <w:spacing w:line="270" w:lineRule="exact"/>
              <w:jc w:val="center"/>
              <w:rPr>
                <w:rFonts w:ascii="Cambria" w:hAnsi="Cambria"/>
                <w:sz w:val="16"/>
                <w:szCs w:val="16"/>
              </w:rPr>
            </w:pPr>
            <w:r w:rsidRPr="003A6760">
              <w:rPr>
                <w:rFonts w:ascii="Cambria" w:hAnsi="Cambria"/>
                <w:sz w:val="16"/>
                <w:szCs w:val="16"/>
              </w:rPr>
              <w:t>х</w:t>
            </w:r>
          </w:p>
        </w:tc>
        <w:tc>
          <w:tcPr>
            <w:tcW w:w="648" w:type="pct"/>
            <w:vAlign w:val="center"/>
            <w:hideMark/>
          </w:tcPr>
          <w:p w:rsidR="00B12755" w:rsidRPr="003A6760" w:rsidRDefault="00B12755" w:rsidP="00D70166">
            <w:pPr>
              <w:widowControl w:val="0"/>
              <w:spacing w:line="270" w:lineRule="exact"/>
              <w:jc w:val="center"/>
              <w:rPr>
                <w:rFonts w:ascii="Cambria" w:hAnsi="Cambria"/>
                <w:sz w:val="16"/>
                <w:szCs w:val="16"/>
              </w:rPr>
            </w:pPr>
            <w:r w:rsidRPr="003A6760">
              <w:rPr>
                <w:rFonts w:ascii="Cambria" w:hAnsi="Cambria"/>
                <w:sz w:val="16"/>
                <w:szCs w:val="16"/>
              </w:rPr>
              <w:t>102,4</w:t>
            </w:r>
          </w:p>
        </w:tc>
        <w:tc>
          <w:tcPr>
            <w:tcW w:w="606" w:type="pct"/>
            <w:vAlign w:val="center"/>
            <w:hideMark/>
          </w:tcPr>
          <w:p w:rsidR="00B12755" w:rsidRPr="003A6760" w:rsidRDefault="00B12755" w:rsidP="00D70166">
            <w:pPr>
              <w:widowControl w:val="0"/>
              <w:spacing w:line="270" w:lineRule="exact"/>
              <w:jc w:val="center"/>
              <w:rPr>
                <w:rFonts w:ascii="Cambria" w:hAnsi="Cambria"/>
                <w:sz w:val="16"/>
                <w:szCs w:val="16"/>
              </w:rPr>
            </w:pPr>
            <w:r w:rsidRPr="003A6760">
              <w:rPr>
                <w:rFonts w:ascii="Cambria" w:hAnsi="Cambria"/>
                <w:sz w:val="16"/>
                <w:szCs w:val="16"/>
              </w:rPr>
              <w:t>х</w:t>
            </w:r>
          </w:p>
        </w:tc>
        <w:tc>
          <w:tcPr>
            <w:tcW w:w="690" w:type="pct"/>
            <w:vAlign w:val="center"/>
            <w:hideMark/>
          </w:tcPr>
          <w:p w:rsidR="00B12755" w:rsidRPr="003A6760" w:rsidRDefault="00B12755" w:rsidP="00D70166">
            <w:pPr>
              <w:widowControl w:val="0"/>
              <w:spacing w:line="270" w:lineRule="exact"/>
              <w:jc w:val="center"/>
              <w:rPr>
                <w:rFonts w:ascii="Cambria" w:hAnsi="Cambria"/>
                <w:sz w:val="16"/>
                <w:szCs w:val="16"/>
              </w:rPr>
            </w:pPr>
            <w:r w:rsidRPr="003A6760">
              <w:rPr>
                <w:rFonts w:ascii="Cambria" w:hAnsi="Cambria"/>
                <w:sz w:val="16"/>
                <w:szCs w:val="16"/>
              </w:rPr>
              <w:t>99,5</w:t>
            </w:r>
          </w:p>
        </w:tc>
        <w:tc>
          <w:tcPr>
            <w:tcW w:w="789" w:type="pct"/>
            <w:vAlign w:val="center"/>
            <w:hideMark/>
          </w:tcPr>
          <w:p w:rsidR="00B12755" w:rsidRPr="003A6760" w:rsidRDefault="00B12755" w:rsidP="00D70166">
            <w:pPr>
              <w:widowControl w:val="0"/>
              <w:spacing w:line="270" w:lineRule="exact"/>
              <w:jc w:val="center"/>
              <w:rPr>
                <w:rFonts w:ascii="Cambria" w:hAnsi="Cambria"/>
                <w:sz w:val="16"/>
                <w:szCs w:val="16"/>
              </w:rPr>
            </w:pPr>
            <w:r w:rsidRPr="003A6760">
              <w:rPr>
                <w:rFonts w:ascii="Cambria" w:hAnsi="Cambria"/>
                <w:sz w:val="16"/>
                <w:szCs w:val="16"/>
              </w:rPr>
              <w:t>92,4</w:t>
            </w:r>
          </w:p>
        </w:tc>
      </w:tr>
      <w:tr w:rsidR="00B12755" w:rsidRPr="003A6760" w:rsidTr="009E33BE">
        <w:trPr>
          <w:cantSplit/>
          <w:trHeight w:val="170"/>
        </w:trPr>
        <w:tc>
          <w:tcPr>
            <w:tcW w:w="1620" w:type="pct"/>
            <w:hideMark/>
          </w:tcPr>
          <w:p w:rsidR="00B12755" w:rsidRPr="003A6760" w:rsidRDefault="00B12755" w:rsidP="00D70166">
            <w:pPr>
              <w:pStyle w:val="7"/>
              <w:widowControl w:val="0"/>
              <w:spacing w:before="0" w:after="0"/>
              <w:rPr>
                <w:rFonts w:ascii="Cambria" w:hAnsi="Cambria"/>
                <w:sz w:val="16"/>
                <w:szCs w:val="16"/>
              </w:rPr>
            </w:pPr>
            <w:r w:rsidRPr="003A6760">
              <w:rPr>
                <w:rFonts w:ascii="Cambria" w:hAnsi="Cambria"/>
                <w:sz w:val="16"/>
                <w:szCs w:val="16"/>
              </w:rPr>
              <w:t xml:space="preserve">Численность официально </w:t>
            </w:r>
          </w:p>
          <w:p w:rsidR="00B12755" w:rsidRPr="003A6760" w:rsidRDefault="00B12755" w:rsidP="00D70166">
            <w:pPr>
              <w:pStyle w:val="7"/>
              <w:widowControl w:val="0"/>
              <w:spacing w:before="0" w:after="0"/>
              <w:rPr>
                <w:rFonts w:ascii="Cambria" w:hAnsi="Cambria"/>
                <w:sz w:val="16"/>
                <w:szCs w:val="16"/>
              </w:rPr>
            </w:pPr>
            <w:r w:rsidRPr="003A6760">
              <w:rPr>
                <w:rFonts w:ascii="Cambria" w:hAnsi="Cambria"/>
                <w:sz w:val="16"/>
                <w:szCs w:val="16"/>
              </w:rPr>
              <w:t xml:space="preserve">  зарегистрированных безработных</w:t>
            </w:r>
          </w:p>
          <w:p w:rsidR="00B12755" w:rsidRPr="003A6760" w:rsidRDefault="00B12755" w:rsidP="00D70166">
            <w:pPr>
              <w:widowControl w:val="0"/>
              <w:rPr>
                <w:rFonts w:ascii="Cambria" w:hAnsi="Cambria"/>
                <w:sz w:val="16"/>
                <w:szCs w:val="16"/>
              </w:rPr>
            </w:pPr>
            <w:r w:rsidRPr="003A6760">
              <w:rPr>
                <w:rFonts w:ascii="Cambria" w:hAnsi="Cambria"/>
                <w:sz w:val="16"/>
                <w:szCs w:val="16"/>
              </w:rPr>
              <w:t xml:space="preserve">  на конец периода, тыс. человек </w:t>
            </w:r>
          </w:p>
        </w:tc>
        <w:tc>
          <w:tcPr>
            <w:tcW w:w="648" w:type="pct"/>
            <w:vAlign w:val="center"/>
            <w:hideMark/>
          </w:tcPr>
          <w:p w:rsidR="00B12755" w:rsidRPr="003A6760" w:rsidRDefault="00B12755" w:rsidP="00D70166">
            <w:pPr>
              <w:widowControl w:val="0"/>
              <w:spacing w:line="270" w:lineRule="exact"/>
              <w:jc w:val="center"/>
              <w:rPr>
                <w:rFonts w:ascii="Cambria" w:hAnsi="Cambria"/>
                <w:sz w:val="16"/>
                <w:szCs w:val="16"/>
              </w:rPr>
            </w:pPr>
            <w:r w:rsidRPr="003A6760">
              <w:rPr>
                <w:rFonts w:ascii="Cambria" w:hAnsi="Cambria"/>
                <w:sz w:val="16"/>
                <w:szCs w:val="16"/>
              </w:rPr>
              <w:t>х</w:t>
            </w:r>
          </w:p>
        </w:tc>
        <w:tc>
          <w:tcPr>
            <w:tcW w:w="648" w:type="pct"/>
            <w:vAlign w:val="center"/>
            <w:hideMark/>
          </w:tcPr>
          <w:p w:rsidR="00B12755" w:rsidRPr="003A6760" w:rsidRDefault="00B12755" w:rsidP="00D70166">
            <w:pPr>
              <w:widowControl w:val="0"/>
              <w:spacing w:line="270" w:lineRule="exact"/>
              <w:jc w:val="center"/>
              <w:rPr>
                <w:rFonts w:ascii="Cambria" w:hAnsi="Cambria"/>
                <w:sz w:val="16"/>
                <w:szCs w:val="16"/>
              </w:rPr>
            </w:pPr>
            <w:r w:rsidRPr="003A6760">
              <w:rPr>
                <w:rFonts w:ascii="Cambria" w:hAnsi="Cambria"/>
                <w:sz w:val="16"/>
                <w:szCs w:val="16"/>
              </w:rPr>
              <w:t>х</w:t>
            </w:r>
          </w:p>
        </w:tc>
        <w:tc>
          <w:tcPr>
            <w:tcW w:w="606" w:type="pct"/>
            <w:vAlign w:val="center"/>
            <w:hideMark/>
          </w:tcPr>
          <w:p w:rsidR="00B12755" w:rsidRPr="003A6760" w:rsidRDefault="00B12755" w:rsidP="00D70166">
            <w:pPr>
              <w:widowControl w:val="0"/>
              <w:spacing w:line="270" w:lineRule="exact"/>
              <w:jc w:val="center"/>
              <w:rPr>
                <w:rFonts w:ascii="Cambria" w:hAnsi="Cambria"/>
                <w:sz w:val="16"/>
                <w:szCs w:val="16"/>
              </w:rPr>
            </w:pPr>
            <w:r w:rsidRPr="003A6760">
              <w:rPr>
                <w:rFonts w:ascii="Cambria" w:hAnsi="Cambria"/>
                <w:sz w:val="16"/>
                <w:szCs w:val="16"/>
              </w:rPr>
              <w:t>20,5</w:t>
            </w:r>
          </w:p>
        </w:tc>
        <w:tc>
          <w:tcPr>
            <w:tcW w:w="690" w:type="pct"/>
            <w:vAlign w:val="center"/>
            <w:hideMark/>
          </w:tcPr>
          <w:p w:rsidR="00B12755" w:rsidRPr="003A6760" w:rsidRDefault="00B12755" w:rsidP="00D70166">
            <w:pPr>
              <w:widowControl w:val="0"/>
              <w:spacing w:line="270" w:lineRule="exact"/>
              <w:jc w:val="center"/>
              <w:rPr>
                <w:rFonts w:ascii="Cambria" w:hAnsi="Cambria"/>
                <w:sz w:val="16"/>
                <w:szCs w:val="16"/>
              </w:rPr>
            </w:pPr>
            <w:r w:rsidRPr="003A6760">
              <w:rPr>
                <w:rFonts w:ascii="Cambria" w:hAnsi="Cambria"/>
                <w:sz w:val="16"/>
                <w:szCs w:val="16"/>
              </w:rPr>
              <w:t>100,8</w:t>
            </w:r>
          </w:p>
        </w:tc>
        <w:tc>
          <w:tcPr>
            <w:tcW w:w="789" w:type="pct"/>
            <w:vAlign w:val="center"/>
            <w:hideMark/>
          </w:tcPr>
          <w:p w:rsidR="00B12755" w:rsidRPr="003A6760" w:rsidRDefault="00B12755" w:rsidP="00D70166">
            <w:pPr>
              <w:widowControl w:val="0"/>
              <w:spacing w:line="270" w:lineRule="exact"/>
              <w:jc w:val="center"/>
              <w:rPr>
                <w:rFonts w:ascii="Cambria" w:hAnsi="Cambria"/>
                <w:sz w:val="16"/>
                <w:szCs w:val="16"/>
              </w:rPr>
            </w:pPr>
            <w:r w:rsidRPr="003A6760">
              <w:rPr>
                <w:rFonts w:ascii="Cambria" w:hAnsi="Cambria"/>
                <w:sz w:val="16"/>
                <w:szCs w:val="16"/>
              </w:rPr>
              <w:t>105,8</w:t>
            </w:r>
          </w:p>
        </w:tc>
      </w:tr>
      <w:tr w:rsidR="00B12755" w:rsidRPr="003A6760" w:rsidTr="009E33BE">
        <w:trPr>
          <w:cantSplit/>
          <w:trHeight w:val="170"/>
        </w:trPr>
        <w:tc>
          <w:tcPr>
            <w:tcW w:w="1620" w:type="pct"/>
            <w:hideMark/>
          </w:tcPr>
          <w:p w:rsidR="00B12755" w:rsidRPr="003A6760" w:rsidRDefault="00B12755" w:rsidP="00D70166">
            <w:pPr>
              <w:pStyle w:val="a7"/>
              <w:widowControl w:val="0"/>
              <w:tabs>
                <w:tab w:val="left" w:pos="708"/>
              </w:tabs>
              <w:rPr>
                <w:rFonts w:ascii="Cambria" w:hAnsi="Cambria"/>
                <w:sz w:val="16"/>
                <w:szCs w:val="16"/>
              </w:rPr>
            </w:pPr>
            <w:r w:rsidRPr="003A6760">
              <w:rPr>
                <w:rFonts w:ascii="Cambria" w:hAnsi="Cambria"/>
                <w:sz w:val="16"/>
                <w:szCs w:val="16"/>
              </w:rPr>
              <w:t xml:space="preserve">Просроченная задолженность по </w:t>
            </w:r>
          </w:p>
          <w:p w:rsidR="00B12755" w:rsidRPr="003A6760" w:rsidRDefault="00B12755" w:rsidP="00D70166">
            <w:pPr>
              <w:pStyle w:val="a7"/>
              <w:widowControl w:val="0"/>
              <w:tabs>
                <w:tab w:val="left" w:pos="708"/>
              </w:tabs>
              <w:rPr>
                <w:rFonts w:ascii="Cambria" w:hAnsi="Cambria"/>
                <w:sz w:val="16"/>
                <w:szCs w:val="16"/>
              </w:rPr>
            </w:pPr>
            <w:r w:rsidRPr="003A6760">
              <w:rPr>
                <w:rFonts w:ascii="Cambria" w:hAnsi="Cambria"/>
                <w:sz w:val="16"/>
                <w:szCs w:val="16"/>
              </w:rPr>
              <w:t xml:space="preserve">  заработной плате на 01.06.2016, </w:t>
            </w:r>
          </w:p>
          <w:p w:rsidR="00B12755" w:rsidRPr="003A6760" w:rsidRDefault="00B12755" w:rsidP="00D70166">
            <w:pPr>
              <w:pStyle w:val="a7"/>
              <w:widowControl w:val="0"/>
              <w:tabs>
                <w:tab w:val="left" w:pos="708"/>
              </w:tabs>
              <w:rPr>
                <w:rFonts w:ascii="Cambria" w:hAnsi="Cambria"/>
                <w:sz w:val="16"/>
                <w:szCs w:val="16"/>
              </w:rPr>
            </w:pPr>
            <w:r w:rsidRPr="003A6760">
              <w:rPr>
                <w:rFonts w:ascii="Cambria" w:hAnsi="Cambria"/>
                <w:sz w:val="16"/>
                <w:szCs w:val="16"/>
              </w:rPr>
              <w:t xml:space="preserve">  млн рублей</w:t>
            </w:r>
          </w:p>
        </w:tc>
        <w:tc>
          <w:tcPr>
            <w:tcW w:w="648" w:type="pct"/>
            <w:vAlign w:val="center"/>
            <w:hideMark/>
          </w:tcPr>
          <w:p w:rsidR="00B12755" w:rsidRPr="003A6760" w:rsidRDefault="00B12755" w:rsidP="00D70166">
            <w:pPr>
              <w:widowControl w:val="0"/>
              <w:spacing w:line="270" w:lineRule="exact"/>
              <w:jc w:val="center"/>
              <w:rPr>
                <w:rFonts w:ascii="Cambria" w:hAnsi="Cambria"/>
                <w:sz w:val="16"/>
                <w:szCs w:val="16"/>
              </w:rPr>
            </w:pPr>
            <w:r w:rsidRPr="003A6760">
              <w:rPr>
                <w:rFonts w:ascii="Cambria" w:hAnsi="Cambria"/>
                <w:sz w:val="16"/>
                <w:szCs w:val="16"/>
              </w:rPr>
              <w:t>х</w:t>
            </w:r>
          </w:p>
        </w:tc>
        <w:tc>
          <w:tcPr>
            <w:tcW w:w="648" w:type="pct"/>
            <w:vAlign w:val="center"/>
            <w:hideMark/>
          </w:tcPr>
          <w:p w:rsidR="00B12755" w:rsidRPr="003A6760" w:rsidRDefault="00B12755" w:rsidP="00D70166">
            <w:pPr>
              <w:widowControl w:val="0"/>
              <w:spacing w:line="270" w:lineRule="exact"/>
              <w:jc w:val="center"/>
              <w:rPr>
                <w:rFonts w:ascii="Cambria" w:hAnsi="Cambria"/>
                <w:sz w:val="16"/>
                <w:szCs w:val="16"/>
              </w:rPr>
            </w:pPr>
            <w:r w:rsidRPr="003A6760">
              <w:rPr>
                <w:rFonts w:ascii="Cambria" w:hAnsi="Cambria"/>
                <w:sz w:val="16"/>
                <w:szCs w:val="16"/>
              </w:rPr>
              <w:t>х</w:t>
            </w:r>
          </w:p>
        </w:tc>
        <w:tc>
          <w:tcPr>
            <w:tcW w:w="606" w:type="pct"/>
            <w:vAlign w:val="center"/>
            <w:hideMark/>
          </w:tcPr>
          <w:p w:rsidR="00B12755" w:rsidRPr="003A6760" w:rsidRDefault="00B12755" w:rsidP="00D70166">
            <w:pPr>
              <w:widowControl w:val="0"/>
              <w:spacing w:line="270" w:lineRule="exact"/>
              <w:jc w:val="center"/>
              <w:rPr>
                <w:rFonts w:ascii="Cambria" w:hAnsi="Cambria"/>
                <w:sz w:val="16"/>
                <w:szCs w:val="16"/>
              </w:rPr>
            </w:pPr>
            <w:r w:rsidRPr="003A6760">
              <w:rPr>
                <w:rFonts w:ascii="Cambria" w:hAnsi="Cambria"/>
                <w:sz w:val="16"/>
                <w:szCs w:val="16"/>
              </w:rPr>
              <w:t>87,8</w:t>
            </w:r>
          </w:p>
        </w:tc>
        <w:tc>
          <w:tcPr>
            <w:tcW w:w="690" w:type="pct"/>
            <w:vAlign w:val="center"/>
            <w:hideMark/>
          </w:tcPr>
          <w:p w:rsidR="00B12755" w:rsidRPr="003A6760" w:rsidRDefault="00B12755" w:rsidP="00D70166">
            <w:pPr>
              <w:widowControl w:val="0"/>
              <w:spacing w:line="270" w:lineRule="exact"/>
              <w:jc w:val="center"/>
              <w:rPr>
                <w:rFonts w:ascii="Cambria" w:hAnsi="Cambria"/>
                <w:sz w:val="16"/>
                <w:szCs w:val="16"/>
              </w:rPr>
            </w:pPr>
            <w:r w:rsidRPr="003A6760">
              <w:rPr>
                <w:rFonts w:ascii="Cambria" w:hAnsi="Cambria"/>
                <w:sz w:val="16"/>
                <w:szCs w:val="16"/>
              </w:rPr>
              <w:t>87,1</w:t>
            </w:r>
          </w:p>
        </w:tc>
        <w:tc>
          <w:tcPr>
            <w:tcW w:w="789" w:type="pct"/>
            <w:vAlign w:val="center"/>
            <w:hideMark/>
          </w:tcPr>
          <w:p w:rsidR="00B12755" w:rsidRPr="003A6760" w:rsidRDefault="00B12755" w:rsidP="00D70166">
            <w:pPr>
              <w:widowControl w:val="0"/>
              <w:spacing w:line="270" w:lineRule="exact"/>
              <w:jc w:val="center"/>
              <w:rPr>
                <w:rFonts w:ascii="Cambria" w:hAnsi="Cambria"/>
                <w:sz w:val="16"/>
                <w:szCs w:val="16"/>
              </w:rPr>
            </w:pPr>
            <w:r w:rsidRPr="003A6760">
              <w:rPr>
                <w:rFonts w:ascii="Cambria" w:hAnsi="Cambria"/>
                <w:sz w:val="16"/>
                <w:szCs w:val="16"/>
              </w:rPr>
              <w:t>142,2</w:t>
            </w:r>
          </w:p>
        </w:tc>
      </w:tr>
      <w:tr w:rsidR="00B12755" w:rsidRPr="003A6760" w:rsidTr="009E33BE">
        <w:trPr>
          <w:cantSplit/>
          <w:trHeight w:val="170"/>
        </w:trPr>
        <w:tc>
          <w:tcPr>
            <w:tcW w:w="1620" w:type="pct"/>
            <w:hideMark/>
          </w:tcPr>
          <w:p w:rsidR="00B12755" w:rsidRPr="003A6760" w:rsidRDefault="00B12755" w:rsidP="00D70166">
            <w:pPr>
              <w:widowControl w:val="0"/>
              <w:rPr>
                <w:rFonts w:ascii="Cambria" w:hAnsi="Cambria"/>
                <w:sz w:val="16"/>
                <w:szCs w:val="16"/>
              </w:rPr>
            </w:pPr>
            <w:r w:rsidRPr="003A6760">
              <w:rPr>
                <w:rFonts w:ascii="Cambria" w:hAnsi="Cambria"/>
                <w:sz w:val="16"/>
                <w:szCs w:val="16"/>
              </w:rPr>
              <w:t xml:space="preserve">Реальные располагаемые </w:t>
            </w:r>
          </w:p>
          <w:p w:rsidR="00B12755" w:rsidRPr="003A6760" w:rsidRDefault="00B12755" w:rsidP="00D70166">
            <w:pPr>
              <w:widowControl w:val="0"/>
              <w:rPr>
                <w:rFonts w:ascii="Cambria" w:hAnsi="Cambria"/>
                <w:sz w:val="16"/>
                <w:szCs w:val="16"/>
                <w:vertAlign w:val="superscript"/>
              </w:rPr>
            </w:pPr>
            <w:r w:rsidRPr="003A6760">
              <w:rPr>
                <w:rFonts w:ascii="Cambria" w:hAnsi="Cambria"/>
                <w:sz w:val="16"/>
                <w:szCs w:val="16"/>
              </w:rPr>
              <w:t xml:space="preserve">  денежные доходы  населения</w:t>
            </w:r>
            <w:r w:rsidRPr="003A6760">
              <w:rPr>
                <w:rFonts w:ascii="Cambria" w:hAnsi="Cambria"/>
                <w:sz w:val="16"/>
                <w:szCs w:val="16"/>
                <w:vertAlign w:val="superscript"/>
              </w:rPr>
              <w:t>3), 4)</w:t>
            </w:r>
          </w:p>
        </w:tc>
        <w:tc>
          <w:tcPr>
            <w:tcW w:w="648" w:type="pct"/>
            <w:vAlign w:val="center"/>
            <w:hideMark/>
          </w:tcPr>
          <w:p w:rsidR="00B12755" w:rsidRPr="003A6760" w:rsidRDefault="00B12755" w:rsidP="00D70166">
            <w:pPr>
              <w:widowControl w:val="0"/>
              <w:spacing w:line="280" w:lineRule="exact"/>
              <w:jc w:val="center"/>
              <w:rPr>
                <w:rFonts w:ascii="Cambria" w:hAnsi="Cambria"/>
                <w:sz w:val="16"/>
                <w:szCs w:val="16"/>
              </w:rPr>
            </w:pPr>
            <w:r w:rsidRPr="003A6760">
              <w:rPr>
                <w:rFonts w:ascii="Cambria" w:hAnsi="Cambria"/>
                <w:sz w:val="16"/>
                <w:szCs w:val="16"/>
              </w:rPr>
              <w:t>х</w:t>
            </w:r>
          </w:p>
        </w:tc>
        <w:tc>
          <w:tcPr>
            <w:tcW w:w="648" w:type="pct"/>
            <w:vAlign w:val="center"/>
            <w:hideMark/>
          </w:tcPr>
          <w:p w:rsidR="00B12755" w:rsidRPr="003A6760" w:rsidRDefault="00B12755" w:rsidP="00D70166">
            <w:pPr>
              <w:widowControl w:val="0"/>
              <w:spacing w:line="280" w:lineRule="exact"/>
              <w:jc w:val="center"/>
              <w:rPr>
                <w:rFonts w:ascii="Cambria" w:hAnsi="Cambria"/>
                <w:sz w:val="16"/>
                <w:szCs w:val="16"/>
              </w:rPr>
            </w:pPr>
            <w:r w:rsidRPr="003A6760">
              <w:rPr>
                <w:rFonts w:ascii="Cambria" w:hAnsi="Cambria"/>
                <w:sz w:val="16"/>
                <w:szCs w:val="16"/>
              </w:rPr>
              <w:t>93,1</w:t>
            </w:r>
          </w:p>
        </w:tc>
        <w:tc>
          <w:tcPr>
            <w:tcW w:w="606" w:type="pct"/>
            <w:vAlign w:val="center"/>
            <w:hideMark/>
          </w:tcPr>
          <w:p w:rsidR="00B12755" w:rsidRPr="003A6760" w:rsidRDefault="00B12755" w:rsidP="00D70166">
            <w:pPr>
              <w:widowControl w:val="0"/>
              <w:spacing w:line="280" w:lineRule="exact"/>
              <w:jc w:val="center"/>
              <w:rPr>
                <w:rFonts w:ascii="Cambria" w:hAnsi="Cambria"/>
                <w:sz w:val="16"/>
                <w:szCs w:val="16"/>
              </w:rPr>
            </w:pPr>
            <w:r w:rsidRPr="003A6760">
              <w:rPr>
                <w:rFonts w:ascii="Cambria" w:hAnsi="Cambria"/>
                <w:sz w:val="16"/>
                <w:szCs w:val="16"/>
              </w:rPr>
              <w:t>х</w:t>
            </w:r>
          </w:p>
        </w:tc>
        <w:tc>
          <w:tcPr>
            <w:tcW w:w="690" w:type="pct"/>
            <w:vAlign w:val="center"/>
            <w:hideMark/>
          </w:tcPr>
          <w:p w:rsidR="00B12755" w:rsidRPr="003A6760" w:rsidRDefault="00B12755" w:rsidP="00D70166">
            <w:pPr>
              <w:widowControl w:val="0"/>
              <w:spacing w:line="280" w:lineRule="exact"/>
              <w:jc w:val="center"/>
              <w:rPr>
                <w:rFonts w:ascii="Cambria" w:hAnsi="Cambria"/>
                <w:sz w:val="16"/>
                <w:szCs w:val="16"/>
              </w:rPr>
            </w:pPr>
            <w:r w:rsidRPr="003A6760">
              <w:rPr>
                <w:rFonts w:ascii="Cambria" w:hAnsi="Cambria"/>
                <w:sz w:val="16"/>
                <w:szCs w:val="16"/>
              </w:rPr>
              <w:t>99,5</w:t>
            </w:r>
          </w:p>
        </w:tc>
        <w:tc>
          <w:tcPr>
            <w:tcW w:w="789" w:type="pct"/>
            <w:vAlign w:val="center"/>
            <w:hideMark/>
          </w:tcPr>
          <w:p w:rsidR="00B12755" w:rsidRPr="003A6760" w:rsidRDefault="00B12755" w:rsidP="00D70166">
            <w:pPr>
              <w:widowControl w:val="0"/>
              <w:spacing w:line="280" w:lineRule="exact"/>
              <w:jc w:val="center"/>
              <w:rPr>
                <w:rFonts w:ascii="Cambria" w:hAnsi="Cambria"/>
                <w:sz w:val="16"/>
                <w:szCs w:val="16"/>
              </w:rPr>
            </w:pPr>
            <w:r w:rsidRPr="003A6760">
              <w:rPr>
                <w:rFonts w:ascii="Cambria" w:hAnsi="Cambria"/>
                <w:sz w:val="16"/>
                <w:szCs w:val="16"/>
              </w:rPr>
              <w:t>92,5</w:t>
            </w:r>
          </w:p>
        </w:tc>
      </w:tr>
      <w:tr w:rsidR="00B12755" w:rsidRPr="003A6760" w:rsidTr="009E33BE">
        <w:trPr>
          <w:cantSplit/>
          <w:trHeight w:val="170"/>
        </w:trPr>
        <w:tc>
          <w:tcPr>
            <w:tcW w:w="1620" w:type="pct"/>
            <w:vAlign w:val="bottom"/>
            <w:hideMark/>
          </w:tcPr>
          <w:p w:rsidR="00B12755" w:rsidRPr="003A6760" w:rsidRDefault="00B12755" w:rsidP="00D70166">
            <w:pPr>
              <w:pStyle w:val="a7"/>
              <w:widowControl w:val="0"/>
              <w:tabs>
                <w:tab w:val="left" w:pos="708"/>
              </w:tabs>
              <w:rPr>
                <w:rFonts w:ascii="Cambria" w:hAnsi="Cambria"/>
                <w:sz w:val="16"/>
                <w:szCs w:val="16"/>
              </w:rPr>
            </w:pPr>
            <w:r w:rsidRPr="003A6760">
              <w:rPr>
                <w:rFonts w:ascii="Cambria" w:hAnsi="Cambria"/>
                <w:sz w:val="16"/>
                <w:szCs w:val="16"/>
              </w:rPr>
              <w:t>Индекс потребительских цен</w:t>
            </w:r>
          </w:p>
        </w:tc>
        <w:tc>
          <w:tcPr>
            <w:tcW w:w="648" w:type="pct"/>
            <w:vAlign w:val="center"/>
            <w:hideMark/>
          </w:tcPr>
          <w:p w:rsidR="00B12755" w:rsidRPr="003A6760" w:rsidRDefault="00B12755" w:rsidP="00D70166">
            <w:pPr>
              <w:widowControl w:val="0"/>
              <w:spacing w:line="280" w:lineRule="exact"/>
              <w:jc w:val="center"/>
              <w:rPr>
                <w:rFonts w:ascii="Cambria" w:hAnsi="Cambria"/>
                <w:sz w:val="16"/>
                <w:szCs w:val="16"/>
              </w:rPr>
            </w:pPr>
            <w:r w:rsidRPr="003A6760">
              <w:rPr>
                <w:rFonts w:ascii="Cambria" w:hAnsi="Cambria"/>
                <w:sz w:val="16"/>
                <w:szCs w:val="16"/>
              </w:rPr>
              <w:t>х</w:t>
            </w:r>
          </w:p>
        </w:tc>
        <w:tc>
          <w:tcPr>
            <w:tcW w:w="648" w:type="pct"/>
            <w:vAlign w:val="center"/>
            <w:hideMark/>
          </w:tcPr>
          <w:p w:rsidR="00B12755" w:rsidRPr="003A6760" w:rsidRDefault="00B12755" w:rsidP="00D70166">
            <w:pPr>
              <w:widowControl w:val="0"/>
              <w:spacing w:line="280" w:lineRule="exact"/>
              <w:jc w:val="center"/>
              <w:rPr>
                <w:rFonts w:ascii="Cambria" w:hAnsi="Cambria"/>
                <w:sz w:val="16"/>
                <w:szCs w:val="16"/>
              </w:rPr>
            </w:pPr>
            <w:r w:rsidRPr="003A6760">
              <w:rPr>
                <w:rFonts w:ascii="Cambria" w:hAnsi="Cambria"/>
                <w:sz w:val="16"/>
                <w:szCs w:val="16"/>
              </w:rPr>
              <w:t>106,3</w:t>
            </w:r>
          </w:p>
        </w:tc>
        <w:tc>
          <w:tcPr>
            <w:tcW w:w="606" w:type="pct"/>
            <w:vAlign w:val="center"/>
            <w:hideMark/>
          </w:tcPr>
          <w:p w:rsidR="00B12755" w:rsidRPr="003A6760" w:rsidRDefault="00B12755" w:rsidP="00D70166">
            <w:pPr>
              <w:widowControl w:val="0"/>
              <w:spacing w:line="280" w:lineRule="exact"/>
              <w:jc w:val="center"/>
              <w:rPr>
                <w:rFonts w:ascii="Cambria" w:hAnsi="Cambria"/>
                <w:sz w:val="16"/>
                <w:szCs w:val="16"/>
              </w:rPr>
            </w:pPr>
            <w:r w:rsidRPr="003A6760">
              <w:rPr>
                <w:rFonts w:ascii="Cambria" w:hAnsi="Cambria"/>
                <w:sz w:val="16"/>
                <w:szCs w:val="16"/>
              </w:rPr>
              <w:t>х</w:t>
            </w:r>
          </w:p>
        </w:tc>
        <w:tc>
          <w:tcPr>
            <w:tcW w:w="690" w:type="pct"/>
            <w:vAlign w:val="center"/>
            <w:hideMark/>
          </w:tcPr>
          <w:p w:rsidR="00B12755" w:rsidRPr="003A6760" w:rsidRDefault="00B12755" w:rsidP="00D70166">
            <w:pPr>
              <w:widowControl w:val="0"/>
              <w:spacing w:line="280" w:lineRule="exact"/>
              <w:jc w:val="center"/>
              <w:rPr>
                <w:rFonts w:ascii="Cambria" w:hAnsi="Cambria"/>
                <w:sz w:val="16"/>
                <w:szCs w:val="16"/>
              </w:rPr>
            </w:pPr>
            <w:r w:rsidRPr="003A6760">
              <w:rPr>
                <w:rFonts w:ascii="Cambria" w:hAnsi="Cambria"/>
                <w:sz w:val="16"/>
                <w:szCs w:val="16"/>
              </w:rPr>
              <w:t>106,3</w:t>
            </w:r>
          </w:p>
        </w:tc>
        <w:tc>
          <w:tcPr>
            <w:tcW w:w="789" w:type="pct"/>
            <w:vAlign w:val="center"/>
            <w:hideMark/>
          </w:tcPr>
          <w:p w:rsidR="00B12755" w:rsidRPr="003A6760" w:rsidRDefault="00B12755" w:rsidP="00D70166">
            <w:pPr>
              <w:widowControl w:val="0"/>
              <w:spacing w:line="280" w:lineRule="exact"/>
              <w:jc w:val="center"/>
              <w:rPr>
                <w:rFonts w:ascii="Cambria" w:hAnsi="Cambria"/>
                <w:sz w:val="16"/>
                <w:szCs w:val="16"/>
              </w:rPr>
            </w:pPr>
            <w:r w:rsidRPr="003A6760">
              <w:rPr>
                <w:rFonts w:ascii="Cambria" w:hAnsi="Cambria"/>
                <w:sz w:val="16"/>
                <w:szCs w:val="16"/>
              </w:rPr>
              <w:t>113,3</w:t>
            </w:r>
          </w:p>
        </w:tc>
      </w:tr>
      <w:tr w:rsidR="00B12755" w:rsidRPr="003A6760" w:rsidTr="009E33BE">
        <w:trPr>
          <w:cantSplit/>
          <w:trHeight w:val="170"/>
        </w:trPr>
        <w:tc>
          <w:tcPr>
            <w:tcW w:w="1620" w:type="pct"/>
            <w:hideMark/>
          </w:tcPr>
          <w:p w:rsidR="00B12755" w:rsidRPr="003A6760" w:rsidRDefault="00B12755" w:rsidP="00D70166">
            <w:pPr>
              <w:pStyle w:val="affe"/>
              <w:widowControl w:val="0"/>
              <w:rPr>
                <w:rFonts w:ascii="Cambria" w:hAnsi="Cambria"/>
                <w:sz w:val="16"/>
                <w:szCs w:val="16"/>
              </w:rPr>
            </w:pPr>
            <w:r w:rsidRPr="003A6760">
              <w:rPr>
                <w:rFonts w:ascii="Cambria" w:hAnsi="Cambria"/>
                <w:sz w:val="16"/>
                <w:szCs w:val="16"/>
              </w:rPr>
              <w:t xml:space="preserve">Индекс  цен  производителей </w:t>
            </w:r>
          </w:p>
          <w:p w:rsidR="00B12755" w:rsidRPr="003A6760" w:rsidRDefault="00B12755" w:rsidP="00D70166">
            <w:pPr>
              <w:pStyle w:val="affe"/>
              <w:widowControl w:val="0"/>
              <w:rPr>
                <w:rFonts w:ascii="Cambria" w:hAnsi="Cambria"/>
                <w:sz w:val="16"/>
                <w:szCs w:val="16"/>
                <w:vertAlign w:val="superscript"/>
              </w:rPr>
            </w:pPr>
            <w:r w:rsidRPr="003A6760">
              <w:rPr>
                <w:rFonts w:ascii="Cambria" w:hAnsi="Cambria"/>
                <w:sz w:val="16"/>
                <w:szCs w:val="16"/>
              </w:rPr>
              <w:t xml:space="preserve">  промышленных товаров</w:t>
            </w:r>
            <w:r w:rsidRPr="003A6760">
              <w:rPr>
                <w:rFonts w:ascii="Cambria" w:hAnsi="Cambria"/>
                <w:sz w:val="16"/>
                <w:szCs w:val="16"/>
                <w:vertAlign w:val="superscript"/>
              </w:rPr>
              <w:t>1), 5)</w:t>
            </w:r>
          </w:p>
        </w:tc>
        <w:tc>
          <w:tcPr>
            <w:tcW w:w="648" w:type="pct"/>
            <w:vAlign w:val="center"/>
            <w:hideMark/>
          </w:tcPr>
          <w:p w:rsidR="00B12755" w:rsidRPr="003A6760" w:rsidRDefault="00B12755" w:rsidP="00D70166">
            <w:pPr>
              <w:widowControl w:val="0"/>
              <w:spacing w:line="270" w:lineRule="exact"/>
              <w:jc w:val="center"/>
              <w:rPr>
                <w:rFonts w:ascii="Cambria" w:hAnsi="Cambria"/>
                <w:sz w:val="16"/>
                <w:szCs w:val="16"/>
              </w:rPr>
            </w:pPr>
            <w:r w:rsidRPr="003A6760">
              <w:rPr>
                <w:rFonts w:ascii="Cambria" w:hAnsi="Cambria"/>
                <w:sz w:val="16"/>
                <w:szCs w:val="16"/>
              </w:rPr>
              <w:t>х</w:t>
            </w:r>
          </w:p>
        </w:tc>
        <w:tc>
          <w:tcPr>
            <w:tcW w:w="648" w:type="pct"/>
            <w:vAlign w:val="center"/>
            <w:hideMark/>
          </w:tcPr>
          <w:p w:rsidR="00B12755" w:rsidRPr="003A6760" w:rsidRDefault="00B12755" w:rsidP="00D70166">
            <w:pPr>
              <w:widowControl w:val="0"/>
              <w:spacing w:line="270" w:lineRule="exact"/>
              <w:jc w:val="center"/>
              <w:rPr>
                <w:rFonts w:ascii="Cambria" w:hAnsi="Cambria"/>
                <w:sz w:val="16"/>
                <w:szCs w:val="16"/>
              </w:rPr>
            </w:pPr>
            <w:r w:rsidRPr="003A6760">
              <w:rPr>
                <w:rFonts w:ascii="Cambria" w:hAnsi="Cambria"/>
                <w:sz w:val="16"/>
                <w:szCs w:val="16"/>
              </w:rPr>
              <w:t>109,8</w:t>
            </w:r>
          </w:p>
        </w:tc>
        <w:tc>
          <w:tcPr>
            <w:tcW w:w="606" w:type="pct"/>
            <w:vAlign w:val="center"/>
            <w:hideMark/>
          </w:tcPr>
          <w:p w:rsidR="00B12755" w:rsidRPr="003A6760" w:rsidRDefault="00B12755" w:rsidP="00D70166">
            <w:pPr>
              <w:widowControl w:val="0"/>
              <w:spacing w:line="270" w:lineRule="exact"/>
              <w:jc w:val="center"/>
              <w:rPr>
                <w:rFonts w:ascii="Cambria" w:hAnsi="Cambria"/>
                <w:sz w:val="16"/>
                <w:szCs w:val="16"/>
              </w:rPr>
            </w:pPr>
            <w:r w:rsidRPr="003A6760">
              <w:rPr>
                <w:rFonts w:ascii="Cambria" w:hAnsi="Cambria"/>
                <w:sz w:val="16"/>
                <w:szCs w:val="16"/>
              </w:rPr>
              <w:t>х</w:t>
            </w:r>
          </w:p>
        </w:tc>
        <w:tc>
          <w:tcPr>
            <w:tcW w:w="690" w:type="pct"/>
            <w:vAlign w:val="center"/>
            <w:hideMark/>
          </w:tcPr>
          <w:p w:rsidR="00B12755" w:rsidRPr="003A6760" w:rsidRDefault="00B12755" w:rsidP="00D70166">
            <w:pPr>
              <w:widowControl w:val="0"/>
              <w:spacing w:line="270" w:lineRule="exact"/>
              <w:jc w:val="center"/>
              <w:rPr>
                <w:rFonts w:ascii="Cambria" w:hAnsi="Cambria"/>
                <w:sz w:val="16"/>
                <w:szCs w:val="16"/>
              </w:rPr>
            </w:pPr>
            <w:r w:rsidRPr="003A6760">
              <w:rPr>
                <w:rFonts w:ascii="Cambria" w:hAnsi="Cambria"/>
                <w:sz w:val="16"/>
                <w:szCs w:val="16"/>
              </w:rPr>
              <w:t>103,1</w:t>
            </w:r>
          </w:p>
        </w:tc>
        <w:tc>
          <w:tcPr>
            <w:tcW w:w="789" w:type="pct"/>
            <w:vAlign w:val="center"/>
            <w:hideMark/>
          </w:tcPr>
          <w:p w:rsidR="00B12755" w:rsidRPr="003A6760" w:rsidRDefault="00B12755" w:rsidP="00D70166">
            <w:pPr>
              <w:widowControl w:val="0"/>
              <w:spacing w:line="270" w:lineRule="exact"/>
              <w:jc w:val="center"/>
              <w:rPr>
                <w:rFonts w:ascii="Cambria" w:hAnsi="Cambria"/>
                <w:sz w:val="16"/>
                <w:szCs w:val="16"/>
              </w:rPr>
            </w:pPr>
            <w:r w:rsidRPr="003A6760">
              <w:rPr>
                <w:rFonts w:ascii="Cambria" w:hAnsi="Cambria"/>
                <w:sz w:val="16"/>
                <w:szCs w:val="16"/>
              </w:rPr>
              <w:t>124,5</w:t>
            </w:r>
          </w:p>
        </w:tc>
      </w:tr>
      <w:tr w:rsidR="00B12755" w:rsidRPr="003A6760" w:rsidTr="009E33BE">
        <w:trPr>
          <w:cantSplit/>
          <w:trHeight w:val="170"/>
        </w:trPr>
        <w:tc>
          <w:tcPr>
            <w:tcW w:w="1620" w:type="pct"/>
          </w:tcPr>
          <w:p w:rsidR="00390688" w:rsidRPr="00390688" w:rsidRDefault="00390688" w:rsidP="00390688">
            <w:pPr>
              <w:pStyle w:val="affe"/>
              <w:rPr>
                <w:rFonts w:ascii="Cambria" w:hAnsi="Cambria"/>
                <w:sz w:val="16"/>
                <w:szCs w:val="16"/>
              </w:rPr>
            </w:pPr>
            <w:r w:rsidRPr="00390688">
              <w:rPr>
                <w:rFonts w:ascii="Cambria" w:hAnsi="Cambria"/>
                <w:sz w:val="16"/>
                <w:szCs w:val="16"/>
              </w:rPr>
              <w:t xml:space="preserve">Индекс выпуска товаров и услуг </w:t>
            </w:r>
          </w:p>
          <w:p w:rsidR="00390688" w:rsidRPr="00390688" w:rsidRDefault="00390688" w:rsidP="00390688">
            <w:pPr>
              <w:pStyle w:val="affe"/>
              <w:rPr>
                <w:rFonts w:ascii="Cambria" w:hAnsi="Cambria"/>
                <w:sz w:val="16"/>
                <w:szCs w:val="16"/>
              </w:rPr>
            </w:pPr>
            <w:r w:rsidRPr="00390688">
              <w:rPr>
                <w:rFonts w:ascii="Cambria" w:hAnsi="Cambria"/>
                <w:sz w:val="16"/>
                <w:szCs w:val="16"/>
              </w:rPr>
              <w:t xml:space="preserve">  по базовым видам экономической</w:t>
            </w:r>
          </w:p>
          <w:p w:rsidR="00B12755" w:rsidRPr="003A6760" w:rsidRDefault="00390688" w:rsidP="00390688">
            <w:pPr>
              <w:pStyle w:val="affe"/>
              <w:widowControl w:val="0"/>
              <w:rPr>
                <w:rFonts w:ascii="Cambria" w:hAnsi="Cambria"/>
                <w:sz w:val="16"/>
                <w:szCs w:val="16"/>
              </w:rPr>
            </w:pPr>
            <w:r w:rsidRPr="00390688">
              <w:rPr>
                <w:rFonts w:ascii="Cambria" w:hAnsi="Cambria"/>
                <w:sz w:val="16"/>
                <w:szCs w:val="16"/>
              </w:rPr>
              <w:t xml:space="preserve">  деятельности за I квартал 2016 г.</w:t>
            </w:r>
          </w:p>
        </w:tc>
        <w:tc>
          <w:tcPr>
            <w:tcW w:w="648" w:type="pct"/>
            <w:vAlign w:val="center"/>
          </w:tcPr>
          <w:p w:rsidR="00B12755" w:rsidRPr="003A6760" w:rsidRDefault="00B12755" w:rsidP="00D70166">
            <w:pPr>
              <w:keepLines/>
              <w:widowControl w:val="0"/>
              <w:spacing w:line="270" w:lineRule="exact"/>
              <w:jc w:val="center"/>
              <w:rPr>
                <w:rFonts w:ascii="Cambria" w:hAnsi="Cambria"/>
                <w:sz w:val="16"/>
                <w:szCs w:val="16"/>
              </w:rPr>
            </w:pPr>
            <w:r w:rsidRPr="003A6760">
              <w:rPr>
                <w:rFonts w:ascii="Cambria" w:hAnsi="Cambria"/>
                <w:sz w:val="16"/>
                <w:szCs w:val="16"/>
              </w:rPr>
              <w:t>х</w:t>
            </w:r>
          </w:p>
        </w:tc>
        <w:tc>
          <w:tcPr>
            <w:tcW w:w="648" w:type="pct"/>
            <w:vAlign w:val="center"/>
          </w:tcPr>
          <w:p w:rsidR="00B12755" w:rsidRPr="003A6760" w:rsidRDefault="00B12755" w:rsidP="00D70166">
            <w:pPr>
              <w:keepLines/>
              <w:widowControl w:val="0"/>
              <w:spacing w:line="270" w:lineRule="exact"/>
              <w:jc w:val="center"/>
              <w:rPr>
                <w:rFonts w:ascii="Cambria" w:hAnsi="Cambria"/>
                <w:sz w:val="16"/>
                <w:szCs w:val="16"/>
              </w:rPr>
            </w:pPr>
            <w:r w:rsidRPr="003A6760">
              <w:rPr>
                <w:rFonts w:ascii="Cambria" w:hAnsi="Cambria"/>
                <w:sz w:val="16"/>
                <w:szCs w:val="16"/>
              </w:rPr>
              <w:t>х</w:t>
            </w:r>
          </w:p>
        </w:tc>
        <w:tc>
          <w:tcPr>
            <w:tcW w:w="606" w:type="pct"/>
            <w:vAlign w:val="center"/>
          </w:tcPr>
          <w:p w:rsidR="00B12755" w:rsidRPr="003A6760" w:rsidRDefault="00B12755" w:rsidP="00D70166">
            <w:pPr>
              <w:keepLines/>
              <w:widowControl w:val="0"/>
              <w:spacing w:line="270" w:lineRule="exact"/>
              <w:jc w:val="center"/>
              <w:rPr>
                <w:rFonts w:ascii="Cambria" w:hAnsi="Cambria"/>
                <w:sz w:val="16"/>
                <w:szCs w:val="16"/>
              </w:rPr>
            </w:pPr>
            <w:r w:rsidRPr="003A6760">
              <w:rPr>
                <w:rFonts w:ascii="Cambria" w:hAnsi="Cambria"/>
                <w:sz w:val="16"/>
                <w:szCs w:val="16"/>
              </w:rPr>
              <w:t>х</w:t>
            </w:r>
          </w:p>
        </w:tc>
        <w:tc>
          <w:tcPr>
            <w:tcW w:w="690" w:type="pct"/>
            <w:vAlign w:val="center"/>
          </w:tcPr>
          <w:p w:rsidR="00B12755" w:rsidRPr="003A6760" w:rsidRDefault="00B12755" w:rsidP="00D70166">
            <w:pPr>
              <w:keepLines/>
              <w:widowControl w:val="0"/>
              <w:spacing w:line="270" w:lineRule="exact"/>
              <w:jc w:val="center"/>
              <w:rPr>
                <w:rFonts w:ascii="Cambria" w:hAnsi="Cambria"/>
                <w:sz w:val="16"/>
                <w:szCs w:val="16"/>
              </w:rPr>
            </w:pPr>
            <w:r w:rsidRPr="003A6760">
              <w:rPr>
                <w:rFonts w:ascii="Cambria" w:hAnsi="Cambria"/>
                <w:sz w:val="16"/>
                <w:szCs w:val="16"/>
              </w:rPr>
              <w:t>97,8</w:t>
            </w:r>
          </w:p>
        </w:tc>
        <w:tc>
          <w:tcPr>
            <w:tcW w:w="789" w:type="pct"/>
            <w:vAlign w:val="center"/>
          </w:tcPr>
          <w:p w:rsidR="00B12755" w:rsidRPr="003A6760" w:rsidRDefault="00B12755" w:rsidP="00D70166">
            <w:pPr>
              <w:keepLines/>
              <w:widowControl w:val="0"/>
              <w:spacing w:line="270" w:lineRule="exact"/>
              <w:jc w:val="center"/>
              <w:rPr>
                <w:rFonts w:ascii="Cambria" w:hAnsi="Cambria"/>
                <w:sz w:val="16"/>
                <w:szCs w:val="16"/>
                <w:vertAlign w:val="superscript"/>
              </w:rPr>
            </w:pPr>
            <w:r w:rsidRPr="003A6760">
              <w:rPr>
                <w:rFonts w:ascii="Cambria" w:hAnsi="Cambria"/>
                <w:sz w:val="16"/>
                <w:szCs w:val="16"/>
              </w:rPr>
              <w:t>94,7</w:t>
            </w:r>
            <w:r w:rsidRPr="003A6760">
              <w:rPr>
                <w:rFonts w:ascii="Cambria" w:hAnsi="Cambria"/>
                <w:sz w:val="16"/>
                <w:szCs w:val="16"/>
                <w:vertAlign w:val="superscript"/>
              </w:rPr>
              <w:t>6)</w:t>
            </w:r>
          </w:p>
        </w:tc>
      </w:tr>
    </w:tbl>
    <w:p w:rsidR="00B12755" w:rsidRPr="00B647AA" w:rsidRDefault="00B12755" w:rsidP="00B12755">
      <w:pPr>
        <w:autoSpaceDE w:val="0"/>
        <w:autoSpaceDN w:val="0"/>
        <w:adjustRightInd w:val="0"/>
        <w:spacing w:before="120" w:after="120"/>
        <w:ind w:firstLine="720"/>
        <w:jc w:val="both"/>
        <w:rPr>
          <w:rFonts w:ascii="Bookman Old Style" w:hAnsi="Bookman Old Style"/>
          <w:bCs/>
          <w:sz w:val="20"/>
          <w:szCs w:val="20"/>
        </w:rPr>
      </w:pPr>
      <w:r w:rsidRPr="00B647AA">
        <w:rPr>
          <w:rFonts w:ascii="Bookman Old Style" w:hAnsi="Bookman Old Style"/>
          <w:bCs/>
          <w:sz w:val="20"/>
          <w:szCs w:val="20"/>
          <w:lang w:val="en-US"/>
        </w:rPr>
        <w:t>I</w:t>
      </w:r>
      <w:r w:rsidRPr="00B647AA">
        <w:rPr>
          <w:rFonts w:ascii="Bookman Old Style" w:hAnsi="Bookman Old Style"/>
          <w:bCs/>
          <w:sz w:val="20"/>
          <w:szCs w:val="20"/>
        </w:rPr>
        <w:t xml:space="preserve"> квартал 2016 года показал что индекс промышленного производства составил 98,6%. Сложившийся показатель обусловлен изменениями в основных промышленных видах деятельности. В добыче полезных ископаемых он составил 99,1%, в обрабатывающих  производствах – 97,4%, в энергетике – 105,4%.</w:t>
      </w:r>
    </w:p>
    <w:p w:rsidR="00B12755" w:rsidRPr="00B647AA" w:rsidRDefault="00B12755" w:rsidP="00B12755">
      <w:pPr>
        <w:autoSpaceDE w:val="0"/>
        <w:autoSpaceDN w:val="0"/>
        <w:adjustRightInd w:val="0"/>
        <w:spacing w:before="120" w:after="120"/>
        <w:ind w:firstLine="720"/>
        <w:jc w:val="both"/>
        <w:rPr>
          <w:rFonts w:ascii="Bookman Old Style" w:hAnsi="Bookman Old Style"/>
          <w:bCs/>
          <w:sz w:val="20"/>
          <w:szCs w:val="20"/>
        </w:rPr>
      </w:pPr>
      <w:r w:rsidRPr="00B647AA">
        <w:rPr>
          <w:rFonts w:ascii="Bookman Old Style" w:hAnsi="Bookman Old Style"/>
          <w:bCs/>
          <w:sz w:val="20"/>
          <w:szCs w:val="20"/>
        </w:rPr>
        <w:t>Выработка электроэнергии увеличилась на 4,7% к январю-марту 2015 года за счет увеличения ее выработки гидроэлектростанциями края на 13,6 %, в том числе Богучанская ГЭС увеличила производство электроэнергии в 1,3 раза (3,1 млрд кВт*ч), Красноярская ГЭС - на 8,0% (выработано 3,7 млрд кВт*ч).</w:t>
      </w:r>
    </w:p>
    <w:p w:rsidR="00B12755" w:rsidRPr="00B647AA" w:rsidRDefault="00B12755" w:rsidP="00B12755">
      <w:pPr>
        <w:autoSpaceDE w:val="0"/>
        <w:autoSpaceDN w:val="0"/>
        <w:adjustRightInd w:val="0"/>
        <w:spacing w:before="120" w:after="120"/>
        <w:ind w:firstLine="720"/>
        <w:jc w:val="both"/>
        <w:rPr>
          <w:rFonts w:ascii="Bookman Old Style" w:hAnsi="Bookman Old Style"/>
          <w:bCs/>
          <w:sz w:val="20"/>
          <w:szCs w:val="20"/>
        </w:rPr>
      </w:pPr>
      <w:r w:rsidRPr="00B647AA">
        <w:rPr>
          <w:rFonts w:ascii="Bookman Old Style" w:hAnsi="Bookman Old Style"/>
          <w:bCs/>
          <w:sz w:val="20"/>
          <w:szCs w:val="20"/>
        </w:rPr>
        <w:t>В обрабатывающих производствах увеличение выпуска продукции отмечено в 6 из 14 видов деятельности. Положительными результатами характеризуется производство пищевых продуктов (108,6%), машин и оборудования (107%), нефтепродуктов (101,2%).</w:t>
      </w:r>
    </w:p>
    <w:p w:rsidR="00B12755" w:rsidRPr="00B647AA" w:rsidRDefault="00B12755" w:rsidP="00B12755">
      <w:pPr>
        <w:autoSpaceDE w:val="0"/>
        <w:autoSpaceDN w:val="0"/>
        <w:adjustRightInd w:val="0"/>
        <w:spacing w:before="120" w:after="120"/>
        <w:ind w:firstLine="720"/>
        <w:jc w:val="both"/>
        <w:rPr>
          <w:rFonts w:ascii="Bookman Old Style" w:hAnsi="Bookman Old Style"/>
          <w:bCs/>
          <w:sz w:val="20"/>
          <w:szCs w:val="20"/>
        </w:rPr>
      </w:pPr>
      <w:r w:rsidRPr="00B647AA">
        <w:rPr>
          <w:rFonts w:ascii="Bookman Old Style" w:hAnsi="Bookman Old Style"/>
          <w:bCs/>
          <w:sz w:val="20"/>
          <w:szCs w:val="20"/>
        </w:rPr>
        <w:lastRenderedPageBreak/>
        <w:t>Также положительная динамика производства сложилась в химическом производстве (113,5 %), в производстве электрооборудования, электронного и оптического оборудования (110,3%).</w:t>
      </w:r>
    </w:p>
    <w:p w:rsidR="00B12755" w:rsidRPr="00B647AA" w:rsidRDefault="00B12755" w:rsidP="00B12755">
      <w:pPr>
        <w:autoSpaceDE w:val="0"/>
        <w:autoSpaceDN w:val="0"/>
        <w:adjustRightInd w:val="0"/>
        <w:spacing w:before="120" w:after="120"/>
        <w:ind w:firstLine="720"/>
        <w:jc w:val="both"/>
        <w:rPr>
          <w:rFonts w:ascii="Bookman Old Style" w:hAnsi="Bookman Old Style"/>
          <w:bCs/>
          <w:sz w:val="20"/>
          <w:szCs w:val="20"/>
        </w:rPr>
      </w:pPr>
      <w:r w:rsidRPr="00B647AA">
        <w:rPr>
          <w:rFonts w:ascii="Bookman Old Style" w:hAnsi="Bookman Old Style"/>
          <w:bCs/>
          <w:sz w:val="20"/>
          <w:szCs w:val="20"/>
        </w:rPr>
        <w:t>В сельском хозяйстве края объем произведенной продукции в хозяйствах всех категорий составил 8,8 млрд рублей. В сопоставимых ценах рост составил 107,1%, что обусловлено развитием отрасли животноводства. В январе-марте текущего года относительно аналогичного периода 2015 года производство скота и птицы на убой в хозяйствах всех категорий увеличилось на 13,6% (39,5 тыс. тонн), в том числе в сельскохозяйственных организациях – на 28,4% (21,9 тыс. тонн).</w:t>
      </w:r>
    </w:p>
    <w:p w:rsidR="00B12755" w:rsidRPr="00B647AA" w:rsidRDefault="00B12755" w:rsidP="00B12755">
      <w:pPr>
        <w:autoSpaceDE w:val="0"/>
        <w:autoSpaceDN w:val="0"/>
        <w:adjustRightInd w:val="0"/>
        <w:spacing w:before="120" w:after="120"/>
        <w:ind w:firstLine="720"/>
        <w:jc w:val="both"/>
        <w:rPr>
          <w:rFonts w:ascii="Bookman Old Style" w:hAnsi="Bookman Old Style"/>
          <w:bCs/>
          <w:sz w:val="20"/>
          <w:szCs w:val="20"/>
        </w:rPr>
      </w:pPr>
      <w:r w:rsidRPr="00B647AA">
        <w:rPr>
          <w:rFonts w:ascii="Bookman Old Style" w:hAnsi="Bookman Old Style"/>
          <w:bCs/>
          <w:sz w:val="20"/>
          <w:szCs w:val="20"/>
        </w:rPr>
        <w:t>В хозяйствах всех категорий увеличено производство молока на 0,3% за счет роста продуктивности коров (надой на одну корову в сельхозорганизациях увеличился до 1341 кг (на 3,6% по сравнению с первым кварталом 2015 года).</w:t>
      </w:r>
    </w:p>
    <w:p w:rsidR="00B12755" w:rsidRPr="00B647AA" w:rsidRDefault="00B12755" w:rsidP="00B12755">
      <w:pPr>
        <w:autoSpaceDE w:val="0"/>
        <w:autoSpaceDN w:val="0"/>
        <w:adjustRightInd w:val="0"/>
        <w:spacing w:before="120" w:after="120"/>
        <w:ind w:firstLine="720"/>
        <w:jc w:val="both"/>
        <w:rPr>
          <w:rFonts w:ascii="Bookman Old Style" w:hAnsi="Bookman Old Style"/>
          <w:bCs/>
          <w:sz w:val="20"/>
          <w:szCs w:val="20"/>
        </w:rPr>
      </w:pPr>
      <w:r w:rsidRPr="00B647AA">
        <w:rPr>
          <w:rFonts w:ascii="Bookman Old Style" w:hAnsi="Bookman Old Style"/>
          <w:bCs/>
          <w:sz w:val="20"/>
          <w:szCs w:val="20"/>
        </w:rPr>
        <w:t>Объем работ в строительстве в январе-марте 2016 года составил 31,9 млрд рублей или 97,9% к соответствующему периоду прошлого года.</w:t>
      </w:r>
    </w:p>
    <w:p w:rsidR="00393105" w:rsidRPr="003C4D01" w:rsidRDefault="00B12755" w:rsidP="00B12755">
      <w:pPr>
        <w:spacing w:before="120" w:after="120"/>
        <w:ind w:firstLine="709"/>
        <w:jc w:val="both"/>
        <w:rPr>
          <w:rFonts w:ascii="Bookman Old Style" w:hAnsi="Bookman Old Style"/>
          <w:sz w:val="20"/>
          <w:szCs w:val="20"/>
        </w:rPr>
      </w:pPr>
      <w:r w:rsidRPr="00B647AA">
        <w:rPr>
          <w:rFonts w:ascii="Bookman Old Style" w:hAnsi="Bookman Old Style"/>
          <w:bCs/>
          <w:sz w:val="20"/>
          <w:szCs w:val="20"/>
        </w:rPr>
        <w:t>Инфляция на потребительском рынке края за март 2016 года по краю сложилась на уровне 101,9% (по отношению к декабрю 2015 года), что ниже уровня аналогичного показателя прошлого года (106,5%)</w:t>
      </w:r>
      <w:r w:rsidR="00393105" w:rsidRPr="003C4D01">
        <w:rPr>
          <w:rFonts w:ascii="Bookman Old Style" w:hAnsi="Bookman Old Style"/>
          <w:sz w:val="20"/>
          <w:szCs w:val="20"/>
        </w:rPr>
        <w:t>).</w:t>
      </w:r>
    </w:p>
    <w:p w:rsidR="00C02CBD" w:rsidRPr="00BD39DF" w:rsidRDefault="00C02CBD" w:rsidP="00C02CBD">
      <w:pPr>
        <w:pStyle w:val="3"/>
        <w:spacing w:after="120"/>
        <w:jc w:val="left"/>
        <w:rPr>
          <w:rFonts w:ascii="Bookman Old Style" w:hAnsi="Bookman Old Style"/>
          <w:sz w:val="20"/>
          <w:szCs w:val="20"/>
        </w:rPr>
      </w:pPr>
      <w:bookmarkStart w:id="187" w:name="_Toc461206376"/>
      <w:r w:rsidRPr="00BD39DF">
        <w:rPr>
          <w:rFonts w:ascii="Bookman Old Style" w:hAnsi="Bookman Old Style"/>
          <w:sz w:val="20"/>
          <w:szCs w:val="20"/>
        </w:rPr>
        <w:t>4.2.3. Выводы</w:t>
      </w:r>
      <w:bookmarkEnd w:id="187"/>
    </w:p>
    <w:p w:rsidR="00B12755" w:rsidRPr="00B647AA" w:rsidRDefault="00B12755" w:rsidP="00B12755">
      <w:pPr>
        <w:spacing w:before="120" w:after="120"/>
        <w:ind w:firstLine="709"/>
        <w:jc w:val="both"/>
        <w:rPr>
          <w:rFonts w:ascii="Bookman Old Style" w:hAnsi="Bookman Old Style"/>
          <w:sz w:val="20"/>
          <w:szCs w:val="20"/>
        </w:rPr>
      </w:pPr>
      <w:r w:rsidRPr="00B647AA">
        <w:rPr>
          <w:rFonts w:ascii="Bookman Old Style" w:hAnsi="Bookman Old Style"/>
          <w:sz w:val="20"/>
          <w:szCs w:val="20"/>
        </w:rPr>
        <w:t>По оценке Минэкономразвития России, снижение ВВП в мае по сравнению с маем 2015 г. составило 0,8 %, за январь-май ВВП сократился на 1,0 % к соответствующему периоду прошлого года. Предполагается, что в дальнейшем темпы роста экономики повысятся до 1,9% в 2017 году и до 2,4% в 2018 году.</w:t>
      </w:r>
    </w:p>
    <w:p w:rsidR="00B12755" w:rsidRPr="00B647AA" w:rsidRDefault="00B12755" w:rsidP="00B12755">
      <w:pPr>
        <w:spacing w:before="120" w:after="120"/>
        <w:ind w:firstLine="709"/>
        <w:jc w:val="both"/>
        <w:rPr>
          <w:rFonts w:ascii="Bookman Old Style" w:hAnsi="Bookman Old Style"/>
          <w:sz w:val="20"/>
          <w:szCs w:val="20"/>
        </w:rPr>
      </w:pPr>
      <w:r w:rsidRPr="00B647AA">
        <w:rPr>
          <w:rFonts w:ascii="Bookman Old Style" w:hAnsi="Bookman Old Style"/>
          <w:sz w:val="20"/>
          <w:szCs w:val="20"/>
        </w:rPr>
        <w:t>В свою очередь, согласно целевому варианту, российская экономика выйдет на траекторию устойчивого роста с темпами, не ниже среднемировых. Ожидается, что реализация основных мер, предусматриваемых целевым сценарием развития, позволит обеспечить увеличение темпов экономического роста на 1,5-2 процентных пункта по сравнению с базовым сценарием в 2017-2018 годах и перейти к 2020 году на устойчивую динамику экономического роста со средним темпом 4,5% в год, обеспечив при этом рост производительности труда не менее чем на 5% в год и достижение целевого уровня инфляции не выше 4%. </w:t>
      </w:r>
    </w:p>
    <w:p w:rsidR="00B12755" w:rsidRPr="00B647AA" w:rsidRDefault="00B12755" w:rsidP="00B12755">
      <w:pPr>
        <w:spacing w:before="120" w:after="120"/>
        <w:ind w:firstLine="709"/>
        <w:jc w:val="both"/>
        <w:rPr>
          <w:rFonts w:ascii="Bookman Old Style" w:hAnsi="Bookman Old Style"/>
          <w:sz w:val="20"/>
          <w:szCs w:val="20"/>
        </w:rPr>
      </w:pPr>
      <w:r w:rsidRPr="00B647AA">
        <w:rPr>
          <w:rFonts w:ascii="Bookman Old Style" w:hAnsi="Bookman Old Style"/>
          <w:sz w:val="20"/>
          <w:szCs w:val="20"/>
        </w:rPr>
        <w:t xml:space="preserve">В мае снижение инфляции приостановилось - прирост потребительских цен, как и в апреле составил 0,4 процента. За годовой период инфляция третий месяц подряд сохраняется на уровне 7,3 процента.. </w:t>
      </w:r>
    </w:p>
    <w:p w:rsidR="00B12755" w:rsidRPr="00B647AA" w:rsidRDefault="00B12755" w:rsidP="00B12755">
      <w:pPr>
        <w:spacing w:before="120" w:after="120"/>
        <w:ind w:firstLine="709"/>
        <w:jc w:val="both"/>
        <w:rPr>
          <w:rFonts w:ascii="Bookman Old Style" w:hAnsi="Bookman Old Style"/>
          <w:sz w:val="20"/>
          <w:szCs w:val="20"/>
        </w:rPr>
      </w:pPr>
      <w:r w:rsidRPr="00B647AA">
        <w:rPr>
          <w:rFonts w:ascii="Bookman Old Style" w:hAnsi="Bookman Old Style"/>
          <w:sz w:val="20"/>
          <w:szCs w:val="20"/>
        </w:rPr>
        <w:t>Также базовый сценарий предполагает продолжение действия санкций со стороны США и ЕС на протяжении всего прогнозного периода. Это означает сохранение ограничений доступа к мировому рынку капитала для российских компаний и достаточно высокий уровень чистого оттока капитала из частного сектора, связанный с погашением внешнего долга.</w:t>
      </w:r>
    </w:p>
    <w:p w:rsidR="00B12755" w:rsidRPr="00B647AA" w:rsidRDefault="00B12755" w:rsidP="00B12755">
      <w:pPr>
        <w:spacing w:before="120" w:after="120"/>
        <w:ind w:firstLine="709"/>
        <w:jc w:val="both"/>
        <w:rPr>
          <w:rFonts w:ascii="Bookman Old Style" w:hAnsi="Bookman Old Style"/>
          <w:sz w:val="20"/>
          <w:szCs w:val="20"/>
        </w:rPr>
      </w:pPr>
      <w:r w:rsidRPr="00B647AA">
        <w:rPr>
          <w:rFonts w:ascii="Bookman Old Style" w:hAnsi="Bookman Old Style"/>
          <w:sz w:val="20"/>
          <w:szCs w:val="20"/>
        </w:rPr>
        <w:t>В то же время на фоне высокого оттока капитала ожидается улучшение платежного баланса по счету текущих операций благодаря стабилизации экспорта при достаточно существенном снижении импорта товаров и услуг. Начиная с 2017 года приток капитала в российскую экономику будет превышать чистый отток по счету операций с капиталом. Это создает фундаментальные предпосылки для укрепления курса национальной валюты.</w:t>
      </w:r>
    </w:p>
    <w:p w:rsidR="00B12755" w:rsidRPr="00B647AA" w:rsidRDefault="00B12755" w:rsidP="00B12755">
      <w:pPr>
        <w:spacing w:before="120" w:after="120"/>
        <w:ind w:firstLine="709"/>
        <w:jc w:val="both"/>
        <w:rPr>
          <w:rFonts w:ascii="Bookman Old Style" w:hAnsi="Bookman Old Style"/>
          <w:sz w:val="20"/>
          <w:szCs w:val="20"/>
        </w:rPr>
      </w:pPr>
      <w:r w:rsidRPr="00B647AA">
        <w:rPr>
          <w:rFonts w:ascii="Bookman Old Style" w:hAnsi="Bookman Old Style"/>
          <w:sz w:val="20"/>
          <w:szCs w:val="20"/>
        </w:rPr>
        <w:t xml:space="preserve">Дефицит федерального бюджета на кассовой основе в январе-мае текущего года составил, по предварительным данным Минфина России, 1486,09 млрд. руб., или 4,7 % ВВП против 943,69 млрд. руб. (3,1 % ВВП) за аналогичный период годом ранее. Вместе с тем прогнозируемая динамика валютного курса и цен на нефть будет оказывать положительное влияние на доходы бюджета, что позволит в 2018 году перейти от расходования резервных фондов к их накоплению </w:t>
      </w:r>
    </w:p>
    <w:p w:rsidR="00B12755" w:rsidRPr="00B647AA" w:rsidRDefault="00B12755" w:rsidP="00B12755">
      <w:pPr>
        <w:spacing w:before="120" w:after="120"/>
        <w:ind w:firstLine="709"/>
        <w:jc w:val="both"/>
        <w:rPr>
          <w:rFonts w:ascii="Bookman Old Style" w:hAnsi="Bookman Old Style"/>
          <w:bCs/>
          <w:sz w:val="20"/>
          <w:szCs w:val="20"/>
        </w:rPr>
      </w:pPr>
      <w:r w:rsidRPr="00B647AA">
        <w:rPr>
          <w:rFonts w:ascii="Bookman Old Style" w:hAnsi="Bookman Old Style"/>
          <w:sz w:val="20"/>
          <w:szCs w:val="20"/>
        </w:rPr>
        <w:t xml:space="preserve">По прогнозу социально-экономического развития Красноярского края на 2016-2018 года </w:t>
      </w:r>
      <w:r w:rsidRPr="00B647AA">
        <w:rPr>
          <w:rFonts w:ascii="Bookman Old Style" w:hAnsi="Bookman Old Style"/>
          <w:bCs/>
          <w:sz w:val="20"/>
          <w:szCs w:val="20"/>
        </w:rPr>
        <w:t>планируется  рост промышленного производства. В 2018 году на сводном индексе промышленного производства негативно отразится прогнозируемое снижение объема нефтедобычи на Ванкорском месторождении. Остальные виды деятельности (сельское хозяйство, транспорт и связь, торговля, сфера услуг) в прогнозном периоде будут обеспечивать прирост индекса физического объема ВРП.</w:t>
      </w:r>
    </w:p>
    <w:p w:rsidR="00B12755" w:rsidRPr="00B647AA" w:rsidRDefault="00B12755" w:rsidP="00B12755">
      <w:pPr>
        <w:spacing w:before="120" w:after="120"/>
        <w:ind w:firstLine="709"/>
        <w:jc w:val="both"/>
        <w:rPr>
          <w:rFonts w:ascii="Bookman Old Style" w:hAnsi="Bookman Old Style"/>
          <w:bCs/>
          <w:iCs/>
          <w:sz w:val="20"/>
          <w:szCs w:val="20"/>
        </w:rPr>
      </w:pPr>
      <w:r w:rsidRPr="00B647AA">
        <w:rPr>
          <w:rFonts w:ascii="Bookman Old Style" w:hAnsi="Bookman Old Style"/>
          <w:bCs/>
          <w:sz w:val="20"/>
          <w:szCs w:val="20"/>
        </w:rPr>
        <w:t>В металлургическом производствезапланирован выпуск первого металла</w:t>
      </w:r>
      <w:r w:rsidRPr="00B647AA">
        <w:rPr>
          <w:rFonts w:ascii="Bookman Old Style" w:hAnsi="Bookman Old Style"/>
          <w:bCs/>
          <w:iCs/>
          <w:sz w:val="20"/>
          <w:szCs w:val="20"/>
        </w:rPr>
        <w:t xml:space="preserve">на </w:t>
      </w:r>
      <w:r w:rsidRPr="00B647AA">
        <w:rPr>
          <w:rFonts w:ascii="Bookman Old Style" w:hAnsi="Bookman Old Style"/>
          <w:bCs/>
          <w:sz w:val="20"/>
          <w:szCs w:val="20"/>
        </w:rPr>
        <w:t>первом пусковом комплексе</w:t>
      </w:r>
      <w:r w:rsidRPr="00B647AA">
        <w:rPr>
          <w:rFonts w:ascii="Bookman Old Style" w:hAnsi="Bookman Old Style"/>
          <w:bCs/>
          <w:iCs/>
          <w:sz w:val="20"/>
          <w:szCs w:val="20"/>
        </w:rPr>
        <w:t>Богучанского алюминиевого завода. Продолжится реконструкция и модернизация действующих предприятий (ПАО «ГМК «Норильский никель», ОАО «РУСАЛ Красноярск», ОАО «Красцветмет», ООО «КРАМЗ»).</w:t>
      </w:r>
    </w:p>
    <w:p w:rsidR="00B12755" w:rsidRPr="00B647AA" w:rsidRDefault="00B12755" w:rsidP="00B12755">
      <w:pPr>
        <w:spacing w:before="120" w:after="120"/>
        <w:ind w:firstLine="709"/>
        <w:jc w:val="both"/>
        <w:rPr>
          <w:rFonts w:ascii="Bookman Old Style" w:hAnsi="Bookman Old Style"/>
          <w:sz w:val="20"/>
          <w:szCs w:val="20"/>
        </w:rPr>
      </w:pPr>
      <w:r w:rsidRPr="00B647AA">
        <w:rPr>
          <w:rFonts w:ascii="Bookman Old Style" w:hAnsi="Bookman Old Style"/>
          <w:sz w:val="20"/>
          <w:szCs w:val="20"/>
        </w:rPr>
        <w:lastRenderedPageBreak/>
        <w:t xml:space="preserve">В условиях действия экономических санкций со стороны США и ЕС обострились риски общего уровня уверенности экономических агентов, снизился интерес бизнеса </w:t>
      </w:r>
      <w:r w:rsidRPr="00B647AA">
        <w:rPr>
          <w:rFonts w:ascii="Bookman Old Style" w:hAnsi="Bookman Old Style"/>
          <w:sz w:val="20"/>
          <w:szCs w:val="20"/>
        </w:rPr>
        <w:br/>
        <w:t xml:space="preserve">к инвестированию. Частные компании предпочитают проводить консервативную инвестиционную политику. Но в ближайшие три года планируется реализация целого ряда значимых для края проектов. В среднесрочном периоде продолжится развитие добывающей отрасли.Наряду с развитием добычи углеводородного сырья продолжится развитие золотодобывающих компаний края. АО «Полюс» планирует увеличение мощностей золотоизвлекательных фабрик.АО «Васильевский рудник» реализует инвестиционные проекты </w:t>
      </w:r>
      <w:r w:rsidRPr="00B647AA">
        <w:rPr>
          <w:rFonts w:ascii="Bookman Old Style" w:hAnsi="Bookman Old Style"/>
          <w:sz w:val="20"/>
          <w:szCs w:val="20"/>
        </w:rPr>
        <w:br/>
        <w:t>по освоению золоторудных месторождений Партизанское и Герфед, расширению мощностей существующей золотоизвлекательной фабрики с 400 до 800 тыс. тонн. За три прогнозных года предприятие планирует увеличить объем добычи золота на 24,0 %.</w:t>
      </w:r>
    </w:p>
    <w:p w:rsidR="00B12755" w:rsidRPr="00B647AA" w:rsidRDefault="00B12755" w:rsidP="00B12755">
      <w:pPr>
        <w:spacing w:before="120" w:after="120"/>
        <w:ind w:firstLine="709"/>
        <w:jc w:val="both"/>
        <w:rPr>
          <w:rFonts w:ascii="Bookman Old Style" w:hAnsi="Bookman Old Style"/>
          <w:sz w:val="20"/>
          <w:szCs w:val="20"/>
        </w:rPr>
      </w:pPr>
      <w:r w:rsidRPr="00B647AA">
        <w:rPr>
          <w:rFonts w:ascii="Bookman Old Style" w:hAnsi="Bookman Old Style"/>
          <w:sz w:val="20"/>
          <w:szCs w:val="20"/>
        </w:rPr>
        <w:t>В ближайшие годы продолжится реализация инвестиционных проектов, направленных на расширение, модернизацию, реконструкцию и техническое перевооружение действующих производств</w:t>
      </w:r>
      <w:r w:rsidRPr="00B647AA">
        <w:rPr>
          <w:rFonts w:ascii="Bookman Old Style" w:hAnsi="Bookman Old Style"/>
          <w:i/>
          <w:sz w:val="20"/>
          <w:szCs w:val="20"/>
        </w:rPr>
        <w:t xml:space="preserve"> в </w:t>
      </w:r>
      <w:r w:rsidRPr="00B647AA">
        <w:rPr>
          <w:rFonts w:ascii="Bookman Old Style" w:hAnsi="Bookman Old Style"/>
          <w:sz w:val="20"/>
          <w:szCs w:val="20"/>
        </w:rPr>
        <w:t>обрабатывающих видах деятельности. Основной объем инвестиционных вложений обрабатывающей промышленности формирует металлургический комплекс. В рамках инвестиционного проекта «Комплексное развитие Нижнего Приангарья» в текущем году завершается строительство объектов первого пускового комплекса Богучанского алюминиевого завода.</w:t>
      </w:r>
    </w:p>
    <w:p w:rsidR="00DB2D3D" w:rsidRPr="00DB2D3D" w:rsidRDefault="00B12755" w:rsidP="00B12755">
      <w:pPr>
        <w:spacing w:before="120" w:after="120"/>
        <w:ind w:firstLine="709"/>
        <w:jc w:val="both"/>
        <w:rPr>
          <w:rFonts w:ascii="Bookman Old Style" w:hAnsi="Bookman Old Style"/>
          <w:bCs/>
          <w:sz w:val="20"/>
          <w:szCs w:val="20"/>
        </w:rPr>
      </w:pPr>
      <w:r w:rsidRPr="00B647AA">
        <w:rPr>
          <w:rFonts w:ascii="Bookman Old Style" w:hAnsi="Bookman Old Style"/>
          <w:bCs/>
          <w:sz w:val="20"/>
          <w:szCs w:val="20"/>
        </w:rPr>
        <w:t xml:space="preserve">Сохранение геополитической напряжённости и негативные последствия санкций и контрсанкций способствуют отказу населения от приобретения ряда товаров </w:t>
      </w:r>
      <w:r w:rsidRPr="00B647AA">
        <w:rPr>
          <w:rFonts w:ascii="Bookman Old Style" w:hAnsi="Bookman Old Style"/>
          <w:bCs/>
          <w:sz w:val="20"/>
          <w:szCs w:val="20"/>
        </w:rPr>
        <w:br/>
        <w:t xml:space="preserve">и необязательных услуг или ограничивают их потребление. Помимо этого </w:t>
      </w:r>
      <w:r w:rsidRPr="00B647AA">
        <w:rPr>
          <w:rFonts w:ascii="Bookman Old Style" w:hAnsi="Bookman Old Style"/>
          <w:bCs/>
          <w:sz w:val="20"/>
          <w:szCs w:val="20"/>
        </w:rPr>
        <w:br/>
        <w:t>в условиях высоких ставок по депозитам и высокой степени изменчивости курса рубля сменяется модель поведения от потребления к сбережению. В результате потребительский спрос сжимается, прежде всего, в части спроса на товары длительного пользования, что приводит к снижению темпов роста потребительского рынка (оборота розничной торговли, общественного питания и платных услуг населению)</w:t>
      </w:r>
      <w:r w:rsidR="00DB2D3D" w:rsidRPr="00DB2D3D">
        <w:rPr>
          <w:rFonts w:ascii="Bookman Old Style" w:hAnsi="Bookman Old Style"/>
          <w:bCs/>
          <w:sz w:val="20"/>
          <w:szCs w:val="20"/>
        </w:rPr>
        <w:t>.</w:t>
      </w:r>
    </w:p>
    <w:p w:rsidR="00066E13" w:rsidRPr="00300E68" w:rsidRDefault="00CB027F" w:rsidP="00300E68">
      <w:pPr>
        <w:pStyle w:val="2"/>
        <w:rPr>
          <w:rFonts w:ascii="Bookman Old Style" w:hAnsi="Bookman Old Style"/>
          <w:b/>
          <w:sz w:val="20"/>
          <w:szCs w:val="20"/>
        </w:rPr>
      </w:pPr>
      <w:bookmarkStart w:id="188" w:name="_Toc364433862"/>
      <w:bookmarkStart w:id="189" w:name="_Toc461206377"/>
      <w:r w:rsidRPr="00300E68">
        <w:rPr>
          <w:rFonts w:ascii="Bookman Old Style" w:hAnsi="Bookman Old Style"/>
          <w:b/>
          <w:sz w:val="20"/>
          <w:szCs w:val="20"/>
        </w:rPr>
        <w:t>4</w:t>
      </w:r>
      <w:r w:rsidR="00066E13" w:rsidRPr="00300E68">
        <w:rPr>
          <w:rFonts w:ascii="Bookman Old Style" w:hAnsi="Bookman Old Style"/>
          <w:b/>
          <w:sz w:val="20"/>
          <w:szCs w:val="20"/>
        </w:rPr>
        <w:t xml:space="preserve">.3. </w:t>
      </w:r>
      <w:bookmarkEnd w:id="188"/>
      <w:r w:rsidR="000811CD" w:rsidRPr="00300E68">
        <w:rPr>
          <w:rFonts w:ascii="Bookman Old Style" w:hAnsi="Bookman Old Style"/>
          <w:b/>
          <w:sz w:val="20"/>
          <w:szCs w:val="20"/>
        </w:rPr>
        <w:t>ОПРЕДЕЛЕНИЕ СЕГМЕНТА РЫНКА</w:t>
      </w:r>
      <w:bookmarkEnd w:id="189"/>
    </w:p>
    <w:p w:rsidR="00B21788" w:rsidRPr="00B21788" w:rsidRDefault="00B21788" w:rsidP="00B21788">
      <w:pPr>
        <w:spacing w:before="120" w:after="120"/>
        <w:ind w:firstLine="709"/>
        <w:jc w:val="both"/>
        <w:rPr>
          <w:rFonts w:ascii="Bookman Old Style" w:hAnsi="Bookman Old Style"/>
          <w:sz w:val="20"/>
          <w:szCs w:val="20"/>
        </w:rPr>
      </w:pPr>
      <w:r w:rsidRPr="00B21788">
        <w:rPr>
          <w:rFonts w:ascii="Bookman Old Style" w:hAnsi="Bookman Old Style"/>
          <w:sz w:val="20"/>
          <w:szCs w:val="20"/>
        </w:rPr>
        <w:t>Рынок недвижимости можно определить как взаимодействие физических и юридических лиц, которые обменивают права на недвижимость на другие активы, как правило деньги. Конкретные рынки недвижимости определяются типом имущества, местоположением, потенциалом приносимого дохода, типичными характеристиками арендаторов, отношением и мотивацией типичных инвесторов и другими признаками, признаваемыми теми физическими и юридическими лицами, которые участвуют в обмене недвижимого имущества.</w:t>
      </w:r>
    </w:p>
    <w:p w:rsidR="005F6A69" w:rsidRPr="00023975" w:rsidRDefault="00B12755" w:rsidP="005F6A69">
      <w:pPr>
        <w:autoSpaceDE w:val="0"/>
        <w:autoSpaceDN w:val="0"/>
        <w:adjustRightInd w:val="0"/>
        <w:spacing w:before="120" w:after="120"/>
        <w:ind w:left="720"/>
        <w:jc w:val="both"/>
        <w:rPr>
          <w:rFonts w:ascii="Bookman Old Style" w:hAnsi="Bookman Old Style"/>
          <w:color w:val="000000" w:themeColor="text1"/>
          <w:sz w:val="20"/>
          <w:szCs w:val="20"/>
        </w:rPr>
      </w:pPr>
      <w:r w:rsidRPr="00B12755">
        <w:rPr>
          <w:rFonts w:ascii="Bookman Old Style" w:hAnsi="Bookman Old Style"/>
          <w:sz w:val="20"/>
          <w:szCs w:val="20"/>
        </w:rPr>
        <w:t xml:space="preserve">Объектом оценки, определенным Заданием на оценку, является </w:t>
      </w:r>
      <w:r w:rsidR="005F6A69">
        <w:rPr>
          <w:rFonts w:ascii="Bookman Old Style" w:hAnsi="Bookman Old Style"/>
          <w:color w:val="000000" w:themeColor="text1"/>
          <w:sz w:val="20"/>
          <w:szCs w:val="20"/>
        </w:rPr>
        <w:t>н</w:t>
      </w:r>
      <w:r w:rsidR="005F6A69" w:rsidRPr="00023975">
        <w:rPr>
          <w:rFonts w:ascii="Bookman Old Style" w:hAnsi="Bookman Old Style"/>
          <w:color w:val="000000" w:themeColor="text1"/>
          <w:sz w:val="20"/>
          <w:szCs w:val="20"/>
        </w:rPr>
        <w:t>едвижимое и движимое имущество ООО «Окно», находящееся в залоге у Открытого акционерного общества Акционерный коммерческий банк «Банк Москвы», в составе элементов:</w:t>
      </w:r>
    </w:p>
    <w:p w:rsidR="005F6A69" w:rsidRPr="00023975" w:rsidRDefault="005F6A69" w:rsidP="00303E37">
      <w:pPr>
        <w:numPr>
          <w:ilvl w:val="1"/>
          <w:numId w:val="54"/>
        </w:numPr>
        <w:autoSpaceDE w:val="0"/>
        <w:autoSpaceDN w:val="0"/>
        <w:adjustRightInd w:val="0"/>
        <w:spacing w:before="120" w:after="120"/>
        <w:ind w:left="1134"/>
        <w:jc w:val="both"/>
        <w:rPr>
          <w:rFonts w:ascii="Bookman Old Style" w:hAnsi="Bookman Old Style"/>
          <w:color w:val="000000" w:themeColor="text1"/>
          <w:sz w:val="20"/>
          <w:szCs w:val="20"/>
        </w:rPr>
      </w:pPr>
      <w:r w:rsidRPr="00023975">
        <w:rPr>
          <w:rFonts w:ascii="Bookman Old Style" w:hAnsi="Bookman Old Style"/>
          <w:color w:val="000000" w:themeColor="text1"/>
          <w:sz w:val="20"/>
          <w:szCs w:val="20"/>
        </w:rPr>
        <w:t xml:space="preserve">Нежилое здание, назначение: 2- этажный (подземных этажей -1), общая площадь 4216,7 кв. м.,  инв.№ 04:401:001:015107160:0001, лит. В3, в,в1,В2,В4,В5,В6, адрес: г. Красноярск, ул. Айвазовского, 37 «А» Кадастровый номер: 24:50:0500203:386 </w:t>
      </w:r>
    </w:p>
    <w:p w:rsidR="005F6A69" w:rsidRPr="00023975" w:rsidRDefault="005F6A69" w:rsidP="00303E37">
      <w:pPr>
        <w:numPr>
          <w:ilvl w:val="1"/>
          <w:numId w:val="54"/>
        </w:numPr>
        <w:autoSpaceDE w:val="0"/>
        <w:autoSpaceDN w:val="0"/>
        <w:adjustRightInd w:val="0"/>
        <w:spacing w:before="120" w:after="120"/>
        <w:ind w:left="1134"/>
        <w:jc w:val="both"/>
        <w:rPr>
          <w:rFonts w:ascii="Bookman Old Style" w:hAnsi="Bookman Old Style"/>
          <w:color w:val="000000" w:themeColor="text1"/>
          <w:sz w:val="20"/>
          <w:szCs w:val="20"/>
        </w:rPr>
      </w:pPr>
      <w:r w:rsidRPr="00023975">
        <w:rPr>
          <w:rFonts w:ascii="Bookman Old Style" w:hAnsi="Bookman Old Style"/>
          <w:color w:val="000000" w:themeColor="text1"/>
          <w:sz w:val="20"/>
          <w:szCs w:val="20"/>
        </w:rPr>
        <w:t>Холодный склад, назначение: нежилое, 1- этажный,  общая площадь 1002,2 кв. метра, инв. № 01:3396:013795, лит. В1, адрес: г. Красноярск, ул. Айвазовского, 37 «А», строение 3. Кадастровый номер: 24:50:0500203:398</w:t>
      </w:r>
    </w:p>
    <w:p w:rsidR="005F6A69" w:rsidRPr="00023975" w:rsidRDefault="005F6A69" w:rsidP="00303E37">
      <w:pPr>
        <w:numPr>
          <w:ilvl w:val="1"/>
          <w:numId w:val="54"/>
        </w:numPr>
        <w:autoSpaceDE w:val="0"/>
        <w:autoSpaceDN w:val="0"/>
        <w:adjustRightInd w:val="0"/>
        <w:spacing w:before="120" w:after="120"/>
        <w:ind w:left="1134"/>
        <w:jc w:val="both"/>
        <w:rPr>
          <w:rFonts w:ascii="Bookman Old Style" w:hAnsi="Bookman Old Style"/>
          <w:color w:val="000000" w:themeColor="text1"/>
          <w:sz w:val="20"/>
          <w:szCs w:val="20"/>
        </w:rPr>
      </w:pPr>
      <w:r w:rsidRPr="00023975">
        <w:rPr>
          <w:rFonts w:ascii="Bookman Old Style" w:hAnsi="Bookman Old Style"/>
          <w:color w:val="000000" w:themeColor="text1"/>
          <w:sz w:val="20"/>
          <w:szCs w:val="20"/>
        </w:rPr>
        <w:t>Склад готовой продукции, назначение: нежилое, 1-этажный, общая площадь 1497,2 кв. м.,  инв. № 01:3237:012895, лит. В3,  адрес: г. Красноярск, ул. Айвазовского,37 «А», строен. 1, Кадастровый номер 24:50:0000000:0:105432</w:t>
      </w:r>
    </w:p>
    <w:p w:rsidR="005F6A69" w:rsidRPr="00023975" w:rsidRDefault="005F6A69" w:rsidP="00303E37">
      <w:pPr>
        <w:numPr>
          <w:ilvl w:val="1"/>
          <w:numId w:val="54"/>
        </w:numPr>
        <w:autoSpaceDE w:val="0"/>
        <w:autoSpaceDN w:val="0"/>
        <w:adjustRightInd w:val="0"/>
        <w:spacing w:before="120" w:after="120"/>
        <w:ind w:left="1134"/>
        <w:jc w:val="both"/>
        <w:rPr>
          <w:rFonts w:ascii="Bookman Old Style" w:hAnsi="Bookman Old Style"/>
          <w:color w:val="000000" w:themeColor="text1"/>
          <w:sz w:val="20"/>
          <w:szCs w:val="20"/>
        </w:rPr>
      </w:pPr>
      <w:r w:rsidRPr="00023975">
        <w:rPr>
          <w:rFonts w:ascii="Bookman Old Style" w:hAnsi="Bookman Old Style"/>
          <w:color w:val="000000" w:themeColor="text1"/>
          <w:sz w:val="20"/>
          <w:szCs w:val="20"/>
        </w:rPr>
        <w:t>Земельный участок, категория земель: земли населенных пунктов, разрешенное использование: занимаемый производственной базой, общая площадь 12774 кв. м., адрес: г. Красноярск, ул. Айвазовского,37 «А»</w:t>
      </w:r>
      <w:r>
        <w:rPr>
          <w:rFonts w:ascii="Bookman Old Style" w:hAnsi="Bookman Old Style"/>
          <w:color w:val="000000" w:themeColor="text1"/>
          <w:sz w:val="20"/>
          <w:szCs w:val="20"/>
        </w:rPr>
        <w:t>. К</w:t>
      </w:r>
      <w:r w:rsidRPr="00023975">
        <w:rPr>
          <w:rFonts w:ascii="Bookman Old Style" w:hAnsi="Bookman Old Style"/>
          <w:color w:val="000000" w:themeColor="text1"/>
          <w:sz w:val="20"/>
          <w:szCs w:val="20"/>
        </w:rPr>
        <w:t>адастровый номер: 24:50:0500203:458</w:t>
      </w:r>
    </w:p>
    <w:p w:rsidR="005F6A69" w:rsidRPr="00023975" w:rsidRDefault="005F6A69" w:rsidP="00303E37">
      <w:pPr>
        <w:numPr>
          <w:ilvl w:val="1"/>
          <w:numId w:val="54"/>
        </w:numPr>
        <w:autoSpaceDE w:val="0"/>
        <w:autoSpaceDN w:val="0"/>
        <w:adjustRightInd w:val="0"/>
        <w:spacing w:before="120" w:after="120"/>
        <w:ind w:left="1134"/>
        <w:jc w:val="both"/>
        <w:rPr>
          <w:rFonts w:ascii="Bookman Old Style" w:hAnsi="Bookman Old Style"/>
          <w:color w:val="000000" w:themeColor="text1"/>
          <w:sz w:val="20"/>
          <w:szCs w:val="20"/>
        </w:rPr>
      </w:pPr>
      <w:r w:rsidRPr="00023975">
        <w:rPr>
          <w:rFonts w:ascii="Bookman Old Style" w:hAnsi="Bookman Old Style"/>
          <w:color w:val="000000" w:themeColor="text1"/>
          <w:sz w:val="20"/>
          <w:szCs w:val="20"/>
        </w:rPr>
        <w:t>Центр обработки и нарезания ПВХ профилей  KABAN Makina FA 1030</w:t>
      </w:r>
    </w:p>
    <w:p w:rsidR="005F6A69" w:rsidRPr="00023975" w:rsidRDefault="005F6A69" w:rsidP="00303E37">
      <w:pPr>
        <w:numPr>
          <w:ilvl w:val="1"/>
          <w:numId w:val="54"/>
        </w:numPr>
        <w:autoSpaceDE w:val="0"/>
        <w:autoSpaceDN w:val="0"/>
        <w:adjustRightInd w:val="0"/>
        <w:spacing w:before="120" w:after="120"/>
        <w:ind w:left="1134"/>
        <w:jc w:val="both"/>
        <w:rPr>
          <w:rFonts w:ascii="Bookman Old Style" w:hAnsi="Bookman Old Style"/>
          <w:color w:val="000000" w:themeColor="text1"/>
          <w:sz w:val="20"/>
          <w:szCs w:val="20"/>
        </w:rPr>
      </w:pPr>
      <w:r w:rsidRPr="00023975">
        <w:rPr>
          <w:rFonts w:ascii="Bookman Old Style" w:hAnsi="Bookman Old Style"/>
          <w:color w:val="000000" w:themeColor="text1"/>
          <w:sz w:val="20"/>
          <w:szCs w:val="20"/>
        </w:rPr>
        <w:t>Станок для рубки армирования  KABAN Makina КС1010</w:t>
      </w:r>
    </w:p>
    <w:p w:rsidR="005F6A69" w:rsidRPr="00023975" w:rsidRDefault="005F6A69" w:rsidP="00303E37">
      <w:pPr>
        <w:numPr>
          <w:ilvl w:val="1"/>
          <w:numId w:val="54"/>
        </w:numPr>
        <w:autoSpaceDE w:val="0"/>
        <w:autoSpaceDN w:val="0"/>
        <w:adjustRightInd w:val="0"/>
        <w:spacing w:before="120" w:after="120"/>
        <w:ind w:left="1134"/>
        <w:jc w:val="both"/>
        <w:rPr>
          <w:rFonts w:ascii="Bookman Old Style" w:hAnsi="Bookman Old Style"/>
          <w:color w:val="000000" w:themeColor="text1"/>
          <w:sz w:val="20"/>
          <w:szCs w:val="20"/>
        </w:rPr>
      </w:pPr>
      <w:r w:rsidRPr="00023975">
        <w:rPr>
          <w:rFonts w:ascii="Bookman Old Style" w:hAnsi="Bookman Old Style"/>
          <w:color w:val="000000" w:themeColor="text1"/>
          <w:sz w:val="20"/>
          <w:szCs w:val="20"/>
        </w:rPr>
        <w:t>Цифровая система измерения  KABAN Makina DS500</w:t>
      </w:r>
    </w:p>
    <w:p w:rsidR="005F6A69" w:rsidRPr="00023975" w:rsidRDefault="005F6A69" w:rsidP="00303E37">
      <w:pPr>
        <w:numPr>
          <w:ilvl w:val="1"/>
          <w:numId w:val="54"/>
        </w:numPr>
        <w:autoSpaceDE w:val="0"/>
        <w:autoSpaceDN w:val="0"/>
        <w:adjustRightInd w:val="0"/>
        <w:spacing w:before="120" w:after="120"/>
        <w:ind w:left="1134"/>
        <w:jc w:val="both"/>
        <w:rPr>
          <w:rFonts w:ascii="Bookman Old Style" w:hAnsi="Bookman Old Style"/>
          <w:color w:val="000000" w:themeColor="text1"/>
          <w:sz w:val="20"/>
          <w:szCs w:val="20"/>
        </w:rPr>
      </w:pPr>
      <w:r w:rsidRPr="00023975">
        <w:rPr>
          <w:rFonts w:ascii="Bookman Old Style" w:hAnsi="Bookman Old Style"/>
          <w:color w:val="000000" w:themeColor="text1"/>
          <w:sz w:val="20"/>
          <w:szCs w:val="20"/>
        </w:rPr>
        <w:t>Цифровой измерительный компас KABAN Makina DК 100</w:t>
      </w:r>
    </w:p>
    <w:p w:rsidR="005F6A69" w:rsidRPr="00023975" w:rsidRDefault="005F6A69" w:rsidP="00303E37">
      <w:pPr>
        <w:numPr>
          <w:ilvl w:val="1"/>
          <w:numId w:val="54"/>
        </w:numPr>
        <w:autoSpaceDE w:val="0"/>
        <w:autoSpaceDN w:val="0"/>
        <w:adjustRightInd w:val="0"/>
        <w:spacing w:before="120" w:after="120"/>
        <w:ind w:left="1134"/>
        <w:jc w:val="both"/>
        <w:rPr>
          <w:rFonts w:ascii="Bookman Old Style" w:hAnsi="Bookman Old Style"/>
          <w:color w:val="000000" w:themeColor="text1"/>
          <w:sz w:val="20"/>
          <w:szCs w:val="20"/>
        </w:rPr>
      </w:pPr>
      <w:r w:rsidRPr="00023975">
        <w:rPr>
          <w:rFonts w:ascii="Bookman Old Style" w:hAnsi="Bookman Old Style"/>
          <w:color w:val="000000" w:themeColor="text1"/>
          <w:sz w:val="20"/>
          <w:szCs w:val="20"/>
        </w:rPr>
        <w:t>Станок одноголовочный сварочный   KABAN Makina ВА2030</w:t>
      </w:r>
    </w:p>
    <w:p w:rsidR="005F6A69" w:rsidRPr="00023975" w:rsidRDefault="005F6A69" w:rsidP="00303E37">
      <w:pPr>
        <w:numPr>
          <w:ilvl w:val="1"/>
          <w:numId w:val="54"/>
        </w:numPr>
        <w:autoSpaceDE w:val="0"/>
        <w:autoSpaceDN w:val="0"/>
        <w:adjustRightInd w:val="0"/>
        <w:spacing w:before="120" w:after="120"/>
        <w:ind w:left="1134"/>
        <w:jc w:val="both"/>
        <w:rPr>
          <w:rFonts w:ascii="Bookman Old Style" w:hAnsi="Bookman Old Style"/>
          <w:color w:val="000000" w:themeColor="text1"/>
          <w:sz w:val="20"/>
          <w:szCs w:val="20"/>
        </w:rPr>
      </w:pPr>
      <w:r w:rsidRPr="00023975">
        <w:rPr>
          <w:rFonts w:ascii="Bookman Old Style" w:hAnsi="Bookman Old Style"/>
          <w:color w:val="000000" w:themeColor="text1"/>
          <w:sz w:val="20"/>
          <w:szCs w:val="20"/>
        </w:rPr>
        <w:lastRenderedPageBreak/>
        <w:t>Автоматический копировально-фрезерный станок для фрезерования отверстий  под ручку и фурнитуру KABAN Makina DE 4060</w:t>
      </w:r>
    </w:p>
    <w:p w:rsidR="005F6A69" w:rsidRDefault="005F6A69" w:rsidP="00303E37">
      <w:pPr>
        <w:numPr>
          <w:ilvl w:val="1"/>
          <w:numId w:val="54"/>
        </w:numPr>
        <w:autoSpaceDE w:val="0"/>
        <w:autoSpaceDN w:val="0"/>
        <w:adjustRightInd w:val="0"/>
        <w:spacing w:before="120" w:after="120"/>
        <w:ind w:left="1134"/>
        <w:jc w:val="both"/>
        <w:rPr>
          <w:rFonts w:ascii="Bookman Old Style" w:hAnsi="Bookman Old Style"/>
          <w:color w:val="000000" w:themeColor="text1"/>
          <w:sz w:val="20"/>
          <w:szCs w:val="20"/>
        </w:rPr>
      </w:pPr>
      <w:r w:rsidRPr="00023975">
        <w:rPr>
          <w:rFonts w:ascii="Bookman Old Style" w:hAnsi="Bookman Old Style"/>
          <w:color w:val="000000" w:themeColor="text1"/>
          <w:sz w:val="20"/>
          <w:szCs w:val="20"/>
        </w:rPr>
        <w:t>Механический  копировально-фрезерный  станок  KABAN Makina DF4060</w:t>
      </w:r>
    </w:p>
    <w:p w:rsidR="00F174D2" w:rsidRPr="005F6A69" w:rsidRDefault="005F6A69" w:rsidP="00303E37">
      <w:pPr>
        <w:numPr>
          <w:ilvl w:val="1"/>
          <w:numId w:val="54"/>
        </w:numPr>
        <w:autoSpaceDE w:val="0"/>
        <w:autoSpaceDN w:val="0"/>
        <w:adjustRightInd w:val="0"/>
        <w:spacing w:before="120" w:after="120"/>
        <w:ind w:left="1134"/>
        <w:jc w:val="both"/>
        <w:rPr>
          <w:rFonts w:ascii="Bookman Old Style" w:hAnsi="Bookman Old Style"/>
          <w:color w:val="000000" w:themeColor="text1"/>
          <w:sz w:val="20"/>
          <w:szCs w:val="20"/>
        </w:rPr>
      </w:pPr>
      <w:r w:rsidRPr="005F6A69">
        <w:rPr>
          <w:rFonts w:ascii="Bookman Old Style" w:hAnsi="Bookman Old Style"/>
          <w:color w:val="000000" w:themeColor="text1"/>
          <w:sz w:val="20"/>
          <w:szCs w:val="20"/>
        </w:rPr>
        <w:t>Автоматический станок для обработки импоста  KABAN Makina СF3060</w:t>
      </w:r>
    </w:p>
    <w:p w:rsidR="00F71403" w:rsidRDefault="00F174D2" w:rsidP="00F174D2">
      <w:pPr>
        <w:spacing w:before="120" w:after="120"/>
        <w:ind w:firstLine="709"/>
        <w:jc w:val="both"/>
        <w:rPr>
          <w:rFonts w:ascii="Bookman Old Style" w:hAnsi="Bookman Old Style"/>
          <w:sz w:val="20"/>
          <w:szCs w:val="20"/>
        </w:rPr>
      </w:pPr>
      <w:r w:rsidRPr="00F174D2">
        <w:rPr>
          <w:rFonts w:ascii="Bookman Old Style" w:hAnsi="Bookman Old Style"/>
          <w:sz w:val="20"/>
          <w:szCs w:val="20"/>
        </w:rPr>
        <w:t xml:space="preserve">Таким образом, сегментом рынка, к которому относится Объект оценки, является рынок </w:t>
      </w:r>
      <w:r w:rsidR="00F71403">
        <w:rPr>
          <w:rFonts w:ascii="Bookman Old Style" w:hAnsi="Bookman Old Style"/>
          <w:sz w:val="20"/>
          <w:szCs w:val="20"/>
        </w:rPr>
        <w:t xml:space="preserve">коммерческой </w:t>
      </w:r>
      <w:r w:rsidRPr="00F174D2">
        <w:rPr>
          <w:rFonts w:ascii="Bookman Old Style" w:hAnsi="Bookman Old Style"/>
          <w:sz w:val="20"/>
          <w:szCs w:val="20"/>
        </w:rPr>
        <w:t xml:space="preserve">недвижимости </w:t>
      </w:r>
      <w:r w:rsidR="005F6A69">
        <w:rPr>
          <w:rFonts w:ascii="Bookman Old Style" w:hAnsi="Bookman Old Style"/>
          <w:sz w:val="20"/>
          <w:szCs w:val="20"/>
        </w:rPr>
        <w:t>производственно-складского и офисного</w:t>
      </w:r>
      <w:r w:rsidRPr="00F174D2">
        <w:rPr>
          <w:rFonts w:ascii="Bookman Old Style" w:hAnsi="Bookman Old Style"/>
          <w:sz w:val="20"/>
          <w:szCs w:val="20"/>
        </w:rPr>
        <w:t xml:space="preserve"> назначения</w:t>
      </w:r>
      <w:r w:rsidR="005F6A69">
        <w:rPr>
          <w:rFonts w:ascii="Bookman Old Style" w:hAnsi="Bookman Old Style"/>
          <w:sz w:val="20"/>
          <w:szCs w:val="20"/>
        </w:rPr>
        <w:t xml:space="preserve">, рынок земельных участков </w:t>
      </w:r>
      <w:r w:rsidR="005F6A69" w:rsidRPr="005F6A69">
        <w:rPr>
          <w:rFonts w:ascii="Bookman Old Style" w:hAnsi="Bookman Old Style"/>
          <w:sz w:val="20"/>
          <w:szCs w:val="20"/>
        </w:rPr>
        <w:t>производственно-складского назначения</w:t>
      </w:r>
      <w:r w:rsidR="005F6A69">
        <w:rPr>
          <w:rFonts w:ascii="Bookman Old Style" w:hAnsi="Bookman Old Style"/>
          <w:sz w:val="20"/>
          <w:szCs w:val="20"/>
        </w:rPr>
        <w:t xml:space="preserve"> и рынок оборудования</w:t>
      </w:r>
      <w:r w:rsidR="00F71403">
        <w:rPr>
          <w:rFonts w:ascii="Bookman Old Style" w:hAnsi="Bookman Old Style"/>
          <w:sz w:val="20"/>
          <w:szCs w:val="20"/>
        </w:rPr>
        <w:t>.</w:t>
      </w:r>
    </w:p>
    <w:p w:rsidR="00511C48" w:rsidRPr="00071A85" w:rsidRDefault="00071A85" w:rsidP="00D96ED6">
      <w:pPr>
        <w:pStyle w:val="2"/>
        <w:rPr>
          <w:rFonts w:ascii="Bookman Old Style" w:hAnsi="Bookman Old Style"/>
          <w:b/>
          <w:sz w:val="20"/>
          <w:szCs w:val="20"/>
        </w:rPr>
      </w:pPr>
      <w:bookmarkStart w:id="190" w:name="_Toc461206378"/>
      <w:bookmarkStart w:id="191" w:name="_Toc364433865"/>
      <w:r w:rsidRPr="00071A85">
        <w:rPr>
          <w:rFonts w:ascii="Bookman Old Style" w:hAnsi="Bookman Old Style"/>
          <w:b/>
          <w:sz w:val="20"/>
          <w:szCs w:val="20"/>
        </w:rPr>
        <w:t xml:space="preserve">4.4. АНАЛИЗ ФАКТИЧЕСКИХ ДАННЫХ </w:t>
      </w:r>
      <w:r w:rsidR="00D96ED6" w:rsidRPr="00D96ED6">
        <w:rPr>
          <w:rFonts w:ascii="Bookman Old Style" w:hAnsi="Bookman Old Style"/>
          <w:b/>
          <w:sz w:val="20"/>
          <w:szCs w:val="20"/>
        </w:rPr>
        <w:t>О ЦЕНАХ СДЕЛОК И ПРЕДЛОЖЕНИЙ С ЭЛЕМЕНТАМИ ОБЪЕКТА ОЦЕНКИ, С УКАЗАНИЕМ ИНТЕРВАЛА ЗНАЧЕНИЙ ЦЕН</w:t>
      </w:r>
      <w:r w:rsidR="002F61EF">
        <w:rPr>
          <w:rFonts w:ascii="Bookman Old Style" w:hAnsi="Bookman Old Style"/>
          <w:b/>
          <w:sz w:val="20"/>
          <w:szCs w:val="20"/>
        </w:rPr>
        <w:t xml:space="preserve"> </w:t>
      </w:r>
      <w:r w:rsidRPr="00071A85">
        <w:rPr>
          <w:rFonts w:ascii="Bookman Old Style" w:hAnsi="Bookman Old Style"/>
          <w:b/>
          <w:sz w:val="20"/>
          <w:szCs w:val="20"/>
        </w:rPr>
        <w:t>КРАСНОЯРСК</w:t>
      </w:r>
      <w:r w:rsidRPr="0016464E">
        <w:rPr>
          <w:rFonts w:ascii="Bookman Old Style" w:hAnsi="Bookman Old Style"/>
          <w:b/>
          <w:sz w:val="20"/>
          <w:szCs w:val="20"/>
        </w:rPr>
        <w:t>А</w:t>
      </w:r>
      <w:bookmarkEnd w:id="190"/>
    </w:p>
    <w:p w:rsidR="00066E13" w:rsidRPr="00677254" w:rsidRDefault="00CB027F" w:rsidP="00066E13">
      <w:pPr>
        <w:pStyle w:val="3"/>
        <w:rPr>
          <w:rFonts w:ascii="Bookman Old Style" w:hAnsi="Bookman Old Style"/>
          <w:sz w:val="20"/>
          <w:szCs w:val="20"/>
        </w:rPr>
      </w:pPr>
      <w:bookmarkStart w:id="192" w:name="_Toc348605145"/>
      <w:bookmarkStart w:id="193" w:name="_Toc364433866"/>
      <w:bookmarkStart w:id="194" w:name="_Toc461206379"/>
      <w:bookmarkEnd w:id="191"/>
      <w:r>
        <w:rPr>
          <w:rFonts w:ascii="Bookman Old Style" w:hAnsi="Bookman Old Style"/>
          <w:sz w:val="20"/>
          <w:szCs w:val="20"/>
        </w:rPr>
        <w:t>4</w:t>
      </w:r>
      <w:r w:rsidR="00066E13" w:rsidRPr="00677254">
        <w:rPr>
          <w:rFonts w:ascii="Bookman Old Style" w:hAnsi="Bookman Old Style"/>
          <w:sz w:val="20"/>
          <w:szCs w:val="20"/>
        </w:rPr>
        <w:t>.</w:t>
      </w:r>
      <w:r w:rsidR="00590619">
        <w:rPr>
          <w:rFonts w:ascii="Bookman Old Style" w:hAnsi="Bookman Old Style"/>
          <w:sz w:val="20"/>
          <w:szCs w:val="20"/>
        </w:rPr>
        <w:t>4</w:t>
      </w:r>
      <w:r w:rsidR="00066E13" w:rsidRPr="00677254">
        <w:rPr>
          <w:rFonts w:ascii="Bookman Old Style" w:hAnsi="Bookman Old Style"/>
          <w:sz w:val="20"/>
          <w:szCs w:val="20"/>
        </w:rPr>
        <w:t>.</w:t>
      </w:r>
      <w:r w:rsidR="00590619">
        <w:rPr>
          <w:rFonts w:ascii="Bookman Old Style" w:hAnsi="Bookman Old Style"/>
          <w:sz w:val="20"/>
          <w:szCs w:val="20"/>
        </w:rPr>
        <w:t>1</w:t>
      </w:r>
      <w:r w:rsidR="00066E13" w:rsidRPr="00677254">
        <w:rPr>
          <w:rFonts w:ascii="Bookman Old Style" w:hAnsi="Bookman Old Style"/>
          <w:sz w:val="20"/>
          <w:szCs w:val="20"/>
        </w:rPr>
        <w:t xml:space="preserve">. </w:t>
      </w:r>
      <w:bookmarkEnd w:id="192"/>
      <w:bookmarkEnd w:id="193"/>
      <w:r w:rsidR="00B12755" w:rsidRPr="00B12755">
        <w:rPr>
          <w:rFonts w:ascii="Bookman Old Style" w:hAnsi="Bookman Old Style"/>
          <w:sz w:val="20"/>
          <w:szCs w:val="20"/>
        </w:rPr>
        <w:t>Анализ вторичного рынка коммерческой недвижимости</w:t>
      </w:r>
      <w:r w:rsidR="00B12755" w:rsidRPr="00B12755">
        <w:rPr>
          <w:rFonts w:ascii="Bookman Old Style" w:hAnsi="Bookman Old Style"/>
          <w:sz w:val="20"/>
          <w:szCs w:val="20"/>
          <w:vertAlign w:val="superscript"/>
        </w:rPr>
        <w:t xml:space="preserve"> </w:t>
      </w:r>
      <w:r w:rsidR="00D96ED6" w:rsidRPr="0016464E">
        <w:rPr>
          <w:rFonts w:ascii="Bookman Old Style" w:hAnsi="Bookman Old Style"/>
          <w:b w:val="0"/>
          <w:sz w:val="20"/>
          <w:szCs w:val="20"/>
          <w:vertAlign w:val="superscript"/>
        </w:rPr>
        <w:footnoteReference w:id="25"/>
      </w:r>
      <w:bookmarkEnd w:id="194"/>
    </w:p>
    <w:p w:rsidR="00B12755" w:rsidRDefault="00B12755" w:rsidP="00B12755">
      <w:pPr>
        <w:spacing w:before="120" w:after="120"/>
        <w:ind w:firstLine="709"/>
        <w:jc w:val="both"/>
        <w:rPr>
          <w:rFonts w:ascii="Bookman Old Style" w:hAnsi="Bookman Old Style"/>
          <w:sz w:val="20"/>
          <w:szCs w:val="20"/>
        </w:rPr>
      </w:pPr>
      <w:bookmarkStart w:id="195" w:name="_Toc367864958"/>
      <w:bookmarkStart w:id="196" w:name="_Toc380226791"/>
      <w:bookmarkStart w:id="197" w:name="_Toc404078824"/>
      <w:bookmarkStart w:id="198" w:name="_Toc364433869"/>
      <w:bookmarkStart w:id="199" w:name="_Toc404078825"/>
      <w:r w:rsidRPr="00112651">
        <w:rPr>
          <w:rFonts w:ascii="Bookman Old Style" w:hAnsi="Bookman Old Style"/>
          <w:sz w:val="20"/>
          <w:szCs w:val="20"/>
        </w:rPr>
        <w:t>На рынке коммерческой недвижимости Красноярска представлен</w:t>
      </w:r>
      <w:r>
        <w:rPr>
          <w:rFonts w:ascii="Bookman Old Style" w:hAnsi="Bookman Old Style"/>
          <w:sz w:val="20"/>
          <w:szCs w:val="20"/>
        </w:rPr>
        <w:t>о</w:t>
      </w:r>
      <w:r w:rsidRPr="00112651">
        <w:rPr>
          <w:rFonts w:ascii="Bookman Old Style" w:hAnsi="Bookman Old Style"/>
          <w:sz w:val="20"/>
          <w:szCs w:val="20"/>
        </w:rPr>
        <w:t xml:space="preserve"> </w:t>
      </w:r>
      <w:r w:rsidRPr="0018076A">
        <w:rPr>
          <w:rFonts w:ascii="Bookman Old Style" w:hAnsi="Bookman Old Style"/>
          <w:sz w:val="20"/>
          <w:szCs w:val="20"/>
        </w:rPr>
        <w:t xml:space="preserve">около </w:t>
      </w:r>
      <w:r>
        <w:rPr>
          <w:rFonts w:ascii="Bookman Old Style" w:hAnsi="Bookman Old Style"/>
          <w:sz w:val="20"/>
          <w:szCs w:val="20"/>
        </w:rPr>
        <w:t xml:space="preserve">370 </w:t>
      </w:r>
      <w:r w:rsidRPr="00112651">
        <w:rPr>
          <w:rFonts w:ascii="Bookman Old Style" w:hAnsi="Bookman Old Style"/>
          <w:sz w:val="20"/>
          <w:szCs w:val="20"/>
        </w:rPr>
        <w:t>все</w:t>
      </w:r>
      <w:r>
        <w:rPr>
          <w:rFonts w:ascii="Bookman Old Style" w:hAnsi="Bookman Old Style"/>
          <w:sz w:val="20"/>
          <w:szCs w:val="20"/>
        </w:rPr>
        <w:t>х видов</w:t>
      </w:r>
      <w:r w:rsidRPr="00112651">
        <w:rPr>
          <w:rFonts w:ascii="Bookman Old Style" w:hAnsi="Bookman Old Style"/>
          <w:sz w:val="20"/>
          <w:szCs w:val="20"/>
        </w:rPr>
        <w:t xml:space="preserve"> объектов – складские, офисные, торговые, производственные</w:t>
      </w:r>
      <w:r>
        <w:rPr>
          <w:rFonts w:ascii="Bookman Old Style" w:hAnsi="Bookman Old Style"/>
          <w:sz w:val="20"/>
          <w:szCs w:val="20"/>
        </w:rPr>
        <w:t>,</w:t>
      </w:r>
      <w:r w:rsidRPr="00112651">
        <w:rPr>
          <w:rFonts w:ascii="Bookman Old Style" w:hAnsi="Bookman Old Style"/>
          <w:sz w:val="20"/>
          <w:szCs w:val="20"/>
        </w:rPr>
        <w:t xml:space="preserve"> </w:t>
      </w:r>
      <w:r w:rsidRPr="0018076A">
        <w:rPr>
          <w:rFonts w:ascii="Bookman Old Style" w:hAnsi="Bookman Old Style"/>
          <w:sz w:val="20"/>
          <w:szCs w:val="20"/>
        </w:rPr>
        <w:t xml:space="preserve">из них большую часть представляет </w:t>
      </w:r>
      <w:r>
        <w:rPr>
          <w:rFonts w:ascii="Bookman Old Style" w:hAnsi="Bookman Old Style"/>
          <w:sz w:val="20"/>
          <w:szCs w:val="20"/>
        </w:rPr>
        <w:t>офисные</w:t>
      </w:r>
      <w:r w:rsidRPr="0018076A">
        <w:rPr>
          <w:rFonts w:ascii="Bookman Old Style" w:hAnsi="Bookman Old Style"/>
          <w:sz w:val="20"/>
          <w:szCs w:val="20"/>
        </w:rPr>
        <w:t xml:space="preserve"> объекты</w:t>
      </w:r>
      <w:r>
        <w:rPr>
          <w:rFonts w:ascii="Bookman Old Style" w:hAnsi="Bookman Old Style"/>
          <w:sz w:val="20"/>
          <w:szCs w:val="20"/>
        </w:rPr>
        <w:t xml:space="preserve"> и </w:t>
      </w:r>
      <w:r w:rsidRPr="0018076A">
        <w:rPr>
          <w:rFonts w:ascii="Bookman Old Style" w:hAnsi="Bookman Old Style"/>
          <w:sz w:val="20"/>
          <w:szCs w:val="20"/>
        </w:rPr>
        <w:t xml:space="preserve">помещения свободного назначения, требующие </w:t>
      </w:r>
      <w:r>
        <w:rPr>
          <w:rFonts w:ascii="Bookman Old Style" w:hAnsi="Bookman Old Style"/>
          <w:sz w:val="20"/>
          <w:szCs w:val="20"/>
        </w:rPr>
        <w:t>ремонта. С</w:t>
      </w:r>
      <w:r w:rsidRPr="00112651">
        <w:rPr>
          <w:rFonts w:ascii="Bookman Old Style" w:hAnsi="Bookman Old Style"/>
          <w:sz w:val="20"/>
          <w:szCs w:val="20"/>
        </w:rPr>
        <w:t>просом</w:t>
      </w:r>
      <w:r>
        <w:rPr>
          <w:rFonts w:ascii="Bookman Old Style" w:hAnsi="Bookman Old Style"/>
          <w:sz w:val="20"/>
          <w:szCs w:val="20"/>
        </w:rPr>
        <w:t>,</w:t>
      </w:r>
      <w:r w:rsidRPr="00112651">
        <w:rPr>
          <w:rFonts w:ascii="Bookman Old Style" w:hAnsi="Bookman Old Style"/>
          <w:sz w:val="20"/>
          <w:szCs w:val="20"/>
        </w:rPr>
        <w:t xml:space="preserve"> </w:t>
      </w:r>
      <w:r>
        <w:rPr>
          <w:rFonts w:ascii="Bookman Old Style" w:hAnsi="Bookman Old Style"/>
          <w:sz w:val="20"/>
          <w:szCs w:val="20"/>
        </w:rPr>
        <w:t xml:space="preserve">в основном, </w:t>
      </w:r>
      <w:r w:rsidRPr="00112651">
        <w:rPr>
          <w:rFonts w:ascii="Bookman Old Style" w:hAnsi="Bookman Old Style"/>
          <w:sz w:val="20"/>
          <w:szCs w:val="20"/>
        </w:rPr>
        <w:t xml:space="preserve">пользуются торговые и офисные помещения. </w:t>
      </w:r>
    </w:p>
    <w:p w:rsidR="00B12755" w:rsidRPr="00112651" w:rsidRDefault="00B12755" w:rsidP="00B12755">
      <w:pPr>
        <w:spacing w:before="120" w:after="120"/>
        <w:ind w:firstLine="709"/>
        <w:jc w:val="both"/>
        <w:rPr>
          <w:rFonts w:ascii="Bookman Old Style" w:hAnsi="Bookman Old Style"/>
          <w:sz w:val="20"/>
          <w:szCs w:val="20"/>
        </w:rPr>
      </w:pPr>
      <w:r w:rsidRPr="00112651">
        <w:rPr>
          <w:rFonts w:ascii="Bookman Old Style" w:hAnsi="Bookman Old Style"/>
          <w:sz w:val="20"/>
          <w:szCs w:val="20"/>
        </w:rPr>
        <w:t xml:space="preserve">На рынке промышленных объектов застой наблюдался еще </w:t>
      </w:r>
      <w:r>
        <w:rPr>
          <w:rFonts w:ascii="Bookman Old Style" w:hAnsi="Bookman Old Style"/>
          <w:sz w:val="20"/>
          <w:szCs w:val="20"/>
        </w:rPr>
        <w:t>с 2008 года</w:t>
      </w:r>
      <w:r w:rsidRPr="00112651">
        <w:rPr>
          <w:rFonts w:ascii="Bookman Old Style" w:hAnsi="Bookman Old Style"/>
          <w:sz w:val="20"/>
          <w:szCs w:val="20"/>
        </w:rPr>
        <w:t xml:space="preserve">. Всё дело в том, что большинство таких объектов еще несколько лет назад было переоборудовано под офисы или склады. </w:t>
      </w:r>
    </w:p>
    <w:p w:rsidR="00B12755" w:rsidRDefault="00B12755" w:rsidP="00B12755">
      <w:pPr>
        <w:spacing w:before="120" w:after="120"/>
        <w:ind w:firstLine="709"/>
        <w:jc w:val="both"/>
        <w:rPr>
          <w:rFonts w:ascii="Bookman Old Style" w:hAnsi="Bookman Old Style"/>
          <w:sz w:val="20"/>
          <w:szCs w:val="20"/>
        </w:rPr>
      </w:pPr>
      <w:r w:rsidRPr="00112651">
        <w:rPr>
          <w:rFonts w:ascii="Bookman Old Style" w:hAnsi="Bookman Old Style"/>
          <w:sz w:val="20"/>
          <w:szCs w:val="20"/>
        </w:rPr>
        <w:t>Суммарный объем офисных помещений в городе по итогам I квартала 2016 г. составил 450 752 кв.м (в результате ввода в III квартале 2015 г. БЦ «Капитал»). Лидером по общему объему предложения офис</w:t>
      </w:r>
      <w:r>
        <w:rPr>
          <w:rFonts w:ascii="Bookman Old Style" w:hAnsi="Bookman Old Style"/>
          <w:sz w:val="20"/>
          <w:szCs w:val="20"/>
        </w:rPr>
        <w:t xml:space="preserve">ных площадей является Советский, Железнодорожный и Центральный </w:t>
      </w:r>
      <w:r w:rsidRPr="00112651">
        <w:rPr>
          <w:rFonts w:ascii="Bookman Old Style" w:hAnsi="Bookman Old Style"/>
          <w:sz w:val="20"/>
          <w:szCs w:val="20"/>
        </w:rPr>
        <w:t>район</w:t>
      </w:r>
      <w:r>
        <w:rPr>
          <w:rFonts w:ascii="Bookman Old Style" w:hAnsi="Bookman Old Style"/>
          <w:sz w:val="20"/>
          <w:szCs w:val="20"/>
        </w:rPr>
        <w:t>ы</w:t>
      </w:r>
      <w:r w:rsidRPr="00112651">
        <w:rPr>
          <w:rFonts w:ascii="Bookman Old Style" w:hAnsi="Bookman Old Style"/>
          <w:sz w:val="20"/>
          <w:szCs w:val="20"/>
        </w:rPr>
        <w:t xml:space="preserve"> города. Наименьший объем предложения характерен для Ленинского и Кировского районов города</w:t>
      </w:r>
      <w:r>
        <w:rPr>
          <w:rFonts w:ascii="Bookman Old Style" w:hAnsi="Bookman Old Style"/>
          <w:sz w:val="20"/>
          <w:szCs w:val="20"/>
        </w:rPr>
        <w:t>.</w:t>
      </w:r>
    </w:p>
    <w:p w:rsidR="00B12755" w:rsidRDefault="00B12755" w:rsidP="00B12755">
      <w:pPr>
        <w:spacing w:before="120" w:after="120"/>
        <w:ind w:firstLine="709"/>
        <w:jc w:val="both"/>
        <w:rPr>
          <w:rFonts w:ascii="Bookman Old Style" w:hAnsi="Bookman Old Style"/>
          <w:sz w:val="20"/>
          <w:szCs w:val="20"/>
        </w:rPr>
      </w:pPr>
      <w:r>
        <w:rPr>
          <w:rFonts w:ascii="Bookman Old Style" w:hAnsi="Bookman Old Style"/>
          <w:sz w:val="20"/>
          <w:szCs w:val="20"/>
        </w:rPr>
        <w:t>Так, п</w:t>
      </w:r>
      <w:r w:rsidRPr="0018076A">
        <w:rPr>
          <w:rFonts w:ascii="Bookman Old Style" w:hAnsi="Bookman Old Style"/>
          <w:sz w:val="20"/>
          <w:szCs w:val="20"/>
        </w:rPr>
        <w:t xml:space="preserve">редложения о продаже офисных площадей находятся в диапазоне от </w:t>
      </w:r>
      <w:r>
        <w:rPr>
          <w:rFonts w:ascii="Bookman Old Style" w:hAnsi="Bookman Old Style"/>
          <w:sz w:val="20"/>
          <w:szCs w:val="20"/>
        </w:rPr>
        <w:t>25</w:t>
      </w:r>
      <w:r w:rsidRPr="0018076A">
        <w:rPr>
          <w:rFonts w:ascii="Bookman Old Style" w:hAnsi="Bookman Old Style"/>
          <w:sz w:val="20"/>
          <w:szCs w:val="20"/>
        </w:rPr>
        <w:t xml:space="preserve"> </w:t>
      </w:r>
      <w:r>
        <w:rPr>
          <w:rFonts w:ascii="Bookman Old Style" w:hAnsi="Bookman Old Style"/>
          <w:sz w:val="20"/>
          <w:szCs w:val="20"/>
        </w:rPr>
        <w:t>446</w:t>
      </w:r>
      <w:r w:rsidRPr="0018076A">
        <w:rPr>
          <w:rFonts w:ascii="Bookman Old Style" w:hAnsi="Bookman Old Style"/>
          <w:sz w:val="20"/>
          <w:szCs w:val="20"/>
        </w:rPr>
        <w:t xml:space="preserve"> до </w:t>
      </w:r>
      <w:r>
        <w:rPr>
          <w:rFonts w:ascii="Bookman Old Style" w:hAnsi="Bookman Old Style"/>
          <w:sz w:val="20"/>
          <w:szCs w:val="20"/>
        </w:rPr>
        <w:t>130 682</w:t>
      </w:r>
      <w:r w:rsidRPr="0018076A">
        <w:rPr>
          <w:rFonts w:ascii="Bookman Old Style" w:hAnsi="Bookman Old Style"/>
          <w:sz w:val="20"/>
          <w:szCs w:val="20"/>
        </w:rPr>
        <w:t xml:space="preserve"> рублей за 1 кв.м.</w:t>
      </w:r>
      <w:r>
        <w:rPr>
          <w:rFonts w:ascii="Bookman Old Style" w:hAnsi="Bookman Old Style"/>
          <w:sz w:val="20"/>
          <w:szCs w:val="20"/>
        </w:rPr>
        <w:t xml:space="preserve"> в зависимости от расположения и технического состояния объекта. </w:t>
      </w:r>
    </w:p>
    <w:p w:rsidR="00B12755" w:rsidRDefault="00B12755" w:rsidP="00B12755">
      <w:pPr>
        <w:spacing w:before="120" w:after="120"/>
        <w:ind w:firstLine="709"/>
        <w:jc w:val="both"/>
        <w:rPr>
          <w:rFonts w:ascii="Bookman Old Style" w:hAnsi="Bookman Old Style"/>
          <w:sz w:val="20"/>
          <w:szCs w:val="20"/>
        </w:rPr>
      </w:pPr>
      <w:r w:rsidRPr="00112651">
        <w:rPr>
          <w:rFonts w:ascii="Bookman Old Style" w:hAnsi="Bookman Old Style"/>
          <w:sz w:val="20"/>
          <w:szCs w:val="20"/>
        </w:rPr>
        <w:t>Рынок торговой недвижимости Красноярска сегодня находится под негативным внешнеэкономическим влиянием. Сегодня, по подсчетам специалистов, общая площадь всех ТЦ и ТРЦ в Красноярске составляет более 1,1 млн. кв. м. Одной из важных тенденцией развития рынка торговой недвижимости Красноярска является отказ игроков рынка от менее успешных направлений в пользу наиболее эффективных брендов. Тем не менее, рынок торговых площадей Красноярска будет близок к своему насыщению. Площадь торговых и торгово-развлекательных центров Красноярска увеличится на 180 тыс.кв.м. Показатель обеспеченности населения торговыми площадями приблизится к критическому уровню в 500-600 кв.м на 1000 жителей.</w:t>
      </w:r>
    </w:p>
    <w:p w:rsidR="00B12755" w:rsidRDefault="00B12755" w:rsidP="00B12755">
      <w:pPr>
        <w:spacing w:before="120" w:after="120"/>
        <w:ind w:firstLine="709"/>
        <w:jc w:val="both"/>
        <w:rPr>
          <w:rFonts w:ascii="Bookman Old Style" w:hAnsi="Bookman Old Style"/>
          <w:sz w:val="20"/>
          <w:szCs w:val="20"/>
        </w:rPr>
      </w:pPr>
      <w:r w:rsidRPr="0018076A">
        <w:rPr>
          <w:rFonts w:ascii="Bookman Old Style" w:hAnsi="Bookman Old Style"/>
          <w:sz w:val="20"/>
          <w:szCs w:val="20"/>
        </w:rPr>
        <w:t xml:space="preserve">На рынке продаж коммерческой недвижимости </w:t>
      </w:r>
      <w:r>
        <w:rPr>
          <w:rFonts w:ascii="Bookman Old Style" w:hAnsi="Bookman Old Style"/>
          <w:sz w:val="20"/>
          <w:szCs w:val="20"/>
        </w:rPr>
        <w:t xml:space="preserve">на дату оценки </w:t>
      </w:r>
      <w:r w:rsidRPr="0018076A">
        <w:rPr>
          <w:rFonts w:ascii="Bookman Old Style" w:hAnsi="Bookman Old Style"/>
          <w:sz w:val="20"/>
          <w:szCs w:val="20"/>
        </w:rPr>
        <w:t xml:space="preserve">представлено около </w:t>
      </w:r>
      <w:r>
        <w:rPr>
          <w:rFonts w:ascii="Bookman Old Style" w:hAnsi="Bookman Old Style"/>
          <w:sz w:val="20"/>
          <w:szCs w:val="20"/>
        </w:rPr>
        <w:t>60</w:t>
      </w:r>
      <w:r w:rsidRPr="0018076A">
        <w:rPr>
          <w:rFonts w:ascii="Bookman Old Style" w:hAnsi="Bookman Old Style"/>
          <w:sz w:val="20"/>
          <w:szCs w:val="20"/>
        </w:rPr>
        <w:t xml:space="preserve"> помещений торгового назначения. Торговые площади расположены как на первых этажах жилых домов, переведенных в нежилое, так и отдельно стоящи</w:t>
      </w:r>
      <w:r>
        <w:rPr>
          <w:rFonts w:ascii="Bookman Old Style" w:hAnsi="Bookman Old Style"/>
          <w:sz w:val="20"/>
          <w:szCs w:val="20"/>
        </w:rPr>
        <w:t>х</w:t>
      </w:r>
      <w:r w:rsidRPr="0018076A">
        <w:rPr>
          <w:rFonts w:ascii="Bookman Old Style" w:hAnsi="Bookman Old Style"/>
          <w:sz w:val="20"/>
          <w:szCs w:val="20"/>
        </w:rPr>
        <w:t xml:space="preserve"> здания</w:t>
      </w:r>
      <w:r>
        <w:rPr>
          <w:rFonts w:ascii="Bookman Old Style" w:hAnsi="Bookman Old Style"/>
          <w:sz w:val="20"/>
          <w:szCs w:val="20"/>
        </w:rPr>
        <w:t>х и торговые центры</w:t>
      </w:r>
      <w:r w:rsidRPr="0018076A">
        <w:rPr>
          <w:rFonts w:ascii="Bookman Old Style" w:hAnsi="Bookman Old Style"/>
          <w:sz w:val="20"/>
          <w:szCs w:val="20"/>
        </w:rPr>
        <w:t xml:space="preserve">. Диапазон средней стоимости составляет </w:t>
      </w:r>
      <w:r>
        <w:rPr>
          <w:rFonts w:ascii="Bookman Old Style" w:hAnsi="Bookman Old Style"/>
          <w:sz w:val="20"/>
          <w:szCs w:val="20"/>
        </w:rPr>
        <w:t>11 429</w:t>
      </w:r>
      <w:r w:rsidRPr="0018076A">
        <w:rPr>
          <w:rFonts w:ascii="Bookman Old Style" w:hAnsi="Bookman Old Style"/>
          <w:sz w:val="20"/>
          <w:szCs w:val="20"/>
        </w:rPr>
        <w:t xml:space="preserve"> – </w:t>
      </w:r>
      <w:r>
        <w:rPr>
          <w:rFonts w:ascii="Bookman Old Style" w:hAnsi="Bookman Old Style"/>
          <w:sz w:val="20"/>
          <w:szCs w:val="20"/>
        </w:rPr>
        <w:t>194 611</w:t>
      </w:r>
      <w:r w:rsidRPr="0018076A">
        <w:rPr>
          <w:rFonts w:ascii="Bookman Old Style" w:hAnsi="Bookman Old Style"/>
          <w:sz w:val="20"/>
          <w:szCs w:val="20"/>
        </w:rPr>
        <w:t>. Разброс цен зависит от местоположения торгового помещения, чем дальше от центральной части города, тем стоимость 1 кв.м. меньше</w:t>
      </w:r>
      <w:r>
        <w:rPr>
          <w:rFonts w:ascii="Bookman Old Style" w:hAnsi="Bookman Old Style"/>
          <w:sz w:val="20"/>
          <w:szCs w:val="20"/>
        </w:rPr>
        <w:t xml:space="preserve">. </w:t>
      </w:r>
      <w:r w:rsidRPr="00112651">
        <w:rPr>
          <w:rFonts w:ascii="Bookman Old Style" w:hAnsi="Bookman Old Style"/>
          <w:sz w:val="20"/>
          <w:szCs w:val="20"/>
        </w:rPr>
        <w:t>Торговые центры</w:t>
      </w:r>
      <w:r>
        <w:rPr>
          <w:rFonts w:ascii="Bookman Old Style" w:hAnsi="Bookman Old Style"/>
          <w:sz w:val="20"/>
          <w:szCs w:val="20"/>
        </w:rPr>
        <w:t>, в основном,</w:t>
      </w:r>
      <w:r w:rsidRPr="00112651">
        <w:rPr>
          <w:rFonts w:ascii="Bookman Old Style" w:hAnsi="Bookman Old Style"/>
          <w:sz w:val="20"/>
          <w:szCs w:val="20"/>
        </w:rPr>
        <w:t xml:space="preserve"> соср</w:t>
      </w:r>
      <w:r>
        <w:rPr>
          <w:rFonts w:ascii="Bookman Old Style" w:hAnsi="Bookman Old Style"/>
          <w:sz w:val="20"/>
          <w:szCs w:val="20"/>
        </w:rPr>
        <w:t>едоточены в отдаленных районах, б</w:t>
      </w:r>
      <w:r w:rsidRPr="00112651">
        <w:rPr>
          <w:rFonts w:ascii="Bookman Old Style" w:hAnsi="Bookman Old Style"/>
          <w:sz w:val="20"/>
          <w:szCs w:val="20"/>
        </w:rPr>
        <w:t>ольшая часть находится в Советском районе</w:t>
      </w:r>
      <w:r>
        <w:rPr>
          <w:rFonts w:ascii="Bookman Old Style" w:hAnsi="Bookman Old Style"/>
          <w:sz w:val="20"/>
          <w:szCs w:val="20"/>
        </w:rPr>
        <w:t xml:space="preserve">, примерно </w:t>
      </w:r>
      <w:r w:rsidRPr="00112651">
        <w:rPr>
          <w:rFonts w:ascii="Bookman Old Style" w:hAnsi="Bookman Old Style"/>
          <w:sz w:val="20"/>
          <w:szCs w:val="20"/>
        </w:rPr>
        <w:t xml:space="preserve"> 23% торговых центров расположилось в </w:t>
      </w:r>
      <w:r>
        <w:rPr>
          <w:rFonts w:ascii="Bookman Old Style" w:hAnsi="Bookman Old Style"/>
          <w:sz w:val="20"/>
          <w:szCs w:val="20"/>
        </w:rPr>
        <w:t>С</w:t>
      </w:r>
      <w:r w:rsidRPr="00112651">
        <w:rPr>
          <w:rFonts w:ascii="Bookman Old Style" w:hAnsi="Bookman Old Style"/>
          <w:sz w:val="20"/>
          <w:szCs w:val="20"/>
        </w:rPr>
        <w:t xml:space="preserve">вердловском </w:t>
      </w:r>
      <w:r>
        <w:rPr>
          <w:rFonts w:ascii="Bookman Old Style" w:hAnsi="Bookman Old Style"/>
          <w:sz w:val="20"/>
          <w:szCs w:val="20"/>
        </w:rPr>
        <w:t>районе.</w:t>
      </w:r>
    </w:p>
    <w:p w:rsidR="00B12755" w:rsidRDefault="00B12755" w:rsidP="00B12755">
      <w:pPr>
        <w:spacing w:before="120" w:after="120"/>
        <w:ind w:firstLine="709"/>
        <w:jc w:val="both"/>
        <w:rPr>
          <w:rFonts w:ascii="Bookman Old Style" w:hAnsi="Bookman Old Style"/>
          <w:sz w:val="20"/>
          <w:szCs w:val="20"/>
        </w:rPr>
      </w:pPr>
      <w:r w:rsidRPr="0018076A">
        <w:rPr>
          <w:rFonts w:ascii="Bookman Old Style" w:hAnsi="Bookman Old Style"/>
          <w:sz w:val="20"/>
          <w:szCs w:val="20"/>
        </w:rPr>
        <w:t>Производственно-складские объекты в основном представлены в промышленной части города</w:t>
      </w:r>
      <w:r>
        <w:rPr>
          <w:rFonts w:ascii="Bookman Old Style" w:hAnsi="Bookman Old Style"/>
          <w:sz w:val="20"/>
          <w:szCs w:val="20"/>
        </w:rPr>
        <w:t xml:space="preserve">. </w:t>
      </w:r>
      <w:r w:rsidRPr="009B5FEB">
        <w:rPr>
          <w:rFonts w:ascii="Bookman Old Style" w:hAnsi="Bookman Old Style"/>
          <w:iCs/>
          <w:sz w:val="20"/>
          <w:szCs w:val="20"/>
        </w:rPr>
        <w:t>На сегодняшний момент Красноярск не является крупным логистическим хабом в России. Общая площадь помещений, которую можно отнести к разряду качественной, составляет порядка 100 тыс. метров</w:t>
      </w:r>
      <w:r>
        <w:rPr>
          <w:rFonts w:ascii="Bookman Old Style" w:hAnsi="Bookman Old Style"/>
          <w:iCs/>
          <w:sz w:val="20"/>
          <w:szCs w:val="20"/>
        </w:rPr>
        <w:t>, н</w:t>
      </w:r>
      <w:r w:rsidRPr="009B5FEB">
        <w:rPr>
          <w:rFonts w:ascii="Bookman Old Style" w:hAnsi="Bookman Old Style"/>
          <w:iCs/>
          <w:sz w:val="20"/>
          <w:szCs w:val="20"/>
        </w:rPr>
        <w:t>о заполняемость довольно высокая, что хорошо для экономики этих проектов</w:t>
      </w:r>
    </w:p>
    <w:p w:rsidR="00B12755" w:rsidRDefault="00B12755" w:rsidP="00B12755">
      <w:pPr>
        <w:spacing w:before="120" w:after="120"/>
        <w:ind w:firstLine="709"/>
        <w:jc w:val="both"/>
        <w:rPr>
          <w:rFonts w:ascii="Bookman Old Style" w:hAnsi="Bookman Old Style"/>
          <w:sz w:val="20"/>
          <w:szCs w:val="20"/>
        </w:rPr>
      </w:pPr>
      <w:r w:rsidRPr="009B5FEB">
        <w:rPr>
          <w:rFonts w:ascii="Bookman Old Style" w:hAnsi="Bookman Old Style"/>
          <w:sz w:val="20"/>
          <w:szCs w:val="20"/>
        </w:rPr>
        <w:t xml:space="preserve">По данным </w:t>
      </w:r>
      <w:r>
        <w:rPr>
          <w:rFonts w:ascii="Bookman Old Style" w:hAnsi="Bookman Old Style"/>
          <w:sz w:val="20"/>
          <w:szCs w:val="20"/>
        </w:rPr>
        <w:t>специалистов</w:t>
      </w:r>
      <w:r w:rsidRPr="009B5FEB">
        <w:rPr>
          <w:rFonts w:ascii="Bookman Old Style" w:hAnsi="Bookman Old Style"/>
          <w:sz w:val="20"/>
          <w:szCs w:val="20"/>
        </w:rPr>
        <w:t>, формированию рынка качественной складской недвижимости в Красноярске препятствует близость к разви</w:t>
      </w:r>
      <w:r>
        <w:rPr>
          <w:rFonts w:ascii="Bookman Old Style" w:hAnsi="Bookman Old Style"/>
          <w:sz w:val="20"/>
          <w:szCs w:val="20"/>
        </w:rPr>
        <w:t>тому рынку Новосибирска и отдале</w:t>
      </w:r>
      <w:r w:rsidRPr="009B5FEB">
        <w:rPr>
          <w:rFonts w:ascii="Bookman Old Style" w:hAnsi="Bookman Old Style"/>
          <w:sz w:val="20"/>
          <w:szCs w:val="20"/>
        </w:rPr>
        <w:t>нность от большинства других крупных городов России.</w:t>
      </w:r>
      <w:r>
        <w:rPr>
          <w:rFonts w:ascii="Bookman Old Style" w:hAnsi="Bookman Old Style"/>
          <w:sz w:val="20"/>
          <w:szCs w:val="20"/>
        </w:rPr>
        <w:t xml:space="preserve"> </w:t>
      </w:r>
      <w:r w:rsidRPr="009B5FEB">
        <w:rPr>
          <w:rFonts w:ascii="Bookman Old Style" w:hAnsi="Bookman Old Style"/>
          <w:sz w:val="20"/>
          <w:szCs w:val="20"/>
        </w:rPr>
        <w:t>На сегодняшний день в Красноярске порядка 70% складских объектов относятся к классу «С»: расположены в полуподвальных помещениях и на территории бывших промышленных площадок</w:t>
      </w:r>
      <w:r>
        <w:rPr>
          <w:rFonts w:ascii="Bookman Old Style" w:hAnsi="Bookman Old Style"/>
          <w:sz w:val="20"/>
          <w:szCs w:val="20"/>
        </w:rPr>
        <w:t>.</w:t>
      </w:r>
    </w:p>
    <w:p w:rsidR="00B12755" w:rsidRDefault="00B12755" w:rsidP="00B12755">
      <w:pPr>
        <w:spacing w:before="120" w:after="120"/>
        <w:ind w:firstLine="709"/>
        <w:jc w:val="both"/>
        <w:rPr>
          <w:rFonts w:ascii="Bookman Old Style" w:hAnsi="Bookman Old Style"/>
          <w:sz w:val="20"/>
          <w:szCs w:val="20"/>
        </w:rPr>
      </w:pPr>
      <w:r>
        <w:rPr>
          <w:rFonts w:ascii="Bookman Old Style" w:hAnsi="Bookman Old Style"/>
          <w:sz w:val="20"/>
          <w:szCs w:val="20"/>
        </w:rPr>
        <w:t>Средняя стоимость предложений за 1 кв.м. объектов производственно-складского назначения варьируется в пределах 1 364 – 65 000. О</w:t>
      </w:r>
      <w:r w:rsidRPr="0018076A">
        <w:rPr>
          <w:rFonts w:ascii="Bookman Old Style" w:hAnsi="Bookman Old Style"/>
          <w:sz w:val="20"/>
          <w:szCs w:val="20"/>
        </w:rPr>
        <w:t>бщ</w:t>
      </w:r>
      <w:r>
        <w:rPr>
          <w:rFonts w:ascii="Bookman Old Style" w:hAnsi="Bookman Old Style"/>
          <w:sz w:val="20"/>
          <w:szCs w:val="20"/>
        </w:rPr>
        <w:t>ий</w:t>
      </w:r>
      <w:r w:rsidRPr="0018076A">
        <w:rPr>
          <w:rFonts w:ascii="Bookman Old Style" w:hAnsi="Bookman Old Style"/>
          <w:sz w:val="20"/>
          <w:szCs w:val="20"/>
        </w:rPr>
        <w:t xml:space="preserve"> объем предложени</w:t>
      </w:r>
      <w:r>
        <w:rPr>
          <w:rFonts w:ascii="Bookman Old Style" w:hAnsi="Bookman Old Style"/>
          <w:sz w:val="20"/>
          <w:szCs w:val="20"/>
        </w:rPr>
        <w:t>й</w:t>
      </w:r>
      <w:r w:rsidRPr="0018076A">
        <w:rPr>
          <w:rFonts w:ascii="Bookman Old Style" w:hAnsi="Bookman Old Style"/>
          <w:sz w:val="20"/>
          <w:szCs w:val="20"/>
        </w:rPr>
        <w:t xml:space="preserve"> </w:t>
      </w:r>
      <w:r>
        <w:rPr>
          <w:rFonts w:ascii="Bookman Old Style" w:hAnsi="Bookman Old Style"/>
          <w:sz w:val="20"/>
          <w:szCs w:val="20"/>
        </w:rPr>
        <w:t>ПСН</w:t>
      </w:r>
      <w:r w:rsidRPr="0018076A">
        <w:rPr>
          <w:rFonts w:ascii="Bookman Old Style" w:hAnsi="Bookman Old Style"/>
          <w:sz w:val="20"/>
          <w:szCs w:val="20"/>
        </w:rPr>
        <w:t xml:space="preserve"> площадей </w:t>
      </w:r>
      <w:r>
        <w:rPr>
          <w:rFonts w:ascii="Bookman Old Style" w:hAnsi="Bookman Old Style"/>
          <w:sz w:val="20"/>
          <w:szCs w:val="20"/>
        </w:rPr>
        <w:t xml:space="preserve">находится в </w:t>
      </w:r>
      <w:r w:rsidRPr="0018076A">
        <w:rPr>
          <w:rFonts w:ascii="Bookman Old Style" w:hAnsi="Bookman Old Style"/>
          <w:sz w:val="20"/>
          <w:szCs w:val="20"/>
        </w:rPr>
        <w:t>Советск</w:t>
      </w:r>
      <w:r>
        <w:rPr>
          <w:rFonts w:ascii="Bookman Old Style" w:hAnsi="Bookman Old Style"/>
          <w:sz w:val="20"/>
          <w:szCs w:val="20"/>
        </w:rPr>
        <w:t xml:space="preserve">ом и Ленинском </w:t>
      </w:r>
      <w:r w:rsidRPr="0018076A">
        <w:rPr>
          <w:rFonts w:ascii="Bookman Old Style" w:hAnsi="Bookman Old Style"/>
          <w:sz w:val="20"/>
          <w:szCs w:val="20"/>
        </w:rPr>
        <w:t>рай</w:t>
      </w:r>
      <w:r>
        <w:rPr>
          <w:rFonts w:ascii="Bookman Old Style" w:hAnsi="Bookman Old Style"/>
          <w:sz w:val="20"/>
          <w:szCs w:val="20"/>
        </w:rPr>
        <w:t>онах</w:t>
      </w:r>
      <w:r w:rsidRPr="0018076A">
        <w:rPr>
          <w:rFonts w:ascii="Bookman Old Style" w:hAnsi="Bookman Old Style"/>
          <w:sz w:val="20"/>
          <w:szCs w:val="20"/>
        </w:rPr>
        <w:t xml:space="preserve"> города</w:t>
      </w:r>
      <w:r>
        <w:rPr>
          <w:rFonts w:ascii="Bookman Old Style" w:hAnsi="Bookman Old Style"/>
          <w:sz w:val="20"/>
          <w:szCs w:val="20"/>
        </w:rPr>
        <w:t>.</w:t>
      </w:r>
    </w:p>
    <w:p w:rsidR="00B12755" w:rsidRDefault="00B12755" w:rsidP="00B12755">
      <w:pPr>
        <w:spacing w:before="120" w:after="120"/>
        <w:ind w:firstLine="709"/>
        <w:jc w:val="both"/>
        <w:rPr>
          <w:rFonts w:ascii="Bookman Old Style" w:hAnsi="Bookman Old Style"/>
          <w:sz w:val="20"/>
          <w:szCs w:val="20"/>
        </w:rPr>
      </w:pPr>
      <w:r>
        <w:rPr>
          <w:rFonts w:ascii="Bookman Old Style" w:hAnsi="Bookman Old Style"/>
          <w:sz w:val="20"/>
          <w:szCs w:val="20"/>
        </w:rPr>
        <w:lastRenderedPageBreak/>
        <w:t>По данным</w:t>
      </w:r>
      <w:r w:rsidRPr="00423DD5">
        <w:rPr>
          <w:rFonts w:ascii="Cambria" w:hAnsi="Cambria"/>
          <w:sz w:val="16"/>
          <w:szCs w:val="16"/>
        </w:rPr>
        <w:t xml:space="preserve"> </w:t>
      </w:r>
      <w:r>
        <w:rPr>
          <w:rFonts w:ascii="Bookman Old Style" w:hAnsi="Bookman Old Style"/>
          <w:sz w:val="20"/>
          <w:szCs w:val="20"/>
        </w:rPr>
        <w:t>о</w:t>
      </w:r>
      <w:r w:rsidRPr="0018076A">
        <w:rPr>
          <w:rFonts w:ascii="Bookman Old Style" w:hAnsi="Bookman Old Style"/>
          <w:sz w:val="20"/>
          <w:szCs w:val="20"/>
        </w:rPr>
        <w:t>тчет</w:t>
      </w:r>
      <w:r>
        <w:rPr>
          <w:rFonts w:ascii="Bookman Old Style" w:hAnsi="Bookman Old Style"/>
          <w:sz w:val="20"/>
          <w:szCs w:val="20"/>
        </w:rPr>
        <w:t>а</w:t>
      </w:r>
      <w:r w:rsidRPr="0018076A">
        <w:rPr>
          <w:rFonts w:ascii="Bookman Old Style" w:hAnsi="Bookman Old Style"/>
          <w:sz w:val="20"/>
          <w:szCs w:val="20"/>
        </w:rPr>
        <w:t xml:space="preserve"> </w:t>
      </w:r>
      <w:r w:rsidRPr="0018076A">
        <w:rPr>
          <w:rFonts w:ascii="Bookman Old Style" w:hAnsi="Bookman Old Style"/>
          <w:sz w:val="20"/>
          <w:szCs w:val="20"/>
          <w:lang w:val="en-GB"/>
        </w:rPr>
        <w:t>RID</w:t>
      </w:r>
      <w:r w:rsidRPr="0018076A">
        <w:rPr>
          <w:rFonts w:ascii="Bookman Old Style" w:hAnsi="Bookman Old Style"/>
          <w:sz w:val="20"/>
          <w:szCs w:val="20"/>
        </w:rPr>
        <w:t xml:space="preserve"> </w:t>
      </w:r>
      <w:r w:rsidRPr="0018076A">
        <w:rPr>
          <w:rFonts w:ascii="Bookman Old Style" w:hAnsi="Bookman Old Style"/>
          <w:sz w:val="20"/>
          <w:szCs w:val="20"/>
          <w:lang w:val="en-GB"/>
        </w:rPr>
        <w:t>Analytics</w:t>
      </w:r>
      <w:r>
        <w:rPr>
          <w:rFonts w:ascii="Bookman Old Style" w:hAnsi="Bookman Old Style"/>
          <w:sz w:val="20"/>
          <w:szCs w:val="20"/>
        </w:rPr>
        <w:t>, в</w:t>
      </w:r>
      <w:r w:rsidRPr="00112651">
        <w:rPr>
          <w:rFonts w:ascii="Bookman Old Style" w:hAnsi="Bookman Old Style"/>
          <w:sz w:val="20"/>
          <w:szCs w:val="20"/>
        </w:rPr>
        <w:t xml:space="preserve"> 1 квартале 2016 года, по сравнению с предыдущим периодом, средние удельные цены выросли по производственно-складским объектам на 1,1%, по офисным и торговым помещениям цены снизились на 3,3% и 3,4% соответственно</w:t>
      </w:r>
      <w:r>
        <w:rPr>
          <w:rFonts w:ascii="Bookman Old Style" w:hAnsi="Bookman Old Style"/>
          <w:sz w:val="20"/>
          <w:szCs w:val="20"/>
        </w:rPr>
        <w:t>.</w:t>
      </w:r>
    </w:p>
    <w:p w:rsidR="00B12755" w:rsidRDefault="00B12755" w:rsidP="00B12755">
      <w:pPr>
        <w:spacing w:before="120" w:after="120"/>
        <w:ind w:firstLine="709"/>
        <w:jc w:val="center"/>
        <w:rPr>
          <w:rFonts w:ascii="Bookman Old Style" w:hAnsi="Bookman Old Style"/>
          <w:sz w:val="20"/>
          <w:szCs w:val="20"/>
        </w:rPr>
      </w:pPr>
      <w:r>
        <w:rPr>
          <w:rFonts w:ascii="Bookman Old Style" w:hAnsi="Bookman Old Style"/>
          <w:noProof/>
          <w:sz w:val="20"/>
          <w:szCs w:val="20"/>
        </w:rPr>
        <w:drawing>
          <wp:inline distT="0" distB="0" distL="0" distR="0">
            <wp:extent cx="5752465" cy="2254250"/>
            <wp:effectExtent l="0" t="0" r="635" b="0"/>
            <wp:docPr id="235" name="Рисунок 235" descr="1-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47"/>
                    <pic:cNvPicPr>
                      <a:picLocks noChangeAspect="1" noChangeArrowheads="1"/>
                    </pic:cNvPicPr>
                  </pic:nvPicPr>
                  <pic:blipFill>
                    <a:blip r:embed="rId4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52465" cy="2254250"/>
                    </a:xfrm>
                    <a:prstGeom prst="rect">
                      <a:avLst/>
                    </a:prstGeom>
                    <a:noFill/>
                    <a:ln>
                      <a:noFill/>
                    </a:ln>
                  </pic:spPr>
                </pic:pic>
              </a:graphicData>
            </a:graphic>
          </wp:inline>
        </w:drawing>
      </w:r>
    </w:p>
    <w:p w:rsidR="00B12755" w:rsidRDefault="00B12755" w:rsidP="00B12755">
      <w:pPr>
        <w:spacing w:before="120" w:after="120"/>
        <w:ind w:firstLine="709"/>
        <w:jc w:val="both"/>
        <w:rPr>
          <w:rFonts w:ascii="Bookman Old Style" w:hAnsi="Bookman Old Style"/>
          <w:sz w:val="20"/>
          <w:szCs w:val="20"/>
        </w:rPr>
      </w:pPr>
      <w:r w:rsidRPr="00AC326F">
        <w:rPr>
          <w:rFonts w:ascii="Bookman Old Style" w:hAnsi="Bookman Old Style" w:cs="Arial"/>
          <w:sz w:val="20"/>
          <w:szCs w:val="20"/>
        </w:rPr>
        <w:t xml:space="preserve">Рынок аренды коммерческой недвижимости </w:t>
      </w:r>
      <w:r>
        <w:rPr>
          <w:rFonts w:ascii="Bookman Old Style" w:hAnsi="Bookman Old Style" w:cs="Arial"/>
          <w:sz w:val="20"/>
          <w:szCs w:val="20"/>
        </w:rPr>
        <w:t>также активно развит</w:t>
      </w:r>
      <w:r w:rsidRPr="00AC326F">
        <w:rPr>
          <w:rFonts w:ascii="Bookman Old Style" w:hAnsi="Bookman Old Style" w:cs="Arial"/>
          <w:sz w:val="20"/>
          <w:szCs w:val="20"/>
        </w:rPr>
        <w:t xml:space="preserve">. </w:t>
      </w:r>
      <w:r>
        <w:rPr>
          <w:rFonts w:ascii="Bookman Old Style" w:hAnsi="Bookman Old Style" w:cs="Arial"/>
          <w:sz w:val="20"/>
          <w:szCs w:val="20"/>
        </w:rPr>
        <w:t xml:space="preserve">Общее количество предложений о сдаче в аренду всех площадей коммерческого назначения составляет порядка 670 объявлений. </w:t>
      </w:r>
      <w:r w:rsidRPr="00AC326F">
        <w:rPr>
          <w:rFonts w:ascii="Bookman Old Style" w:hAnsi="Bookman Old Style" w:cs="Arial"/>
          <w:sz w:val="20"/>
          <w:szCs w:val="20"/>
        </w:rPr>
        <w:t>В основном в аренду предлагаются помещения торгового</w:t>
      </w:r>
      <w:r>
        <w:rPr>
          <w:rFonts w:ascii="Bookman Old Style" w:hAnsi="Bookman Old Style" w:cs="Arial"/>
          <w:sz w:val="20"/>
          <w:szCs w:val="20"/>
        </w:rPr>
        <w:t xml:space="preserve"> и офисного</w:t>
      </w:r>
      <w:r w:rsidRPr="00AC326F">
        <w:rPr>
          <w:rFonts w:ascii="Bookman Old Style" w:hAnsi="Bookman Old Style" w:cs="Arial"/>
          <w:sz w:val="20"/>
          <w:szCs w:val="20"/>
        </w:rPr>
        <w:t xml:space="preserve"> назначения. Средняя ставка аренды 1 кв.м. торгово</w:t>
      </w:r>
      <w:r>
        <w:rPr>
          <w:rFonts w:ascii="Bookman Old Style" w:hAnsi="Bookman Old Style" w:cs="Arial"/>
          <w:sz w:val="20"/>
          <w:szCs w:val="20"/>
        </w:rPr>
        <w:t>го помещения составляет 200 – 2 500</w:t>
      </w:r>
      <w:r w:rsidRPr="00AC326F">
        <w:rPr>
          <w:rFonts w:ascii="Bookman Old Style" w:hAnsi="Bookman Old Style" w:cs="Arial"/>
          <w:sz w:val="20"/>
          <w:szCs w:val="20"/>
        </w:rPr>
        <w:t xml:space="preserve"> руб. в месяц в зависимости от местоположения и состояния. </w:t>
      </w:r>
      <w:r>
        <w:rPr>
          <w:rFonts w:ascii="Bookman Old Style" w:hAnsi="Bookman Old Style" w:cs="Arial"/>
          <w:sz w:val="20"/>
          <w:szCs w:val="20"/>
        </w:rPr>
        <w:t>Ставка аренды офисных площадей находится в диапазоне от 200 до 1 200 рублей за 1 кв.м. в месяц. Из п</w:t>
      </w:r>
      <w:r w:rsidRPr="00AC326F">
        <w:rPr>
          <w:rFonts w:ascii="Bookman Old Style" w:hAnsi="Bookman Old Style" w:cs="Arial"/>
          <w:sz w:val="20"/>
          <w:szCs w:val="20"/>
        </w:rPr>
        <w:t>роизводственно-складских помещений предлагающихся к сдаче в аренду</w:t>
      </w:r>
      <w:r>
        <w:rPr>
          <w:rFonts w:ascii="Bookman Old Style" w:hAnsi="Bookman Old Style" w:cs="Arial"/>
          <w:sz w:val="20"/>
          <w:szCs w:val="20"/>
        </w:rPr>
        <w:t>, выявлено около 60 объектов со стоимостью предложения от 100 до 500  руб. за 1 кв.м.</w:t>
      </w:r>
    </w:p>
    <w:p w:rsidR="00B12755" w:rsidRDefault="00B12755" w:rsidP="00B12755">
      <w:pPr>
        <w:spacing w:before="120" w:after="120"/>
        <w:ind w:firstLine="709"/>
        <w:jc w:val="both"/>
        <w:rPr>
          <w:rFonts w:ascii="Bookman Old Style" w:hAnsi="Bookman Old Style"/>
          <w:sz w:val="20"/>
          <w:szCs w:val="20"/>
        </w:rPr>
      </w:pPr>
      <w:r>
        <w:rPr>
          <w:rFonts w:ascii="Bookman Old Style" w:hAnsi="Bookman Old Style"/>
          <w:sz w:val="20"/>
          <w:szCs w:val="20"/>
        </w:rPr>
        <w:t>А</w:t>
      </w:r>
      <w:r w:rsidRPr="00112651">
        <w:rPr>
          <w:rFonts w:ascii="Bookman Old Style" w:hAnsi="Bookman Old Style"/>
          <w:sz w:val="20"/>
          <w:szCs w:val="20"/>
        </w:rPr>
        <w:t xml:space="preserve">рендные ставки предложения </w:t>
      </w:r>
      <w:r>
        <w:rPr>
          <w:rFonts w:ascii="Bookman Old Style" w:hAnsi="Bookman Old Style"/>
          <w:sz w:val="20"/>
          <w:szCs w:val="20"/>
        </w:rPr>
        <w:t>в</w:t>
      </w:r>
      <w:r w:rsidRPr="00112651">
        <w:rPr>
          <w:rFonts w:ascii="Bookman Old Style" w:hAnsi="Bookman Old Style"/>
          <w:sz w:val="20"/>
          <w:szCs w:val="20"/>
        </w:rPr>
        <w:t xml:space="preserve"> 1 полугодии 2016г.</w:t>
      </w:r>
      <w:r>
        <w:rPr>
          <w:rFonts w:ascii="Bookman Old Style" w:hAnsi="Bookman Old Style"/>
          <w:sz w:val="20"/>
          <w:szCs w:val="20"/>
        </w:rPr>
        <w:t xml:space="preserve">, по данным </w:t>
      </w:r>
      <w:r w:rsidRPr="007D11A8">
        <w:rPr>
          <w:rFonts w:ascii="Bookman Old Style" w:hAnsi="Bookman Old Style"/>
          <w:sz w:val="20"/>
          <w:szCs w:val="20"/>
        </w:rPr>
        <w:t xml:space="preserve">отчета </w:t>
      </w:r>
      <w:r w:rsidRPr="007D11A8">
        <w:rPr>
          <w:rFonts w:ascii="Bookman Old Style" w:hAnsi="Bookman Old Style"/>
          <w:sz w:val="20"/>
          <w:szCs w:val="20"/>
          <w:lang w:val="en-GB"/>
        </w:rPr>
        <w:t>RID</w:t>
      </w:r>
      <w:r w:rsidRPr="007D11A8">
        <w:rPr>
          <w:rFonts w:ascii="Bookman Old Style" w:hAnsi="Bookman Old Style"/>
          <w:sz w:val="20"/>
          <w:szCs w:val="20"/>
        </w:rPr>
        <w:t xml:space="preserve"> </w:t>
      </w:r>
      <w:r w:rsidRPr="007D11A8">
        <w:rPr>
          <w:rFonts w:ascii="Bookman Old Style" w:hAnsi="Bookman Old Style"/>
          <w:sz w:val="20"/>
          <w:szCs w:val="20"/>
          <w:lang w:val="en-GB"/>
        </w:rPr>
        <w:t>Analytics</w:t>
      </w:r>
      <w:r w:rsidRPr="00112651">
        <w:rPr>
          <w:rFonts w:ascii="Bookman Old Style" w:hAnsi="Bookman Old Style"/>
          <w:sz w:val="20"/>
          <w:szCs w:val="20"/>
        </w:rPr>
        <w:t>, по сравнению с предыдущим периодом, снизились по производственно-складским помещениям на 4,6%, по офисным и торговым объектам – на 3,3% и 0,01% соответственно</w:t>
      </w:r>
      <w:r>
        <w:rPr>
          <w:rFonts w:ascii="Bookman Old Style" w:hAnsi="Bookman Old Style"/>
          <w:sz w:val="20"/>
          <w:szCs w:val="20"/>
        </w:rPr>
        <w:t xml:space="preserve"> </w:t>
      </w:r>
    </w:p>
    <w:p w:rsidR="00B12755" w:rsidRDefault="00B12755" w:rsidP="00B12755">
      <w:pPr>
        <w:spacing w:before="120" w:after="120"/>
        <w:ind w:firstLine="709"/>
        <w:jc w:val="both"/>
        <w:rPr>
          <w:rFonts w:ascii="Bookman Old Style" w:hAnsi="Bookman Old Style"/>
          <w:sz w:val="20"/>
          <w:szCs w:val="20"/>
        </w:rPr>
      </w:pPr>
      <w:r>
        <w:rPr>
          <w:rFonts w:ascii="Bookman Old Style" w:hAnsi="Bookman Old Style"/>
          <w:noProof/>
          <w:sz w:val="20"/>
          <w:szCs w:val="20"/>
        </w:rPr>
        <w:drawing>
          <wp:inline distT="0" distB="0" distL="0" distR="0">
            <wp:extent cx="5901055" cy="2286000"/>
            <wp:effectExtent l="0" t="0" r="4445" b="0"/>
            <wp:docPr id="234" name="Рисунок 234" descr="1-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161"/>
                    <pic:cNvPicPr>
                      <a:picLocks noChangeAspect="1" noChangeArrowheads="1"/>
                    </pic:cNvPicPr>
                  </pic:nvPicPr>
                  <pic:blipFill>
                    <a:blip r:embed="rId5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01055" cy="2286000"/>
                    </a:xfrm>
                    <a:prstGeom prst="rect">
                      <a:avLst/>
                    </a:prstGeom>
                    <a:noFill/>
                    <a:ln>
                      <a:noFill/>
                    </a:ln>
                  </pic:spPr>
                </pic:pic>
              </a:graphicData>
            </a:graphic>
          </wp:inline>
        </w:drawing>
      </w:r>
    </w:p>
    <w:p w:rsidR="00424E1B" w:rsidRPr="00D229B7" w:rsidRDefault="00391023" w:rsidP="00424E1B">
      <w:pPr>
        <w:pStyle w:val="3"/>
        <w:rPr>
          <w:rFonts w:ascii="Bookman Old Style" w:hAnsi="Bookman Old Style"/>
          <w:sz w:val="20"/>
          <w:szCs w:val="20"/>
        </w:rPr>
      </w:pPr>
      <w:bookmarkStart w:id="200" w:name="_Toc461206380"/>
      <w:bookmarkEnd w:id="195"/>
      <w:bookmarkEnd w:id="196"/>
      <w:r>
        <w:rPr>
          <w:rFonts w:ascii="Bookman Old Style" w:hAnsi="Bookman Old Style"/>
          <w:sz w:val="20"/>
          <w:szCs w:val="20"/>
        </w:rPr>
        <w:t>4.</w:t>
      </w:r>
      <w:r w:rsidR="00D96ED6">
        <w:rPr>
          <w:rFonts w:ascii="Bookman Old Style" w:hAnsi="Bookman Old Style"/>
          <w:sz w:val="20"/>
          <w:szCs w:val="20"/>
        </w:rPr>
        <w:t>4</w:t>
      </w:r>
      <w:r w:rsidR="00424E1B" w:rsidRPr="00D229B7">
        <w:rPr>
          <w:rFonts w:ascii="Bookman Old Style" w:hAnsi="Bookman Old Style"/>
          <w:sz w:val="20"/>
          <w:szCs w:val="20"/>
        </w:rPr>
        <w:t>.</w:t>
      </w:r>
      <w:r w:rsidR="00B12755">
        <w:rPr>
          <w:rFonts w:ascii="Bookman Old Style" w:hAnsi="Bookman Old Style"/>
          <w:sz w:val="20"/>
          <w:szCs w:val="20"/>
        </w:rPr>
        <w:t>2</w:t>
      </w:r>
      <w:r w:rsidR="00424E1B">
        <w:rPr>
          <w:rFonts w:ascii="Bookman Old Style" w:hAnsi="Bookman Old Style"/>
          <w:sz w:val="20"/>
          <w:szCs w:val="20"/>
        </w:rPr>
        <w:t>.</w:t>
      </w:r>
      <w:r w:rsidR="00424E1B" w:rsidRPr="00D229B7">
        <w:rPr>
          <w:rFonts w:ascii="Bookman Old Style" w:hAnsi="Bookman Old Style"/>
          <w:sz w:val="20"/>
          <w:szCs w:val="20"/>
        </w:rPr>
        <w:t xml:space="preserve"> Анализ основных факторов, влияющих на спрос, предложение и цены</w:t>
      </w:r>
      <w:bookmarkEnd w:id="200"/>
      <w:r w:rsidR="00424E1B" w:rsidRPr="00D229B7">
        <w:rPr>
          <w:rFonts w:ascii="Bookman Old Style" w:hAnsi="Bookman Old Style"/>
          <w:sz w:val="20"/>
          <w:szCs w:val="20"/>
        </w:rPr>
        <w:t xml:space="preserve"> </w:t>
      </w:r>
      <w:bookmarkEnd w:id="197"/>
    </w:p>
    <w:p w:rsidR="00424E1B" w:rsidRPr="00167C02" w:rsidRDefault="00424E1B" w:rsidP="00424E1B">
      <w:pPr>
        <w:spacing w:before="120" w:after="120"/>
        <w:ind w:firstLine="709"/>
        <w:jc w:val="both"/>
        <w:rPr>
          <w:rFonts w:ascii="Bookman Old Style" w:hAnsi="Bookman Old Style" w:cs="Arial"/>
          <w:sz w:val="20"/>
          <w:szCs w:val="20"/>
        </w:rPr>
      </w:pPr>
      <w:r w:rsidRPr="00167C02">
        <w:rPr>
          <w:rFonts w:ascii="Bookman Old Style" w:hAnsi="Bookman Old Style"/>
          <w:sz w:val="20"/>
          <w:szCs w:val="20"/>
        </w:rPr>
        <w:t xml:space="preserve">Существует целый ряд показателей и тенденций, которые считаются ключевыми в формировании рынка недвижимости. В первую очередь, это </w:t>
      </w:r>
      <w:hyperlink r:id="rId51" w:history="1">
        <w:r w:rsidRPr="00167C02">
          <w:rPr>
            <w:rFonts w:ascii="Bookman Old Style" w:hAnsi="Bookman Old Style" w:cs="Arial"/>
            <w:sz w:val="20"/>
            <w:szCs w:val="20"/>
          </w:rPr>
          <w:t>цены на недвижимость</w:t>
        </w:r>
      </w:hyperlink>
      <w:r w:rsidRPr="00167C02">
        <w:rPr>
          <w:rFonts w:ascii="Bookman Old Style" w:hAnsi="Bookman Old Style" w:cs="Arial"/>
          <w:sz w:val="20"/>
          <w:szCs w:val="20"/>
        </w:rPr>
        <w:t xml:space="preserve"> в различных сегментах рынка, которые зависят от многих факторов, таких как </w:t>
      </w:r>
      <w:r>
        <w:rPr>
          <w:rFonts w:ascii="Bookman Old Style" w:hAnsi="Bookman Old Style" w:cs="Arial"/>
          <w:sz w:val="20"/>
          <w:szCs w:val="20"/>
        </w:rPr>
        <w:t>площадь</w:t>
      </w:r>
      <w:r w:rsidRPr="00167C02">
        <w:rPr>
          <w:rFonts w:ascii="Bookman Old Style" w:hAnsi="Bookman Old Style" w:cs="Arial"/>
          <w:sz w:val="20"/>
          <w:szCs w:val="20"/>
        </w:rPr>
        <w:t>, местополо</w:t>
      </w:r>
      <w:r>
        <w:rPr>
          <w:rFonts w:ascii="Bookman Old Style" w:hAnsi="Bookman Old Style" w:cs="Arial"/>
          <w:sz w:val="20"/>
          <w:szCs w:val="20"/>
        </w:rPr>
        <w:t>жение</w:t>
      </w:r>
      <w:r w:rsidRPr="00167C02">
        <w:rPr>
          <w:rFonts w:ascii="Bookman Old Style" w:hAnsi="Bookman Old Style" w:cs="Arial"/>
          <w:sz w:val="20"/>
          <w:szCs w:val="20"/>
        </w:rPr>
        <w:t xml:space="preserve">, </w:t>
      </w:r>
      <w:r>
        <w:rPr>
          <w:rFonts w:ascii="Bookman Old Style" w:hAnsi="Bookman Old Style" w:cs="Arial"/>
          <w:sz w:val="20"/>
          <w:szCs w:val="20"/>
        </w:rPr>
        <w:t xml:space="preserve">физические </w:t>
      </w:r>
      <w:r w:rsidRPr="00167C02">
        <w:rPr>
          <w:rFonts w:ascii="Bookman Old Style" w:hAnsi="Bookman Old Style" w:cs="Arial"/>
          <w:sz w:val="20"/>
          <w:szCs w:val="20"/>
        </w:rPr>
        <w:t xml:space="preserve">характеристики, </w:t>
      </w:r>
      <w:r>
        <w:rPr>
          <w:rFonts w:ascii="Bookman Old Style" w:hAnsi="Bookman Old Style" w:cs="Arial"/>
          <w:sz w:val="20"/>
          <w:szCs w:val="20"/>
        </w:rPr>
        <w:t>условия сделки, состояние объекта</w:t>
      </w:r>
      <w:r w:rsidRPr="00167C02">
        <w:rPr>
          <w:rFonts w:ascii="Bookman Old Style" w:hAnsi="Bookman Old Style" w:cs="Arial"/>
          <w:sz w:val="20"/>
          <w:szCs w:val="20"/>
        </w:rPr>
        <w:t xml:space="preserve">, качество инфраструктуры и удобство транспортного сообщения. Но все же основными факторами, которые играют главную роль при выборе недвижимости, являются местоположение, площадь и техническое состояние недвижимости. </w:t>
      </w:r>
    </w:p>
    <w:p w:rsidR="00424E1B" w:rsidRDefault="00424E1B" w:rsidP="00424E1B">
      <w:pPr>
        <w:spacing w:before="120" w:after="120"/>
        <w:ind w:firstLine="708"/>
        <w:jc w:val="both"/>
        <w:rPr>
          <w:rFonts w:ascii="Bookman Old Style" w:hAnsi="Bookman Old Style"/>
          <w:sz w:val="20"/>
          <w:szCs w:val="20"/>
          <w:highlight w:val="yellow"/>
        </w:rPr>
      </w:pPr>
      <w:r w:rsidRPr="00BB3CA4">
        <w:rPr>
          <w:rFonts w:ascii="Bookman Old Style" w:hAnsi="Bookman Old Style"/>
          <w:sz w:val="20"/>
          <w:szCs w:val="20"/>
        </w:rPr>
        <w:t>Предваряя анализ факторов местоположения</w:t>
      </w:r>
      <w:r>
        <w:rPr>
          <w:rFonts w:ascii="Bookman Old Style" w:hAnsi="Bookman Old Style"/>
          <w:sz w:val="20"/>
          <w:szCs w:val="20"/>
        </w:rPr>
        <w:t>, площади</w:t>
      </w:r>
      <w:r w:rsidRPr="00BB3CA4">
        <w:rPr>
          <w:rFonts w:ascii="Bookman Old Style" w:hAnsi="Bookman Old Style"/>
          <w:sz w:val="20"/>
          <w:szCs w:val="20"/>
        </w:rPr>
        <w:t xml:space="preserve"> и </w:t>
      </w:r>
      <w:r>
        <w:rPr>
          <w:rFonts w:ascii="Bookman Old Style" w:hAnsi="Bookman Old Style"/>
          <w:sz w:val="20"/>
          <w:szCs w:val="20"/>
        </w:rPr>
        <w:t>состояния объекта</w:t>
      </w:r>
      <w:r w:rsidRPr="00BB3CA4">
        <w:rPr>
          <w:rFonts w:ascii="Bookman Old Style" w:hAnsi="Bookman Old Style"/>
          <w:sz w:val="20"/>
          <w:szCs w:val="20"/>
        </w:rPr>
        <w:t>, оказывающих</w:t>
      </w:r>
      <w:r>
        <w:rPr>
          <w:rFonts w:ascii="Bookman Old Style" w:hAnsi="Bookman Old Style"/>
          <w:sz w:val="20"/>
          <w:szCs w:val="20"/>
        </w:rPr>
        <w:t xml:space="preserve"> наибольшее влияние</w:t>
      </w:r>
      <w:r w:rsidRPr="00BB3CA4">
        <w:rPr>
          <w:rFonts w:ascii="Bookman Old Style" w:hAnsi="Bookman Old Style"/>
          <w:sz w:val="20"/>
          <w:szCs w:val="20"/>
        </w:rPr>
        <w:t xml:space="preserve"> на цену </w:t>
      </w:r>
      <w:r>
        <w:rPr>
          <w:rFonts w:ascii="Bookman Old Style" w:hAnsi="Bookman Old Style"/>
          <w:sz w:val="20"/>
          <w:szCs w:val="20"/>
        </w:rPr>
        <w:t>недвижимости</w:t>
      </w:r>
      <w:r w:rsidRPr="00BB3CA4">
        <w:rPr>
          <w:rFonts w:ascii="Bookman Old Style" w:hAnsi="Bookman Old Style"/>
          <w:sz w:val="20"/>
          <w:szCs w:val="20"/>
        </w:rPr>
        <w:t>, отметим, что в сложившейся оценочной практике первоначально объекты</w:t>
      </w:r>
      <w:r>
        <w:rPr>
          <w:rFonts w:ascii="Bookman Old Style" w:hAnsi="Bookman Old Style"/>
          <w:sz w:val="20"/>
          <w:szCs w:val="20"/>
        </w:rPr>
        <w:t xml:space="preserve"> недвижимости</w:t>
      </w:r>
      <w:r w:rsidRPr="00BB3CA4">
        <w:rPr>
          <w:rFonts w:ascii="Bookman Old Style" w:hAnsi="Bookman Old Style"/>
          <w:sz w:val="20"/>
          <w:szCs w:val="20"/>
        </w:rPr>
        <w:t xml:space="preserve"> сравниваются по </w:t>
      </w:r>
      <w:r>
        <w:rPr>
          <w:rFonts w:ascii="Bookman Old Style" w:hAnsi="Bookman Old Style"/>
          <w:sz w:val="20"/>
          <w:szCs w:val="20"/>
        </w:rPr>
        <w:t>следующим элементам сравнения</w:t>
      </w:r>
      <w:r>
        <w:rPr>
          <w:rStyle w:val="aff0"/>
          <w:rFonts w:ascii="Bookman Old Style" w:hAnsi="Bookman Old Style"/>
          <w:sz w:val="20"/>
          <w:szCs w:val="20"/>
        </w:rPr>
        <w:footnoteReference w:id="26"/>
      </w:r>
      <w:r>
        <w:rPr>
          <w:rFonts w:ascii="Bookman Old Style" w:hAnsi="Bookman Old Style"/>
          <w:sz w:val="20"/>
          <w:szCs w:val="20"/>
        </w:rPr>
        <w:t>.</w:t>
      </w:r>
    </w:p>
    <w:p w:rsidR="00424E1B" w:rsidRPr="00275286" w:rsidRDefault="00424E1B" w:rsidP="00424E1B">
      <w:pPr>
        <w:spacing w:before="120" w:after="120"/>
        <w:ind w:firstLine="708"/>
        <w:jc w:val="both"/>
        <w:rPr>
          <w:rFonts w:ascii="Bookman Old Style" w:hAnsi="Bookman Old Style"/>
          <w:sz w:val="20"/>
          <w:szCs w:val="20"/>
        </w:rPr>
      </w:pPr>
      <w:r w:rsidRPr="00344BB0">
        <w:rPr>
          <w:rFonts w:ascii="Bookman Old Style" w:hAnsi="Bookman Old Style"/>
          <w:i/>
          <w:sz w:val="20"/>
          <w:szCs w:val="20"/>
        </w:rPr>
        <w:lastRenderedPageBreak/>
        <w:t>Передаваемые права, ограничения этих прав</w:t>
      </w:r>
      <w:r>
        <w:rPr>
          <w:rFonts w:ascii="Bookman Old Style" w:hAnsi="Bookman Old Style"/>
          <w:sz w:val="20"/>
          <w:szCs w:val="20"/>
        </w:rPr>
        <w:t>.</w:t>
      </w:r>
      <w:r w:rsidRPr="00275286">
        <w:rPr>
          <w:rFonts w:ascii="Bookman Old Style" w:hAnsi="Bookman Old Style"/>
          <w:sz w:val="20"/>
          <w:szCs w:val="20"/>
        </w:rPr>
        <w:t xml:space="preserve"> Существенное значение имеет идентификация передаваемых прав на недвижимость в каждой сопоставимой сделке выбранной для анализа, поскольку цена сделки всегда основывается на передаваемом интересе в имуществе. Разница между оцениваемой недвижимостью и сопоставимым объектом, влияющая на его стоимость, достаточно часто определяется разницей их юридического статуса (набора прав).</w:t>
      </w:r>
      <w:r>
        <w:rPr>
          <w:rFonts w:ascii="Bookman Old Style" w:hAnsi="Bookman Old Style"/>
          <w:sz w:val="20"/>
          <w:szCs w:val="20"/>
        </w:rPr>
        <w:t xml:space="preserve"> Ограничения и обременения прав, также существенным образом сказываются на стоимости недвижимости</w:t>
      </w:r>
      <w:r w:rsidR="0093230C">
        <w:rPr>
          <w:rFonts w:ascii="Bookman Old Style" w:hAnsi="Bookman Old Style"/>
          <w:sz w:val="20"/>
          <w:szCs w:val="20"/>
        </w:rPr>
        <w:t>.</w:t>
      </w:r>
    </w:p>
    <w:p w:rsidR="00424E1B" w:rsidRPr="00275286" w:rsidRDefault="00424E1B" w:rsidP="00424E1B">
      <w:pPr>
        <w:spacing w:before="120" w:after="120"/>
        <w:ind w:firstLine="709"/>
        <w:jc w:val="both"/>
        <w:rPr>
          <w:rFonts w:ascii="Bookman Old Style" w:hAnsi="Bookman Old Style"/>
          <w:sz w:val="20"/>
          <w:szCs w:val="20"/>
        </w:rPr>
      </w:pPr>
      <w:r w:rsidRPr="00275286">
        <w:rPr>
          <w:rFonts w:ascii="Bookman Old Style" w:hAnsi="Bookman Old Style"/>
          <w:i/>
          <w:sz w:val="20"/>
          <w:szCs w:val="20"/>
        </w:rPr>
        <w:t>Условия финансирования</w:t>
      </w:r>
      <w:r w:rsidRPr="00275286">
        <w:rPr>
          <w:rFonts w:ascii="Bookman Old Style" w:hAnsi="Bookman Old Style"/>
          <w:sz w:val="20"/>
          <w:szCs w:val="20"/>
        </w:rPr>
        <w:t>. Различные условия финансирования сделки могут привести к отличию цены, уплаченной за недвижимое имущество, от цены, уплаченной за другое идентичное имущество. Как правило условия финансирования Объекта оценки и аналогов при определении рыночной стоимости идентичны, однако, при совершении сделки купли-продажи в специальных условиях определения стоимости, например при использовании кредитных средств покупателем или при внесении денежных средств в рассрочку необходимо учесть фактор стоимости денег во времени. Средний диапазон отличий для условий финансирования может составлять до 2-10% стоимости</w:t>
      </w:r>
      <w:r>
        <w:rPr>
          <w:rFonts w:ascii="Bookman Old Style" w:hAnsi="Bookman Old Style"/>
          <w:sz w:val="20"/>
          <w:szCs w:val="20"/>
        </w:rPr>
        <w:t xml:space="preserve"> на</w:t>
      </w:r>
      <w:r w:rsidRPr="00275286">
        <w:rPr>
          <w:rFonts w:ascii="Bookman Old Style" w:hAnsi="Bookman Old Style"/>
          <w:sz w:val="20"/>
          <w:szCs w:val="20"/>
        </w:rPr>
        <w:t xml:space="preserve"> 1 кв.м. </w:t>
      </w:r>
      <w:r>
        <w:rPr>
          <w:rFonts w:ascii="Bookman Old Style" w:hAnsi="Bookman Old Style"/>
          <w:sz w:val="20"/>
          <w:szCs w:val="20"/>
        </w:rPr>
        <w:t>объекта недвижимости</w:t>
      </w:r>
      <w:r w:rsidRPr="00275286">
        <w:rPr>
          <w:rFonts w:ascii="Bookman Old Style" w:hAnsi="Bookman Old Style"/>
          <w:sz w:val="20"/>
          <w:szCs w:val="20"/>
        </w:rPr>
        <w:t>.</w:t>
      </w:r>
    </w:p>
    <w:p w:rsidR="00424E1B" w:rsidRDefault="00424E1B" w:rsidP="00424E1B">
      <w:pPr>
        <w:spacing w:before="120" w:after="120"/>
        <w:ind w:firstLine="709"/>
        <w:jc w:val="both"/>
        <w:rPr>
          <w:rFonts w:ascii="Bookman Old Style" w:hAnsi="Bookman Old Style"/>
          <w:sz w:val="20"/>
          <w:szCs w:val="20"/>
        </w:rPr>
      </w:pPr>
      <w:r w:rsidRPr="00275286">
        <w:rPr>
          <w:rFonts w:ascii="Bookman Old Style" w:hAnsi="Bookman Old Style"/>
          <w:i/>
          <w:sz w:val="20"/>
          <w:szCs w:val="20"/>
        </w:rPr>
        <w:t>Условия рынка</w:t>
      </w:r>
      <w:r w:rsidRPr="00275286">
        <w:rPr>
          <w:rFonts w:ascii="Bookman Old Style" w:hAnsi="Bookman Old Style"/>
          <w:sz w:val="20"/>
          <w:szCs w:val="20"/>
        </w:rPr>
        <w:t xml:space="preserve">. Под корректировкой цен на рыночные условия понимается корректировка цен на время от даты сделки (экспозиции) аналога до даты оценки. На рынке коммерческой недвижимости цены с течением времени изменяются. Причиной этого могут быть инфляционные или дефляционные процессы в экономике. Изменение цен может произойти в результате принятия новых законов, налоговых норм, а так же в связи с колебанием спроса и предложения на недвижимость в целом или ее отдельные типы. Основной причиной учета ценообразующего фактора является колебание спроса и предложения, что в свою очередь сказывается на стоимости </w:t>
      </w:r>
      <w:r w:rsidRPr="00344BB0">
        <w:rPr>
          <w:rFonts w:ascii="Bookman Old Style" w:hAnsi="Bookman Old Style"/>
          <w:sz w:val="20"/>
          <w:szCs w:val="20"/>
        </w:rPr>
        <w:t>недвижимости</w:t>
      </w:r>
      <w:r w:rsidRPr="00275286">
        <w:rPr>
          <w:rFonts w:ascii="Bookman Old Style" w:hAnsi="Bookman Old Style"/>
          <w:sz w:val="20"/>
          <w:szCs w:val="20"/>
        </w:rPr>
        <w:t xml:space="preserve">. </w:t>
      </w:r>
      <w:r w:rsidRPr="00344BB0">
        <w:rPr>
          <w:rFonts w:ascii="Bookman Old Style" w:hAnsi="Bookman Old Style"/>
          <w:sz w:val="20"/>
          <w:szCs w:val="20"/>
        </w:rPr>
        <w:t xml:space="preserve">Проведенный анализ рынка недвижимости отметил </w:t>
      </w:r>
      <w:r>
        <w:rPr>
          <w:rFonts w:ascii="Bookman Old Style" w:hAnsi="Bookman Old Style"/>
          <w:sz w:val="20"/>
          <w:szCs w:val="20"/>
        </w:rPr>
        <w:t>незначительное изменение</w:t>
      </w:r>
      <w:r w:rsidRPr="00344BB0">
        <w:rPr>
          <w:rFonts w:ascii="Bookman Old Style" w:hAnsi="Bookman Old Style"/>
          <w:sz w:val="20"/>
          <w:szCs w:val="20"/>
        </w:rPr>
        <w:t xml:space="preserve"> цен по всем сегментам практически во всех районах города</w:t>
      </w:r>
      <w:r w:rsidRPr="00275286">
        <w:rPr>
          <w:rFonts w:ascii="Bookman Old Style" w:hAnsi="Bookman Old Style"/>
          <w:sz w:val="20"/>
          <w:szCs w:val="20"/>
        </w:rPr>
        <w:t>.</w:t>
      </w:r>
    </w:p>
    <w:p w:rsidR="00424E1B" w:rsidRPr="00275286" w:rsidRDefault="00424E1B" w:rsidP="00424E1B">
      <w:pPr>
        <w:spacing w:before="120" w:after="120"/>
        <w:ind w:firstLine="709"/>
        <w:jc w:val="both"/>
        <w:rPr>
          <w:rFonts w:ascii="Bookman Old Style" w:hAnsi="Bookman Old Style"/>
          <w:sz w:val="20"/>
          <w:szCs w:val="20"/>
        </w:rPr>
      </w:pPr>
      <w:r w:rsidRPr="00275286">
        <w:rPr>
          <w:rFonts w:ascii="Bookman Old Style" w:hAnsi="Bookman Old Style"/>
          <w:i/>
          <w:sz w:val="20"/>
          <w:szCs w:val="20"/>
        </w:rPr>
        <w:t>Условия продажи (</w:t>
      </w:r>
      <w:r w:rsidRPr="00344BB0">
        <w:rPr>
          <w:rFonts w:ascii="Bookman Old Style" w:hAnsi="Bookman Old Style"/>
          <w:i/>
          <w:sz w:val="20"/>
          <w:szCs w:val="20"/>
        </w:rPr>
        <w:t>нетипичные для рынка условия, сделка между аффилированными лицами, иные условия</w:t>
      </w:r>
      <w:r w:rsidRPr="00275286">
        <w:rPr>
          <w:rFonts w:ascii="Bookman Old Style" w:hAnsi="Bookman Old Style"/>
          <w:i/>
          <w:sz w:val="20"/>
          <w:szCs w:val="20"/>
        </w:rPr>
        <w:t>)</w:t>
      </w:r>
      <w:r w:rsidRPr="00275286">
        <w:rPr>
          <w:rFonts w:ascii="Bookman Old Style" w:hAnsi="Bookman Old Style"/>
          <w:sz w:val="20"/>
          <w:szCs w:val="20"/>
        </w:rPr>
        <w:t xml:space="preserve">. </w:t>
      </w:r>
      <w:r>
        <w:rPr>
          <w:rFonts w:ascii="Bookman Old Style" w:hAnsi="Bookman Old Style"/>
          <w:sz w:val="20"/>
          <w:szCs w:val="20"/>
        </w:rPr>
        <w:t>Как известно, оценщик в рамках сравнительного подхода в подавляющем большинстве случаев не имеет возможности использовать данные по реальным сделкам, в вынужден ограничится информацией по предложениям которые обычно достаточно полно представлены в соответствующих источниках</w:t>
      </w:r>
      <w:r w:rsidRPr="00275286">
        <w:rPr>
          <w:rFonts w:ascii="Bookman Old Style" w:hAnsi="Bookman Old Style"/>
          <w:sz w:val="20"/>
          <w:szCs w:val="20"/>
        </w:rPr>
        <w:t>.</w:t>
      </w:r>
      <w:r w:rsidRPr="00275286">
        <w:rPr>
          <w:rFonts w:ascii="Bookman Old Style" w:eastAsia="Calibri" w:hAnsi="Bookman Old Style"/>
          <w:color w:val="000000"/>
          <w:sz w:val="20"/>
          <w:szCs w:val="20"/>
          <w:lang w:eastAsia="en-US"/>
        </w:rPr>
        <w:t xml:space="preserve"> </w:t>
      </w:r>
      <w:r>
        <w:rPr>
          <w:rFonts w:ascii="Bookman Old Style" w:eastAsia="Calibri" w:hAnsi="Bookman Old Style"/>
          <w:color w:val="000000"/>
          <w:sz w:val="20"/>
          <w:szCs w:val="20"/>
          <w:lang w:eastAsia="en-US"/>
        </w:rPr>
        <w:t>В этом случае обычно используется понижающая процентная поправка – скидка на торг</w:t>
      </w:r>
      <w:r w:rsidRPr="00275286">
        <w:rPr>
          <w:rFonts w:ascii="Bookman Old Style" w:eastAsia="Calibri" w:hAnsi="Bookman Old Style"/>
          <w:color w:val="000000"/>
          <w:sz w:val="20"/>
          <w:szCs w:val="20"/>
          <w:lang w:eastAsia="en-US"/>
        </w:rPr>
        <w:t>.</w:t>
      </w:r>
      <w:r w:rsidRPr="00275286">
        <w:rPr>
          <w:rFonts w:ascii="Bookman Old Style" w:hAnsi="Bookman Old Style"/>
          <w:sz w:val="20"/>
          <w:szCs w:val="20"/>
        </w:rPr>
        <w:t xml:space="preserve"> Среднее значение диапазона </w:t>
      </w:r>
      <w:r w:rsidRPr="00802567">
        <w:rPr>
          <w:rFonts w:ascii="Bookman Old Style" w:hAnsi="Bookman Old Style"/>
          <w:sz w:val="20"/>
          <w:szCs w:val="20"/>
        </w:rPr>
        <w:t>«</w:t>
      </w:r>
      <w:r w:rsidRPr="00275286">
        <w:rPr>
          <w:rFonts w:ascii="Bookman Old Style" w:hAnsi="Bookman Old Style"/>
          <w:sz w:val="20"/>
          <w:szCs w:val="20"/>
        </w:rPr>
        <w:t xml:space="preserve">скидок </w:t>
      </w:r>
      <w:r w:rsidRPr="00802567">
        <w:rPr>
          <w:rFonts w:ascii="Bookman Old Style" w:hAnsi="Bookman Old Style"/>
          <w:sz w:val="20"/>
          <w:szCs w:val="20"/>
        </w:rPr>
        <w:t>на торг»</w:t>
      </w:r>
      <w:r>
        <w:rPr>
          <w:rFonts w:ascii="Bookman Old Style" w:hAnsi="Bookman Old Style"/>
          <w:sz w:val="20"/>
          <w:szCs w:val="20"/>
        </w:rPr>
        <w:t xml:space="preserve"> для </w:t>
      </w:r>
      <w:r w:rsidR="00B12755">
        <w:rPr>
          <w:rFonts w:ascii="Bookman Old Style" w:hAnsi="Bookman Old Style"/>
          <w:sz w:val="20"/>
          <w:szCs w:val="20"/>
        </w:rPr>
        <w:t>низкоклассных офисно-торговых объектов</w:t>
      </w:r>
      <w:r w:rsidRPr="00275286">
        <w:rPr>
          <w:rFonts w:ascii="Bookman Old Style" w:hAnsi="Bookman Old Style"/>
          <w:sz w:val="20"/>
          <w:szCs w:val="20"/>
          <w:vertAlign w:val="superscript"/>
        </w:rPr>
        <w:footnoteReference w:id="27"/>
      </w:r>
      <w:r w:rsidRPr="00275286">
        <w:rPr>
          <w:rFonts w:ascii="Bookman Old Style" w:hAnsi="Bookman Old Style"/>
          <w:sz w:val="20"/>
          <w:szCs w:val="20"/>
        </w:rPr>
        <w:t xml:space="preserve"> </w:t>
      </w:r>
      <w:r>
        <w:rPr>
          <w:rFonts w:ascii="Bookman Old Style" w:hAnsi="Bookman Old Style"/>
          <w:sz w:val="20"/>
          <w:szCs w:val="20"/>
        </w:rPr>
        <w:t xml:space="preserve">в условиях активного рынка </w:t>
      </w:r>
      <w:r w:rsidRPr="00275286">
        <w:rPr>
          <w:rFonts w:ascii="Bookman Old Style" w:hAnsi="Bookman Old Style"/>
          <w:sz w:val="20"/>
          <w:szCs w:val="20"/>
        </w:rPr>
        <w:t xml:space="preserve">составляет </w:t>
      </w:r>
      <w:r>
        <w:rPr>
          <w:rFonts w:ascii="Bookman Old Style" w:hAnsi="Bookman Old Style"/>
          <w:sz w:val="20"/>
          <w:szCs w:val="20"/>
        </w:rPr>
        <w:t>8-9% от стоимости предложения</w:t>
      </w:r>
      <w:r w:rsidRPr="00E822AF">
        <w:rPr>
          <w:rFonts w:ascii="Bookman Old Style" w:hAnsi="Bookman Old Style"/>
          <w:sz w:val="20"/>
          <w:szCs w:val="20"/>
        </w:rPr>
        <w:t xml:space="preserve">. В условиях неактивного рынка для </w:t>
      </w:r>
      <w:r w:rsidR="00B12755" w:rsidRPr="00B12755">
        <w:rPr>
          <w:rFonts w:ascii="Bookman Old Style" w:hAnsi="Bookman Old Style"/>
          <w:sz w:val="20"/>
          <w:szCs w:val="20"/>
        </w:rPr>
        <w:t xml:space="preserve">низкоклассных офисно-торговых объектов </w:t>
      </w:r>
      <w:r w:rsidRPr="00E822AF">
        <w:rPr>
          <w:rFonts w:ascii="Bookman Old Style" w:hAnsi="Bookman Old Style"/>
          <w:sz w:val="20"/>
          <w:szCs w:val="20"/>
        </w:rPr>
        <w:t xml:space="preserve">диапазон скидок уже составляет </w:t>
      </w:r>
      <w:r w:rsidR="00B12755">
        <w:rPr>
          <w:rFonts w:ascii="Bookman Old Style" w:hAnsi="Bookman Old Style"/>
          <w:sz w:val="20"/>
          <w:szCs w:val="20"/>
        </w:rPr>
        <w:t>13-14</w:t>
      </w:r>
      <w:r w:rsidRPr="00E822AF">
        <w:rPr>
          <w:rFonts w:ascii="Bookman Old Style" w:hAnsi="Bookman Old Style"/>
          <w:sz w:val="20"/>
          <w:szCs w:val="20"/>
        </w:rPr>
        <w:t>%.</w:t>
      </w:r>
    </w:p>
    <w:p w:rsidR="00424E1B" w:rsidRPr="00275286" w:rsidRDefault="00424E1B" w:rsidP="00424E1B">
      <w:pPr>
        <w:spacing w:before="120" w:after="120"/>
        <w:ind w:firstLine="709"/>
        <w:jc w:val="both"/>
        <w:rPr>
          <w:rFonts w:ascii="Bookman Old Style" w:hAnsi="Bookman Old Style"/>
          <w:sz w:val="20"/>
          <w:szCs w:val="20"/>
        </w:rPr>
      </w:pPr>
      <w:r w:rsidRPr="00344BB0">
        <w:rPr>
          <w:rFonts w:ascii="Bookman Old Style" w:hAnsi="Bookman Old Style"/>
          <w:i/>
          <w:sz w:val="20"/>
          <w:szCs w:val="20"/>
        </w:rPr>
        <w:t>Вид использования</w:t>
      </w:r>
      <w:r w:rsidRPr="00275286">
        <w:rPr>
          <w:rFonts w:ascii="Bookman Old Style" w:hAnsi="Bookman Old Style"/>
          <w:sz w:val="20"/>
          <w:szCs w:val="20"/>
        </w:rPr>
        <w:t xml:space="preserve">. На использование имущества влияют зонирование или другие ограничения. Если имеет место отличие в текущем использовании или в НЭИ сопоставимого имущества от рассматриваемого имущества, следует тщательно изучить влияние этого отличия на стоимость. </w:t>
      </w:r>
      <w:r>
        <w:rPr>
          <w:rFonts w:ascii="Bookman Old Style" w:hAnsi="Bookman Old Style"/>
          <w:sz w:val="20"/>
          <w:szCs w:val="20"/>
        </w:rPr>
        <w:t>Вид использования</w:t>
      </w:r>
      <w:r w:rsidRPr="00275286">
        <w:rPr>
          <w:rFonts w:ascii="Bookman Old Style" w:hAnsi="Bookman Old Style"/>
          <w:sz w:val="20"/>
          <w:szCs w:val="20"/>
        </w:rPr>
        <w:t xml:space="preserve"> один из основных ценообразующих факторов </w:t>
      </w:r>
      <w:r>
        <w:rPr>
          <w:rFonts w:ascii="Bookman Old Style" w:hAnsi="Bookman Old Style"/>
          <w:sz w:val="20"/>
          <w:szCs w:val="20"/>
        </w:rPr>
        <w:t>недвижимости</w:t>
      </w:r>
      <w:r w:rsidRPr="00275286">
        <w:rPr>
          <w:rFonts w:ascii="Bookman Old Style" w:hAnsi="Bookman Old Style"/>
          <w:sz w:val="20"/>
          <w:szCs w:val="20"/>
        </w:rPr>
        <w:t>. Так,</w:t>
      </w:r>
      <w:r>
        <w:rPr>
          <w:rFonts w:ascii="Bookman Old Style" w:hAnsi="Bookman Old Style"/>
          <w:sz w:val="20"/>
          <w:szCs w:val="20"/>
        </w:rPr>
        <w:t xml:space="preserve"> средняя</w:t>
      </w:r>
      <w:r w:rsidRPr="00275286">
        <w:rPr>
          <w:rFonts w:ascii="Bookman Old Style" w:hAnsi="Bookman Old Style"/>
          <w:sz w:val="20"/>
          <w:szCs w:val="20"/>
        </w:rPr>
        <w:t xml:space="preserve"> стоимость </w:t>
      </w:r>
      <w:r>
        <w:rPr>
          <w:rFonts w:ascii="Bookman Old Style" w:hAnsi="Bookman Old Style"/>
          <w:sz w:val="20"/>
          <w:szCs w:val="20"/>
        </w:rPr>
        <w:t>недвижимости, вне зависимости от площади,</w:t>
      </w:r>
      <w:r w:rsidRPr="00275286">
        <w:rPr>
          <w:rFonts w:ascii="Bookman Old Style" w:hAnsi="Bookman Old Style"/>
          <w:sz w:val="20"/>
          <w:szCs w:val="20"/>
        </w:rPr>
        <w:t xml:space="preserve"> с видом использования – </w:t>
      </w:r>
      <w:r>
        <w:rPr>
          <w:rFonts w:ascii="Bookman Old Style" w:hAnsi="Bookman Old Style"/>
          <w:sz w:val="20"/>
          <w:szCs w:val="20"/>
        </w:rPr>
        <w:t xml:space="preserve">производственно-складская недвижимость в </w:t>
      </w:r>
      <w:r w:rsidR="00C539BF">
        <w:rPr>
          <w:rFonts w:ascii="Bookman Old Style" w:hAnsi="Bookman Old Style"/>
          <w:sz w:val="20"/>
          <w:szCs w:val="20"/>
        </w:rPr>
        <w:t>Железнодорожном</w:t>
      </w:r>
      <w:r>
        <w:rPr>
          <w:rFonts w:ascii="Bookman Old Style" w:hAnsi="Bookman Old Style"/>
          <w:sz w:val="20"/>
          <w:szCs w:val="20"/>
        </w:rPr>
        <w:t xml:space="preserve"> районе Красноярска</w:t>
      </w:r>
      <w:r w:rsidRPr="00275286">
        <w:rPr>
          <w:rFonts w:ascii="Bookman Old Style" w:hAnsi="Bookman Old Style"/>
          <w:sz w:val="20"/>
          <w:szCs w:val="20"/>
        </w:rPr>
        <w:t xml:space="preserve">, составляет </w:t>
      </w:r>
      <w:r>
        <w:rPr>
          <w:rFonts w:ascii="Bookman Old Style" w:hAnsi="Bookman Old Style"/>
          <w:sz w:val="20"/>
          <w:szCs w:val="20"/>
        </w:rPr>
        <w:t xml:space="preserve">величину около </w:t>
      </w:r>
      <w:r w:rsidR="00C539BF">
        <w:rPr>
          <w:rFonts w:ascii="Bookman Old Style" w:hAnsi="Bookman Old Style"/>
          <w:sz w:val="20"/>
          <w:szCs w:val="20"/>
        </w:rPr>
        <w:t>22881</w:t>
      </w:r>
      <w:r w:rsidRPr="008B0D80">
        <w:rPr>
          <w:rFonts w:ascii="Bookman Old Style" w:hAnsi="Bookman Old Style"/>
          <w:sz w:val="20"/>
          <w:szCs w:val="20"/>
        </w:rPr>
        <w:t xml:space="preserve"> рублей за 1 кв.м., то стоимость недвижимости с ВИ –торговая</w:t>
      </w:r>
      <w:r w:rsidR="00C539BF">
        <w:rPr>
          <w:rFonts w:ascii="Bookman Old Style" w:hAnsi="Bookman Old Style"/>
          <w:sz w:val="20"/>
          <w:szCs w:val="20"/>
        </w:rPr>
        <w:t xml:space="preserve"> и офисная</w:t>
      </w:r>
      <w:r w:rsidRPr="008B0D80">
        <w:rPr>
          <w:rFonts w:ascii="Bookman Old Style" w:hAnsi="Bookman Old Style"/>
          <w:sz w:val="20"/>
          <w:szCs w:val="20"/>
        </w:rPr>
        <w:t>, уже составляет величин</w:t>
      </w:r>
      <w:r w:rsidR="000855E4">
        <w:rPr>
          <w:rFonts w:ascii="Bookman Old Style" w:hAnsi="Bookman Old Style"/>
          <w:sz w:val="20"/>
          <w:szCs w:val="20"/>
        </w:rPr>
        <w:t>у</w:t>
      </w:r>
      <w:r w:rsidRPr="008B0D80">
        <w:rPr>
          <w:rFonts w:ascii="Bookman Old Style" w:hAnsi="Bookman Old Style"/>
          <w:sz w:val="20"/>
          <w:szCs w:val="20"/>
        </w:rPr>
        <w:t xml:space="preserve"> </w:t>
      </w:r>
      <w:r w:rsidR="00C539BF">
        <w:rPr>
          <w:rFonts w:ascii="Bookman Old Style" w:hAnsi="Bookman Old Style"/>
          <w:sz w:val="20"/>
          <w:szCs w:val="20"/>
        </w:rPr>
        <w:t>89857 и</w:t>
      </w:r>
      <w:r w:rsidRPr="008B0D80">
        <w:rPr>
          <w:rFonts w:ascii="Bookman Old Style" w:hAnsi="Bookman Old Style"/>
          <w:sz w:val="20"/>
          <w:szCs w:val="20"/>
        </w:rPr>
        <w:t xml:space="preserve"> </w:t>
      </w:r>
      <w:r w:rsidR="00C539BF">
        <w:rPr>
          <w:rFonts w:ascii="Bookman Old Style" w:hAnsi="Bookman Old Style"/>
          <w:sz w:val="20"/>
          <w:szCs w:val="20"/>
        </w:rPr>
        <w:t xml:space="preserve">61146 </w:t>
      </w:r>
      <w:r w:rsidRPr="008B0D80">
        <w:rPr>
          <w:rFonts w:ascii="Bookman Old Style" w:hAnsi="Bookman Old Style"/>
          <w:sz w:val="20"/>
          <w:szCs w:val="20"/>
        </w:rPr>
        <w:t>рублей за 1 кв.м.</w:t>
      </w:r>
      <w:r w:rsidRPr="00275286">
        <w:rPr>
          <w:rFonts w:ascii="Bookman Old Style" w:hAnsi="Bookman Old Style"/>
          <w:sz w:val="20"/>
          <w:szCs w:val="20"/>
        </w:rPr>
        <w:t xml:space="preserve"> </w:t>
      </w:r>
    </w:p>
    <w:p w:rsidR="00424E1B" w:rsidRPr="00167C02" w:rsidRDefault="00424E1B" w:rsidP="00424E1B">
      <w:pPr>
        <w:tabs>
          <w:tab w:val="left" w:pos="426"/>
        </w:tabs>
        <w:spacing w:before="120" w:after="120"/>
        <w:ind w:firstLine="709"/>
        <w:jc w:val="both"/>
        <w:rPr>
          <w:rFonts w:ascii="Bookman Old Style" w:hAnsi="Bookman Old Style" w:cs="Arial"/>
          <w:sz w:val="20"/>
          <w:szCs w:val="20"/>
        </w:rPr>
      </w:pPr>
      <w:r w:rsidRPr="00344BB0">
        <w:rPr>
          <w:rFonts w:ascii="Bookman Old Style" w:hAnsi="Bookman Old Style" w:cs="Arial"/>
          <w:i/>
          <w:sz w:val="20"/>
          <w:szCs w:val="20"/>
        </w:rPr>
        <w:t>Анализ местоположения</w:t>
      </w:r>
      <w:r>
        <w:rPr>
          <w:rFonts w:ascii="Bookman Old Style" w:hAnsi="Bookman Old Style" w:cs="Arial"/>
          <w:sz w:val="20"/>
          <w:szCs w:val="20"/>
        </w:rPr>
        <w:t xml:space="preserve">. </w:t>
      </w:r>
      <w:r w:rsidRPr="00167C02">
        <w:rPr>
          <w:rFonts w:ascii="Bookman Old Style" w:hAnsi="Bookman Old Style" w:cs="Arial"/>
          <w:sz w:val="20"/>
          <w:szCs w:val="20"/>
        </w:rPr>
        <w:t xml:space="preserve">Традиционно в число самых престижных и дорогих входят районы, расположенные вблизи центра города. При этом речь идет не всегда о географическом центре, а скорее об экономическом, где расположены центры деловой жизни горожан. Хотя в последнее время довольно высокими ценами на недвижимость могут похвастаться и определенные районы, отличающиеся отличной экологией и качественной инфраструктурой. Как правило, речь идет о новых жилых комплексах, где возводится современное жилье и строятся новые бизнес центры. </w:t>
      </w:r>
    </w:p>
    <w:p w:rsidR="00424E1B" w:rsidRDefault="00424E1B" w:rsidP="00424E1B">
      <w:pPr>
        <w:spacing w:before="120" w:after="120"/>
        <w:ind w:firstLine="709"/>
        <w:jc w:val="both"/>
        <w:rPr>
          <w:rFonts w:ascii="Bookman Old Style" w:hAnsi="Bookman Old Style" w:cs="Arial"/>
          <w:sz w:val="20"/>
          <w:szCs w:val="20"/>
        </w:rPr>
      </w:pPr>
      <w:r w:rsidRPr="008B0D80">
        <w:rPr>
          <w:rFonts w:ascii="Bookman Old Style" w:hAnsi="Bookman Old Style" w:cs="Arial"/>
          <w:sz w:val="20"/>
          <w:szCs w:val="20"/>
        </w:rPr>
        <w:t xml:space="preserve">Наиболее престижными районами г. Красноярска для покупки </w:t>
      </w:r>
      <w:r w:rsidR="00B12755">
        <w:rPr>
          <w:rFonts w:ascii="Bookman Old Style" w:hAnsi="Bookman Old Style" w:cs="Arial"/>
          <w:sz w:val="20"/>
          <w:szCs w:val="20"/>
        </w:rPr>
        <w:t>торгово-</w:t>
      </w:r>
      <w:r w:rsidRPr="008B0D80">
        <w:rPr>
          <w:rFonts w:ascii="Bookman Old Style" w:hAnsi="Bookman Old Style" w:cs="Arial"/>
          <w:sz w:val="20"/>
          <w:szCs w:val="20"/>
        </w:rPr>
        <w:t xml:space="preserve">офисной недвижимости являются Центральный и Железнодорожный, стоимость 1 кв.м. составляет </w:t>
      </w:r>
      <w:r w:rsidR="00C539BF">
        <w:rPr>
          <w:rFonts w:ascii="Bookman Old Style" w:hAnsi="Bookman Old Style" w:cs="Arial"/>
          <w:sz w:val="20"/>
          <w:szCs w:val="20"/>
        </w:rPr>
        <w:t>71812 и 61146</w:t>
      </w:r>
      <w:r w:rsidRPr="008B0D80">
        <w:rPr>
          <w:rFonts w:ascii="Bookman Old Style" w:hAnsi="Bookman Old Style" w:cs="Arial"/>
          <w:sz w:val="20"/>
          <w:szCs w:val="20"/>
        </w:rPr>
        <w:t xml:space="preserve"> руб.</w:t>
      </w:r>
      <w:r w:rsidR="008B0D80" w:rsidRPr="008B0D80">
        <w:rPr>
          <w:rFonts w:ascii="Bookman Old Style" w:hAnsi="Bookman Old Style" w:cs="Arial"/>
          <w:sz w:val="20"/>
          <w:szCs w:val="20"/>
        </w:rPr>
        <w:t xml:space="preserve"> соответственно.</w:t>
      </w:r>
      <w:r w:rsidRPr="00167C02">
        <w:rPr>
          <w:rFonts w:ascii="Bookman Old Style" w:hAnsi="Bookman Old Style" w:cs="Arial"/>
          <w:sz w:val="20"/>
          <w:szCs w:val="20"/>
        </w:rPr>
        <w:t xml:space="preserve"> </w:t>
      </w:r>
    </w:p>
    <w:p w:rsidR="00424E1B" w:rsidRPr="00167C02" w:rsidRDefault="00424E1B" w:rsidP="00424E1B">
      <w:pPr>
        <w:spacing w:before="120" w:after="120"/>
        <w:ind w:firstLine="709"/>
        <w:jc w:val="both"/>
        <w:rPr>
          <w:rFonts w:ascii="Bookman Old Style" w:hAnsi="Bookman Old Style" w:cs="Arial"/>
          <w:sz w:val="20"/>
          <w:szCs w:val="20"/>
        </w:rPr>
      </w:pPr>
      <w:r w:rsidRPr="00167C02">
        <w:rPr>
          <w:rFonts w:ascii="Bookman Old Style" w:hAnsi="Bookman Old Style" w:cs="Arial"/>
          <w:sz w:val="20"/>
          <w:szCs w:val="20"/>
        </w:rPr>
        <w:t xml:space="preserve">Клиенты, занятые мелкооптовой торговлей (малообъемные, легкие товары), стремятся также купить небольшое помещение ближе к центру города, так, стоимость </w:t>
      </w:r>
      <w:r w:rsidRPr="008B0D80">
        <w:rPr>
          <w:rFonts w:ascii="Bookman Old Style" w:hAnsi="Bookman Old Style" w:cs="Arial"/>
          <w:sz w:val="20"/>
          <w:szCs w:val="20"/>
        </w:rPr>
        <w:t xml:space="preserve">производственно-складской недвижимости в </w:t>
      </w:r>
      <w:r w:rsidR="008B0D80">
        <w:rPr>
          <w:rFonts w:ascii="Bookman Old Style" w:hAnsi="Bookman Old Style" w:cs="Arial"/>
          <w:sz w:val="20"/>
          <w:szCs w:val="20"/>
        </w:rPr>
        <w:t xml:space="preserve">Центральном </w:t>
      </w:r>
      <w:r w:rsidR="00C539BF">
        <w:rPr>
          <w:rFonts w:ascii="Bookman Old Style" w:hAnsi="Bookman Old Style" w:cs="Arial"/>
          <w:sz w:val="20"/>
          <w:szCs w:val="20"/>
        </w:rPr>
        <w:t xml:space="preserve">и Железнодорожных </w:t>
      </w:r>
      <w:r w:rsidR="008B0D80">
        <w:rPr>
          <w:rFonts w:ascii="Bookman Old Style" w:hAnsi="Bookman Old Style" w:cs="Arial"/>
          <w:sz w:val="20"/>
          <w:szCs w:val="20"/>
        </w:rPr>
        <w:t>район</w:t>
      </w:r>
      <w:r w:rsidR="00C539BF">
        <w:rPr>
          <w:rFonts w:ascii="Bookman Old Style" w:hAnsi="Bookman Old Style" w:cs="Arial"/>
          <w:sz w:val="20"/>
          <w:szCs w:val="20"/>
        </w:rPr>
        <w:t>ах</w:t>
      </w:r>
      <w:r w:rsidRPr="008B0D80">
        <w:rPr>
          <w:rFonts w:ascii="Bookman Old Style" w:hAnsi="Bookman Old Style" w:cs="Arial"/>
          <w:sz w:val="20"/>
          <w:szCs w:val="20"/>
        </w:rPr>
        <w:t xml:space="preserve"> города</w:t>
      </w:r>
      <w:r w:rsidR="008B0D80">
        <w:rPr>
          <w:rFonts w:ascii="Bookman Old Style" w:hAnsi="Bookman Old Style" w:cs="Arial"/>
          <w:sz w:val="20"/>
          <w:szCs w:val="20"/>
        </w:rPr>
        <w:t xml:space="preserve"> составляет</w:t>
      </w:r>
      <w:r w:rsidRPr="008B0D80">
        <w:rPr>
          <w:rFonts w:ascii="Bookman Old Style" w:hAnsi="Bookman Old Style" w:cs="Arial"/>
          <w:sz w:val="20"/>
          <w:szCs w:val="20"/>
        </w:rPr>
        <w:t xml:space="preserve"> </w:t>
      </w:r>
      <w:r w:rsidR="00C539BF">
        <w:rPr>
          <w:rFonts w:ascii="Bookman Old Style" w:hAnsi="Bookman Old Style" w:cs="Arial"/>
          <w:sz w:val="20"/>
          <w:szCs w:val="20"/>
        </w:rPr>
        <w:t>24004 и 22881</w:t>
      </w:r>
      <w:r w:rsidRPr="00167C02">
        <w:rPr>
          <w:rFonts w:ascii="Bookman Old Style" w:hAnsi="Bookman Old Style" w:cs="Arial"/>
          <w:sz w:val="20"/>
          <w:szCs w:val="20"/>
        </w:rPr>
        <w:t xml:space="preserve"> руб. за 1 кв.м. </w:t>
      </w:r>
    </w:p>
    <w:p w:rsidR="00424E1B" w:rsidRPr="00167C02" w:rsidRDefault="00424E1B" w:rsidP="00424E1B">
      <w:pPr>
        <w:spacing w:before="120" w:after="120"/>
        <w:ind w:firstLine="709"/>
        <w:jc w:val="both"/>
        <w:rPr>
          <w:rFonts w:ascii="Bookman Old Style" w:hAnsi="Bookman Old Style" w:cs="Arial"/>
          <w:sz w:val="20"/>
          <w:szCs w:val="20"/>
        </w:rPr>
      </w:pPr>
      <w:r w:rsidRPr="00167C02">
        <w:rPr>
          <w:rFonts w:ascii="Bookman Old Style" w:hAnsi="Bookman Old Style" w:cs="Arial"/>
          <w:sz w:val="20"/>
          <w:szCs w:val="20"/>
        </w:rPr>
        <w:lastRenderedPageBreak/>
        <w:t xml:space="preserve">Что касается торговых площадей, то наиболее высокие цены находятся в тех районах города, где есть большие торговые центры, таких как в Центральном, Железнодорожном, Октябрьском и Советском районах города. Стоимость 1 кв.м. торговой площади в этих районах составляет </w:t>
      </w:r>
      <w:r w:rsidR="000855E4">
        <w:rPr>
          <w:rFonts w:ascii="Bookman Old Style" w:hAnsi="Bookman Old Style" w:cs="Arial"/>
          <w:sz w:val="20"/>
          <w:szCs w:val="20"/>
        </w:rPr>
        <w:t xml:space="preserve">70 </w:t>
      </w:r>
      <w:r w:rsidR="00C539BF">
        <w:rPr>
          <w:rFonts w:ascii="Bookman Old Style" w:hAnsi="Bookman Old Style" w:cs="Arial"/>
          <w:sz w:val="20"/>
          <w:szCs w:val="20"/>
        </w:rPr>
        <w:t>549</w:t>
      </w:r>
      <w:r w:rsidR="008B0D80" w:rsidRPr="008B0D80">
        <w:rPr>
          <w:rFonts w:ascii="Bookman Old Style" w:hAnsi="Bookman Old Style" w:cs="Arial"/>
          <w:sz w:val="20"/>
          <w:szCs w:val="20"/>
        </w:rPr>
        <w:t xml:space="preserve"> – </w:t>
      </w:r>
      <w:r w:rsidR="00C539BF">
        <w:rPr>
          <w:rFonts w:ascii="Bookman Old Style" w:hAnsi="Bookman Old Style" w:cs="Arial"/>
          <w:sz w:val="20"/>
          <w:szCs w:val="20"/>
        </w:rPr>
        <w:t>101 785</w:t>
      </w:r>
      <w:r w:rsidR="00EB0C74">
        <w:rPr>
          <w:rFonts w:ascii="Bookman Old Style" w:hAnsi="Bookman Old Style" w:cs="Arial"/>
          <w:sz w:val="20"/>
          <w:szCs w:val="20"/>
        </w:rPr>
        <w:t xml:space="preserve"> руб. за 1</w:t>
      </w:r>
      <w:r w:rsidRPr="008B0D80">
        <w:rPr>
          <w:rFonts w:ascii="Bookman Old Style" w:hAnsi="Bookman Old Style" w:cs="Arial"/>
          <w:sz w:val="20"/>
          <w:szCs w:val="20"/>
        </w:rPr>
        <w:t xml:space="preserve"> кв.м.</w:t>
      </w:r>
      <w:r w:rsidRPr="00167C02">
        <w:rPr>
          <w:rFonts w:ascii="Bookman Old Style" w:hAnsi="Bookman Old Style" w:cs="Arial"/>
          <w:sz w:val="20"/>
          <w:szCs w:val="20"/>
        </w:rPr>
        <w:t xml:space="preserve">  </w:t>
      </w:r>
    </w:p>
    <w:p w:rsidR="00424E1B" w:rsidRDefault="008B0D80" w:rsidP="00424E1B">
      <w:pPr>
        <w:spacing w:before="120" w:after="120"/>
        <w:ind w:firstLine="709"/>
        <w:jc w:val="both"/>
        <w:rPr>
          <w:rFonts w:ascii="Bookman Old Style" w:hAnsi="Bookman Old Style" w:cs="Arial"/>
          <w:sz w:val="20"/>
          <w:szCs w:val="20"/>
        </w:rPr>
      </w:pPr>
      <w:r>
        <w:rPr>
          <w:rFonts w:ascii="Bookman Old Style" w:hAnsi="Bookman Old Style" w:cs="Arial"/>
          <w:sz w:val="20"/>
          <w:szCs w:val="20"/>
        </w:rPr>
        <w:t>С</w:t>
      </w:r>
      <w:r w:rsidR="00424E1B" w:rsidRPr="00167C02">
        <w:rPr>
          <w:rFonts w:ascii="Bookman Old Style" w:hAnsi="Bookman Old Style" w:cs="Arial"/>
          <w:sz w:val="20"/>
          <w:szCs w:val="20"/>
        </w:rPr>
        <w:t xml:space="preserve">амым престижным и дорогим районом города для расположения коммерческой недвижимости является Центральный район. </w:t>
      </w:r>
    </w:p>
    <w:p w:rsidR="00424E1B" w:rsidRDefault="00424E1B" w:rsidP="00424E1B">
      <w:pPr>
        <w:spacing w:before="120" w:after="120"/>
        <w:ind w:firstLine="709"/>
        <w:jc w:val="both"/>
        <w:rPr>
          <w:rFonts w:ascii="Bookman Old Style" w:hAnsi="Bookman Old Style"/>
          <w:sz w:val="20"/>
          <w:szCs w:val="20"/>
        </w:rPr>
      </w:pPr>
      <w:r w:rsidRPr="00E42A8F">
        <w:rPr>
          <w:rFonts w:ascii="Bookman Old Style" w:hAnsi="Bookman Old Style" w:cs="Arial"/>
          <w:i/>
          <w:sz w:val="20"/>
          <w:szCs w:val="20"/>
        </w:rPr>
        <w:t>Площадь объекта недвижимости.</w:t>
      </w:r>
      <w:r>
        <w:rPr>
          <w:rFonts w:ascii="Bookman Old Style" w:hAnsi="Bookman Old Style" w:cs="Arial"/>
          <w:i/>
          <w:sz w:val="20"/>
          <w:szCs w:val="20"/>
        </w:rPr>
        <w:t xml:space="preserve"> </w:t>
      </w:r>
      <w:r w:rsidRPr="00167C02">
        <w:rPr>
          <w:rFonts w:ascii="Bookman Old Style" w:hAnsi="Bookman Old Style" w:cs="Arial"/>
          <w:sz w:val="20"/>
          <w:szCs w:val="20"/>
        </w:rPr>
        <w:t xml:space="preserve">Также существенное влияние на стоимость недвижимости оказывает площадь </w:t>
      </w:r>
      <w:r>
        <w:rPr>
          <w:rFonts w:ascii="Bookman Old Style" w:hAnsi="Bookman Old Style" w:cs="Arial"/>
          <w:sz w:val="20"/>
          <w:szCs w:val="20"/>
        </w:rPr>
        <w:t>предлагаемой недвижимости</w:t>
      </w:r>
      <w:r w:rsidRPr="00167C02">
        <w:rPr>
          <w:rFonts w:ascii="Bookman Old Style" w:hAnsi="Bookman Old Style" w:cs="Arial"/>
          <w:sz w:val="20"/>
          <w:szCs w:val="20"/>
        </w:rPr>
        <w:t xml:space="preserve">. Проанализировав рынок продаж каждого из сегментов коммерческой недвижимости, можно сделать вывод, что </w:t>
      </w:r>
      <w:r w:rsidRPr="00167C02">
        <w:rPr>
          <w:rFonts w:ascii="Bookman Old Style" w:hAnsi="Bookman Old Style"/>
          <w:sz w:val="20"/>
          <w:szCs w:val="20"/>
        </w:rPr>
        <w:t xml:space="preserve">большие по площади </w:t>
      </w:r>
      <w:r>
        <w:rPr>
          <w:rFonts w:ascii="Bookman Old Style" w:hAnsi="Bookman Old Style"/>
          <w:sz w:val="20"/>
          <w:szCs w:val="20"/>
        </w:rPr>
        <w:t xml:space="preserve">объекты </w:t>
      </w:r>
      <w:r w:rsidRPr="00167C02">
        <w:rPr>
          <w:rFonts w:ascii="Bookman Old Style" w:hAnsi="Bookman Old Style"/>
          <w:sz w:val="20"/>
          <w:szCs w:val="20"/>
        </w:rPr>
        <w:t>недвижимости стоят несколько дешевле в расчете на единицу площади</w:t>
      </w:r>
      <w:r>
        <w:rPr>
          <w:rFonts w:ascii="Bookman Old Style" w:hAnsi="Bookman Old Style"/>
          <w:sz w:val="20"/>
          <w:szCs w:val="20"/>
        </w:rPr>
        <w:t xml:space="preserve"> (например 1 кв.м.)</w:t>
      </w:r>
      <w:r w:rsidRPr="00167C02">
        <w:rPr>
          <w:rFonts w:ascii="Bookman Old Style" w:hAnsi="Bookman Old Style"/>
          <w:sz w:val="20"/>
          <w:szCs w:val="20"/>
        </w:rPr>
        <w:t xml:space="preserve">, чем меньшие. </w:t>
      </w:r>
    </w:p>
    <w:p w:rsidR="00424E1B" w:rsidRPr="00983123" w:rsidRDefault="00424E1B" w:rsidP="00424E1B">
      <w:pPr>
        <w:spacing w:before="120" w:after="120"/>
        <w:ind w:firstLine="709"/>
        <w:jc w:val="both"/>
        <w:rPr>
          <w:rFonts w:ascii="Bookman Old Style" w:hAnsi="Bookman Old Style" w:cs="Arial"/>
          <w:sz w:val="20"/>
          <w:szCs w:val="20"/>
        </w:rPr>
      </w:pPr>
      <w:r w:rsidRPr="001E4C84">
        <w:rPr>
          <w:rFonts w:ascii="Bookman Old Style" w:hAnsi="Bookman Old Style" w:cs="Arial"/>
          <w:i/>
          <w:sz w:val="20"/>
          <w:szCs w:val="20"/>
        </w:rPr>
        <w:t xml:space="preserve">Состояние </w:t>
      </w:r>
      <w:r>
        <w:rPr>
          <w:rFonts w:ascii="Bookman Old Style" w:hAnsi="Bookman Old Style" w:cs="Arial"/>
          <w:i/>
          <w:sz w:val="20"/>
          <w:szCs w:val="20"/>
        </w:rPr>
        <w:t>объекта</w:t>
      </w:r>
      <w:r w:rsidRPr="001E4C84">
        <w:rPr>
          <w:rFonts w:ascii="Bookman Old Style" w:hAnsi="Bookman Old Style" w:cs="Arial"/>
          <w:i/>
          <w:sz w:val="20"/>
          <w:szCs w:val="20"/>
        </w:rPr>
        <w:t>.</w:t>
      </w:r>
      <w:r>
        <w:rPr>
          <w:rFonts w:ascii="Bookman Old Style" w:hAnsi="Bookman Old Style" w:cs="Arial"/>
          <w:sz w:val="20"/>
          <w:szCs w:val="20"/>
        </w:rPr>
        <w:t xml:space="preserve"> </w:t>
      </w:r>
      <w:r w:rsidRPr="00983123">
        <w:rPr>
          <w:rFonts w:ascii="Bookman Old Style" w:hAnsi="Bookman Old Style" w:cs="Arial"/>
          <w:sz w:val="20"/>
          <w:szCs w:val="20"/>
        </w:rPr>
        <w:t>Можно выделить несколько рыночных типов состояния объектов недвижимости:</w:t>
      </w:r>
    </w:p>
    <w:p w:rsidR="00424E1B" w:rsidRDefault="00424E1B" w:rsidP="00424E1B">
      <w:pPr>
        <w:spacing w:before="120" w:after="120"/>
        <w:ind w:firstLine="709"/>
        <w:jc w:val="both"/>
        <w:rPr>
          <w:rFonts w:ascii="Bookman Old Style" w:hAnsi="Bookman Old Style" w:cs="Arial"/>
          <w:sz w:val="20"/>
          <w:szCs w:val="20"/>
        </w:rPr>
      </w:pPr>
      <w:r w:rsidRPr="00983123">
        <w:rPr>
          <w:rFonts w:ascii="Bookman Old Style" w:hAnsi="Bookman Old Style" w:cs="Arial"/>
          <w:sz w:val="20"/>
          <w:szCs w:val="20"/>
        </w:rPr>
        <w:t>«Хорошее» – это состояние</w:t>
      </w:r>
      <w:r>
        <w:rPr>
          <w:rFonts w:ascii="Bookman Old Style" w:hAnsi="Bookman Old Style" w:cs="Arial"/>
          <w:sz w:val="20"/>
          <w:szCs w:val="20"/>
        </w:rPr>
        <w:t xml:space="preserve"> при котором объект годен к эксплуатации, без проведения каких либо работ по ремонту.</w:t>
      </w:r>
    </w:p>
    <w:p w:rsidR="00424E1B" w:rsidRDefault="00424E1B" w:rsidP="00424E1B">
      <w:pPr>
        <w:spacing w:before="120" w:after="120"/>
        <w:ind w:firstLine="709"/>
        <w:jc w:val="both"/>
        <w:rPr>
          <w:rFonts w:ascii="Bookman Old Style" w:hAnsi="Bookman Old Style" w:cs="Arial"/>
          <w:sz w:val="20"/>
          <w:szCs w:val="20"/>
        </w:rPr>
      </w:pPr>
      <w:r>
        <w:rPr>
          <w:rFonts w:ascii="Bookman Old Style" w:hAnsi="Bookman Old Style" w:cs="Arial"/>
          <w:sz w:val="20"/>
          <w:szCs w:val="20"/>
        </w:rPr>
        <w:t>«Удовлетворительное» – это состояние при котором объект годен к эксплуатации, но требует работ по проведению текущего ремонта в объеме не затрагивающем замены долгоживущих конструктивных элементов.</w:t>
      </w:r>
    </w:p>
    <w:p w:rsidR="00424E1B" w:rsidRDefault="00424E1B" w:rsidP="00424E1B">
      <w:pPr>
        <w:spacing w:before="120" w:after="120"/>
        <w:ind w:firstLine="709"/>
        <w:jc w:val="both"/>
        <w:rPr>
          <w:rFonts w:ascii="Bookman Old Style" w:hAnsi="Bookman Old Style" w:cs="Arial"/>
          <w:sz w:val="20"/>
          <w:szCs w:val="20"/>
        </w:rPr>
      </w:pPr>
      <w:r>
        <w:rPr>
          <w:rFonts w:ascii="Bookman Old Style" w:hAnsi="Bookman Old Style" w:cs="Arial"/>
          <w:sz w:val="20"/>
          <w:szCs w:val="20"/>
        </w:rPr>
        <w:t xml:space="preserve">«Неудовлетворительное» – это состояние объекта при котором объект недвижимости не годен к эксплуатации без проведения работ по капитальному ремонту или реконструкции. </w:t>
      </w:r>
    </w:p>
    <w:p w:rsidR="005F6A69" w:rsidRDefault="005F6A69" w:rsidP="005F6A69">
      <w:pPr>
        <w:spacing w:before="100" w:after="100"/>
        <w:ind w:firstLine="709"/>
        <w:jc w:val="both"/>
        <w:rPr>
          <w:rFonts w:ascii="Bookman Old Style" w:hAnsi="Bookman Old Style" w:cs="Arial"/>
          <w:sz w:val="20"/>
          <w:szCs w:val="20"/>
        </w:rPr>
      </w:pPr>
      <w:r>
        <w:rPr>
          <w:rFonts w:ascii="Bookman Old Style" w:hAnsi="Bookman Old Style" w:cs="Arial"/>
          <w:sz w:val="20"/>
          <w:szCs w:val="20"/>
        </w:rPr>
        <w:t>Для производственно-складской недвижимости, экспертное значение отличий в стоимости 1 кв.м. выглядит следующим образом</w:t>
      </w:r>
      <w:r>
        <w:rPr>
          <w:rStyle w:val="aff0"/>
          <w:rFonts w:ascii="Bookman Old Style" w:hAnsi="Bookman Old Style" w:cs="Arial"/>
          <w:sz w:val="20"/>
          <w:szCs w:val="20"/>
        </w:rPr>
        <w:footnoteReference w:id="28"/>
      </w:r>
      <w:r>
        <w:rPr>
          <w:rFonts w:ascii="Bookman Old Style" w:hAnsi="Bookman Old Style" w:cs="Arial"/>
          <w:sz w:val="20"/>
          <w:szCs w:val="20"/>
        </w:rPr>
        <w:t>:</w:t>
      </w:r>
    </w:p>
    <w:p w:rsidR="005F6A69" w:rsidRDefault="005F6A69" w:rsidP="00303E37">
      <w:pPr>
        <w:pStyle w:val="aff2"/>
        <w:numPr>
          <w:ilvl w:val="0"/>
          <w:numId w:val="55"/>
        </w:numPr>
        <w:spacing w:before="100" w:after="100"/>
        <w:contextualSpacing w:val="0"/>
        <w:rPr>
          <w:rFonts w:ascii="Bookman Old Style" w:hAnsi="Bookman Old Style" w:cs="Arial"/>
          <w:sz w:val="20"/>
          <w:szCs w:val="20"/>
        </w:rPr>
      </w:pPr>
      <w:r w:rsidRPr="0016464E">
        <w:rPr>
          <w:rFonts w:ascii="Bookman Old Style" w:hAnsi="Bookman Old Style" w:cs="Arial"/>
          <w:sz w:val="20"/>
          <w:szCs w:val="20"/>
        </w:rPr>
        <w:t xml:space="preserve">Экспертное значение диапазона отношения удельной стоимости производственно-складских объектов требующих проведения капитального ремонта и находящихся в неудовлетворительном состоянии к производственно-складским объектам, находящимся в удовлетворительном состоянии составляет диапазон 0,72-0,76. </w:t>
      </w:r>
    </w:p>
    <w:p w:rsidR="005F6A69" w:rsidRDefault="005F6A69" w:rsidP="00303E37">
      <w:pPr>
        <w:pStyle w:val="aff2"/>
        <w:numPr>
          <w:ilvl w:val="0"/>
          <w:numId w:val="55"/>
        </w:numPr>
        <w:spacing w:before="100" w:after="100"/>
        <w:contextualSpacing w:val="0"/>
        <w:rPr>
          <w:rFonts w:ascii="Bookman Old Style" w:hAnsi="Bookman Old Style" w:cs="Arial"/>
          <w:sz w:val="20"/>
          <w:szCs w:val="20"/>
        </w:rPr>
      </w:pPr>
      <w:r>
        <w:rPr>
          <w:rFonts w:ascii="Bookman Old Style" w:hAnsi="Bookman Old Style"/>
          <w:sz w:val="20"/>
          <w:szCs w:val="20"/>
        </w:rPr>
        <w:t>Э</w:t>
      </w:r>
      <w:r w:rsidRPr="00431CC5">
        <w:rPr>
          <w:rFonts w:ascii="Bookman Old Style" w:hAnsi="Bookman Old Style"/>
          <w:sz w:val="20"/>
          <w:szCs w:val="20"/>
        </w:rPr>
        <w:t>кспертное значение диапазона отношени</w:t>
      </w:r>
      <w:r>
        <w:rPr>
          <w:rFonts w:ascii="Bookman Old Style" w:hAnsi="Bookman Old Style"/>
          <w:sz w:val="20"/>
          <w:szCs w:val="20"/>
        </w:rPr>
        <w:t>я удельной стоимости</w:t>
      </w:r>
      <w:r w:rsidRPr="00431CC5">
        <w:rPr>
          <w:rFonts w:ascii="Bookman Old Style" w:hAnsi="Bookman Old Style"/>
          <w:sz w:val="20"/>
          <w:szCs w:val="20"/>
        </w:rPr>
        <w:t xml:space="preserve"> прои</w:t>
      </w:r>
      <w:r>
        <w:rPr>
          <w:rFonts w:ascii="Bookman Old Style" w:hAnsi="Bookman Old Style"/>
          <w:sz w:val="20"/>
          <w:szCs w:val="20"/>
        </w:rPr>
        <w:t>зводственно-складских объектов в удовлетворительном состоянии к цене производственно-складских объектов в хорошем (не требующем проведения значительного ремонта) состоянии составляет диапазон 0,65-0,83</w:t>
      </w:r>
      <w:r w:rsidRPr="00431CC5">
        <w:rPr>
          <w:rFonts w:ascii="Bookman Old Style" w:hAnsi="Bookman Old Style"/>
          <w:sz w:val="20"/>
          <w:szCs w:val="20"/>
        </w:rPr>
        <w:t>.</w:t>
      </w:r>
    </w:p>
    <w:p w:rsidR="005F6A69" w:rsidRPr="0016464E" w:rsidRDefault="005F6A69" w:rsidP="005F6A69">
      <w:pPr>
        <w:spacing w:before="100" w:after="100"/>
        <w:ind w:firstLine="709"/>
        <w:jc w:val="both"/>
        <w:rPr>
          <w:rFonts w:ascii="Bookman Old Style" w:hAnsi="Bookman Old Style" w:cs="Arial"/>
          <w:sz w:val="20"/>
          <w:szCs w:val="20"/>
        </w:rPr>
      </w:pPr>
      <w:r w:rsidRPr="0016464E">
        <w:rPr>
          <w:rFonts w:ascii="Bookman Old Style" w:hAnsi="Bookman Old Style" w:cs="Arial"/>
          <w:sz w:val="20"/>
          <w:szCs w:val="20"/>
        </w:rPr>
        <w:t xml:space="preserve">Для </w:t>
      </w:r>
      <w:r>
        <w:rPr>
          <w:rFonts w:ascii="Bookman Old Style" w:hAnsi="Bookman Old Style" w:cs="Arial"/>
          <w:sz w:val="20"/>
          <w:szCs w:val="20"/>
        </w:rPr>
        <w:t>административно-офисных объектов</w:t>
      </w:r>
      <w:r w:rsidRPr="0016464E">
        <w:rPr>
          <w:rFonts w:ascii="Bookman Old Style" w:hAnsi="Bookman Old Style" w:cs="Arial"/>
          <w:sz w:val="20"/>
          <w:szCs w:val="20"/>
        </w:rPr>
        <w:t>, экспертное значение отличий в стоимости 1 кв.м. выглядит следующим образом</w:t>
      </w:r>
      <w:r>
        <w:rPr>
          <w:rStyle w:val="aff0"/>
          <w:rFonts w:ascii="Bookman Old Style" w:hAnsi="Bookman Old Style" w:cs="Arial"/>
          <w:sz w:val="20"/>
          <w:szCs w:val="20"/>
        </w:rPr>
        <w:footnoteReference w:id="29"/>
      </w:r>
      <w:r w:rsidRPr="0016464E">
        <w:rPr>
          <w:rFonts w:ascii="Bookman Old Style" w:hAnsi="Bookman Old Style" w:cs="Arial"/>
          <w:sz w:val="20"/>
          <w:szCs w:val="20"/>
        </w:rPr>
        <w:t>:</w:t>
      </w:r>
    </w:p>
    <w:p w:rsidR="005F6A69" w:rsidRDefault="005F6A69" w:rsidP="00303E37">
      <w:pPr>
        <w:pStyle w:val="aff2"/>
        <w:numPr>
          <w:ilvl w:val="0"/>
          <w:numId w:val="36"/>
        </w:numPr>
        <w:spacing w:before="100" w:after="100"/>
        <w:ind w:left="714" w:hanging="357"/>
        <w:contextualSpacing w:val="0"/>
        <w:jc w:val="both"/>
        <w:rPr>
          <w:rFonts w:ascii="Bookman Old Style" w:hAnsi="Bookman Old Style"/>
          <w:sz w:val="20"/>
          <w:szCs w:val="20"/>
        </w:rPr>
      </w:pPr>
      <w:r w:rsidRPr="0016464E">
        <w:rPr>
          <w:rFonts w:ascii="Bookman Old Style" w:hAnsi="Bookman Old Style"/>
          <w:sz w:val="20"/>
          <w:szCs w:val="20"/>
        </w:rPr>
        <w:t xml:space="preserve">Экспертное значение диапазона отношения удельной стоимости административно-офисных объектов требующих проведения капитального ремонта и находящихся в неудовлетворительном состоянии к удельной цене такого же объекта, находящегося в удовлетворительном состоянии составляет диапазон 0,71-0,76. </w:t>
      </w:r>
    </w:p>
    <w:p w:rsidR="005F6A69" w:rsidRPr="0016464E" w:rsidRDefault="005F6A69" w:rsidP="00303E37">
      <w:pPr>
        <w:pStyle w:val="aff2"/>
        <w:numPr>
          <w:ilvl w:val="0"/>
          <w:numId w:val="36"/>
        </w:numPr>
        <w:spacing w:before="100" w:after="100"/>
        <w:ind w:left="714" w:hanging="357"/>
        <w:contextualSpacing w:val="0"/>
        <w:jc w:val="both"/>
        <w:rPr>
          <w:rFonts w:ascii="Bookman Old Style" w:hAnsi="Bookman Old Style"/>
          <w:sz w:val="20"/>
          <w:szCs w:val="20"/>
        </w:rPr>
      </w:pPr>
      <w:r w:rsidRPr="0016464E">
        <w:rPr>
          <w:rFonts w:ascii="Bookman Old Style" w:hAnsi="Bookman Old Style"/>
          <w:sz w:val="20"/>
          <w:szCs w:val="20"/>
        </w:rPr>
        <w:t xml:space="preserve">Экспертное значение диапазона отношения удельной стоимости административно-офисных объектов в удовлетворительном состоянии к удельной цене такого же объекта, находящегося в хорошем состоянии составляет диапазон 0,80-0,83. </w:t>
      </w:r>
    </w:p>
    <w:p w:rsidR="00424E1B" w:rsidRDefault="005F6A69" w:rsidP="005F6A69">
      <w:pPr>
        <w:spacing w:before="120" w:after="120"/>
        <w:ind w:firstLine="709"/>
        <w:jc w:val="both"/>
        <w:rPr>
          <w:rFonts w:ascii="Bookman Old Style" w:hAnsi="Bookman Old Style"/>
          <w:sz w:val="20"/>
          <w:szCs w:val="20"/>
        </w:rPr>
      </w:pPr>
      <w:r w:rsidRPr="00D229B7">
        <w:rPr>
          <w:rFonts w:ascii="Bookman Old Style" w:hAnsi="Bookman Old Style"/>
          <w:sz w:val="20"/>
          <w:szCs w:val="20"/>
        </w:rPr>
        <w:t>Таким образом в данному разделе рассмотрены основные факторы влияющие на спрос, предложение и цены на рынке коммерческой недвижимости Красноярска</w:t>
      </w:r>
      <w:r w:rsidR="00424E1B" w:rsidRPr="00D229B7">
        <w:rPr>
          <w:rFonts w:ascii="Bookman Old Style" w:hAnsi="Bookman Old Style"/>
          <w:sz w:val="20"/>
          <w:szCs w:val="20"/>
        </w:rPr>
        <w:t>.</w:t>
      </w:r>
    </w:p>
    <w:p w:rsidR="005F6A69" w:rsidRPr="00D229B7" w:rsidRDefault="005F6A69" w:rsidP="005F6A69">
      <w:pPr>
        <w:pStyle w:val="3"/>
        <w:spacing w:before="100" w:after="100"/>
        <w:rPr>
          <w:rFonts w:ascii="Bookman Old Style" w:hAnsi="Bookman Old Style"/>
          <w:sz w:val="20"/>
          <w:szCs w:val="20"/>
        </w:rPr>
      </w:pPr>
      <w:bookmarkStart w:id="201" w:name="_Toc449016298"/>
      <w:bookmarkStart w:id="202" w:name="_Toc461206381"/>
      <w:r>
        <w:rPr>
          <w:rFonts w:ascii="Bookman Old Style" w:hAnsi="Bookman Old Style"/>
          <w:sz w:val="20"/>
          <w:szCs w:val="20"/>
        </w:rPr>
        <w:t>4.4</w:t>
      </w:r>
      <w:r w:rsidRPr="00920907">
        <w:rPr>
          <w:rFonts w:ascii="Bookman Old Style" w:hAnsi="Bookman Old Style"/>
          <w:sz w:val="20"/>
          <w:szCs w:val="20"/>
        </w:rPr>
        <w:t>.</w:t>
      </w:r>
      <w:r>
        <w:rPr>
          <w:rFonts w:ascii="Bookman Old Style" w:hAnsi="Bookman Old Style"/>
          <w:sz w:val="20"/>
          <w:szCs w:val="20"/>
        </w:rPr>
        <w:t>3</w:t>
      </w:r>
      <w:r w:rsidRPr="00920907">
        <w:rPr>
          <w:rFonts w:ascii="Bookman Old Style" w:hAnsi="Bookman Old Style"/>
          <w:sz w:val="20"/>
          <w:szCs w:val="20"/>
        </w:rPr>
        <w:t>. Рынок земельных участков. Ценообразующие факторы, использовавшиеся при определении стоимости, и обоснование значений диапазонов значений ценообразующих факторов</w:t>
      </w:r>
      <w:bookmarkEnd w:id="201"/>
      <w:bookmarkEnd w:id="202"/>
    </w:p>
    <w:p w:rsidR="005F6A69" w:rsidRDefault="005F6A69" w:rsidP="005F6A69">
      <w:pPr>
        <w:spacing w:before="100" w:after="100"/>
        <w:ind w:firstLine="709"/>
        <w:jc w:val="both"/>
        <w:rPr>
          <w:rFonts w:ascii="Bookman Old Style" w:hAnsi="Bookman Old Style"/>
          <w:sz w:val="20"/>
          <w:szCs w:val="20"/>
        </w:rPr>
      </w:pPr>
      <w:r>
        <w:rPr>
          <w:rFonts w:ascii="Bookman Old Style" w:hAnsi="Bookman Old Style"/>
          <w:sz w:val="20"/>
          <w:szCs w:val="20"/>
        </w:rPr>
        <w:t>Анализ предложений по продаже земельных участков позволил сделать следующие выводы:</w:t>
      </w:r>
    </w:p>
    <w:p w:rsidR="005F6A69" w:rsidRPr="00670C3F" w:rsidRDefault="005F6A69" w:rsidP="00303E37">
      <w:pPr>
        <w:pStyle w:val="aff2"/>
        <w:numPr>
          <w:ilvl w:val="0"/>
          <w:numId w:val="57"/>
        </w:numPr>
        <w:spacing w:before="100" w:after="100"/>
        <w:contextualSpacing w:val="0"/>
        <w:jc w:val="both"/>
        <w:rPr>
          <w:rFonts w:ascii="Bookman Old Style" w:hAnsi="Bookman Old Style"/>
          <w:sz w:val="20"/>
          <w:szCs w:val="20"/>
        </w:rPr>
      </w:pPr>
      <w:r w:rsidRPr="00670C3F">
        <w:rPr>
          <w:rFonts w:ascii="Bookman Old Style" w:hAnsi="Bookman Old Style"/>
          <w:sz w:val="20"/>
          <w:szCs w:val="20"/>
        </w:rPr>
        <w:t xml:space="preserve">На рынке земельных участков Красноярска наблюдается превышение количества предложения над спросом, что негативно отражается на средней рыночной стоимости земельных участков различного вида использования. </w:t>
      </w:r>
    </w:p>
    <w:p w:rsidR="005F6A69" w:rsidRPr="00670C3F" w:rsidRDefault="005F6A69" w:rsidP="00303E37">
      <w:pPr>
        <w:pStyle w:val="aff2"/>
        <w:numPr>
          <w:ilvl w:val="0"/>
          <w:numId w:val="57"/>
        </w:numPr>
        <w:spacing w:before="100" w:after="100"/>
        <w:contextualSpacing w:val="0"/>
        <w:jc w:val="both"/>
        <w:rPr>
          <w:rFonts w:ascii="Bookman Old Style" w:hAnsi="Bookman Old Style"/>
          <w:sz w:val="20"/>
          <w:szCs w:val="20"/>
        </w:rPr>
      </w:pPr>
      <w:r w:rsidRPr="00670C3F">
        <w:rPr>
          <w:rFonts w:ascii="Bookman Old Style" w:hAnsi="Bookman Old Style"/>
          <w:sz w:val="20"/>
          <w:szCs w:val="20"/>
        </w:rPr>
        <w:lastRenderedPageBreak/>
        <w:t>Рынок земельных участков характеризуется большим количеством предложений по продаже земель промназначения или для эксплуатации производственно-складской недвижимости в Ленинском районе Красноярска.</w:t>
      </w:r>
    </w:p>
    <w:p w:rsidR="005F6A69" w:rsidRDefault="005F6A69" w:rsidP="005F6A69">
      <w:pPr>
        <w:spacing w:before="100" w:after="100"/>
        <w:ind w:firstLine="709"/>
        <w:jc w:val="both"/>
        <w:rPr>
          <w:rFonts w:ascii="Bookman Old Style" w:hAnsi="Bookman Old Style"/>
          <w:sz w:val="20"/>
          <w:szCs w:val="20"/>
        </w:rPr>
      </w:pPr>
      <w:r w:rsidRPr="00161622">
        <w:rPr>
          <w:rFonts w:ascii="Bookman Old Style" w:hAnsi="Bookman Old Style"/>
          <w:sz w:val="20"/>
          <w:szCs w:val="20"/>
        </w:rPr>
        <w:t xml:space="preserve">На дату оценки на рынке земельных участков коммерческого назначения в рассматриваемом сегменте рынка наблюдается порядка </w:t>
      </w:r>
      <w:r>
        <w:rPr>
          <w:rFonts w:ascii="Bookman Old Style" w:hAnsi="Bookman Old Style"/>
          <w:sz w:val="20"/>
          <w:szCs w:val="20"/>
        </w:rPr>
        <w:t>2</w:t>
      </w:r>
      <w:r w:rsidRPr="00161622">
        <w:rPr>
          <w:rFonts w:ascii="Bookman Old Style" w:hAnsi="Bookman Old Style"/>
          <w:sz w:val="20"/>
          <w:szCs w:val="20"/>
        </w:rPr>
        <w:t>0 предложений</w:t>
      </w:r>
      <w:r>
        <w:rPr>
          <w:rFonts w:ascii="Bookman Old Style" w:hAnsi="Bookman Old Style"/>
          <w:sz w:val="20"/>
          <w:szCs w:val="20"/>
        </w:rPr>
        <w:t xml:space="preserve">. </w:t>
      </w:r>
    </w:p>
    <w:p w:rsidR="005F6A69" w:rsidRPr="00161622" w:rsidRDefault="005F6A69" w:rsidP="005F6A69">
      <w:pPr>
        <w:spacing w:before="100" w:after="100"/>
        <w:ind w:firstLine="709"/>
        <w:jc w:val="both"/>
        <w:rPr>
          <w:rFonts w:ascii="Bookman Old Style" w:hAnsi="Bookman Old Style"/>
          <w:sz w:val="20"/>
          <w:szCs w:val="20"/>
        </w:rPr>
      </w:pPr>
      <w:r w:rsidRPr="00161622">
        <w:rPr>
          <w:rFonts w:ascii="Bookman Old Style" w:hAnsi="Bookman Old Style"/>
          <w:sz w:val="20"/>
          <w:szCs w:val="20"/>
        </w:rPr>
        <w:t>Структура стоимости предложений земельных участков под коммерческую застройку определяется в основном местоположением земельного участка, размером и возможностью подключения инженерных сетей и коммуникаций.</w:t>
      </w:r>
    </w:p>
    <w:p w:rsidR="005F6A69" w:rsidRDefault="005F6A69" w:rsidP="005F6A69">
      <w:pPr>
        <w:spacing w:before="100" w:after="100"/>
        <w:ind w:firstLine="709"/>
        <w:jc w:val="both"/>
        <w:rPr>
          <w:rFonts w:ascii="Bookman Old Style" w:hAnsi="Bookman Old Style"/>
          <w:sz w:val="20"/>
          <w:szCs w:val="20"/>
        </w:rPr>
      </w:pPr>
      <w:r w:rsidRPr="00161622">
        <w:rPr>
          <w:rFonts w:ascii="Bookman Old Style" w:hAnsi="Bookman Old Style"/>
          <w:sz w:val="20"/>
          <w:szCs w:val="20"/>
        </w:rPr>
        <w:t>Стоимость предложения земельных участков исследуемого В</w:t>
      </w:r>
      <w:r>
        <w:rPr>
          <w:rFonts w:ascii="Bookman Old Style" w:hAnsi="Bookman Old Style"/>
          <w:sz w:val="20"/>
          <w:szCs w:val="20"/>
        </w:rPr>
        <w:t>РИ в Ленинском районе составляет: 150-400 рублей за 1 кв.м. площади участка.</w:t>
      </w:r>
    </w:p>
    <w:p w:rsidR="005F6A69" w:rsidRDefault="005F6A69" w:rsidP="005F6A69">
      <w:pPr>
        <w:spacing w:before="100" w:after="100"/>
        <w:ind w:firstLine="708"/>
        <w:jc w:val="both"/>
        <w:rPr>
          <w:rFonts w:ascii="Bookman Old Style" w:hAnsi="Bookman Old Style"/>
          <w:sz w:val="20"/>
          <w:szCs w:val="20"/>
        </w:rPr>
      </w:pPr>
      <w:r>
        <w:rPr>
          <w:rFonts w:ascii="Bookman Old Style" w:hAnsi="Bookman Old Style"/>
          <w:sz w:val="20"/>
          <w:szCs w:val="20"/>
        </w:rPr>
        <w:t>Для определения типичной доли застройки проведено дополнительное исследование доли площади застройки в общей площади земельного участка. В результате исследования установлено что типичная для рынка доля площади застройки в общей площади земельного участка составляет диапазон 0,1-0,4.</w:t>
      </w:r>
    </w:p>
    <w:p w:rsidR="005F6A69" w:rsidRDefault="005F6A69" w:rsidP="005F6A69">
      <w:pPr>
        <w:spacing w:before="100" w:after="100"/>
        <w:ind w:firstLine="708"/>
        <w:jc w:val="both"/>
        <w:rPr>
          <w:rFonts w:ascii="Bookman Old Style" w:hAnsi="Bookman Old Style"/>
          <w:sz w:val="20"/>
          <w:szCs w:val="20"/>
        </w:rPr>
      </w:pPr>
      <w:r w:rsidRPr="004144A2">
        <w:rPr>
          <w:rFonts w:ascii="Bookman Old Style" w:hAnsi="Bookman Old Style"/>
          <w:sz w:val="20"/>
          <w:szCs w:val="20"/>
        </w:rPr>
        <w:t>В ходе проведения исследования рынка земельных участков был сделан вывод о том, что</w:t>
      </w:r>
      <w:r>
        <w:rPr>
          <w:rFonts w:ascii="Bookman Old Style" w:hAnsi="Bookman Old Style"/>
          <w:sz w:val="20"/>
          <w:szCs w:val="20"/>
        </w:rPr>
        <w:t>,</w:t>
      </w:r>
      <w:r w:rsidRPr="004144A2">
        <w:rPr>
          <w:rFonts w:ascii="Bookman Old Style" w:hAnsi="Bookman Old Style"/>
          <w:sz w:val="20"/>
          <w:szCs w:val="20"/>
        </w:rPr>
        <w:t xml:space="preserve"> значительный диапазон цен в рыночной информации свидетельствует о влиянии на стоимость земельных участков рассматриваемого ВРИ многих факторов. </w:t>
      </w:r>
    </w:p>
    <w:p w:rsidR="005F6A69" w:rsidRDefault="005F6A69" w:rsidP="005F6A69">
      <w:pPr>
        <w:spacing w:before="100" w:after="100"/>
        <w:ind w:firstLine="708"/>
        <w:jc w:val="both"/>
        <w:rPr>
          <w:rFonts w:ascii="Bookman Old Style" w:hAnsi="Bookman Old Style"/>
          <w:sz w:val="20"/>
          <w:szCs w:val="20"/>
          <w:highlight w:val="yellow"/>
        </w:rPr>
      </w:pPr>
      <w:r w:rsidRPr="00BB3CA4">
        <w:rPr>
          <w:rFonts w:ascii="Bookman Old Style" w:hAnsi="Bookman Old Style"/>
          <w:sz w:val="20"/>
          <w:szCs w:val="20"/>
        </w:rPr>
        <w:t xml:space="preserve">Предваряя анализ факторов местоположения и других характеристик, оказывающих влияния на цену земельных участков, отметим, что в сложившейся оценочной практике первоначально объекты сравниваются по </w:t>
      </w:r>
      <w:r>
        <w:rPr>
          <w:rFonts w:ascii="Bookman Old Style" w:hAnsi="Bookman Old Style"/>
          <w:sz w:val="20"/>
          <w:szCs w:val="20"/>
        </w:rPr>
        <w:t>следующим элементам сравнения:</w:t>
      </w:r>
    </w:p>
    <w:p w:rsidR="005F6A69" w:rsidRPr="00161622" w:rsidRDefault="005F6A69" w:rsidP="00303E37">
      <w:pPr>
        <w:numPr>
          <w:ilvl w:val="0"/>
          <w:numId w:val="56"/>
        </w:numPr>
        <w:spacing w:before="100" w:after="100"/>
        <w:jc w:val="both"/>
        <w:rPr>
          <w:rFonts w:ascii="Bookman Old Style" w:hAnsi="Bookman Old Style"/>
          <w:sz w:val="20"/>
          <w:szCs w:val="20"/>
        </w:rPr>
      </w:pPr>
      <w:r w:rsidRPr="00161622">
        <w:rPr>
          <w:rFonts w:ascii="Bookman Old Style" w:hAnsi="Bookman Old Style"/>
          <w:sz w:val="20"/>
          <w:szCs w:val="20"/>
        </w:rPr>
        <w:t>Передаваемые права. Существенное значение имеет идентификация передаваемых прав на недвижимость в каждой сопоставимой сделке выбранной для анализа, поскольку цена сделки всегда основывается на передаваемом интересе в имуществе. Разница между оцениваемой недвижимостью и сопоставимым объектом, влияющая на его стоимость, достаточно часто определяется разницей их юридического статуса (набора прав). Право аренды и право собственности имеют различную стоимость. Как правило скидка для земельных участков находящихся на праве аренды составляет 13-15%, что в нашем случае может составить диапазон цен в 15-35 рублей на 1 кв.м</w:t>
      </w:r>
      <w:r w:rsidRPr="00161622">
        <w:rPr>
          <w:rFonts w:ascii="Bookman Old Style" w:hAnsi="Bookman Old Style"/>
          <w:sz w:val="20"/>
          <w:szCs w:val="20"/>
          <w:vertAlign w:val="superscript"/>
        </w:rPr>
        <w:footnoteReference w:id="30"/>
      </w:r>
      <w:r w:rsidRPr="00161622">
        <w:rPr>
          <w:rFonts w:ascii="Bookman Old Style" w:hAnsi="Bookman Old Style"/>
          <w:sz w:val="20"/>
          <w:szCs w:val="20"/>
        </w:rPr>
        <w:t>.</w:t>
      </w:r>
    </w:p>
    <w:p w:rsidR="005F6A69" w:rsidRPr="00161622" w:rsidRDefault="005F6A69" w:rsidP="00303E37">
      <w:pPr>
        <w:numPr>
          <w:ilvl w:val="0"/>
          <w:numId w:val="56"/>
        </w:numPr>
        <w:spacing w:before="100" w:after="100"/>
        <w:jc w:val="both"/>
        <w:rPr>
          <w:rFonts w:ascii="Bookman Old Style" w:hAnsi="Bookman Old Style"/>
          <w:sz w:val="20"/>
          <w:szCs w:val="20"/>
        </w:rPr>
      </w:pPr>
      <w:r w:rsidRPr="00161622">
        <w:rPr>
          <w:rFonts w:ascii="Bookman Old Style" w:hAnsi="Bookman Old Style"/>
          <w:sz w:val="20"/>
          <w:szCs w:val="20"/>
        </w:rPr>
        <w:t>Условия финансирования. Различные условия финансирования сделки могут привести к отличию цены, уплаченной за недвижимое имущество, от цены, уплаченной за другое идентичное имущество. Как правило условия финансирования Объекта оценки и аналогов при определении рыночной стоимости идентичны, однако, при совершении сделки купли-продажи в специальных условиях определения стоимости, например при использовании кредитных средств покупателем или при внесении денежных средств в рассрочку необходимо учесть фактор стоимости денег во времени. Средний диапазон отличий для условий финансирования может составлять до 2-10% стоимости 1 кв.м. земельного участка.</w:t>
      </w:r>
    </w:p>
    <w:p w:rsidR="005F6A69" w:rsidRPr="00161622" w:rsidRDefault="005F6A69" w:rsidP="00303E37">
      <w:pPr>
        <w:numPr>
          <w:ilvl w:val="0"/>
          <w:numId w:val="56"/>
        </w:numPr>
        <w:spacing w:before="100" w:after="100"/>
        <w:jc w:val="both"/>
        <w:rPr>
          <w:rFonts w:ascii="Bookman Old Style" w:hAnsi="Bookman Old Style"/>
          <w:sz w:val="20"/>
          <w:szCs w:val="20"/>
        </w:rPr>
      </w:pPr>
      <w:r w:rsidRPr="00161622">
        <w:rPr>
          <w:rFonts w:ascii="Bookman Old Style" w:hAnsi="Bookman Old Style"/>
          <w:sz w:val="20"/>
          <w:szCs w:val="20"/>
        </w:rPr>
        <w:t>Условия рынка. Под корректировкой цен на рыночные условия понимается корректировка цен на время от даты сделки (экспозиции) аналога до даты оценки. На рынке коммерческой недвижимости цены с течением времени изменяются. Причиной этого могут быть инфляционные или дефляционные процессы в экономике. Изменение цен может произойти в результате принятия новых законов, налоговых норм, а так же в связи с колебанием спроса и предложения на недвижимость в целом или ее отдельные типы. Основной причиной учета ценообразующего фактора является колебание спроса и предложения, что в свою очередь сказывается на стоимости земельного участка. Диапазон изменений стоимости земельных участков составляет на дату оценки примерно от 5 до 15% от стоимости 1 кв.м. в год</w:t>
      </w:r>
      <w:r w:rsidRPr="00161622">
        <w:rPr>
          <w:rFonts w:ascii="Bookman Old Style" w:hAnsi="Bookman Old Style"/>
          <w:sz w:val="20"/>
          <w:szCs w:val="20"/>
          <w:vertAlign w:val="superscript"/>
          <w:lang w:val="en-GB"/>
        </w:rPr>
        <w:footnoteReference w:id="31"/>
      </w:r>
      <w:r w:rsidRPr="00161622">
        <w:rPr>
          <w:rFonts w:ascii="Bookman Old Style" w:hAnsi="Bookman Old Style"/>
          <w:sz w:val="20"/>
          <w:szCs w:val="20"/>
        </w:rPr>
        <w:t>.</w:t>
      </w:r>
    </w:p>
    <w:p w:rsidR="005F6A69" w:rsidRPr="00161622" w:rsidRDefault="005F6A69" w:rsidP="00303E37">
      <w:pPr>
        <w:numPr>
          <w:ilvl w:val="0"/>
          <w:numId w:val="56"/>
        </w:numPr>
        <w:spacing w:before="100" w:after="100"/>
        <w:jc w:val="both"/>
        <w:rPr>
          <w:rFonts w:ascii="Bookman Old Style" w:hAnsi="Bookman Old Style"/>
          <w:sz w:val="20"/>
          <w:szCs w:val="20"/>
        </w:rPr>
      </w:pPr>
      <w:r w:rsidRPr="00161622">
        <w:rPr>
          <w:rFonts w:ascii="Bookman Old Style" w:hAnsi="Bookman Old Style"/>
          <w:sz w:val="20"/>
          <w:szCs w:val="20"/>
        </w:rPr>
        <w:t xml:space="preserve">Условия продажи (Вид сделки). С учетом сложившейся практики, </w:t>
      </w:r>
      <w:r w:rsidRPr="00161622">
        <w:rPr>
          <w:rFonts w:ascii="Bookman Old Style" w:eastAsia="Calibri" w:hAnsi="Bookman Old Style"/>
          <w:color w:val="000000"/>
          <w:sz w:val="20"/>
          <w:szCs w:val="20"/>
          <w:lang w:eastAsia="en-US"/>
        </w:rPr>
        <w:t>чтобы устранить систематическую составляющую погрешности</w:t>
      </w:r>
      <w:r w:rsidRPr="0079143D">
        <w:rPr>
          <w:rFonts w:ascii="Bookman Old Style" w:eastAsia="Calibri" w:hAnsi="Bookman Old Style"/>
          <w:color w:val="000000"/>
          <w:sz w:val="20"/>
          <w:szCs w:val="20"/>
          <w:lang w:eastAsia="en-US"/>
        </w:rPr>
        <w:t xml:space="preserve"> при расчете</w:t>
      </w:r>
      <w:r w:rsidRPr="00161622">
        <w:rPr>
          <w:rFonts w:ascii="Bookman Old Style" w:eastAsia="Calibri" w:hAnsi="Bookman Old Style"/>
          <w:color w:val="000000"/>
          <w:sz w:val="20"/>
          <w:szCs w:val="20"/>
          <w:lang w:eastAsia="en-US"/>
        </w:rPr>
        <w:t>, используется понижающая процентная поправка</w:t>
      </w:r>
      <w:r w:rsidRPr="00161622">
        <w:rPr>
          <w:rFonts w:ascii="Bookman Old Style" w:hAnsi="Bookman Old Style"/>
          <w:sz w:val="20"/>
          <w:szCs w:val="20"/>
        </w:rPr>
        <w:t>.</w:t>
      </w:r>
      <w:r w:rsidRPr="00161622">
        <w:rPr>
          <w:rFonts w:ascii="Bookman Old Style" w:eastAsia="Calibri" w:hAnsi="Bookman Old Style"/>
          <w:color w:val="000000"/>
          <w:sz w:val="20"/>
          <w:szCs w:val="20"/>
          <w:lang w:eastAsia="en-US"/>
        </w:rPr>
        <w:t xml:space="preserve"> Так как фактическая цена сделки может быть скорректирована в ходе предварительных переговоров между покупателем и продавцом – требуется расчет </w:t>
      </w:r>
      <w:r w:rsidRPr="00161622">
        <w:rPr>
          <w:rFonts w:ascii="Bookman Old Style" w:eastAsia="Calibri" w:hAnsi="Bookman Old Style"/>
          <w:color w:val="000000"/>
          <w:sz w:val="20"/>
          <w:szCs w:val="20"/>
          <w:lang w:eastAsia="en-US"/>
        </w:rPr>
        <w:lastRenderedPageBreak/>
        <w:t>корректировки.</w:t>
      </w:r>
      <w:r w:rsidRPr="00161622">
        <w:rPr>
          <w:rFonts w:ascii="Bookman Old Style" w:hAnsi="Bookman Old Style"/>
          <w:sz w:val="20"/>
          <w:szCs w:val="20"/>
        </w:rPr>
        <w:t xml:space="preserve"> Ср</w:t>
      </w:r>
      <w:r w:rsidRPr="0079143D">
        <w:rPr>
          <w:rFonts w:ascii="Bookman Old Style" w:hAnsi="Bookman Old Style"/>
          <w:sz w:val="20"/>
          <w:szCs w:val="20"/>
        </w:rPr>
        <w:t>еднее значение диапазона скидок</w:t>
      </w:r>
      <w:r w:rsidRPr="00161622">
        <w:rPr>
          <w:rFonts w:ascii="Bookman Old Style" w:hAnsi="Bookman Old Style"/>
          <w:sz w:val="20"/>
          <w:szCs w:val="20"/>
          <w:vertAlign w:val="superscript"/>
        </w:rPr>
        <w:footnoteReference w:id="32"/>
      </w:r>
      <w:r w:rsidRPr="00161622">
        <w:rPr>
          <w:rFonts w:ascii="Bookman Old Style" w:hAnsi="Bookman Old Style"/>
          <w:sz w:val="20"/>
          <w:szCs w:val="20"/>
        </w:rPr>
        <w:t xml:space="preserve"> составляет </w:t>
      </w:r>
      <w:r w:rsidRPr="0079143D">
        <w:rPr>
          <w:rFonts w:ascii="Bookman Old Style" w:hAnsi="Bookman Old Style"/>
          <w:sz w:val="20"/>
          <w:szCs w:val="20"/>
        </w:rPr>
        <w:t>13</w:t>
      </w:r>
      <w:r w:rsidRPr="00161622">
        <w:rPr>
          <w:rFonts w:ascii="Bookman Old Style" w:hAnsi="Bookman Old Style"/>
          <w:sz w:val="20"/>
          <w:szCs w:val="20"/>
        </w:rPr>
        <w:t>% для земельных участков под производственно-складские объекты.</w:t>
      </w:r>
    </w:p>
    <w:p w:rsidR="005F6A69" w:rsidRPr="00BA3D57" w:rsidRDefault="005F6A69" w:rsidP="00303E37">
      <w:pPr>
        <w:numPr>
          <w:ilvl w:val="0"/>
          <w:numId w:val="56"/>
        </w:numPr>
        <w:spacing w:before="100" w:after="100"/>
        <w:jc w:val="both"/>
        <w:rPr>
          <w:rFonts w:ascii="Bookman Old Style" w:hAnsi="Bookman Old Style"/>
          <w:sz w:val="20"/>
          <w:szCs w:val="20"/>
        </w:rPr>
      </w:pPr>
      <w:r w:rsidRPr="00BA3D57">
        <w:rPr>
          <w:rFonts w:ascii="Bookman Old Style" w:hAnsi="Bookman Old Style"/>
          <w:sz w:val="20"/>
          <w:szCs w:val="20"/>
        </w:rPr>
        <w:t xml:space="preserve">Разрешенное использование. На использование имущества влияют зонирование или другие ограничения. Если имеет место отличие в текущем использовании или в НЭИ сопоставимого имущества от рассматриваемого имущества, следует тщательно изучить влияние этого отличия на стоимость. ВРИ один из основных ценообразующих факторов земельных участков. Так, стоимость земельных участков с видом разрешенного использования – промышленная застройка, по всем районам города, составляет диапазон цен от 100 до 1500 рублей за 1 кв.м., а стоимости земельных участков с ВРИ – под строительство офисных или торговых центров, уже составляет диапазон цен от 2000 до 10000 рублей за 1 кв.м. в зависимости от их местоположения. </w:t>
      </w:r>
    </w:p>
    <w:p w:rsidR="005F6A69" w:rsidRDefault="005F6A69" w:rsidP="00303E37">
      <w:pPr>
        <w:numPr>
          <w:ilvl w:val="0"/>
          <w:numId w:val="56"/>
        </w:numPr>
        <w:spacing w:before="100" w:after="100"/>
        <w:ind w:left="714" w:hanging="357"/>
        <w:jc w:val="both"/>
        <w:rPr>
          <w:rFonts w:ascii="Bookman Old Style" w:hAnsi="Bookman Old Style"/>
          <w:sz w:val="20"/>
          <w:szCs w:val="20"/>
        </w:rPr>
      </w:pPr>
      <w:r w:rsidRPr="00BA3D57">
        <w:rPr>
          <w:rFonts w:ascii="Bookman Old Style" w:hAnsi="Bookman Old Style"/>
          <w:sz w:val="20"/>
          <w:szCs w:val="20"/>
        </w:rPr>
        <w:t xml:space="preserve">Местоположение. При расчете корректировки следует сравнить местоположение объектов имущества в сопоставимых продажах и рассматриваемого имущества, чтобы установить влияет ли местоположение и ближайшие окрестности на уплачиваемые цены. Также является основным ценообразующим фактором любого недвижимого имущества. Стоимость земельных участков с ВРИ – промышленная застройка в Ленинском районе находится в диапазоне от </w:t>
      </w:r>
      <w:r>
        <w:rPr>
          <w:rFonts w:ascii="Bookman Old Style" w:hAnsi="Bookman Old Style"/>
          <w:sz w:val="20"/>
          <w:szCs w:val="20"/>
        </w:rPr>
        <w:t>150 до 400</w:t>
      </w:r>
      <w:r w:rsidRPr="00BA3D57">
        <w:rPr>
          <w:rFonts w:ascii="Bookman Old Style" w:hAnsi="Bookman Old Style"/>
          <w:sz w:val="20"/>
          <w:szCs w:val="20"/>
        </w:rPr>
        <w:t xml:space="preserve"> рублей за 1 кв.м., в Советском районе этот диапазон уже составляет от 300-1000 рублей за 1 кв.м., Центральный район, в районе ул.2-ая Брянская,</w:t>
      </w:r>
      <w:r w:rsidRPr="00161622">
        <w:rPr>
          <w:rFonts w:ascii="Bookman Old Style" w:hAnsi="Bookman Old Style"/>
          <w:sz w:val="20"/>
          <w:szCs w:val="20"/>
        </w:rPr>
        <w:t xml:space="preserve"> Алпи(солонцы) диапазон цен начинается от 500 рублей и можно встретить предложения по 1000-1500 рублей за 1 кв.м.</w:t>
      </w:r>
    </w:p>
    <w:p w:rsidR="005F6A69" w:rsidRPr="00161622" w:rsidRDefault="005F6A69" w:rsidP="00303E37">
      <w:pPr>
        <w:numPr>
          <w:ilvl w:val="0"/>
          <w:numId w:val="56"/>
        </w:numPr>
        <w:spacing w:before="100" w:after="100"/>
        <w:ind w:left="714" w:hanging="357"/>
        <w:jc w:val="both"/>
        <w:rPr>
          <w:rFonts w:ascii="Bookman Old Style" w:hAnsi="Bookman Old Style"/>
          <w:sz w:val="20"/>
          <w:szCs w:val="20"/>
        </w:rPr>
      </w:pPr>
      <w:r w:rsidRPr="00161622">
        <w:rPr>
          <w:rFonts w:ascii="Bookman Old Style" w:hAnsi="Bookman Old Style"/>
          <w:sz w:val="20"/>
          <w:szCs w:val="20"/>
        </w:rPr>
        <w:t>Физические характеристики. Масштаб земельного участка. Как правило, большие по размеру земельные участки стоят несколько дешевле в расчете на единицу площади, чем меньшие по размеру участки, поэтому в цены аналогов необходимо внести корректировки. Проведенный анализ выявил наличие исследований касающихся земельных участков по виду разрешенного использования – промышленная застройка. Суть исследования сводится к построению математической зависимости между площадью земельных участков и стоимостью с последующим расчетом корректирующих значений</w:t>
      </w:r>
      <w:r w:rsidRPr="00161622">
        <w:rPr>
          <w:rFonts w:ascii="Bookman Old Style" w:hAnsi="Bookman Old Style"/>
          <w:sz w:val="20"/>
          <w:szCs w:val="20"/>
          <w:vertAlign w:val="superscript"/>
        </w:rPr>
        <w:footnoteReference w:id="33"/>
      </w:r>
      <w:r w:rsidRPr="00161622">
        <w:rPr>
          <w:rFonts w:ascii="Bookman Old Style" w:hAnsi="Bookman Old Style"/>
          <w:sz w:val="20"/>
          <w:szCs w:val="20"/>
        </w:rPr>
        <w:t xml:space="preserve">. Согласно данным исследованиям поправка к стоимости 1 кв.м. может составлять величины до 50% от начальной стоимости предложения. </w:t>
      </w:r>
    </w:p>
    <w:p w:rsidR="005F6A69" w:rsidRPr="00161622" w:rsidRDefault="005F6A69" w:rsidP="00303E37">
      <w:pPr>
        <w:numPr>
          <w:ilvl w:val="0"/>
          <w:numId w:val="56"/>
        </w:numPr>
        <w:spacing w:before="100" w:after="100"/>
        <w:ind w:left="714" w:hanging="357"/>
        <w:jc w:val="both"/>
        <w:rPr>
          <w:rFonts w:ascii="Bookman Old Style" w:hAnsi="Bookman Old Style"/>
          <w:sz w:val="20"/>
          <w:szCs w:val="20"/>
        </w:rPr>
      </w:pPr>
      <w:r w:rsidRPr="00161622">
        <w:rPr>
          <w:rFonts w:ascii="Bookman Old Style" w:hAnsi="Bookman Old Style"/>
          <w:sz w:val="20"/>
          <w:szCs w:val="20"/>
        </w:rPr>
        <w:t xml:space="preserve">Возможность подключения к коммуникациям. Земельные участки, имеющие возможность подключения к инженерным коммуникациям стоят значительно дороже объектов, не имеющих такой возможности, диапазон отличий составляет 1,5-2 раза.  Как правило на рынке земельных участков, участки не имеющие возможности подключения к коммуникациям расположены на окраинах города Красноярска и стоимость их подключения определяется затратами необходимыми для проведения коммуникаций к земельному участку. Типичной ситуацией при реализации земельных участков рассматриваемого ВРИ, является ситуация при которой продавцы ЗУ обеспечивают возможности подключения к необходимым для жизнедеятельности будущего предприятия коммуникациям, т.к. это значительно увеличивает капитализацию земли. </w:t>
      </w:r>
    </w:p>
    <w:p w:rsidR="005F6A69" w:rsidRPr="00161622" w:rsidRDefault="005F6A69" w:rsidP="00303E37">
      <w:pPr>
        <w:numPr>
          <w:ilvl w:val="0"/>
          <w:numId w:val="56"/>
        </w:numPr>
        <w:spacing w:before="100" w:after="100"/>
        <w:ind w:left="714" w:hanging="357"/>
        <w:jc w:val="both"/>
        <w:rPr>
          <w:rFonts w:ascii="Bookman Old Style" w:hAnsi="Bookman Old Style"/>
          <w:sz w:val="20"/>
          <w:szCs w:val="20"/>
        </w:rPr>
      </w:pPr>
      <w:r w:rsidRPr="00161622">
        <w:rPr>
          <w:rFonts w:ascii="Bookman Old Style" w:hAnsi="Bookman Old Style"/>
          <w:sz w:val="20"/>
          <w:szCs w:val="20"/>
        </w:rPr>
        <w:t>Состояние земельных участков. Земля не подвержена физическому износу, однако, при наличии дополнительных загрязнений и естественных разрушений (мусор, овраги, затопление и т.д.) необходимо учесть такие затраты. Диапазон скидок для этих земельных участков составляет значения от 50 до 100 рублей на 1 кв.м. площади участка.</w:t>
      </w:r>
    </w:p>
    <w:p w:rsidR="005F6A69" w:rsidRDefault="005F6A69" w:rsidP="005F6A69">
      <w:pPr>
        <w:spacing w:before="100" w:after="100"/>
        <w:ind w:firstLine="709"/>
        <w:jc w:val="both"/>
        <w:rPr>
          <w:rFonts w:ascii="Bookman Old Style" w:hAnsi="Bookman Old Style"/>
          <w:sz w:val="20"/>
          <w:szCs w:val="20"/>
        </w:rPr>
      </w:pPr>
      <w:r w:rsidRPr="00F37D18">
        <w:rPr>
          <w:rFonts w:ascii="Bookman Old Style" w:hAnsi="Bookman Old Style"/>
          <w:sz w:val="20"/>
          <w:szCs w:val="20"/>
        </w:rPr>
        <w:t xml:space="preserve">Таким образом в данному разделе рассмотрены основные факторы влияющие на спрос, предложение и цены на рынке </w:t>
      </w:r>
      <w:r>
        <w:rPr>
          <w:rFonts w:ascii="Bookman Old Style" w:hAnsi="Bookman Old Style"/>
          <w:sz w:val="20"/>
          <w:szCs w:val="20"/>
        </w:rPr>
        <w:t>земельных участков</w:t>
      </w:r>
      <w:r w:rsidRPr="00F37D18">
        <w:rPr>
          <w:rFonts w:ascii="Bookman Old Style" w:hAnsi="Bookman Old Style"/>
          <w:sz w:val="20"/>
          <w:szCs w:val="20"/>
        </w:rPr>
        <w:t>.</w:t>
      </w:r>
    </w:p>
    <w:p w:rsidR="005F6A69" w:rsidRDefault="005F6A69" w:rsidP="005F6A69">
      <w:pPr>
        <w:pStyle w:val="3"/>
        <w:spacing w:before="100" w:after="100"/>
        <w:rPr>
          <w:rFonts w:ascii="Bookman Old Style" w:hAnsi="Bookman Old Style"/>
          <w:sz w:val="20"/>
          <w:szCs w:val="20"/>
        </w:rPr>
      </w:pPr>
      <w:bookmarkStart w:id="203" w:name="_Toc449016299"/>
      <w:bookmarkStart w:id="204" w:name="_Toc461206382"/>
      <w:r>
        <w:rPr>
          <w:rFonts w:ascii="Bookman Old Style" w:hAnsi="Bookman Old Style"/>
          <w:sz w:val="20"/>
          <w:szCs w:val="20"/>
        </w:rPr>
        <w:t>4.4</w:t>
      </w:r>
      <w:r w:rsidRPr="00920907">
        <w:rPr>
          <w:rFonts w:ascii="Bookman Old Style" w:hAnsi="Bookman Old Style"/>
          <w:sz w:val="20"/>
          <w:szCs w:val="20"/>
        </w:rPr>
        <w:t>.</w:t>
      </w:r>
      <w:r w:rsidR="00DB0AEE">
        <w:rPr>
          <w:rFonts w:ascii="Bookman Old Style" w:hAnsi="Bookman Old Style"/>
          <w:sz w:val="20"/>
          <w:szCs w:val="20"/>
        </w:rPr>
        <w:t>4</w:t>
      </w:r>
      <w:r w:rsidRPr="00920907">
        <w:rPr>
          <w:rFonts w:ascii="Bookman Old Style" w:hAnsi="Bookman Old Style"/>
          <w:sz w:val="20"/>
          <w:szCs w:val="20"/>
        </w:rPr>
        <w:t xml:space="preserve">. Рынок </w:t>
      </w:r>
      <w:r>
        <w:rPr>
          <w:rFonts w:ascii="Bookman Old Style" w:hAnsi="Bookman Old Style"/>
          <w:sz w:val="20"/>
          <w:szCs w:val="20"/>
        </w:rPr>
        <w:t>оборудования</w:t>
      </w:r>
      <w:r w:rsidRPr="00920907">
        <w:rPr>
          <w:rFonts w:ascii="Bookman Old Style" w:hAnsi="Bookman Old Style"/>
          <w:sz w:val="20"/>
          <w:szCs w:val="20"/>
        </w:rPr>
        <w:t>. Ценообразующие факторы, использовавшиеся при определении стоимости, и обоснование значений диапазонов значений ценообразующих факторов</w:t>
      </w:r>
      <w:bookmarkEnd w:id="203"/>
      <w:bookmarkEnd w:id="204"/>
    </w:p>
    <w:p w:rsidR="005F6A69" w:rsidRDefault="005F6A69" w:rsidP="005F6A69">
      <w:pPr>
        <w:shd w:val="clear" w:color="auto" w:fill="FFFFFF"/>
        <w:spacing w:before="120" w:after="120"/>
        <w:ind w:firstLine="709"/>
        <w:jc w:val="both"/>
        <w:rPr>
          <w:rFonts w:ascii="Bookman Old Style" w:hAnsi="Bookman Old Style" w:cs="Calibri"/>
          <w:sz w:val="20"/>
          <w:szCs w:val="20"/>
        </w:rPr>
      </w:pPr>
      <w:r w:rsidRPr="005E7AF8">
        <w:rPr>
          <w:rFonts w:ascii="Bookman Old Style" w:hAnsi="Bookman Old Style" w:cs="Calibri"/>
          <w:sz w:val="20"/>
          <w:szCs w:val="20"/>
        </w:rPr>
        <w:t xml:space="preserve">Промышленное оборудование представляет собой сложный продукт, обладающий значительным количеством эксплуатационных и технических характеристик, таких как КПД, производственная мощность, расходование электроэнергии, срок эксплуатации, габариты и т. д. При изучении рынков промышленного оборудования важно не только получить основные рыночные показатели (объемы производства, импорта, экспорта, потребления и т. п.), но и </w:t>
      </w:r>
      <w:r w:rsidRPr="005E7AF8">
        <w:rPr>
          <w:rFonts w:ascii="Bookman Old Style" w:hAnsi="Bookman Old Style" w:cs="Calibri"/>
          <w:sz w:val="20"/>
          <w:szCs w:val="20"/>
        </w:rPr>
        <w:lastRenderedPageBreak/>
        <w:t>разобраться в особенностях предложения, выявить конкурентные преимущества компаний, причины их лидерства или, напротив, неудач.</w:t>
      </w:r>
    </w:p>
    <w:p w:rsidR="005F6A69" w:rsidRPr="004A3D90" w:rsidRDefault="005F6A69" w:rsidP="005F6A69">
      <w:pPr>
        <w:shd w:val="clear" w:color="auto" w:fill="FFFFFF"/>
        <w:spacing w:before="120" w:after="120"/>
        <w:ind w:firstLine="709"/>
        <w:jc w:val="both"/>
        <w:rPr>
          <w:rFonts w:ascii="Bookman Old Style" w:hAnsi="Bookman Old Style" w:cs="Calibri"/>
          <w:sz w:val="20"/>
          <w:szCs w:val="20"/>
        </w:rPr>
      </w:pPr>
      <w:r w:rsidRPr="004A3D90">
        <w:rPr>
          <w:rFonts w:ascii="Bookman Old Style" w:hAnsi="Bookman Old Style" w:cs="Calibri"/>
          <w:sz w:val="20"/>
          <w:szCs w:val="20"/>
        </w:rPr>
        <w:t>Производс</w:t>
      </w:r>
      <w:r>
        <w:rPr>
          <w:rFonts w:ascii="Bookman Old Style" w:hAnsi="Bookman Old Style" w:cs="Calibri"/>
          <w:sz w:val="20"/>
          <w:szCs w:val="20"/>
        </w:rPr>
        <w:t xml:space="preserve">тво промышленного оборудования </w:t>
      </w:r>
      <w:r w:rsidRPr="004A3D90">
        <w:rPr>
          <w:rFonts w:ascii="Bookman Old Style" w:hAnsi="Bookman Old Style" w:cs="Calibri"/>
          <w:sz w:val="20"/>
          <w:szCs w:val="20"/>
        </w:rPr>
        <w:t>при принятии решения об объемах производства обязательно учитывают имеющиеся особенности рынка, изучают как существующих потребителей, таки потенциальных, оценивают объем рынка. Так многообразие сфер, где можно применить промышленное оборудование, обусловило богатый ассортимент предлагаемого оборудования, начиная от ручных установок и заканчивая целыми промышленными комплексами, которые занимают огромные цеха.</w:t>
      </w:r>
    </w:p>
    <w:p w:rsidR="005F6A69" w:rsidRPr="004A3D90" w:rsidRDefault="005F6A69" w:rsidP="005F6A69">
      <w:pPr>
        <w:shd w:val="clear" w:color="auto" w:fill="FFFFFF"/>
        <w:spacing w:before="120" w:after="120"/>
        <w:ind w:firstLine="709"/>
        <w:jc w:val="both"/>
        <w:rPr>
          <w:rFonts w:ascii="Bookman Old Style" w:hAnsi="Bookman Old Style" w:cs="Calibri"/>
          <w:sz w:val="20"/>
          <w:szCs w:val="20"/>
        </w:rPr>
      </w:pPr>
      <w:r w:rsidRPr="004A3D90">
        <w:rPr>
          <w:rFonts w:ascii="Bookman Old Style" w:hAnsi="Bookman Old Style" w:cs="Calibri"/>
          <w:sz w:val="20"/>
          <w:szCs w:val="20"/>
        </w:rPr>
        <w:t>Самый колоссальный объем продаж приходится на предприятия, занятые в машиностроительной отрасли, а также в металлообрабатывающей промышленности. Также крупными потребителями являются заводы по производству автомобилей и заводы по производству бытовой техники. Стремительное развитие мебельной промышленности привело к увеличению спроса на промышленное оборудование.</w:t>
      </w:r>
    </w:p>
    <w:p w:rsidR="005F6A69" w:rsidRDefault="005F6A69" w:rsidP="005F6A69">
      <w:pPr>
        <w:shd w:val="clear" w:color="auto" w:fill="FFFFFF"/>
        <w:spacing w:before="120" w:after="120"/>
        <w:ind w:firstLine="709"/>
        <w:jc w:val="both"/>
        <w:rPr>
          <w:rFonts w:ascii="Bookman Old Style" w:hAnsi="Bookman Old Style" w:cs="Calibri"/>
          <w:sz w:val="20"/>
          <w:szCs w:val="20"/>
        </w:rPr>
      </w:pPr>
      <w:r w:rsidRPr="004A3D90">
        <w:rPr>
          <w:rFonts w:ascii="Bookman Old Style" w:hAnsi="Bookman Old Style" w:cs="Calibri"/>
          <w:sz w:val="20"/>
          <w:szCs w:val="20"/>
        </w:rPr>
        <w:t>Наблюдается устойчивая тенденция к увеличению спроса на оборудование. Это обусловлено экономическим ростом, а также заметным оживление промышленного производства. Также необходимо учитывать следующие моменты: существует высокая степень физического износа имеющегося на предприятии оборудования. Моральный износ происходит значительно быстрее. Следовательно, есть необходимость периодически производить модернизацию имеющегося на производстве оборудования. Однако стоит заметить, что руководители предприятий не всегда могут позволить своевременную модернизацию оборудования из-за определенных финансовых затруднений. Занимателен тот факт, что директорами совершенно не используется возможность, которая предоставляется лизинговой схемой. Продажа промышленного оборудования может быть осуществлена посредством приобретением его в лизинг. Страх использования лизинга объясняется инертностью мышления, боязнью принимать рисковые решения.</w:t>
      </w:r>
    </w:p>
    <w:p w:rsidR="005F6A69" w:rsidRDefault="005F6A69" w:rsidP="005F6A69">
      <w:pPr>
        <w:shd w:val="clear" w:color="auto" w:fill="FFFFFF"/>
        <w:spacing w:before="120" w:after="120"/>
        <w:ind w:firstLine="709"/>
        <w:jc w:val="both"/>
        <w:rPr>
          <w:rFonts w:ascii="Bookman Old Style" w:hAnsi="Bookman Old Style" w:cs="Calibri"/>
          <w:sz w:val="20"/>
          <w:szCs w:val="20"/>
        </w:rPr>
      </w:pPr>
      <w:r w:rsidRPr="005F6A69">
        <w:rPr>
          <w:rFonts w:ascii="Bookman Old Style" w:hAnsi="Bookman Old Style" w:cs="Calibri"/>
          <w:sz w:val="20"/>
          <w:szCs w:val="20"/>
        </w:rPr>
        <w:t>Изделия из ПВХ стали закрепляться на отечественном рынке с начала 2000-х и сегодня достаточно прочно вошли в наш обиход. Конечно, самыми массовыми и распространенными — практически визитной карточкой этого сегмента — стали профили из поливинил-хлорида (ПВХ) для производства окон.</w:t>
      </w:r>
    </w:p>
    <w:p w:rsidR="005F6A69" w:rsidRPr="005F6A69" w:rsidRDefault="005F6A69" w:rsidP="005F6A69">
      <w:pPr>
        <w:shd w:val="clear" w:color="auto" w:fill="FFFFFF"/>
        <w:spacing w:before="120" w:after="120"/>
        <w:ind w:firstLine="709"/>
        <w:jc w:val="both"/>
        <w:rPr>
          <w:rFonts w:ascii="Bookman Old Style" w:hAnsi="Bookman Old Style" w:cs="Calibri"/>
          <w:sz w:val="20"/>
          <w:szCs w:val="20"/>
        </w:rPr>
      </w:pPr>
      <w:r>
        <w:rPr>
          <w:rFonts w:ascii="Bookman Old Style" w:hAnsi="Bookman Old Style" w:cs="Calibri"/>
          <w:sz w:val="20"/>
          <w:szCs w:val="20"/>
        </w:rPr>
        <w:t>С</w:t>
      </w:r>
      <w:r w:rsidRPr="005F6A69">
        <w:rPr>
          <w:rFonts w:ascii="Bookman Old Style" w:hAnsi="Bookman Old Style" w:cs="Calibri"/>
          <w:sz w:val="20"/>
          <w:szCs w:val="20"/>
        </w:rPr>
        <w:t>егодняшнее состояние на рынке ПВХ-профилей оставляет желать лучшего. С 2011 года рынок достиг своего пика, наступило насыщение — во многом за счет импорта. После чего началась стагнация, за которой последовал спад. В 2013 году емкость рынка снизилась на 4%, а в 2014-м — еще на 4,7%.</w:t>
      </w:r>
    </w:p>
    <w:p w:rsidR="005F6A69" w:rsidRPr="005F6A69" w:rsidRDefault="005F6A69" w:rsidP="005F6A69">
      <w:pPr>
        <w:shd w:val="clear" w:color="auto" w:fill="FFFFFF"/>
        <w:spacing w:before="120" w:after="120"/>
        <w:ind w:firstLine="709"/>
        <w:jc w:val="both"/>
        <w:rPr>
          <w:rFonts w:ascii="Bookman Old Style" w:hAnsi="Bookman Old Style" w:cs="Calibri"/>
          <w:sz w:val="20"/>
          <w:szCs w:val="20"/>
        </w:rPr>
      </w:pPr>
      <w:r>
        <w:rPr>
          <w:rFonts w:ascii="Bookman Old Style" w:hAnsi="Bookman Old Style" w:cs="Calibri"/>
          <w:sz w:val="20"/>
          <w:szCs w:val="20"/>
        </w:rPr>
        <w:t>В</w:t>
      </w:r>
      <w:r w:rsidRPr="005F6A69">
        <w:rPr>
          <w:rFonts w:ascii="Bookman Old Style" w:hAnsi="Bookman Old Style" w:cs="Calibri"/>
          <w:sz w:val="20"/>
          <w:szCs w:val="20"/>
        </w:rPr>
        <w:t xml:space="preserve"> России </w:t>
      </w:r>
      <w:r>
        <w:rPr>
          <w:rFonts w:ascii="Bookman Old Style" w:hAnsi="Bookman Old Style" w:cs="Calibri"/>
          <w:sz w:val="20"/>
          <w:szCs w:val="20"/>
        </w:rPr>
        <w:t>работает</w:t>
      </w:r>
      <w:r w:rsidRPr="005F6A69">
        <w:rPr>
          <w:rFonts w:ascii="Bookman Old Style" w:hAnsi="Bookman Old Style" w:cs="Calibri"/>
          <w:sz w:val="20"/>
          <w:szCs w:val="20"/>
        </w:rPr>
        <w:t xml:space="preserve"> собственное крупное производство поливинилхлорида. Это должно благотворно повлиять на конечную стоимость изделий, приведя к их удешевлению. В настоящее время на рынке соотношение импорта и собственного продукта составляет примерно 50 на 50 (если считать в тоннах).</w:t>
      </w:r>
    </w:p>
    <w:p w:rsidR="005F6A69" w:rsidRPr="005F6A69" w:rsidRDefault="005F6A69" w:rsidP="005F6A69">
      <w:pPr>
        <w:shd w:val="clear" w:color="auto" w:fill="FFFFFF"/>
        <w:spacing w:before="120" w:after="120"/>
        <w:ind w:firstLine="709"/>
        <w:jc w:val="both"/>
        <w:rPr>
          <w:rFonts w:ascii="Bookman Old Style" w:hAnsi="Bookman Old Style" w:cs="Calibri"/>
          <w:sz w:val="20"/>
          <w:szCs w:val="20"/>
        </w:rPr>
      </w:pPr>
      <w:r w:rsidRPr="005F6A69">
        <w:rPr>
          <w:rFonts w:ascii="Bookman Old Style" w:hAnsi="Bookman Old Style" w:cs="Calibri"/>
          <w:sz w:val="20"/>
          <w:szCs w:val="20"/>
        </w:rPr>
        <w:t xml:space="preserve">Однако потребление продолжает снижаться, и производителям приходится искать новые пути сбыта и оптимизировать свои затраты. </w:t>
      </w:r>
      <w:r>
        <w:rPr>
          <w:rFonts w:ascii="Bookman Old Style" w:hAnsi="Bookman Old Style" w:cs="Calibri"/>
          <w:sz w:val="20"/>
          <w:szCs w:val="20"/>
        </w:rPr>
        <w:t>Н</w:t>
      </w:r>
      <w:r w:rsidRPr="005F6A69">
        <w:rPr>
          <w:rFonts w:ascii="Bookman Old Style" w:hAnsi="Bookman Old Style" w:cs="Calibri"/>
          <w:sz w:val="20"/>
          <w:szCs w:val="20"/>
        </w:rPr>
        <w:t>е все компоненты для готовых изделий можно приобретать в России: часть их по-прежнему закупается за рубежом.</w:t>
      </w:r>
    </w:p>
    <w:p w:rsidR="005F6A69" w:rsidRDefault="005F6A69" w:rsidP="005F6A69">
      <w:pPr>
        <w:shd w:val="clear" w:color="auto" w:fill="FFFFFF"/>
        <w:spacing w:before="120" w:after="120"/>
        <w:ind w:firstLine="709"/>
        <w:jc w:val="both"/>
        <w:rPr>
          <w:rFonts w:ascii="Bookman Old Style" w:hAnsi="Bookman Old Style" w:cs="Calibri"/>
          <w:sz w:val="20"/>
          <w:szCs w:val="20"/>
        </w:rPr>
      </w:pPr>
      <w:r>
        <w:rPr>
          <w:rFonts w:ascii="Bookman Old Style" w:hAnsi="Bookman Old Style" w:cs="Calibri"/>
          <w:sz w:val="20"/>
          <w:szCs w:val="20"/>
        </w:rPr>
        <w:t>Н</w:t>
      </w:r>
      <w:r w:rsidRPr="005F6A69">
        <w:rPr>
          <w:rFonts w:ascii="Bookman Old Style" w:hAnsi="Bookman Old Style" w:cs="Calibri"/>
          <w:sz w:val="20"/>
          <w:szCs w:val="20"/>
        </w:rPr>
        <w:t xml:space="preserve">а конец прошлого года, в стране работали 5862 компании, которые занимаются изготовлением оконного профиля. По мнению </w:t>
      </w:r>
      <w:r>
        <w:rPr>
          <w:rFonts w:ascii="Bookman Old Style" w:hAnsi="Bookman Old Style" w:cs="Calibri"/>
          <w:sz w:val="20"/>
          <w:szCs w:val="20"/>
        </w:rPr>
        <w:t>специалистов</w:t>
      </w:r>
      <w:r w:rsidRPr="005F6A69">
        <w:rPr>
          <w:rFonts w:ascii="Bookman Old Style" w:hAnsi="Bookman Old Style" w:cs="Calibri"/>
          <w:sz w:val="20"/>
          <w:szCs w:val="20"/>
        </w:rPr>
        <w:t>, экономическая ситуация вынудит уйти с рынка много компаний.</w:t>
      </w:r>
    </w:p>
    <w:p w:rsidR="005F6A69" w:rsidRDefault="005F6A69" w:rsidP="005F6A69">
      <w:pPr>
        <w:shd w:val="clear" w:color="auto" w:fill="FFFFFF"/>
        <w:spacing w:before="120" w:after="120"/>
        <w:ind w:firstLine="709"/>
        <w:jc w:val="both"/>
        <w:rPr>
          <w:rFonts w:ascii="Bookman Old Style" w:hAnsi="Bookman Old Style" w:cs="Calibri"/>
          <w:sz w:val="20"/>
          <w:szCs w:val="20"/>
        </w:rPr>
      </w:pPr>
      <w:r>
        <w:rPr>
          <w:rFonts w:ascii="Bookman Old Style" w:hAnsi="Bookman Old Style" w:cs="Calibri"/>
          <w:sz w:val="20"/>
          <w:szCs w:val="20"/>
        </w:rPr>
        <w:t>Статисти</w:t>
      </w:r>
      <w:r w:rsidRPr="005F6A69">
        <w:rPr>
          <w:rFonts w:ascii="Bookman Old Style" w:hAnsi="Bookman Old Style" w:cs="Calibri"/>
          <w:sz w:val="20"/>
          <w:szCs w:val="20"/>
        </w:rPr>
        <w:t xml:space="preserve">ка утверждает, что рынок производства светопрозрачных конструкций, в том числе окон из ПВХ, алюминиевых, деревянных стеклопакетов и — из других материалов, постепенно сужается, более 50% объектов застеклено стеклопакетами, а макроэкономические и внутренние экономические факторы, как известно, резко ухудшились в 2015 году, что повлияло на покупательную способность россиян. </w:t>
      </w:r>
      <w:r>
        <w:rPr>
          <w:rFonts w:ascii="Bookman Old Style" w:hAnsi="Bookman Old Style" w:cs="Calibri"/>
          <w:sz w:val="20"/>
          <w:szCs w:val="20"/>
        </w:rPr>
        <w:t>Р</w:t>
      </w:r>
      <w:r w:rsidRPr="005F6A69">
        <w:rPr>
          <w:rFonts w:ascii="Bookman Old Style" w:hAnsi="Bookman Old Style" w:cs="Calibri"/>
          <w:sz w:val="20"/>
          <w:szCs w:val="20"/>
        </w:rPr>
        <w:t>ынок производства металлопластиковых окон и стеклопакетов сокращается, сокращается прежде всего число производителей, а само производство ослабевает в два раза меньше. Следовательно, только сильные компании останутся на рынке.</w:t>
      </w:r>
      <w:r>
        <w:rPr>
          <w:rFonts w:ascii="Bookman Old Style" w:hAnsi="Bookman Old Style" w:cs="Calibri"/>
          <w:sz w:val="20"/>
          <w:szCs w:val="20"/>
        </w:rPr>
        <w:t xml:space="preserve"> </w:t>
      </w:r>
      <w:r w:rsidRPr="005F6A69">
        <w:rPr>
          <w:rFonts w:ascii="Bookman Old Style" w:hAnsi="Bookman Old Style" w:cs="Calibri"/>
          <w:sz w:val="20"/>
          <w:szCs w:val="20"/>
        </w:rPr>
        <w:t>В первую очередь закроются так называемые середнячки,</w:t>
      </w:r>
      <w:r>
        <w:rPr>
          <w:rFonts w:ascii="Bookman Old Style" w:hAnsi="Bookman Old Style" w:cs="Calibri"/>
          <w:sz w:val="20"/>
          <w:szCs w:val="20"/>
        </w:rPr>
        <w:t xml:space="preserve"> а</w:t>
      </w:r>
      <w:r w:rsidRPr="005F6A69">
        <w:rPr>
          <w:rFonts w:ascii="Bookman Old Style" w:hAnsi="Bookman Old Style" w:cs="Calibri"/>
          <w:sz w:val="20"/>
          <w:szCs w:val="20"/>
        </w:rPr>
        <w:t xml:space="preserve"> выживут мелкие производители и очень крупные компании. Первые — за счет небольшого производства и малых потерь, а вторые — за счет накопленного потенциала и известных марок, брендов, которые в любом случае будут востребованы покупателем.</w:t>
      </w:r>
    </w:p>
    <w:p w:rsidR="005F6A69" w:rsidRDefault="005F6A69" w:rsidP="005F6A69">
      <w:pPr>
        <w:shd w:val="clear" w:color="auto" w:fill="FFFFFF"/>
        <w:spacing w:before="120" w:after="120"/>
        <w:ind w:firstLine="709"/>
        <w:jc w:val="both"/>
        <w:rPr>
          <w:rFonts w:ascii="Bookman Old Style" w:hAnsi="Bookman Old Style" w:cs="Calibri"/>
          <w:sz w:val="20"/>
          <w:szCs w:val="20"/>
        </w:rPr>
      </w:pPr>
    </w:p>
    <w:p w:rsidR="005F6A69" w:rsidRDefault="005F6A69" w:rsidP="005F6A69">
      <w:pPr>
        <w:shd w:val="clear" w:color="auto" w:fill="FFFFFF"/>
        <w:spacing w:before="120" w:after="120"/>
        <w:ind w:firstLine="709"/>
        <w:jc w:val="both"/>
        <w:rPr>
          <w:rFonts w:ascii="Bookman Old Style" w:hAnsi="Bookman Old Style" w:cs="Calibri"/>
          <w:sz w:val="20"/>
          <w:szCs w:val="20"/>
        </w:rPr>
      </w:pPr>
    </w:p>
    <w:p w:rsidR="005F6A69" w:rsidRPr="005F6A69" w:rsidRDefault="005F6A69" w:rsidP="005F6A69">
      <w:pPr>
        <w:shd w:val="clear" w:color="auto" w:fill="FFFFFF"/>
        <w:spacing w:before="120" w:after="120"/>
        <w:ind w:firstLine="709"/>
        <w:jc w:val="both"/>
        <w:rPr>
          <w:rFonts w:ascii="Bookman Old Style" w:hAnsi="Bookman Old Style" w:cs="Calibri"/>
          <w:sz w:val="20"/>
          <w:szCs w:val="20"/>
        </w:rPr>
      </w:pPr>
    </w:p>
    <w:p w:rsidR="005F6A69" w:rsidRDefault="005F6A69" w:rsidP="005F6A69">
      <w:pPr>
        <w:spacing w:before="120" w:after="120"/>
        <w:ind w:firstLine="708"/>
        <w:jc w:val="both"/>
        <w:rPr>
          <w:rFonts w:ascii="Bookman Old Style" w:hAnsi="Bookman Old Style"/>
          <w:sz w:val="20"/>
          <w:szCs w:val="20"/>
        </w:rPr>
      </w:pPr>
      <w:r>
        <w:rPr>
          <w:rFonts w:ascii="Bookman Old Style" w:hAnsi="Bookman Old Style"/>
          <w:sz w:val="20"/>
          <w:szCs w:val="20"/>
        </w:rPr>
        <w:lastRenderedPageBreak/>
        <w:t xml:space="preserve">В ходе проведения исследования рынка машин и оборудования, установлено, что на их стоимость влияет несколько существенных ценообразующих факторов. </w:t>
      </w:r>
    </w:p>
    <w:p w:rsidR="005F6A69" w:rsidRDefault="005F6A69" w:rsidP="005F6A69">
      <w:pPr>
        <w:spacing w:before="120" w:after="120"/>
        <w:ind w:firstLine="708"/>
        <w:jc w:val="both"/>
        <w:rPr>
          <w:rFonts w:ascii="Bookman Old Style" w:hAnsi="Bookman Old Style"/>
          <w:sz w:val="20"/>
          <w:szCs w:val="20"/>
        </w:rPr>
      </w:pPr>
      <w:r>
        <w:rPr>
          <w:rFonts w:ascii="Bookman Old Style" w:hAnsi="Bookman Old Style"/>
          <w:sz w:val="20"/>
          <w:szCs w:val="20"/>
        </w:rPr>
        <w:t>Ценообразующие факторы на вторичном рынке продаж оборудования:</w:t>
      </w:r>
    </w:p>
    <w:p w:rsidR="005F6A69" w:rsidRPr="0090061D" w:rsidRDefault="005F6A69" w:rsidP="00303E37">
      <w:pPr>
        <w:pStyle w:val="aff2"/>
        <w:numPr>
          <w:ilvl w:val="0"/>
          <w:numId w:val="58"/>
        </w:numPr>
        <w:spacing w:before="120" w:after="120"/>
        <w:contextualSpacing w:val="0"/>
        <w:jc w:val="both"/>
        <w:rPr>
          <w:rFonts w:ascii="Bookman Old Style" w:hAnsi="Bookman Old Style"/>
          <w:sz w:val="20"/>
          <w:szCs w:val="20"/>
        </w:rPr>
      </w:pPr>
      <w:r w:rsidRPr="0090061D">
        <w:rPr>
          <w:rFonts w:ascii="Bookman Old Style" w:hAnsi="Bookman Old Style"/>
          <w:sz w:val="20"/>
          <w:szCs w:val="20"/>
        </w:rPr>
        <w:t>Состояние оборудования. Является основным ценообразующим фактором. Определяется по данным визуального осмотра, затем путем математических преобразований разности износов, получается необходимая для расчета корректировка.</w:t>
      </w:r>
      <w:r>
        <w:rPr>
          <w:rFonts w:ascii="Bookman Old Style" w:hAnsi="Bookman Old Style"/>
          <w:sz w:val="20"/>
          <w:szCs w:val="20"/>
        </w:rPr>
        <w:t xml:space="preserve"> Таким образом, стоимость оборудования в хорошем состоянии отличается от оборудования в неудовлетворительном примерно в 2-4 раза</w:t>
      </w:r>
    </w:p>
    <w:p w:rsidR="005F6A69" w:rsidRPr="008659FA" w:rsidRDefault="005F6A69" w:rsidP="00303E37">
      <w:pPr>
        <w:pStyle w:val="aff2"/>
        <w:numPr>
          <w:ilvl w:val="0"/>
          <w:numId w:val="58"/>
        </w:numPr>
        <w:spacing w:before="120" w:after="120"/>
        <w:contextualSpacing w:val="0"/>
        <w:jc w:val="both"/>
        <w:rPr>
          <w:rFonts w:ascii="Bookman Old Style" w:hAnsi="Bookman Old Style"/>
          <w:sz w:val="20"/>
          <w:szCs w:val="20"/>
        </w:rPr>
      </w:pPr>
      <w:r w:rsidRPr="008659FA">
        <w:rPr>
          <w:rFonts w:ascii="Bookman Old Style" w:hAnsi="Bookman Old Style"/>
          <w:sz w:val="20"/>
          <w:szCs w:val="20"/>
        </w:rPr>
        <w:t>Производительность. Немаловажным фактором при выборе </w:t>
      </w:r>
      <w:r w:rsidRPr="008659FA">
        <w:rPr>
          <w:rFonts w:ascii="Bookman Old Style" w:hAnsi="Bookman Old Style"/>
          <w:bCs/>
          <w:sz w:val="20"/>
          <w:szCs w:val="20"/>
        </w:rPr>
        <w:t>оборудования я</w:t>
      </w:r>
      <w:r w:rsidRPr="008659FA">
        <w:rPr>
          <w:rFonts w:ascii="Bookman Old Style" w:hAnsi="Bookman Old Style"/>
          <w:sz w:val="20"/>
          <w:szCs w:val="20"/>
        </w:rPr>
        <w:t xml:space="preserve">вляется планируемый объем выпускаемой продукции и интенсивность работы оборудования. Современное оборудование оснащено последними техническими наработками, новейшими износостойкими материалами и усовершенствованной эргономикой, что значительно увеличиваем производительность и эффективность рабочего процесса. </w:t>
      </w:r>
    </w:p>
    <w:p w:rsidR="005F6A69" w:rsidRDefault="005F6A69" w:rsidP="00303E37">
      <w:pPr>
        <w:pStyle w:val="aff2"/>
        <w:numPr>
          <w:ilvl w:val="0"/>
          <w:numId w:val="58"/>
        </w:numPr>
        <w:spacing w:before="120" w:after="120"/>
        <w:contextualSpacing w:val="0"/>
        <w:jc w:val="both"/>
        <w:rPr>
          <w:rFonts w:ascii="Bookman Old Style" w:hAnsi="Bookman Old Style"/>
          <w:sz w:val="20"/>
          <w:szCs w:val="20"/>
        </w:rPr>
      </w:pPr>
      <w:r w:rsidRPr="00C823E2">
        <w:rPr>
          <w:rFonts w:ascii="Bookman Old Style" w:hAnsi="Bookman Old Style"/>
          <w:sz w:val="20"/>
          <w:szCs w:val="20"/>
        </w:rPr>
        <w:t xml:space="preserve">Страна изготовитель оборудования. </w:t>
      </w:r>
      <w:r>
        <w:rPr>
          <w:rFonts w:ascii="Bookman Old Style" w:hAnsi="Bookman Old Style"/>
          <w:sz w:val="20"/>
          <w:szCs w:val="20"/>
        </w:rPr>
        <w:t>Как правило, на стоимость оборудования влияет страна-изготовитель. Так, например, немецкое и итальянское оборудование стоит примерно на в 2-3 раза дороже отечественного со схожими техническими характеристиками, а оборудование из Китая дороже примерно на в 1,5 раза.  Российское оборудование</w:t>
      </w:r>
      <w:r w:rsidRPr="009C02B9">
        <w:rPr>
          <w:rFonts w:ascii="Bookman Old Style" w:hAnsi="Bookman Old Style"/>
          <w:sz w:val="20"/>
          <w:szCs w:val="20"/>
        </w:rPr>
        <w:t xml:space="preserve"> более доступно по цене, однако оно значительно уступает импортным аналогам по производительности и надежности</w:t>
      </w:r>
    </w:p>
    <w:p w:rsidR="005F6A69" w:rsidRPr="005F6A69" w:rsidRDefault="005F6A69" w:rsidP="00303E37">
      <w:pPr>
        <w:pStyle w:val="aff2"/>
        <w:numPr>
          <w:ilvl w:val="0"/>
          <w:numId w:val="58"/>
        </w:numPr>
        <w:spacing w:before="120" w:after="120"/>
        <w:contextualSpacing w:val="0"/>
        <w:jc w:val="both"/>
        <w:rPr>
          <w:rFonts w:ascii="Bookman Old Style" w:hAnsi="Bookman Old Style"/>
          <w:sz w:val="20"/>
          <w:szCs w:val="20"/>
        </w:rPr>
      </w:pPr>
      <w:r w:rsidRPr="005F6A69">
        <w:rPr>
          <w:rFonts w:ascii="Bookman Old Style" w:hAnsi="Bookman Old Style"/>
          <w:sz w:val="20"/>
          <w:szCs w:val="20"/>
        </w:rPr>
        <w:t>Скидка к цене предложения (корректировка на торг), определяется на основании средней уступки продавцом покупателю от запрашиваемой цены. Средняя величина по рынку рассматриваемого оборудования, составляет -13,0%</w:t>
      </w:r>
      <w:r w:rsidRPr="003867DB">
        <w:rPr>
          <w:rStyle w:val="aff0"/>
          <w:rFonts w:ascii="Bookman Old Style" w:hAnsi="Bookman Old Style"/>
          <w:sz w:val="20"/>
          <w:szCs w:val="20"/>
        </w:rPr>
        <w:footnoteReference w:id="34"/>
      </w:r>
      <w:r w:rsidRPr="005F6A69">
        <w:rPr>
          <w:rFonts w:ascii="Bookman Old Style" w:hAnsi="Bookman Old Style"/>
          <w:noProof/>
          <w:sz w:val="20"/>
          <w:szCs w:val="20"/>
        </w:rPr>
        <w:t>;</w:t>
      </w:r>
    </w:p>
    <w:p w:rsidR="001C4571" w:rsidRPr="00C329C9" w:rsidRDefault="001C4571" w:rsidP="00C329C9">
      <w:pPr>
        <w:pStyle w:val="1"/>
        <w:spacing w:before="120" w:after="120"/>
        <w:jc w:val="center"/>
        <w:rPr>
          <w:rFonts w:ascii="Bookman Old Style" w:hAnsi="Bookman Old Style"/>
        </w:rPr>
      </w:pPr>
      <w:bookmarkStart w:id="205" w:name="_Toc365041366"/>
      <w:bookmarkStart w:id="206" w:name="_Toc461206383"/>
      <w:bookmarkEnd w:id="198"/>
      <w:bookmarkEnd w:id="199"/>
      <w:r w:rsidRPr="00C329C9">
        <w:rPr>
          <w:rFonts w:ascii="Bookman Old Style" w:hAnsi="Bookman Old Style"/>
        </w:rPr>
        <w:t>5. ОПИСАНИЕ ПРОЦЕССА ОЦЕНКИ</w:t>
      </w:r>
      <w:bookmarkEnd w:id="205"/>
      <w:bookmarkEnd w:id="206"/>
    </w:p>
    <w:p w:rsidR="001C4571" w:rsidRPr="00C329C9" w:rsidRDefault="001C4571" w:rsidP="00C329C9">
      <w:pPr>
        <w:pStyle w:val="2"/>
        <w:spacing w:before="120" w:after="120"/>
        <w:rPr>
          <w:rFonts w:ascii="Bookman Old Style" w:hAnsi="Bookman Old Style"/>
          <w:b/>
          <w:sz w:val="20"/>
          <w:szCs w:val="20"/>
        </w:rPr>
      </w:pPr>
      <w:bookmarkStart w:id="207" w:name="_Toc365041367"/>
      <w:bookmarkStart w:id="208" w:name="_Toc461206384"/>
      <w:bookmarkStart w:id="209" w:name="_Toc260134785"/>
      <w:bookmarkStart w:id="210" w:name="_Toc260339944"/>
      <w:bookmarkStart w:id="211" w:name="_Toc279178935"/>
      <w:bookmarkStart w:id="212" w:name="_Toc279196472"/>
      <w:bookmarkStart w:id="213" w:name="_Toc238358581"/>
      <w:bookmarkStart w:id="214" w:name="_Toc240097255"/>
      <w:bookmarkStart w:id="215" w:name="_Toc260339945"/>
      <w:r w:rsidRPr="00C329C9">
        <w:rPr>
          <w:rFonts w:ascii="Bookman Old Style" w:hAnsi="Bookman Old Style"/>
          <w:b/>
          <w:sz w:val="20"/>
          <w:szCs w:val="20"/>
        </w:rPr>
        <w:t>5.1. ОБЗОР ПОДХОДОВ</w:t>
      </w:r>
      <w:bookmarkEnd w:id="207"/>
      <w:bookmarkEnd w:id="208"/>
      <w:r w:rsidRPr="00C329C9">
        <w:rPr>
          <w:rFonts w:ascii="Bookman Old Style" w:hAnsi="Bookman Old Style"/>
          <w:b/>
          <w:sz w:val="20"/>
          <w:szCs w:val="20"/>
        </w:rPr>
        <w:t xml:space="preserve"> </w:t>
      </w:r>
    </w:p>
    <w:p w:rsidR="001C4571" w:rsidRPr="001C4571" w:rsidRDefault="001C4571" w:rsidP="00C329C9">
      <w:pPr>
        <w:autoSpaceDE w:val="0"/>
        <w:autoSpaceDN w:val="0"/>
        <w:adjustRightInd w:val="0"/>
        <w:spacing w:before="120" w:after="120"/>
        <w:ind w:firstLine="708"/>
        <w:jc w:val="both"/>
        <w:rPr>
          <w:rFonts w:ascii="Bookman Old Style" w:hAnsi="Bookman Old Style"/>
          <w:sz w:val="20"/>
          <w:szCs w:val="20"/>
        </w:rPr>
      </w:pPr>
      <w:r w:rsidRPr="001C4571">
        <w:rPr>
          <w:rFonts w:ascii="Bookman Old Style" w:hAnsi="Bookman Old Style"/>
          <w:sz w:val="20"/>
          <w:szCs w:val="20"/>
        </w:rPr>
        <w:t>Традиционно для оценки имущества могут применяться все или некоторые из следующих подходов:</w:t>
      </w:r>
    </w:p>
    <w:p w:rsidR="001C4571" w:rsidRPr="001C4571" w:rsidRDefault="001C4571" w:rsidP="00AB1FB9">
      <w:pPr>
        <w:numPr>
          <w:ilvl w:val="0"/>
          <w:numId w:val="4"/>
        </w:numPr>
        <w:autoSpaceDE w:val="0"/>
        <w:autoSpaceDN w:val="0"/>
        <w:adjustRightInd w:val="0"/>
        <w:spacing w:before="120" w:after="120"/>
        <w:ind w:left="1066" w:hanging="357"/>
        <w:jc w:val="both"/>
        <w:rPr>
          <w:rFonts w:ascii="Bookman Old Style" w:hAnsi="Bookman Old Style"/>
          <w:sz w:val="20"/>
          <w:szCs w:val="20"/>
        </w:rPr>
      </w:pPr>
      <w:r w:rsidRPr="001C4571">
        <w:rPr>
          <w:rFonts w:ascii="Bookman Old Style" w:hAnsi="Bookman Old Style"/>
          <w:sz w:val="20"/>
          <w:szCs w:val="20"/>
        </w:rPr>
        <w:t>Доходный;</w:t>
      </w:r>
    </w:p>
    <w:p w:rsidR="001C4571" w:rsidRPr="001C4571" w:rsidRDefault="001C4571" w:rsidP="00AB1FB9">
      <w:pPr>
        <w:numPr>
          <w:ilvl w:val="0"/>
          <w:numId w:val="4"/>
        </w:numPr>
        <w:autoSpaceDE w:val="0"/>
        <w:autoSpaceDN w:val="0"/>
        <w:adjustRightInd w:val="0"/>
        <w:spacing w:before="120" w:after="120"/>
        <w:ind w:left="1066" w:hanging="357"/>
        <w:jc w:val="both"/>
        <w:rPr>
          <w:rFonts w:ascii="Bookman Old Style" w:hAnsi="Bookman Old Style"/>
          <w:sz w:val="20"/>
          <w:szCs w:val="20"/>
        </w:rPr>
      </w:pPr>
      <w:r w:rsidRPr="001C4571">
        <w:rPr>
          <w:rFonts w:ascii="Bookman Old Style" w:hAnsi="Bookman Old Style"/>
          <w:sz w:val="20"/>
          <w:szCs w:val="20"/>
        </w:rPr>
        <w:t>Сравнительный;</w:t>
      </w:r>
    </w:p>
    <w:p w:rsidR="001C4571" w:rsidRPr="001C4571" w:rsidRDefault="001C4571" w:rsidP="00AB1FB9">
      <w:pPr>
        <w:numPr>
          <w:ilvl w:val="0"/>
          <w:numId w:val="4"/>
        </w:numPr>
        <w:autoSpaceDE w:val="0"/>
        <w:autoSpaceDN w:val="0"/>
        <w:adjustRightInd w:val="0"/>
        <w:spacing w:before="120" w:after="120"/>
        <w:ind w:left="1066" w:hanging="357"/>
        <w:jc w:val="both"/>
        <w:rPr>
          <w:rFonts w:ascii="Bookman Old Style" w:hAnsi="Bookman Old Style"/>
          <w:sz w:val="20"/>
          <w:szCs w:val="20"/>
        </w:rPr>
      </w:pPr>
      <w:r w:rsidRPr="001C4571">
        <w:rPr>
          <w:rFonts w:ascii="Bookman Old Style" w:hAnsi="Bookman Old Style"/>
          <w:sz w:val="20"/>
          <w:szCs w:val="20"/>
        </w:rPr>
        <w:t>Затратный;</w:t>
      </w:r>
    </w:p>
    <w:p w:rsidR="001C4571" w:rsidRPr="001C4571" w:rsidRDefault="001C4571" w:rsidP="00230864">
      <w:pPr>
        <w:autoSpaceDE w:val="0"/>
        <w:autoSpaceDN w:val="0"/>
        <w:adjustRightInd w:val="0"/>
        <w:spacing w:before="120" w:after="120"/>
        <w:ind w:firstLine="708"/>
        <w:jc w:val="both"/>
        <w:rPr>
          <w:rFonts w:ascii="Bookman Old Style" w:hAnsi="Bookman Old Style"/>
          <w:sz w:val="20"/>
          <w:szCs w:val="20"/>
        </w:rPr>
      </w:pPr>
      <w:r w:rsidRPr="001C4571">
        <w:rPr>
          <w:rFonts w:ascii="Bookman Old Style" w:hAnsi="Bookman Old Style"/>
          <w:sz w:val="20"/>
          <w:szCs w:val="20"/>
        </w:rPr>
        <w:t xml:space="preserve">Каждый из подходов к оценке имеет свою специфику и определённые области применения (с учетом цели оценки, имеющейся информации или нормативных ограничений). </w:t>
      </w:r>
    </w:p>
    <w:p w:rsidR="009467C8" w:rsidRPr="005D726A" w:rsidRDefault="009467C8" w:rsidP="00230864">
      <w:pPr>
        <w:pStyle w:val="3"/>
        <w:rPr>
          <w:rFonts w:ascii="Bookman Old Style" w:hAnsi="Bookman Old Style"/>
          <w:sz w:val="20"/>
          <w:szCs w:val="20"/>
        </w:rPr>
      </w:pPr>
      <w:bookmarkStart w:id="216" w:name="13"/>
      <w:bookmarkStart w:id="217" w:name="_Toc461206385"/>
      <w:bookmarkStart w:id="218" w:name="_Toc330465423"/>
      <w:bookmarkEnd w:id="216"/>
      <w:r w:rsidRPr="005D726A">
        <w:rPr>
          <w:rFonts w:ascii="Bookman Old Style" w:hAnsi="Bookman Old Style"/>
          <w:sz w:val="20"/>
          <w:szCs w:val="20"/>
        </w:rPr>
        <w:t>5.1.1. Доходный подход при оценке недвижимости</w:t>
      </w:r>
      <w:bookmarkEnd w:id="217"/>
    </w:p>
    <w:p w:rsidR="001C4571" w:rsidRPr="009467C8" w:rsidRDefault="001C4571" w:rsidP="00230864">
      <w:pPr>
        <w:spacing w:before="120" w:after="120"/>
        <w:ind w:firstLine="708"/>
        <w:jc w:val="both"/>
        <w:rPr>
          <w:rFonts w:ascii="Bookman Old Style" w:hAnsi="Bookman Old Style" w:cs="Arial"/>
          <w:color w:val="000000"/>
          <w:sz w:val="20"/>
          <w:szCs w:val="20"/>
        </w:rPr>
      </w:pPr>
      <w:r w:rsidRPr="009467C8">
        <w:rPr>
          <w:rFonts w:ascii="Bookman Old Style" w:hAnsi="Bookman Old Style" w:cs="Arial"/>
          <w:color w:val="000000"/>
          <w:sz w:val="20"/>
          <w:szCs w:val="20"/>
        </w:rPr>
        <w:t>Доходный подход - совокупность методов оценки стоимости объекта оценки, основанных на определении ожидаемых доходов от использования объекта оценки</w:t>
      </w:r>
      <w:r w:rsidRPr="009467C8">
        <w:rPr>
          <w:rFonts w:ascii="Bookman Old Style" w:hAnsi="Bookman Old Style" w:cs="Arial"/>
          <w:color w:val="000000"/>
          <w:sz w:val="20"/>
          <w:szCs w:val="20"/>
          <w:vertAlign w:val="superscript"/>
        </w:rPr>
        <w:footnoteReference w:id="35"/>
      </w:r>
      <w:r w:rsidRPr="009467C8">
        <w:rPr>
          <w:rFonts w:ascii="Bookman Old Style" w:hAnsi="Bookman Old Style" w:cs="Arial"/>
          <w:color w:val="000000"/>
          <w:sz w:val="20"/>
          <w:szCs w:val="20"/>
        </w:rPr>
        <w:t>.</w:t>
      </w:r>
    </w:p>
    <w:p w:rsidR="001C4571" w:rsidRPr="009467C8" w:rsidRDefault="001C4571" w:rsidP="00230864">
      <w:pPr>
        <w:spacing w:before="120" w:after="120"/>
        <w:ind w:firstLine="708"/>
        <w:jc w:val="both"/>
        <w:rPr>
          <w:rFonts w:ascii="Bookman Old Style" w:hAnsi="Bookman Old Style" w:cs="Arial"/>
          <w:color w:val="000000"/>
          <w:sz w:val="20"/>
          <w:szCs w:val="20"/>
        </w:rPr>
      </w:pPr>
      <w:bookmarkStart w:id="220" w:name="14"/>
      <w:bookmarkEnd w:id="220"/>
      <w:r w:rsidRPr="009467C8">
        <w:rPr>
          <w:rFonts w:ascii="Bookman Old Style" w:hAnsi="Bookman Old Style" w:cs="Arial"/>
          <w:color w:val="000000"/>
          <w:sz w:val="20"/>
          <w:szCs w:val="20"/>
        </w:rPr>
        <w:t>Доходный подход применяется, когда существует достоверная информация, позволяющая прогнозировать будущие доходы, которые объект оценки способен приносить, а также связанные с объектом оценки расходы. При применении доходного подхода оценщик определяет величину будущих доходов и расходов и моменты их получения.</w:t>
      </w:r>
    </w:p>
    <w:p w:rsidR="001C4571" w:rsidRPr="009467C8" w:rsidRDefault="001C4571" w:rsidP="00230864">
      <w:pPr>
        <w:spacing w:before="120" w:after="120"/>
        <w:ind w:firstLine="708"/>
        <w:jc w:val="both"/>
        <w:rPr>
          <w:rFonts w:ascii="Bookman Old Style" w:hAnsi="Bookman Old Style" w:cs="Arial"/>
          <w:color w:val="000000"/>
          <w:sz w:val="20"/>
          <w:szCs w:val="20"/>
        </w:rPr>
      </w:pPr>
      <w:r w:rsidRPr="009467C8">
        <w:rPr>
          <w:rFonts w:ascii="Bookman Old Style" w:hAnsi="Bookman Old Style" w:cs="Arial"/>
          <w:color w:val="000000"/>
          <w:sz w:val="20"/>
          <w:szCs w:val="20"/>
        </w:rPr>
        <w:t>Применяя доходный подход к оценке, оценщик должен:</w:t>
      </w:r>
    </w:p>
    <w:p w:rsidR="001C4571" w:rsidRPr="009467C8" w:rsidRDefault="001C4571" w:rsidP="00303E37">
      <w:pPr>
        <w:numPr>
          <w:ilvl w:val="0"/>
          <w:numId w:val="20"/>
        </w:numPr>
        <w:spacing w:before="120" w:after="120"/>
        <w:ind w:left="714" w:hanging="357"/>
        <w:jc w:val="both"/>
        <w:rPr>
          <w:rFonts w:ascii="Bookman Old Style" w:hAnsi="Bookman Old Style" w:cs="Arial"/>
          <w:color w:val="000000"/>
          <w:sz w:val="20"/>
          <w:szCs w:val="20"/>
        </w:rPr>
      </w:pPr>
      <w:r w:rsidRPr="009467C8">
        <w:rPr>
          <w:rFonts w:ascii="Bookman Old Style" w:hAnsi="Bookman Old Style" w:cs="Arial"/>
          <w:color w:val="000000"/>
          <w:sz w:val="20"/>
          <w:szCs w:val="20"/>
        </w:rPr>
        <w:t>установить период прогнозирования. Под периодом прогнозирования понимается период в будущем, на который от даты оценки производится прогнозирование количественных характеристик факторов, влияющих на величину будущих доходов;</w:t>
      </w:r>
    </w:p>
    <w:p w:rsidR="001C4571" w:rsidRPr="009467C8" w:rsidRDefault="001C4571" w:rsidP="00303E37">
      <w:pPr>
        <w:numPr>
          <w:ilvl w:val="0"/>
          <w:numId w:val="20"/>
        </w:numPr>
        <w:spacing w:before="120" w:after="120"/>
        <w:ind w:left="714" w:hanging="357"/>
        <w:jc w:val="both"/>
        <w:rPr>
          <w:rFonts w:ascii="Bookman Old Style" w:hAnsi="Bookman Old Style" w:cs="Arial"/>
          <w:color w:val="000000"/>
          <w:sz w:val="20"/>
          <w:szCs w:val="20"/>
        </w:rPr>
      </w:pPr>
      <w:r w:rsidRPr="009467C8">
        <w:rPr>
          <w:rFonts w:ascii="Bookman Old Style" w:hAnsi="Bookman Old Style" w:cs="Arial"/>
          <w:color w:val="000000"/>
          <w:sz w:val="20"/>
          <w:szCs w:val="20"/>
        </w:rPr>
        <w:t>исследовать способность объекта оценки приносить поток доходов в течение периода прогнозирования, а также сделать заключение о способности объекта приносить поток доходов в период после периода прогнозирования;</w:t>
      </w:r>
    </w:p>
    <w:p w:rsidR="001C4571" w:rsidRPr="009467C8" w:rsidRDefault="001C4571" w:rsidP="00303E37">
      <w:pPr>
        <w:numPr>
          <w:ilvl w:val="0"/>
          <w:numId w:val="20"/>
        </w:numPr>
        <w:spacing w:before="120" w:after="120"/>
        <w:ind w:left="714" w:hanging="357"/>
        <w:jc w:val="both"/>
        <w:rPr>
          <w:rFonts w:ascii="Bookman Old Style" w:hAnsi="Bookman Old Style" w:cs="Arial"/>
          <w:color w:val="000000"/>
          <w:sz w:val="20"/>
          <w:szCs w:val="20"/>
        </w:rPr>
      </w:pPr>
      <w:r w:rsidRPr="009467C8">
        <w:rPr>
          <w:rFonts w:ascii="Bookman Old Style" w:hAnsi="Bookman Old Style" w:cs="Arial"/>
          <w:color w:val="000000"/>
          <w:sz w:val="20"/>
          <w:szCs w:val="20"/>
        </w:rPr>
        <w:lastRenderedPageBreak/>
        <w:t>определить ставку дисконтирования, отражающую доходность вложений в сопоставимые с объектом оценки по уровню риска объекты инвестирования, используемую для приведения будущих потоков доходов к дате оценки;</w:t>
      </w:r>
    </w:p>
    <w:p w:rsidR="001C4571" w:rsidRDefault="001C4571" w:rsidP="00303E37">
      <w:pPr>
        <w:numPr>
          <w:ilvl w:val="0"/>
          <w:numId w:val="20"/>
        </w:numPr>
        <w:spacing w:before="120" w:after="120"/>
        <w:ind w:left="714" w:hanging="357"/>
        <w:jc w:val="both"/>
        <w:rPr>
          <w:rFonts w:ascii="Bookman Old Style" w:hAnsi="Bookman Old Style" w:cs="Arial"/>
          <w:color w:val="000000"/>
          <w:sz w:val="20"/>
          <w:szCs w:val="20"/>
        </w:rPr>
      </w:pPr>
      <w:r w:rsidRPr="009467C8">
        <w:rPr>
          <w:rFonts w:ascii="Bookman Old Style" w:hAnsi="Bookman Old Style" w:cs="Arial"/>
          <w:color w:val="000000"/>
          <w:sz w:val="20"/>
          <w:szCs w:val="20"/>
        </w:rPr>
        <w:t>осуществить процедуру приведения потока ожидаемых доходов в период прогнозирования, а также доходов после периода прогнозирования в стоимость на дату оценки</w:t>
      </w:r>
      <w:r w:rsidR="009467C8">
        <w:rPr>
          <w:rFonts w:ascii="Bookman Old Style" w:hAnsi="Bookman Old Style" w:cs="Arial"/>
          <w:color w:val="000000"/>
          <w:sz w:val="20"/>
          <w:szCs w:val="20"/>
        </w:rPr>
        <w:t xml:space="preserve">. </w:t>
      </w:r>
    </w:p>
    <w:p w:rsidR="009467C8" w:rsidRPr="009467C8" w:rsidRDefault="009467C8" w:rsidP="00230864">
      <w:pPr>
        <w:spacing w:before="120" w:after="120"/>
        <w:ind w:firstLine="709"/>
        <w:jc w:val="both"/>
        <w:rPr>
          <w:rFonts w:ascii="Bookman Old Style" w:hAnsi="Bookman Old Style" w:cs="Arial"/>
          <w:color w:val="000000"/>
          <w:sz w:val="20"/>
          <w:szCs w:val="20"/>
        </w:rPr>
      </w:pPr>
      <w:r>
        <w:rPr>
          <w:rFonts w:ascii="Bookman Old Style" w:hAnsi="Bookman Old Style" w:cs="Arial"/>
          <w:color w:val="000000"/>
          <w:sz w:val="20"/>
          <w:szCs w:val="20"/>
        </w:rPr>
        <w:t>Согласно ФСО № 7</w:t>
      </w:r>
      <w:r>
        <w:rPr>
          <w:rStyle w:val="aff0"/>
          <w:rFonts w:ascii="Bookman Old Style" w:hAnsi="Bookman Old Style" w:cs="Arial"/>
          <w:color w:val="000000"/>
          <w:sz w:val="20"/>
          <w:szCs w:val="20"/>
        </w:rPr>
        <w:footnoteReference w:id="36"/>
      </w:r>
      <w:r>
        <w:rPr>
          <w:rFonts w:ascii="Bookman Old Style" w:hAnsi="Bookman Old Style" w:cs="Arial"/>
          <w:color w:val="000000"/>
          <w:sz w:val="20"/>
          <w:szCs w:val="20"/>
        </w:rPr>
        <w:t>, п</w:t>
      </w:r>
      <w:r>
        <w:rPr>
          <w:rFonts w:ascii="Bookman Old Style" w:hAnsi="Bookman Old Style" w:cs="Bookman Old Style"/>
          <w:sz w:val="20"/>
          <w:szCs w:val="20"/>
        </w:rPr>
        <w:t>ри применении доходного подхода оценщик учитывает следующие положения:</w:t>
      </w:r>
    </w:p>
    <w:p w:rsidR="009467C8" w:rsidRPr="009467C8" w:rsidRDefault="009467C8" w:rsidP="00303E37">
      <w:pPr>
        <w:pStyle w:val="aff2"/>
        <w:numPr>
          <w:ilvl w:val="0"/>
          <w:numId w:val="22"/>
        </w:numPr>
        <w:autoSpaceDE w:val="0"/>
        <w:autoSpaceDN w:val="0"/>
        <w:adjustRightInd w:val="0"/>
        <w:spacing w:before="120" w:after="120"/>
        <w:ind w:left="714" w:hanging="357"/>
        <w:contextualSpacing w:val="0"/>
        <w:jc w:val="both"/>
        <w:rPr>
          <w:rFonts w:ascii="Bookman Old Style" w:hAnsi="Bookman Old Style" w:cs="Bookman Old Style"/>
          <w:sz w:val="20"/>
          <w:szCs w:val="20"/>
        </w:rPr>
      </w:pPr>
      <w:r w:rsidRPr="009467C8">
        <w:rPr>
          <w:rFonts w:ascii="Bookman Old Style" w:hAnsi="Bookman Old Style" w:cs="Bookman Old Style"/>
          <w:sz w:val="20"/>
          <w:szCs w:val="20"/>
        </w:rPr>
        <w:t>доходный подход применяется для оценки недвижимости, генерирующей или способной генерировать потоки доходов;</w:t>
      </w:r>
    </w:p>
    <w:p w:rsidR="009467C8" w:rsidRPr="009467C8" w:rsidRDefault="009467C8" w:rsidP="00303E37">
      <w:pPr>
        <w:pStyle w:val="aff2"/>
        <w:numPr>
          <w:ilvl w:val="0"/>
          <w:numId w:val="22"/>
        </w:numPr>
        <w:autoSpaceDE w:val="0"/>
        <w:autoSpaceDN w:val="0"/>
        <w:adjustRightInd w:val="0"/>
        <w:spacing w:before="120" w:after="120"/>
        <w:ind w:left="714" w:hanging="357"/>
        <w:contextualSpacing w:val="0"/>
        <w:jc w:val="both"/>
        <w:rPr>
          <w:rFonts w:ascii="Bookman Old Style" w:hAnsi="Bookman Old Style" w:cs="Bookman Old Style"/>
          <w:sz w:val="20"/>
          <w:szCs w:val="20"/>
        </w:rPr>
      </w:pPr>
      <w:r w:rsidRPr="009467C8">
        <w:rPr>
          <w:rFonts w:ascii="Bookman Old Style" w:hAnsi="Bookman Old Style" w:cs="Bookman Old Style"/>
          <w:sz w:val="20"/>
          <w:szCs w:val="20"/>
        </w:rPr>
        <w:t>в рамках доходного подхода стоимость недвижимости может определяться методом прямой капитализации, методом дисконтирования денежных потоков или методом капитализации по расчетным моделям;</w:t>
      </w:r>
    </w:p>
    <w:p w:rsidR="009467C8" w:rsidRPr="009467C8" w:rsidRDefault="009467C8" w:rsidP="00303E37">
      <w:pPr>
        <w:pStyle w:val="aff2"/>
        <w:numPr>
          <w:ilvl w:val="0"/>
          <w:numId w:val="22"/>
        </w:numPr>
        <w:autoSpaceDE w:val="0"/>
        <w:autoSpaceDN w:val="0"/>
        <w:adjustRightInd w:val="0"/>
        <w:spacing w:before="120" w:after="120"/>
        <w:ind w:left="714" w:hanging="357"/>
        <w:contextualSpacing w:val="0"/>
        <w:jc w:val="both"/>
        <w:rPr>
          <w:rFonts w:ascii="Bookman Old Style" w:hAnsi="Bookman Old Style" w:cs="Bookman Old Style"/>
          <w:sz w:val="20"/>
          <w:szCs w:val="20"/>
        </w:rPr>
      </w:pPr>
      <w:r w:rsidRPr="009467C8">
        <w:rPr>
          <w:rFonts w:ascii="Bookman Old Style" w:hAnsi="Bookman Old Style" w:cs="Bookman Old Style"/>
          <w:sz w:val="20"/>
          <w:szCs w:val="20"/>
        </w:rPr>
        <w:t>метод прямой капитализации применяется для оценки объектов недвижимости, не требующих значительных капитальных вложений в их ремонт или реконструкцию, фактическое использование которых соответствует их наиболее эффективному использованию. Определение стоимости объектов недвижимости с использованием данного метода выполняется путем деления соответствующего рынку годового дохода от объекта на общую ставку капитализации, которая при этом определяется на основе анализа рыночных данных о соотношениях доходов и цен объектов недвижимости, аналогичных оцениваемому объекту;</w:t>
      </w:r>
    </w:p>
    <w:p w:rsidR="009467C8" w:rsidRPr="009467C8" w:rsidRDefault="009467C8" w:rsidP="00303E37">
      <w:pPr>
        <w:pStyle w:val="aff2"/>
        <w:numPr>
          <w:ilvl w:val="0"/>
          <w:numId w:val="22"/>
        </w:numPr>
        <w:autoSpaceDE w:val="0"/>
        <w:autoSpaceDN w:val="0"/>
        <w:adjustRightInd w:val="0"/>
        <w:spacing w:before="120" w:after="120"/>
        <w:ind w:left="714" w:hanging="357"/>
        <w:contextualSpacing w:val="0"/>
        <w:jc w:val="both"/>
        <w:rPr>
          <w:rFonts w:ascii="Bookman Old Style" w:hAnsi="Bookman Old Style" w:cs="Bookman Old Style"/>
          <w:sz w:val="20"/>
          <w:szCs w:val="20"/>
        </w:rPr>
      </w:pPr>
      <w:r w:rsidRPr="009467C8">
        <w:rPr>
          <w:rFonts w:ascii="Bookman Old Style" w:hAnsi="Bookman Old Style" w:cs="Bookman Old Style"/>
          <w:sz w:val="20"/>
          <w:szCs w:val="20"/>
        </w:rPr>
        <w:t>метод дисконтирования денежных потоков применяется для оценки недвижимости, генерирующей или способной генерировать потоки доходов с произвольной динамикой их изменения во времени путем дисконтирования их по ставке, соответствующей доходности инвестиций в аналогичную недвижимость;</w:t>
      </w:r>
    </w:p>
    <w:p w:rsidR="009467C8" w:rsidRPr="009467C8" w:rsidRDefault="009467C8" w:rsidP="00303E37">
      <w:pPr>
        <w:pStyle w:val="aff2"/>
        <w:numPr>
          <w:ilvl w:val="0"/>
          <w:numId w:val="22"/>
        </w:numPr>
        <w:autoSpaceDE w:val="0"/>
        <w:autoSpaceDN w:val="0"/>
        <w:adjustRightInd w:val="0"/>
        <w:spacing w:before="120" w:after="120"/>
        <w:ind w:left="714" w:hanging="357"/>
        <w:contextualSpacing w:val="0"/>
        <w:jc w:val="both"/>
        <w:rPr>
          <w:rFonts w:ascii="Bookman Old Style" w:hAnsi="Bookman Old Style" w:cs="Bookman Old Style"/>
          <w:sz w:val="20"/>
          <w:szCs w:val="20"/>
        </w:rPr>
      </w:pPr>
      <w:r w:rsidRPr="009467C8">
        <w:rPr>
          <w:rFonts w:ascii="Bookman Old Style" w:hAnsi="Bookman Old Style" w:cs="Bookman Old Style"/>
          <w:sz w:val="20"/>
          <w:szCs w:val="20"/>
        </w:rPr>
        <w:t>метод капитализации по расчетным моделям применяется для оценки недвижимости, генерирующей регулярные потоки доходов с ожидаемой динамикой их изменения. Капитализация таких доходов проводится по общей ставке капитализации, конструируемой на основе ставки дисконтирования, принимаемой в расчет модели возврата капитала, способов и условий финансирования, а также ожидаемых изменений доходов и стоимости недвижимости в будущем;</w:t>
      </w:r>
    </w:p>
    <w:p w:rsidR="009467C8" w:rsidRPr="009467C8" w:rsidRDefault="009467C8" w:rsidP="00303E37">
      <w:pPr>
        <w:pStyle w:val="aff2"/>
        <w:numPr>
          <w:ilvl w:val="0"/>
          <w:numId w:val="22"/>
        </w:numPr>
        <w:autoSpaceDE w:val="0"/>
        <w:autoSpaceDN w:val="0"/>
        <w:adjustRightInd w:val="0"/>
        <w:spacing w:before="120" w:after="120"/>
        <w:ind w:left="714" w:hanging="357"/>
        <w:contextualSpacing w:val="0"/>
        <w:jc w:val="both"/>
        <w:rPr>
          <w:rFonts w:ascii="Bookman Old Style" w:hAnsi="Bookman Old Style" w:cs="Bookman Old Style"/>
          <w:sz w:val="20"/>
          <w:szCs w:val="20"/>
        </w:rPr>
      </w:pPr>
      <w:r w:rsidRPr="009467C8">
        <w:rPr>
          <w:rFonts w:ascii="Bookman Old Style" w:hAnsi="Bookman Old Style" w:cs="Bookman Old Style"/>
          <w:sz w:val="20"/>
          <w:szCs w:val="20"/>
        </w:rPr>
        <w:t>структура (учет налогов, возврата капитала, темпов изменения доходов и стоимости актива) используемых ставок дисконтирования и (или) капитализации должна соответствовать структуре дисконтируемого (капитализируемого) дохода;</w:t>
      </w:r>
    </w:p>
    <w:p w:rsidR="009467C8" w:rsidRPr="009467C8" w:rsidRDefault="009467C8" w:rsidP="00303E37">
      <w:pPr>
        <w:pStyle w:val="aff2"/>
        <w:numPr>
          <w:ilvl w:val="0"/>
          <w:numId w:val="22"/>
        </w:numPr>
        <w:autoSpaceDE w:val="0"/>
        <w:autoSpaceDN w:val="0"/>
        <w:adjustRightInd w:val="0"/>
        <w:spacing w:before="120" w:after="120"/>
        <w:ind w:left="714" w:hanging="357"/>
        <w:contextualSpacing w:val="0"/>
        <w:jc w:val="both"/>
        <w:rPr>
          <w:rFonts w:ascii="Bookman Old Style" w:hAnsi="Bookman Old Style" w:cs="Bookman Old Style"/>
          <w:sz w:val="20"/>
          <w:szCs w:val="20"/>
        </w:rPr>
      </w:pPr>
      <w:r w:rsidRPr="009467C8">
        <w:rPr>
          <w:rFonts w:ascii="Bookman Old Style" w:hAnsi="Bookman Old Style" w:cs="Bookman Old Style"/>
          <w:sz w:val="20"/>
          <w:szCs w:val="20"/>
        </w:rPr>
        <w:t>для недвижимости, которую можно сдавать в аренду, в качестве источника доходов следует рассматривать арендные платежи;</w:t>
      </w:r>
    </w:p>
    <w:p w:rsidR="009467C8" w:rsidRDefault="009467C8" w:rsidP="00303E37">
      <w:pPr>
        <w:pStyle w:val="aff2"/>
        <w:numPr>
          <w:ilvl w:val="0"/>
          <w:numId w:val="22"/>
        </w:numPr>
        <w:autoSpaceDE w:val="0"/>
        <w:autoSpaceDN w:val="0"/>
        <w:adjustRightInd w:val="0"/>
        <w:spacing w:before="120" w:after="120"/>
        <w:ind w:left="714" w:hanging="357"/>
        <w:contextualSpacing w:val="0"/>
        <w:jc w:val="both"/>
        <w:rPr>
          <w:rFonts w:ascii="Bookman Old Style" w:hAnsi="Bookman Old Style" w:cs="Bookman Old Style"/>
          <w:sz w:val="20"/>
          <w:szCs w:val="20"/>
        </w:rPr>
      </w:pPr>
      <w:r w:rsidRPr="009467C8">
        <w:rPr>
          <w:rFonts w:ascii="Bookman Old Style" w:hAnsi="Bookman Old Style" w:cs="Bookman Old Style"/>
          <w:sz w:val="20"/>
          <w:szCs w:val="20"/>
        </w:rPr>
        <w:t>оценка недвижимости, предназначенной для ведения определенного вида бизнеса (например, гостиницы, рестораны, автозаправочные станции), может проводиться на основании информации об операционной деятельности этого бизнеса путем выделения из его стоимости составляющих, не относящихся к оцениваемой недвижимости.</w:t>
      </w:r>
    </w:p>
    <w:p w:rsidR="005D726A" w:rsidRPr="005D726A" w:rsidRDefault="005D726A" w:rsidP="00230864">
      <w:pPr>
        <w:pStyle w:val="3"/>
        <w:rPr>
          <w:rFonts w:ascii="Bookman Old Style" w:hAnsi="Bookman Old Style"/>
          <w:sz w:val="20"/>
          <w:szCs w:val="20"/>
        </w:rPr>
      </w:pPr>
      <w:bookmarkStart w:id="221" w:name="_Toc461206386"/>
      <w:r w:rsidRPr="005D726A">
        <w:rPr>
          <w:rFonts w:ascii="Bookman Old Style" w:hAnsi="Bookman Old Style"/>
          <w:sz w:val="20"/>
          <w:szCs w:val="20"/>
        </w:rPr>
        <w:t>5.1.</w:t>
      </w:r>
      <w:r>
        <w:rPr>
          <w:rFonts w:ascii="Bookman Old Style" w:hAnsi="Bookman Old Style"/>
          <w:sz w:val="20"/>
          <w:szCs w:val="20"/>
        </w:rPr>
        <w:t>2</w:t>
      </w:r>
      <w:r w:rsidRPr="005D726A">
        <w:rPr>
          <w:rFonts w:ascii="Bookman Old Style" w:hAnsi="Bookman Old Style"/>
          <w:sz w:val="20"/>
          <w:szCs w:val="20"/>
        </w:rPr>
        <w:t xml:space="preserve">. </w:t>
      </w:r>
      <w:r>
        <w:rPr>
          <w:rFonts w:ascii="Bookman Old Style" w:hAnsi="Bookman Old Style"/>
          <w:sz w:val="20"/>
          <w:szCs w:val="20"/>
        </w:rPr>
        <w:t xml:space="preserve">Сравнительный </w:t>
      </w:r>
      <w:r w:rsidRPr="005D726A">
        <w:rPr>
          <w:rFonts w:ascii="Bookman Old Style" w:hAnsi="Bookman Old Style"/>
          <w:sz w:val="20"/>
          <w:szCs w:val="20"/>
        </w:rPr>
        <w:t>подход при оценке недвижимости</w:t>
      </w:r>
      <w:bookmarkEnd w:id="221"/>
    </w:p>
    <w:p w:rsidR="001C4571" w:rsidRPr="001C4571" w:rsidRDefault="001C4571" w:rsidP="00230864">
      <w:pPr>
        <w:spacing w:before="120" w:after="120"/>
        <w:ind w:firstLine="708"/>
        <w:jc w:val="both"/>
        <w:rPr>
          <w:rFonts w:ascii="Bookman Old Style" w:hAnsi="Bookman Old Style" w:cs="Arial"/>
          <w:color w:val="000000"/>
          <w:sz w:val="20"/>
          <w:szCs w:val="20"/>
        </w:rPr>
      </w:pPr>
      <w:r w:rsidRPr="001C4571">
        <w:rPr>
          <w:rFonts w:ascii="Bookman Old Style" w:hAnsi="Bookman Old Style" w:cs="Arial"/>
          <w:color w:val="000000"/>
          <w:sz w:val="20"/>
          <w:szCs w:val="20"/>
        </w:rPr>
        <w:t>Сравнительный подход - совокупность методов оценки стоимости объекта оценки, основанных на сравнении объекта оценки с объектами - аналогами объекта оценки, в отношении которых имеется информация о ценах. Объектом - аналогом объекта оценки для целей оценки признается объект, сходный объекту оценки по основным экономическим, материальным, техническим и другим характеристикам, определяющим его стоимость</w:t>
      </w:r>
      <w:r w:rsidRPr="001C4571">
        <w:rPr>
          <w:rFonts w:ascii="Bookman Old Style" w:hAnsi="Bookman Old Style" w:cs="Arial"/>
          <w:color w:val="000000"/>
          <w:sz w:val="20"/>
          <w:szCs w:val="20"/>
          <w:vertAlign w:val="superscript"/>
        </w:rPr>
        <w:footnoteReference w:id="37"/>
      </w:r>
      <w:r w:rsidRPr="001C4571">
        <w:rPr>
          <w:rFonts w:ascii="Bookman Old Style" w:hAnsi="Bookman Old Style" w:cs="Arial"/>
          <w:color w:val="000000"/>
          <w:sz w:val="20"/>
          <w:szCs w:val="20"/>
        </w:rPr>
        <w:t>.</w:t>
      </w:r>
    </w:p>
    <w:p w:rsidR="001C4571" w:rsidRPr="001C4571" w:rsidRDefault="001C4571" w:rsidP="00230864">
      <w:pPr>
        <w:spacing w:before="120" w:after="120"/>
        <w:ind w:firstLine="708"/>
        <w:jc w:val="both"/>
        <w:rPr>
          <w:rFonts w:ascii="Bookman Old Style" w:hAnsi="Bookman Old Style" w:cs="Arial"/>
          <w:color w:val="000000"/>
          <w:sz w:val="20"/>
          <w:szCs w:val="20"/>
        </w:rPr>
      </w:pPr>
      <w:r w:rsidRPr="001C4571">
        <w:rPr>
          <w:rFonts w:ascii="Bookman Old Style" w:hAnsi="Bookman Old Style" w:cs="Arial"/>
          <w:color w:val="000000"/>
          <w:sz w:val="20"/>
          <w:szCs w:val="20"/>
        </w:rPr>
        <w:t>Сравнительный подход применяется, когда существует достоверная и доступная для анализа информация о ценах и характеристиках объектов-аналогов. Применяя сравнительный подход к оценке, оценщик должен:</w:t>
      </w:r>
    </w:p>
    <w:p w:rsidR="001C4571" w:rsidRPr="001C4571" w:rsidRDefault="001C4571" w:rsidP="00303E37">
      <w:pPr>
        <w:numPr>
          <w:ilvl w:val="0"/>
          <w:numId w:val="21"/>
        </w:numPr>
        <w:spacing w:before="120" w:after="120"/>
        <w:ind w:left="714" w:hanging="357"/>
        <w:jc w:val="both"/>
        <w:rPr>
          <w:rFonts w:ascii="Bookman Old Style" w:hAnsi="Bookman Old Style" w:cs="Arial"/>
          <w:color w:val="000000"/>
          <w:sz w:val="20"/>
          <w:szCs w:val="20"/>
        </w:rPr>
      </w:pPr>
      <w:r w:rsidRPr="001C4571">
        <w:rPr>
          <w:rFonts w:ascii="Bookman Old Style" w:hAnsi="Bookman Old Style" w:cs="Arial"/>
          <w:color w:val="000000"/>
          <w:sz w:val="20"/>
          <w:szCs w:val="20"/>
        </w:rPr>
        <w:t xml:space="preserve">выбрать единицы сравнения и провести сравнительный анализ объекта оценки и каждого объекта-аналога по всем элементам сравнения. По каждому объекту-аналогу может быть </w:t>
      </w:r>
      <w:r w:rsidRPr="001C4571">
        <w:rPr>
          <w:rFonts w:ascii="Bookman Old Style" w:hAnsi="Bookman Old Style" w:cs="Arial"/>
          <w:color w:val="000000"/>
          <w:sz w:val="20"/>
          <w:szCs w:val="20"/>
        </w:rPr>
        <w:lastRenderedPageBreak/>
        <w:t>выбрано несколько единиц сравнения. Выбор единиц сравнения должен быть обоснован оценщиком. Оценщик должен обосновать отказ от использования других единиц сравнения, принятых при проведении оценки и связанных с факторами спроса и предложения;</w:t>
      </w:r>
    </w:p>
    <w:p w:rsidR="001C4571" w:rsidRPr="001C4571" w:rsidRDefault="001C4571" w:rsidP="00303E37">
      <w:pPr>
        <w:numPr>
          <w:ilvl w:val="0"/>
          <w:numId w:val="21"/>
        </w:numPr>
        <w:spacing w:before="120" w:after="120"/>
        <w:ind w:left="714" w:hanging="357"/>
        <w:jc w:val="both"/>
        <w:rPr>
          <w:rFonts w:ascii="Bookman Old Style" w:hAnsi="Bookman Old Style" w:cs="Arial"/>
          <w:color w:val="000000"/>
          <w:sz w:val="20"/>
          <w:szCs w:val="20"/>
        </w:rPr>
      </w:pPr>
      <w:r w:rsidRPr="001C4571">
        <w:rPr>
          <w:rFonts w:ascii="Bookman Old Style" w:hAnsi="Bookman Old Style" w:cs="Arial"/>
          <w:color w:val="000000"/>
          <w:sz w:val="20"/>
          <w:szCs w:val="20"/>
        </w:rPr>
        <w:t>скорректировать значения единицы сравнения для объектов-аналогов по каждому элементу сравнения в зависимости от соотношения характеристик объекта оценки и объекта-аналога по данному элементу сравнения. При внесении корректировок оценщик должен ввести и обосновать шкалу корректировок и привести объяснение того, при каких условиях значения введенных корректировок будут иными. Шкала и процедура корректирования единицы сравнения не должны меняться от одного объекта-аналога к другому;</w:t>
      </w:r>
    </w:p>
    <w:p w:rsidR="001C4571" w:rsidRDefault="001C4571" w:rsidP="00303E37">
      <w:pPr>
        <w:numPr>
          <w:ilvl w:val="0"/>
          <w:numId w:val="21"/>
        </w:numPr>
        <w:spacing w:before="120" w:after="120"/>
        <w:ind w:left="714" w:hanging="357"/>
        <w:jc w:val="both"/>
        <w:rPr>
          <w:rFonts w:ascii="Bookman Old Style" w:hAnsi="Bookman Old Style" w:cs="Arial"/>
          <w:color w:val="000000"/>
          <w:sz w:val="20"/>
          <w:szCs w:val="20"/>
        </w:rPr>
      </w:pPr>
      <w:r w:rsidRPr="001C4571">
        <w:rPr>
          <w:rFonts w:ascii="Bookman Old Style" w:hAnsi="Bookman Old Style" w:cs="Arial"/>
          <w:color w:val="000000"/>
          <w:sz w:val="20"/>
          <w:szCs w:val="20"/>
        </w:rPr>
        <w:t>согласовать результаты корректирования значений единиц сравнения по выбранным объектам-аналогам. Оценщик должен обосновать схему согласования скорректированных значений единиц сравнения и скорректированных цен объектов-аналогов</w:t>
      </w:r>
      <w:r w:rsidR="009467C8">
        <w:rPr>
          <w:rFonts w:ascii="Bookman Old Style" w:hAnsi="Bookman Old Style" w:cs="Arial"/>
          <w:color w:val="000000"/>
          <w:sz w:val="20"/>
          <w:szCs w:val="20"/>
        </w:rPr>
        <w:t>.</w:t>
      </w:r>
    </w:p>
    <w:p w:rsidR="005D726A" w:rsidRDefault="005D726A" w:rsidP="00230864">
      <w:pPr>
        <w:autoSpaceDE w:val="0"/>
        <w:autoSpaceDN w:val="0"/>
        <w:adjustRightInd w:val="0"/>
        <w:spacing w:before="120" w:after="120"/>
        <w:ind w:firstLine="539"/>
        <w:jc w:val="both"/>
        <w:rPr>
          <w:rFonts w:ascii="Bookman Old Style" w:hAnsi="Bookman Old Style" w:cs="Arial"/>
          <w:color w:val="000000"/>
          <w:sz w:val="20"/>
          <w:szCs w:val="20"/>
        </w:rPr>
      </w:pPr>
      <w:r>
        <w:rPr>
          <w:rFonts w:ascii="Bookman Old Style" w:hAnsi="Bookman Old Style" w:cs="Arial"/>
          <w:color w:val="000000"/>
          <w:sz w:val="20"/>
          <w:szCs w:val="20"/>
        </w:rPr>
        <w:t>Согласно ФСО № 7</w:t>
      </w:r>
      <w:r>
        <w:rPr>
          <w:rStyle w:val="aff0"/>
          <w:rFonts w:ascii="Bookman Old Style" w:hAnsi="Bookman Old Style" w:cs="Arial"/>
          <w:color w:val="000000"/>
          <w:sz w:val="20"/>
          <w:szCs w:val="20"/>
        </w:rPr>
        <w:footnoteReference w:id="38"/>
      </w:r>
      <w:r>
        <w:rPr>
          <w:rFonts w:ascii="Bookman Old Style" w:hAnsi="Bookman Old Style" w:cs="Arial"/>
          <w:color w:val="000000"/>
          <w:sz w:val="20"/>
          <w:szCs w:val="20"/>
        </w:rPr>
        <w:t xml:space="preserve">, </w:t>
      </w:r>
      <w:r w:rsidRPr="005D726A">
        <w:rPr>
          <w:rFonts w:ascii="Bookman Old Style" w:hAnsi="Bookman Old Style" w:cs="Arial"/>
          <w:color w:val="000000"/>
          <w:sz w:val="20"/>
          <w:szCs w:val="20"/>
        </w:rPr>
        <w:t xml:space="preserve">при применении </w:t>
      </w:r>
      <w:r>
        <w:rPr>
          <w:rFonts w:ascii="Bookman Old Style" w:hAnsi="Bookman Old Style" w:cs="Arial"/>
          <w:color w:val="000000"/>
          <w:sz w:val="20"/>
          <w:szCs w:val="20"/>
        </w:rPr>
        <w:t>сравнительного</w:t>
      </w:r>
      <w:r w:rsidRPr="005D726A">
        <w:rPr>
          <w:rFonts w:ascii="Bookman Old Style" w:hAnsi="Bookman Old Style" w:cs="Arial"/>
          <w:color w:val="000000"/>
          <w:sz w:val="20"/>
          <w:szCs w:val="20"/>
        </w:rPr>
        <w:t xml:space="preserve"> подхода оценщик учитывает следующие положения:</w:t>
      </w:r>
    </w:p>
    <w:p w:rsidR="009467C8" w:rsidRPr="005D726A" w:rsidRDefault="005D726A" w:rsidP="00303E37">
      <w:pPr>
        <w:pStyle w:val="aff2"/>
        <w:numPr>
          <w:ilvl w:val="0"/>
          <w:numId w:val="23"/>
        </w:numPr>
        <w:autoSpaceDE w:val="0"/>
        <w:autoSpaceDN w:val="0"/>
        <w:adjustRightInd w:val="0"/>
        <w:spacing w:before="120" w:after="120"/>
        <w:ind w:left="714" w:hanging="357"/>
        <w:contextualSpacing w:val="0"/>
        <w:jc w:val="both"/>
        <w:rPr>
          <w:rFonts w:ascii="Bookman Old Style" w:hAnsi="Bookman Old Style" w:cs="Bookman Old Style"/>
          <w:sz w:val="20"/>
          <w:szCs w:val="20"/>
        </w:rPr>
      </w:pPr>
      <w:r w:rsidRPr="005D726A">
        <w:rPr>
          <w:rFonts w:ascii="Bookman Old Style" w:hAnsi="Bookman Old Style" w:cs="Arial"/>
          <w:color w:val="000000"/>
          <w:sz w:val="20"/>
          <w:szCs w:val="20"/>
        </w:rPr>
        <w:t>с</w:t>
      </w:r>
      <w:r w:rsidR="009467C8" w:rsidRPr="005D726A">
        <w:rPr>
          <w:rFonts w:ascii="Bookman Old Style" w:hAnsi="Bookman Old Style" w:cs="Bookman Old Style"/>
          <w:sz w:val="20"/>
          <w:szCs w:val="20"/>
        </w:rPr>
        <w:t>равнительный подход применяется для оценки недвижимости, когда можно подобрать достаточное для оценки количество объектов-аналогов с известными ценами сделок и (или) предложений;</w:t>
      </w:r>
    </w:p>
    <w:p w:rsidR="009467C8" w:rsidRPr="005D726A" w:rsidRDefault="009467C8" w:rsidP="00303E37">
      <w:pPr>
        <w:pStyle w:val="aff2"/>
        <w:numPr>
          <w:ilvl w:val="0"/>
          <w:numId w:val="23"/>
        </w:numPr>
        <w:autoSpaceDE w:val="0"/>
        <w:autoSpaceDN w:val="0"/>
        <w:adjustRightInd w:val="0"/>
        <w:spacing w:before="120" w:after="120"/>
        <w:ind w:left="714" w:hanging="357"/>
        <w:contextualSpacing w:val="0"/>
        <w:jc w:val="both"/>
        <w:rPr>
          <w:rFonts w:ascii="Bookman Old Style" w:hAnsi="Bookman Old Style" w:cs="Bookman Old Style"/>
          <w:sz w:val="20"/>
          <w:szCs w:val="20"/>
        </w:rPr>
      </w:pPr>
      <w:r w:rsidRPr="005D726A">
        <w:rPr>
          <w:rFonts w:ascii="Bookman Old Style" w:hAnsi="Bookman Old Style" w:cs="Bookman Old Style"/>
          <w:sz w:val="20"/>
          <w:szCs w:val="20"/>
        </w:rPr>
        <w:t>в качестве объектов-аналогов используются объекты недвижимости, которые относятся к одному с оцениваемым объектом сегменту рынка и сопоставимы с ним по ценообразующим факторам. При этом для всех объектов недвижимости, включая оцениваемый, ценообразование по каждому из указанных факторов должно быть единообразным;</w:t>
      </w:r>
    </w:p>
    <w:p w:rsidR="009467C8" w:rsidRPr="005D726A" w:rsidRDefault="009467C8" w:rsidP="00303E37">
      <w:pPr>
        <w:pStyle w:val="aff2"/>
        <w:numPr>
          <w:ilvl w:val="0"/>
          <w:numId w:val="23"/>
        </w:numPr>
        <w:autoSpaceDE w:val="0"/>
        <w:autoSpaceDN w:val="0"/>
        <w:adjustRightInd w:val="0"/>
        <w:spacing w:before="120" w:after="120"/>
        <w:ind w:left="714" w:hanging="357"/>
        <w:contextualSpacing w:val="0"/>
        <w:jc w:val="both"/>
        <w:rPr>
          <w:rFonts w:ascii="Bookman Old Style" w:hAnsi="Bookman Old Style" w:cs="Bookman Old Style"/>
          <w:sz w:val="20"/>
          <w:szCs w:val="20"/>
        </w:rPr>
      </w:pPr>
      <w:r w:rsidRPr="005D726A">
        <w:rPr>
          <w:rFonts w:ascii="Bookman Old Style" w:hAnsi="Bookman Old Style" w:cs="Bookman Old Style"/>
          <w:sz w:val="20"/>
          <w:szCs w:val="20"/>
        </w:rPr>
        <w:t>при проведении оценки должны быть описаны объем доступных оценщику рыночных данных об объектах-аналогах и правила их отбора для проведения расчетов. Использование в расчетах лишь части доступных оценщику объектов-аналогов должно быть обосновано в отчете об оценке;</w:t>
      </w:r>
    </w:p>
    <w:p w:rsidR="009467C8" w:rsidRPr="005D726A" w:rsidRDefault="009467C8" w:rsidP="00303E37">
      <w:pPr>
        <w:pStyle w:val="aff2"/>
        <w:numPr>
          <w:ilvl w:val="0"/>
          <w:numId w:val="23"/>
        </w:numPr>
        <w:autoSpaceDE w:val="0"/>
        <w:autoSpaceDN w:val="0"/>
        <w:adjustRightInd w:val="0"/>
        <w:spacing w:before="120" w:after="120"/>
        <w:ind w:left="714" w:hanging="357"/>
        <w:contextualSpacing w:val="0"/>
        <w:jc w:val="both"/>
        <w:rPr>
          <w:rFonts w:ascii="Bookman Old Style" w:hAnsi="Bookman Old Style" w:cs="Bookman Old Style"/>
          <w:sz w:val="20"/>
          <w:szCs w:val="20"/>
        </w:rPr>
      </w:pPr>
      <w:r w:rsidRPr="005D726A">
        <w:rPr>
          <w:rFonts w:ascii="Bookman Old Style" w:hAnsi="Bookman Old Style" w:cs="Bookman Old Style"/>
          <w:sz w:val="20"/>
          <w:szCs w:val="20"/>
        </w:rPr>
        <w:t>для выполнения расчетов используются типичные для аналогичного объекта сложившиеся на рынке оцениваемого объекта удельные показатели стоимости (единицы сравнения), в частности цена или арендная плата за единицу площади или единицу объема;</w:t>
      </w:r>
    </w:p>
    <w:p w:rsidR="009467C8" w:rsidRPr="005D726A" w:rsidRDefault="009467C8" w:rsidP="00303E37">
      <w:pPr>
        <w:pStyle w:val="aff2"/>
        <w:numPr>
          <w:ilvl w:val="0"/>
          <w:numId w:val="23"/>
        </w:numPr>
        <w:autoSpaceDE w:val="0"/>
        <w:autoSpaceDN w:val="0"/>
        <w:adjustRightInd w:val="0"/>
        <w:spacing w:before="120" w:after="120"/>
        <w:ind w:left="714" w:hanging="357"/>
        <w:contextualSpacing w:val="0"/>
        <w:jc w:val="both"/>
        <w:rPr>
          <w:rFonts w:ascii="Bookman Old Style" w:hAnsi="Bookman Old Style" w:cs="Bookman Old Style"/>
          <w:sz w:val="20"/>
          <w:szCs w:val="20"/>
        </w:rPr>
      </w:pPr>
      <w:r w:rsidRPr="005D726A">
        <w:rPr>
          <w:rFonts w:ascii="Bookman Old Style" w:hAnsi="Bookman Old Style" w:cs="Bookman Old Style"/>
          <w:sz w:val="20"/>
          <w:szCs w:val="20"/>
        </w:rPr>
        <w:t>в зависимости от имеющейся на рынке исходной информации в процессе оценки недвижимости могут использоваться качественные методы оценки (относительный сравнительный анализ, метод экспертных оценок и другие методы), количественные методы оценки (метод регрессионного анализа, метод количественных корректировок и други</w:t>
      </w:r>
      <w:r w:rsidR="002938D1">
        <w:rPr>
          <w:rFonts w:ascii="Bookman Old Style" w:hAnsi="Bookman Old Style" w:cs="Bookman Old Style"/>
          <w:sz w:val="20"/>
          <w:szCs w:val="20"/>
        </w:rPr>
        <w:t>е методы), а также их сочетания.</w:t>
      </w:r>
    </w:p>
    <w:p w:rsidR="009467C8" w:rsidRPr="003B048D" w:rsidRDefault="009467C8" w:rsidP="00303E37">
      <w:pPr>
        <w:pStyle w:val="aff2"/>
        <w:numPr>
          <w:ilvl w:val="0"/>
          <w:numId w:val="27"/>
        </w:numPr>
        <w:autoSpaceDE w:val="0"/>
        <w:autoSpaceDN w:val="0"/>
        <w:adjustRightInd w:val="0"/>
        <w:spacing w:before="120" w:after="120"/>
        <w:ind w:left="714" w:hanging="357"/>
        <w:contextualSpacing w:val="0"/>
        <w:jc w:val="both"/>
        <w:rPr>
          <w:rFonts w:ascii="Bookman Old Style" w:hAnsi="Bookman Old Style" w:cs="Bookman Old Style"/>
          <w:sz w:val="20"/>
          <w:szCs w:val="20"/>
        </w:rPr>
      </w:pPr>
      <w:r w:rsidRPr="003B048D">
        <w:rPr>
          <w:rFonts w:ascii="Bookman Old Style" w:hAnsi="Bookman Old Style" w:cs="Bookman Old Style"/>
          <w:sz w:val="20"/>
          <w:szCs w:val="20"/>
        </w:rPr>
        <w:t>При применении качественных методов оценка недвижимости выполняется путем изучения взаимосвязей, выявляемых на основе анализа цен сделок и (или) предложений с объектами-аналогами или соответствующей информации, полученной от экспертов, и использования этих взаимосвязей для проведения оценки в соответствии с технологией выбранного для оценки метода.</w:t>
      </w:r>
    </w:p>
    <w:p w:rsidR="009467C8" w:rsidRPr="003B048D" w:rsidRDefault="009467C8" w:rsidP="00303E37">
      <w:pPr>
        <w:pStyle w:val="aff2"/>
        <w:numPr>
          <w:ilvl w:val="0"/>
          <w:numId w:val="27"/>
        </w:numPr>
        <w:autoSpaceDE w:val="0"/>
        <w:autoSpaceDN w:val="0"/>
        <w:adjustRightInd w:val="0"/>
        <w:spacing w:before="120" w:after="120"/>
        <w:ind w:left="714" w:hanging="357"/>
        <w:contextualSpacing w:val="0"/>
        <w:jc w:val="both"/>
        <w:rPr>
          <w:rFonts w:ascii="Bookman Old Style" w:hAnsi="Bookman Old Style" w:cs="Bookman Old Style"/>
          <w:sz w:val="20"/>
          <w:szCs w:val="20"/>
        </w:rPr>
      </w:pPr>
      <w:r w:rsidRPr="003B048D">
        <w:rPr>
          <w:rFonts w:ascii="Bookman Old Style" w:hAnsi="Bookman Old Style" w:cs="Bookman Old Style"/>
          <w:sz w:val="20"/>
          <w:szCs w:val="20"/>
        </w:rPr>
        <w:t>При применении метода корректировок каждый объект-аналог сравнивается с объектом оценки по ценообразующим факторам (элементам сравнения), выявляются различия объектов по этим факторам и цена объекта-аналога или ее удельный показатель корректируется по выявленным различиям с целью дальнейшего определения стоимости объекта оценки. При этом корректировка по каждому элементу сравнения основывается на принципе вклада этого элемента в стоимость объекта.</w:t>
      </w:r>
    </w:p>
    <w:p w:rsidR="009467C8" w:rsidRPr="003B048D" w:rsidRDefault="009467C8" w:rsidP="00303E37">
      <w:pPr>
        <w:pStyle w:val="aff2"/>
        <w:numPr>
          <w:ilvl w:val="0"/>
          <w:numId w:val="27"/>
        </w:numPr>
        <w:autoSpaceDE w:val="0"/>
        <w:autoSpaceDN w:val="0"/>
        <w:adjustRightInd w:val="0"/>
        <w:spacing w:before="120" w:after="120"/>
        <w:ind w:left="714" w:hanging="357"/>
        <w:contextualSpacing w:val="0"/>
        <w:jc w:val="both"/>
        <w:rPr>
          <w:rFonts w:ascii="Bookman Old Style" w:hAnsi="Bookman Old Style" w:cs="Bookman Old Style"/>
          <w:sz w:val="20"/>
          <w:szCs w:val="20"/>
        </w:rPr>
      </w:pPr>
      <w:r w:rsidRPr="003B048D">
        <w:rPr>
          <w:rFonts w:ascii="Bookman Old Style" w:hAnsi="Bookman Old Style" w:cs="Bookman Old Style"/>
          <w:sz w:val="20"/>
          <w:szCs w:val="20"/>
        </w:rPr>
        <w:t>При применении методов регрессионного анализа оценщик, используя данные сегмента рынка оцениваемого объекта, конструирует модель ценообразования, соответствующую рынку этого объекта, по которой определяет расчетное значение искомой стоимости;</w:t>
      </w:r>
    </w:p>
    <w:p w:rsidR="009467C8" w:rsidRPr="005D726A" w:rsidRDefault="009467C8" w:rsidP="00303E37">
      <w:pPr>
        <w:pStyle w:val="aff2"/>
        <w:numPr>
          <w:ilvl w:val="0"/>
          <w:numId w:val="23"/>
        </w:numPr>
        <w:autoSpaceDE w:val="0"/>
        <w:autoSpaceDN w:val="0"/>
        <w:adjustRightInd w:val="0"/>
        <w:spacing w:before="120" w:after="120"/>
        <w:contextualSpacing w:val="0"/>
        <w:jc w:val="both"/>
        <w:rPr>
          <w:rFonts w:ascii="Bookman Old Style" w:hAnsi="Bookman Old Style" w:cs="Bookman Old Style"/>
          <w:sz w:val="20"/>
          <w:szCs w:val="20"/>
        </w:rPr>
      </w:pPr>
      <w:r w:rsidRPr="005D726A">
        <w:rPr>
          <w:rFonts w:ascii="Bookman Old Style" w:hAnsi="Bookman Old Style" w:cs="Bookman Old Style"/>
          <w:sz w:val="20"/>
          <w:szCs w:val="20"/>
        </w:rPr>
        <w:t>для сравнения объекта оценки с другими объектами недвижимости, с которыми были совершены сделки или которые представлены на рынке для их совершения, обычно используются следующие элементы сравнения:</w:t>
      </w:r>
    </w:p>
    <w:p w:rsidR="009467C8" w:rsidRPr="003B048D" w:rsidRDefault="009467C8" w:rsidP="00303E37">
      <w:pPr>
        <w:pStyle w:val="aff2"/>
        <w:numPr>
          <w:ilvl w:val="0"/>
          <w:numId w:val="28"/>
        </w:numPr>
        <w:autoSpaceDE w:val="0"/>
        <w:autoSpaceDN w:val="0"/>
        <w:adjustRightInd w:val="0"/>
        <w:jc w:val="both"/>
        <w:rPr>
          <w:rFonts w:ascii="Bookman Old Style" w:hAnsi="Bookman Old Style" w:cs="Bookman Old Style"/>
          <w:sz w:val="20"/>
          <w:szCs w:val="20"/>
        </w:rPr>
      </w:pPr>
      <w:r w:rsidRPr="003B048D">
        <w:rPr>
          <w:rFonts w:ascii="Bookman Old Style" w:hAnsi="Bookman Old Style" w:cs="Bookman Old Style"/>
          <w:sz w:val="20"/>
          <w:szCs w:val="20"/>
        </w:rPr>
        <w:t>передаваемые имущественные права, ограничения (обременения) этих прав;</w:t>
      </w:r>
    </w:p>
    <w:p w:rsidR="009467C8" w:rsidRPr="003B048D" w:rsidRDefault="009467C8" w:rsidP="00303E37">
      <w:pPr>
        <w:pStyle w:val="aff2"/>
        <w:numPr>
          <w:ilvl w:val="0"/>
          <w:numId w:val="28"/>
        </w:numPr>
        <w:autoSpaceDE w:val="0"/>
        <w:autoSpaceDN w:val="0"/>
        <w:adjustRightInd w:val="0"/>
        <w:jc w:val="both"/>
        <w:rPr>
          <w:rFonts w:ascii="Bookman Old Style" w:hAnsi="Bookman Old Style" w:cs="Bookman Old Style"/>
          <w:sz w:val="20"/>
          <w:szCs w:val="20"/>
        </w:rPr>
      </w:pPr>
      <w:r w:rsidRPr="003B048D">
        <w:rPr>
          <w:rFonts w:ascii="Bookman Old Style" w:hAnsi="Bookman Old Style" w:cs="Bookman Old Style"/>
          <w:sz w:val="20"/>
          <w:szCs w:val="20"/>
        </w:rPr>
        <w:lastRenderedPageBreak/>
        <w:t>условия финансирования состоявшейся или предполагаемой сделки (вид оплаты, условия кредитования, иные условия);</w:t>
      </w:r>
    </w:p>
    <w:p w:rsidR="009467C8" w:rsidRPr="003B048D" w:rsidRDefault="009467C8" w:rsidP="00303E37">
      <w:pPr>
        <w:pStyle w:val="aff2"/>
        <w:numPr>
          <w:ilvl w:val="0"/>
          <w:numId w:val="28"/>
        </w:numPr>
        <w:autoSpaceDE w:val="0"/>
        <w:autoSpaceDN w:val="0"/>
        <w:adjustRightInd w:val="0"/>
        <w:jc w:val="both"/>
        <w:rPr>
          <w:rFonts w:ascii="Bookman Old Style" w:hAnsi="Bookman Old Style" w:cs="Bookman Old Style"/>
          <w:sz w:val="20"/>
          <w:szCs w:val="20"/>
        </w:rPr>
      </w:pPr>
      <w:r w:rsidRPr="003B048D">
        <w:rPr>
          <w:rFonts w:ascii="Bookman Old Style" w:hAnsi="Bookman Old Style" w:cs="Bookman Old Style"/>
          <w:sz w:val="20"/>
          <w:szCs w:val="20"/>
        </w:rPr>
        <w:t>условия продажи (нетипичные для рынка условия, сделка между аффилированными лицами, иные условия);</w:t>
      </w:r>
    </w:p>
    <w:p w:rsidR="009467C8" w:rsidRPr="003B048D" w:rsidRDefault="009467C8" w:rsidP="00303E37">
      <w:pPr>
        <w:pStyle w:val="aff2"/>
        <w:numPr>
          <w:ilvl w:val="0"/>
          <w:numId w:val="28"/>
        </w:numPr>
        <w:autoSpaceDE w:val="0"/>
        <w:autoSpaceDN w:val="0"/>
        <w:adjustRightInd w:val="0"/>
        <w:jc w:val="both"/>
        <w:rPr>
          <w:rFonts w:ascii="Bookman Old Style" w:hAnsi="Bookman Old Style" w:cs="Bookman Old Style"/>
          <w:sz w:val="20"/>
          <w:szCs w:val="20"/>
        </w:rPr>
      </w:pPr>
      <w:r w:rsidRPr="003B048D">
        <w:rPr>
          <w:rFonts w:ascii="Bookman Old Style" w:hAnsi="Bookman Old Style" w:cs="Bookman Old Style"/>
          <w:sz w:val="20"/>
          <w:szCs w:val="20"/>
        </w:rPr>
        <w:t>условия рынка (изменения цен за период между датами сделки и оценки, скидки к ценам предложений, иные условия);</w:t>
      </w:r>
    </w:p>
    <w:p w:rsidR="009467C8" w:rsidRPr="003B048D" w:rsidRDefault="009467C8" w:rsidP="00303E37">
      <w:pPr>
        <w:pStyle w:val="aff2"/>
        <w:numPr>
          <w:ilvl w:val="0"/>
          <w:numId w:val="28"/>
        </w:numPr>
        <w:autoSpaceDE w:val="0"/>
        <w:autoSpaceDN w:val="0"/>
        <w:adjustRightInd w:val="0"/>
        <w:jc w:val="both"/>
        <w:rPr>
          <w:rFonts w:ascii="Bookman Old Style" w:hAnsi="Bookman Old Style" w:cs="Bookman Old Style"/>
          <w:sz w:val="20"/>
          <w:szCs w:val="20"/>
        </w:rPr>
      </w:pPr>
      <w:r w:rsidRPr="003B048D">
        <w:rPr>
          <w:rFonts w:ascii="Bookman Old Style" w:hAnsi="Bookman Old Style" w:cs="Bookman Old Style"/>
          <w:sz w:val="20"/>
          <w:szCs w:val="20"/>
        </w:rPr>
        <w:t>вид использования и (или) зонирование;</w:t>
      </w:r>
    </w:p>
    <w:p w:rsidR="009467C8" w:rsidRPr="003B048D" w:rsidRDefault="009467C8" w:rsidP="00303E37">
      <w:pPr>
        <w:pStyle w:val="aff2"/>
        <w:numPr>
          <w:ilvl w:val="0"/>
          <w:numId w:val="28"/>
        </w:numPr>
        <w:autoSpaceDE w:val="0"/>
        <w:autoSpaceDN w:val="0"/>
        <w:adjustRightInd w:val="0"/>
        <w:jc w:val="both"/>
        <w:rPr>
          <w:rFonts w:ascii="Bookman Old Style" w:hAnsi="Bookman Old Style" w:cs="Bookman Old Style"/>
          <w:sz w:val="20"/>
          <w:szCs w:val="20"/>
        </w:rPr>
      </w:pPr>
      <w:r w:rsidRPr="003B048D">
        <w:rPr>
          <w:rFonts w:ascii="Bookman Old Style" w:hAnsi="Bookman Old Style" w:cs="Bookman Old Style"/>
          <w:sz w:val="20"/>
          <w:szCs w:val="20"/>
        </w:rPr>
        <w:t>местоположение объекта;</w:t>
      </w:r>
    </w:p>
    <w:p w:rsidR="009467C8" w:rsidRPr="003B048D" w:rsidRDefault="009467C8" w:rsidP="00303E37">
      <w:pPr>
        <w:pStyle w:val="aff2"/>
        <w:numPr>
          <w:ilvl w:val="0"/>
          <w:numId w:val="28"/>
        </w:numPr>
        <w:autoSpaceDE w:val="0"/>
        <w:autoSpaceDN w:val="0"/>
        <w:adjustRightInd w:val="0"/>
        <w:jc w:val="both"/>
        <w:rPr>
          <w:rFonts w:ascii="Bookman Old Style" w:hAnsi="Bookman Old Style" w:cs="Bookman Old Style"/>
          <w:sz w:val="20"/>
          <w:szCs w:val="20"/>
        </w:rPr>
      </w:pPr>
      <w:r w:rsidRPr="003B048D">
        <w:rPr>
          <w:rFonts w:ascii="Bookman Old Style" w:hAnsi="Bookman Old Style" w:cs="Bookman Old Style"/>
          <w:sz w:val="20"/>
          <w:szCs w:val="20"/>
        </w:rPr>
        <w:t>физические характеристики объекта, в том числе свойства земельного участка, состояние объектов капитального строительства, соотношение площади земельного участка и площади его застройки, иные характеристики;</w:t>
      </w:r>
    </w:p>
    <w:p w:rsidR="009467C8" w:rsidRPr="003B048D" w:rsidRDefault="009467C8" w:rsidP="00303E37">
      <w:pPr>
        <w:pStyle w:val="aff2"/>
        <w:numPr>
          <w:ilvl w:val="0"/>
          <w:numId w:val="28"/>
        </w:numPr>
        <w:autoSpaceDE w:val="0"/>
        <w:autoSpaceDN w:val="0"/>
        <w:adjustRightInd w:val="0"/>
        <w:jc w:val="both"/>
        <w:rPr>
          <w:rFonts w:ascii="Bookman Old Style" w:hAnsi="Bookman Old Style" w:cs="Bookman Old Style"/>
          <w:sz w:val="20"/>
          <w:szCs w:val="20"/>
        </w:rPr>
      </w:pPr>
      <w:r w:rsidRPr="003B048D">
        <w:rPr>
          <w:rFonts w:ascii="Bookman Old Style" w:hAnsi="Bookman Old Style" w:cs="Bookman Old Style"/>
          <w:sz w:val="20"/>
          <w:szCs w:val="20"/>
        </w:rPr>
        <w:t>экономические характеристики (уровень операционных расходов, условия аренды, состав арендаторов, иные характеристики);</w:t>
      </w:r>
    </w:p>
    <w:p w:rsidR="009467C8" w:rsidRPr="003B048D" w:rsidRDefault="009467C8" w:rsidP="00303E37">
      <w:pPr>
        <w:pStyle w:val="aff2"/>
        <w:numPr>
          <w:ilvl w:val="0"/>
          <w:numId w:val="28"/>
        </w:numPr>
        <w:autoSpaceDE w:val="0"/>
        <w:autoSpaceDN w:val="0"/>
        <w:adjustRightInd w:val="0"/>
        <w:jc w:val="both"/>
        <w:rPr>
          <w:rFonts w:ascii="Bookman Old Style" w:hAnsi="Bookman Old Style" w:cs="Bookman Old Style"/>
          <w:sz w:val="20"/>
          <w:szCs w:val="20"/>
        </w:rPr>
      </w:pPr>
      <w:r w:rsidRPr="003B048D">
        <w:rPr>
          <w:rFonts w:ascii="Bookman Old Style" w:hAnsi="Bookman Old Style" w:cs="Bookman Old Style"/>
          <w:sz w:val="20"/>
          <w:szCs w:val="20"/>
        </w:rPr>
        <w:t>наличие движимого имущества, не связанного с недвижимостью;</w:t>
      </w:r>
    </w:p>
    <w:p w:rsidR="009467C8" w:rsidRPr="003B048D" w:rsidRDefault="009467C8" w:rsidP="00303E37">
      <w:pPr>
        <w:pStyle w:val="aff2"/>
        <w:numPr>
          <w:ilvl w:val="0"/>
          <w:numId w:val="28"/>
        </w:numPr>
        <w:autoSpaceDE w:val="0"/>
        <w:autoSpaceDN w:val="0"/>
        <w:adjustRightInd w:val="0"/>
        <w:jc w:val="both"/>
        <w:rPr>
          <w:rFonts w:ascii="Bookman Old Style" w:hAnsi="Bookman Old Style" w:cs="Bookman Old Style"/>
          <w:sz w:val="20"/>
          <w:szCs w:val="20"/>
        </w:rPr>
      </w:pPr>
      <w:r w:rsidRPr="003B048D">
        <w:rPr>
          <w:rFonts w:ascii="Bookman Old Style" w:hAnsi="Bookman Old Style" w:cs="Bookman Old Style"/>
          <w:sz w:val="20"/>
          <w:szCs w:val="20"/>
        </w:rPr>
        <w:t>другие характеристики (элементы), влияющие на стоимость;</w:t>
      </w:r>
    </w:p>
    <w:p w:rsidR="009467C8" w:rsidRPr="005D726A" w:rsidRDefault="009467C8" w:rsidP="00303E37">
      <w:pPr>
        <w:pStyle w:val="aff2"/>
        <w:numPr>
          <w:ilvl w:val="0"/>
          <w:numId w:val="23"/>
        </w:numPr>
        <w:autoSpaceDE w:val="0"/>
        <w:autoSpaceDN w:val="0"/>
        <w:adjustRightInd w:val="0"/>
        <w:spacing w:before="120" w:after="120"/>
        <w:contextualSpacing w:val="0"/>
        <w:jc w:val="both"/>
        <w:rPr>
          <w:rFonts w:ascii="Bookman Old Style" w:hAnsi="Bookman Old Style" w:cs="Bookman Old Style"/>
          <w:sz w:val="20"/>
          <w:szCs w:val="20"/>
        </w:rPr>
      </w:pPr>
      <w:r w:rsidRPr="005D726A">
        <w:rPr>
          <w:rFonts w:ascii="Bookman Old Style" w:hAnsi="Bookman Old Style" w:cs="Bookman Old Style"/>
          <w:sz w:val="20"/>
          <w:szCs w:val="20"/>
        </w:rPr>
        <w:t>помимо стоимости, сравнительный подход может использоваться для определения других расчетных показателей, например арендных ставок, износа и устареваний, ставок капитализации и дисконтирования.</w:t>
      </w:r>
    </w:p>
    <w:p w:rsidR="002938D1" w:rsidRPr="005D726A" w:rsidRDefault="002938D1" w:rsidP="002938D1">
      <w:pPr>
        <w:pStyle w:val="3"/>
        <w:rPr>
          <w:rFonts w:ascii="Bookman Old Style" w:hAnsi="Bookman Old Style"/>
          <w:sz w:val="20"/>
          <w:szCs w:val="20"/>
        </w:rPr>
      </w:pPr>
      <w:bookmarkStart w:id="222" w:name="_Toc461206387"/>
      <w:r w:rsidRPr="005D726A">
        <w:rPr>
          <w:rFonts w:ascii="Bookman Old Style" w:hAnsi="Bookman Old Style"/>
          <w:sz w:val="20"/>
          <w:szCs w:val="20"/>
        </w:rPr>
        <w:t>5.1.</w:t>
      </w:r>
      <w:r>
        <w:rPr>
          <w:rFonts w:ascii="Bookman Old Style" w:hAnsi="Bookman Old Style"/>
          <w:sz w:val="20"/>
          <w:szCs w:val="20"/>
        </w:rPr>
        <w:t>3</w:t>
      </w:r>
      <w:r w:rsidRPr="005D726A">
        <w:rPr>
          <w:rFonts w:ascii="Bookman Old Style" w:hAnsi="Bookman Old Style"/>
          <w:sz w:val="20"/>
          <w:szCs w:val="20"/>
        </w:rPr>
        <w:t xml:space="preserve">. </w:t>
      </w:r>
      <w:r>
        <w:rPr>
          <w:rFonts w:ascii="Bookman Old Style" w:hAnsi="Bookman Old Style"/>
          <w:sz w:val="20"/>
          <w:szCs w:val="20"/>
        </w:rPr>
        <w:t xml:space="preserve">Затратный </w:t>
      </w:r>
      <w:r w:rsidRPr="005D726A">
        <w:rPr>
          <w:rFonts w:ascii="Bookman Old Style" w:hAnsi="Bookman Old Style"/>
          <w:sz w:val="20"/>
          <w:szCs w:val="20"/>
        </w:rPr>
        <w:t>подход при оценке недвижимости</w:t>
      </w:r>
      <w:bookmarkEnd w:id="222"/>
    </w:p>
    <w:p w:rsidR="001C4571" w:rsidRPr="001C4571" w:rsidRDefault="001C4571" w:rsidP="001C4571">
      <w:pPr>
        <w:spacing w:before="120" w:after="120"/>
        <w:ind w:firstLine="708"/>
        <w:jc w:val="both"/>
        <w:rPr>
          <w:rFonts w:ascii="Bookman Old Style" w:hAnsi="Bookman Old Style"/>
          <w:sz w:val="20"/>
          <w:szCs w:val="20"/>
        </w:rPr>
      </w:pPr>
      <w:bookmarkStart w:id="223" w:name="15"/>
      <w:bookmarkEnd w:id="223"/>
      <w:r w:rsidRPr="001C4571">
        <w:rPr>
          <w:rFonts w:ascii="Bookman Old Style" w:hAnsi="Bookman Old Style"/>
          <w:sz w:val="20"/>
          <w:szCs w:val="20"/>
        </w:rPr>
        <w:t>Затратный подход - совокупность методов оценки стоимости объекта оценки, основанных на определении затрат, необходимых для воспроизводства либо замещения объекта оценки с учетом износа и устареваний. Затратами на воспроизводство объекта оценки являются затраты, необходимые для создания точной копии объекта оценки с использованием применявшихся при создании объекта оценки материалов и технологий. Затратами на замещение объекта оценки являются затраты, необходимые для создания аналогичного объекта с использованием материалов и технологий, применяющихся на дату оценки</w:t>
      </w:r>
      <w:r w:rsidRPr="001C4571">
        <w:rPr>
          <w:rFonts w:ascii="Bookman Old Style" w:hAnsi="Bookman Old Style" w:cs="Arial"/>
          <w:color w:val="000000"/>
          <w:sz w:val="20"/>
          <w:szCs w:val="20"/>
          <w:vertAlign w:val="superscript"/>
        </w:rPr>
        <w:footnoteReference w:id="39"/>
      </w:r>
      <w:r w:rsidRPr="001C4571">
        <w:rPr>
          <w:rFonts w:ascii="Bookman Old Style" w:hAnsi="Bookman Old Style"/>
          <w:sz w:val="20"/>
          <w:szCs w:val="20"/>
        </w:rPr>
        <w:t>.</w:t>
      </w:r>
    </w:p>
    <w:p w:rsidR="001C4571" w:rsidRDefault="001C4571" w:rsidP="001C4571">
      <w:pPr>
        <w:spacing w:before="120" w:after="120"/>
        <w:ind w:firstLine="708"/>
        <w:jc w:val="both"/>
        <w:rPr>
          <w:rFonts w:ascii="Bookman Old Style" w:hAnsi="Bookman Old Style"/>
          <w:sz w:val="20"/>
          <w:szCs w:val="20"/>
        </w:rPr>
      </w:pPr>
      <w:r w:rsidRPr="001C4571">
        <w:rPr>
          <w:rFonts w:ascii="Bookman Old Style" w:hAnsi="Bookman Old Style"/>
          <w:sz w:val="20"/>
          <w:szCs w:val="20"/>
        </w:rPr>
        <w:t>Затратный подход применяется, когда существует возможность заменить объект оценки другим объектом, который либо является точной копией объекта оценки, либо имеет аналогичные полезные свойства. Если объекту оценки свойственно уменьшение стоимости в связи с физическим состоянием, функциональным или экономическим устареванием, при применении затратного подхода необходимо учитывать износ и все виды устареваний.</w:t>
      </w:r>
    </w:p>
    <w:p w:rsidR="00B84D3C" w:rsidRDefault="00B84D3C" w:rsidP="00230864">
      <w:pPr>
        <w:autoSpaceDE w:val="0"/>
        <w:autoSpaceDN w:val="0"/>
        <w:adjustRightInd w:val="0"/>
        <w:spacing w:before="120" w:after="120"/>
        <w:ind w:firstLine="539"/>
        <w:jc w:val="both"/>
        <w:rPr>
          <w:rFonts w:ascii="Bookman Old Style" w:hAnsi="Bookman Old Style" w:cs="Arial"/>
          <w:color w:val="000000"/>
          <w:sz w:val="20"/>
          <w:szCs w:val="20"/>
        </w:rPr>
      </w:pPr>
      <w:r>
        <w:rPr>
          <w:rFonts w:ascii="Bookman Old Style" w:hAnsi="Bookman Old Style" w:cs="Arial"/>
          <w:color w:val="000000"/>
          <w:sz w:val="20"/>
          <w:szCs w:val="20"/>
        </w:rPr>
        <w:t>Согласно ФСО № 7</w:t>
      </w:r>
      <w:r>
        <w:rPr>
          <w:rStyle w:val="aff0"/>
          <w:rFonts w:ascii="Bookman Old Style" w:hAnsi="Bookman Old Style" w:cs="Arial"/>
          <w:color w:val="000000"/>
          <w:sz w:val="20"/>
          <w:szCs w:val="20"/>
        </w:rPr>
        <w:footnoteReference w:id="40"/>
      </w:r>
      <w:r>
        <w:rPr>
          <w:rFonts w:ascii="Bookman Old Style" w:hAnsi="Bookman Old Style" w:cs="Arial"/>
          <w:color w:val="000000"/>
          <w:sz w:val="20"/>
          <w:szCs w:val="20"/>
        </w:rPr>
        <w:t xml:space="preserve">, </w:t>
      </w:r>
      <w:r w:rsidRPr="005D726A">
        <w:rPr>
          <w:rFonts w:ascii="Bookman Old Style" w:hAnsi="Bookman Old Style" w:cs="Arial"/>
          <w:color w:val="000000"/>
          <w:sz w:val="20"/>
          <w:szCs w:val="20"/>
        </w:rPr>
        <w:t xml:space="preserve">при применении </w:t>
      </w:r>
      <w:r>
        <w:rPr>
          <w:rFonts w:ascii="Bookman Old Style" w:hAnsi="Bookman Old Style" w:cs="Arial"/>
          <w:color w:val="000000"/>
          <w:sz w:val="20"/>
          <w:szCs w:val="20"/>
        </w:rPr>
        <w:t>затратного</w:t>
      </w:r>
      <w:r w:rsidRPr="005D726A">
        <w:rPr>
          <w:rFonts w:ascii="Bookman Old Style" w:hAnsi="Bookman Old Style" w:cs="Arial"/>
          <w:color w:val="000000"/>
          <w:sz w:val="20"/>
          <w:szCs w:val="20"/>
        </w:rPr>
        <w:t xml:space="preserve"> подхода оценщик учитывает следующие положения:</w:t>
      </w:r>
    </w:p>
    <w:p w:rsidR="00B84D3C" w:rsidRPr="00B84D3C" w:rsidRDefault="00B84D3C" w:rsidP="00303E37">
      <w:pPr>
        <w:pStyle w:val="aff2"/>
        <w:numPr>
          <w:ilvl w:val="0"/>
          <w:numId w:val="24"/>
        </w:numPr>
        <w:autoSpaceDE w:val="0"/>
        <w:autoSpaceDN w:val="0"/>
        <w:adjustRightInd w:val="0"/>
        <w:spacing w:before="120" w:after="120"/>
        <w:ind w:left="709" w:hanging="357"/>
        <w:contextualSpacing w:val="0"/>
        <w:jc w:val="both"/>
        <w:rPr>
          <w:rFonts w:ascii="Bookman Old Style" w:hAnsi="Bookman Old Style" w:cs="Bookman Old Style"/>
          <w:sz w:val="20"/>
          <w:szCs w:val="20"/>
        </w:rPr>
      </w:pPr>
      <w:r w:rsidRPr="00B84D3C">
        <w:rPr>
          <w:rFonts w:ascii="Bookman Old Style" w:hAnsi="Bookman Old Style" w:cs="Bookman Old Style"/>
          <w:sz w:val="20"/>
          <w:szCs w:val="20"/>
        </w:rPr>
        <w:t>затратный подход рекомендуется применять для оценки объектов недвижимости - земельных участков, застроенных объектами капитального строительства, или объектов капитального строительства, но не их частей, например жилых и нежилых помещений;</w:t>
      </w:r>
    </w:p>
    <w:p w:rsidR="00B84D3C" w:rsidRPr="00B84D3C" w:rsidRDefault="00B84D3C" w:rsidP="00303E37">
      <w:pPr>
        <w:pStyle w:val="aff2"/>
        <w:numPr>
          <w:ilvl w:val="0"/>
          <w:numId w:val="24"/>
        </w:numPr>
        <w:autoSpaceDE w:val="0"/>
        <w:autoSpaceDN w:val="0"/>
        <w:adjustRightInd w:val="0"/>
        <w:spacing w:before="120" w:after="120"/>
        <w:ind w:left="709" w:hanging="357"/>
        <w:contextualSpacing w:val="0"/>
        <w:jc w:val="both"/>
        <w:rPr>
          <w:rFonts w:ascii="Bookman Old Style" w:hAnsi="Bookman Old Style" w:cs="Bookman Old Style"/>
          <w:sz w:val="20"/>
          <w:szCs w:val="20"/>
        </w:rPr>
      </w:pPr>
      <w:r w:rsidRPr="00B84D3C">
        <w:rPr>
          <w:rFonts w:ascii="Bookman Old Style" w:hAnsi="Bookman Old Style" w:cs="Bookman Old Style"/>
          <w:sz w:val="20"/>
          <w:szCs w:val="20"/>
        </w:rPr>
        <w:t>затратный подход целесообразно применять для оценки недвижимости, если она соответствует наиболее эффективному использованию земельного участка как незастроенного и есть возможность корректной оценки физического износа, а также функционального и внешнего (экономического) устареваний объектов капитального строительства;</w:t>
      </w:r>
    </w:p>
    <w:p w:rsidR="00B84D3C" w:rsidRPr="00B84D3C" w:rsidRDefault="00B84D3C" w:rsidP="00303E37">
      <w:pPr>
        <w:pStyle w:val="aff2"/>
        <w:numPr>
          <w:ilvl w:val="0"/>
          <w:numId w:val="24"/>
        </w:numPr>
        <w:autoSpaceDE w:val="0"/>
        <w:autoSpaceDN w:val="0"/>
        <w:adjustRightInd w:val="0"/>
        <w:spacing w:before="120" w:after="120"/>
        <w:ind w:left="709" w:hanging="357"/>
        <w:contextualSpacing w:val="0"/>
        <w:jc w:val="both"/>
        <w:rPr>
          <w:rFonts w:ascii="Bookman Old Style" w:hAnsi="Bookman Old Style" w:cs="Bookman Old Style"/>
          <w:sz w:val="20"/>
          <w:szCs w:val="20"/>
        </w:rPr>
      </w:pPr>
      <w:r w:rsidRPr="00B84D3C">
        <w:rPr>
          <w:rFonts w:ascii="Bookman Old Style" w:hAnsi="Bookman Old Style" w:cs="Bookman Old Style"/>
          <w:sz w:val="20"/>
          <w:szCs w:val="20"/>
        </w:rPr>
        <w:t>затратный подход рекомендуется использовать при низкой активности рынка, когда недостаточно данных, необходимых для применения сравнительного и доходного подходов к оценке, а также для оценки недвижимости специального назначения и использования (например, линейных объектов, гидротехнических сооружений, водонапорных башен, насосных станций, котельных, инженерных сетей и другой недвижимости, в отношении которой рыночные данные о сделках и предложениях отсутствуют);</w:t>
      </w:r>
    </w:p>
    <w:p w:rsidR="00B84D3C" w:rsidRPr="00B84D3C" w:rsidRDefault="00B84D3C" w:rsidP="00303E37">
      <w:pPr>
        <w:pStyle w:val="aff2"/>
        <w:numPr>
          <w:ilvl w:val="0"/>
          <w:numId w:val="24"/>
        </w:numPr>
        <w:autoSpaceDE w:val="0"/>
        <w:autoSpaceDN w:val="0"/>
        <w:adjustRightInd w:val="0"/>
        <w:spacing w:before="120" w:after="120"/>
        <w:ind w:left="709" w:hanging="357"/>
        <w:contextualSpacing w:val="0"/>
        <w:jc w:val="both"/>
        <w:rPr>
          <w:rFonts w:ascii="Bookman Old Style" w:hAnsi="Bookman Old Style" w:cs="Bookman Old Style"/>
          <w:sz w:val="20"/>
          <w:szCs w:val="20"/>
        </w:rPr>
      </w:pPr>
      <w:r w:rsidRPr="00B84D3C">
        <w:rPr>
          <w:rFonts w:ascii="Bookman Old Style" w:hAnsi="Bookman Old Style" w:cs="Bookman Old Style"/>
          <w:sz w:val="20"/>
          <w:szCs w:val="20"/>
        </w:rPr>
        <w:t>в общем случае стоимость объекта недвижимости, определяемая с использованием затратного подхода, рассчитывается в следующей последовательности:</w:t>
      </w:r>
    </w:p>
    <w:p w:rsidR="00B84D3C" w:rsidRPr="003B048D" w:rsidRDefault="00B84D3C" w:rsidP="00303E37">
      <w:pPr>
        <w:pStyle w:val="aff2"/>
        <w:numPr>
          <w:ilvl w:val="0"/>
          <w:numId w:val="29"/>
        </w:numPr>
        <w:autoSpaceDE w:val="0"/>
        <w:autoSpaceDN w:val="0"/>
        <w:adjustRightInd w:val="0"/>
        <w:jc w:val="both"/>
        <w:rPr>
          <w:rFonts w:ascii="Bookman Old Style" w:hAnsi="Bookman Old Style" w:cs="Bookman Old Style"/>
          <w:sz w:val="20"/>
          <w:szCs w:val="20"/>
        </w:rPr>
      </w:pPr>
      <w:r w:rsidRPr="003B048D">
        <w:rPr>
          <w:rFonts w:ascii="Bookman Old Style" w:hAnsi="Bookman Old Style" w:cs="Bookman Old Style"/>
          <w:sz w:val="20"/>
          <w:szCs w:val="20"/>
        </w:rPr>
        <w:t>определение стоимости прав на земельный участок как незастроенный;</w:t>
      </w:r>
    </w:p>
    <w:p w:rsidR="00B84D3C" w:rsidRPr="003B048D" w:rsidRDefault="00B84D3C" w:rsidP="00303E37">
      <w:pPr>
        <w:pStyle w:val="aff2"/>
        <w:numPr>
          <w:ilvl w:val="0"/>
          <w:numId w:val="29"/>
        </w:numPr>
        <w:autoSpaceDE w:val="0"/>
        <w:autoSpaceDN w:val="0"/>
        <w:adjustRightInd w:val="0"/>
        <w:jc w:val="both"/>
        <w:rPr>
          <w:rFonts w:ascii="Bookman Old Style" w:hAnsi="Bookman Old Style" w:cs="Bookman Old Style"/>
          <w:sz w:val="20"/>
          <w:szCs w:val="20"/>
        </w:rPr>
      </w:pPr>
      <w:r w:rsidRPr="003B048D">
        <w:rPr>
          <w:rFonts w:ascii="Bookman Old Style" w:hAnsi="Bookman Old Style" w:cs="Bookman Old Style"/>
          <w:sz w:val="20"/>
          <w:szCs w:val="20"/>
        </w:rPr>
        <w:t>расчет затрат на создание (воспроизводство или замещение) объектов капитального строительства;</w:t>
      </w:r>
    </w:p>
    <w:p w:rsidR="00B84D3C" w:rsidRPr="003B048D" w:rsidRDefault="00B84D3C" w:rsidP="00303E37">
      <w:pPr>
        <w:pStyle w:val="aff2"/>
        <w:numPr>
          <w:ilvl w:val="0"/>
          <w:numId w:val="29"/>
        </w:numPr>
        <w:autoSpaceDE w:val="0"/>
        <w:autoSpaceDN w:val="0"/>
        <w:adjustRightInd w:val="0"/>
        <w:jc w:val="both"/>
        <w:rPr>
          <w:rFonts w:ascii="Bookman Old Style" w:hAnsi="Bookman Old Style" w:cs="Bookman Old Style"/>
          <w:sz w:val="20"/>
          <w:szCs w:val="20"/>
        </w:rPr>
      </w:pPr>
      <w:r w:rsidRPr="003B048D">
        <w:rPr>
          <w:rFonts w:ascii="Bookman Old Style" w:hAnsi="Bookman Old Style" w:cs="Bookman Old Style"/>
          <w:sz w:val="20"/>
          <w:szCs w:val="20"/>
        </w:rPr>
        <w:lastRenderedPageBreak/>
        <w:t>определение прибыли предпринимателя;</w:t>
      </w:r>
    </w:p>
    <w:p w:rsidR="00B84D3C" w:rsidRPr="003B048D" w:rsidRDefault="00B84D3C" w:rsidP="00303E37">
      <w:pPr>
        <w:pStyle w:val="aff2"/>
        <w:numPr>
          <w:ilvl w:val="0"/>
          <w:numId w:val="29"/>
        </w:numPr>
        <w:autoSpaceDE w:val="0"/>
        <w:autoSpaceDN w:val="0"/>
        <w:adjustRightInd w:val="0"/>
        <w:jc w:val="both"/>
        <w:rPr>
          <w:rFonts w:ascii="Bookman Old Style" w:hAnsi="Bookman Old Style" w:cs="Bookman Old Style"/>
          <w:sz w:val="20"/>
          <w:szCs w:val="20"/>
        </w:rPr>
      </w:pPr>
      <w:r w:rsidRPr="003B048D">
        <w:rPr>
          <w:rFonts w:ascii="Bookman Old Style" w:hAnsi="Bookman Old Style" w:cs="Bookman Old Style"/>
          <w:sz w:val="20"/>
          <w:szCs w:val="20"/>
        </w:rPr>
        <w:t>определение износа и устареваний;</w:t>
      </w:r>
    </w:p>
    <w:p w:rsidR="00B84D3C" w:rsidRPr="003B048D" w:rsidRDefault="00B84D3C" w:rsidP="00303E37">
      <w:pPr>
        <w:pStyle w:val="aff2"/>
        <w:numPr>
          <w:ilvl w:val="0"/>
          <w:numId w:val="29"/>
        </w:numPr>
        <w:autoSpaceDE w:val="0"/>
        <w:autoSpaceDN w:val="0"/>
        <w:adjustRightInd w:val="0"/>
        <w:jc w:val="both"/>
        <w:rPr>
          <w:rFonts w:ascii="Bookman Old Style" w:hAnsi="Bookman Old Style" w:cs="Bookman Old Style"/>
          <w:sz w:val="20"/>
          <w:szCs w:val="20"/>
        </w:rPr>
      </w:pPr>
      <w:r w:rsidRPr="003B048D">
        <w:rPr>
          <w:rFonts w:ascii="Bookman Old Style" w:hAnsi="Bookman Old Style" w:cs="Bookman Old Style"/>
          <w:sz w:val="20"/>
          <w:szCs w:val="20"/>
        </w:rPr>
        <w:t>определение стоимости объектов капитального строительства путем суммирования затрат на создание этих объектов и прибыли предпринимателя и вычитания их физического износа и устареваний;</w:t>
      </w:r>
    </w:p>
    <w:p w:rsidR="00B84D3C" w:rsidRPr="003B048D" w:rsidRDefault="00B84D3C" w:rsidP="00303E37">
      <w:pPr>
        <w:pStyle w:val="aff2"/>
        <w:numPr>
          <w:ilvl w:val="0"/>
          <w:numId w:val="29"/>
        </w:numPr>
        <w:autoSpaceDE w:val="0"/>
        <w:autoSpaceDN w:val="0"/>
        <w:adjustRightInd w:val="0"/>
        <w:jc w:val="both"/>
        <w:rPr>
          <w:rFonts w:ascii="Bookman Old Style" w:hAnsi="Bookman Old Style" w:cs="Bookman Old Style"/>
          <w:sz w:val="20"/>
          <w:szCs w:val="20"/>
        </w:rPr>
      </w:pPr>
      <w:r w:rsidRPr="003B048D">
        <w:rPr>
          <w:rFonts w:ascii="Bookman Old Style" w:hAnsi="Bookman Old Style" w:cs="Bookman Old Style"/>
          <w:sz w:val="20"/>
          <w:szCs w:val="20"/>
        </w:rPr>
        <w:t>определение стоимости объекта недвижимости как суммы стоимости прав на земельный участок и стоимости объектов капитального строительства;</w:t>
      </w:r>
    </w:p>
    <w:p w:rsidR="00B84D3C" w:rsidRPr="00B84D3C" w:rsidRDefault="00B84D3C" w:rsidP="00303E37">
      <w:pPr>
        <w:pStyle w:val="aff2"/>
        <w:numPr>
          <w:ilvl w:val="0"/>
          <w:numId w:val="24"/>
        </w:numPr>
        <w:autoSpaceDE w:val="0"/>
        <w:autoSpaceDN w:val="0"/>
        <w:adjustRightInd w:val="0"/>
        <w:spacing w:before="120" w:after="120"/>
        <w:ind w:left="709" w:hanging="357"/>
        <w:contextualSpacing w:val="0"/>
        <w:jc w:val="both"/>
        <w:rPr>
          <w:rFonts w:ascii="Bookman Old Style" w:hAnsi="Bookman Old Style" w:cs="Bookman Old Style"/>
          <w:sz w:val="20"/>
          <w:szCs w:val="20"/>
        </w:rPr>
      </w:pPr>
      <w:r w:rsidRPr="00B84D3C">
        <w:rPr>
          <w:rFonts w:ascii="Bookman Old Style" w:hAnsi="Bookman Old Style" w:cs="Bookman Old Style"/>
          <w:sz w:val="20"/>
          <w:szCs w:val="20"/>
        </w:rPr>
        <w:t>для целей определения рыночной стоимости объекта недвижимости с использованием затратного подхода земельный участок оценивается как незастроенный в предположении его наиболее эффективного использования;</w:t>
      </w:r>
    </w:p>
    <w:p w:rsidR="00B84D3C" w:rsidRPr="00B84D3C" w:rsidRDefault="00B84D3C" w:rsidP="00303E37">
      <w:pPr>
        <w:pStyle w:val="aff2"/>
        <w:numPr>
          <w:ilvl w:val="0"/>
          <w:numId w:val="24"/>
        </w:numPr>
        <w:autoSpaceDE w:val="0"/>
        <w:autoSpaceDN w:val="0"/>
        <w:adjustRightInd w:val="0"/>
        <w:spacing w:before="120" w:after="120"/>
        <w:ind w:left="709" w:hanging="357"/>
        <w:contextualSpacing w:val="0"/>
        <w:jc w:val="both"/>
        <w:rPr>
          <w:rFonts w:ascii="Bookman Old Style" w:hAnsi="Bookman Old Style" w:cs="Bookman Old Style"/>
          <w:sz w:val="20"/>
          <w:szCs w:val="20"/>
        </w:rPr>
      </w:pPr>
      <w:r w:rsidRPr="00B84D3C">
        <w:rPr>
          <w:rFonts w:ascii="Bookman Old Style" w:hAnsi="Bookman Old Style" w:cs="Bookman Old Style"/>
          <w:sz w:val="20"/>
          <w:szCs w:val="20"/>
        </w:rPr>
        <w:t>расчет затрат на создание объектов капитального строительства производится на основании:</w:t>
      </w:r>
    </w:p>
    <w:p w:rsidR="00B84D3C" w:rsidRPr="003B048D" w:rsidRDefault="00B84D3C" w:rsidP="00303E37">
      <w:pPr>
        <w:pStyle w:val="aff2"/>
        <w:numPr>
          <w:ilvl w:val="0"/>
          <w:numId w:val="30"/>
        </w:numPr>
        <w:autoSpaceDE w:val="0"/>
        <w:autoSpaceDN w:val="0"/>
        <w:adjustRightInd w:val="0"/>
        <w:jc w:val="both"/>
        <w:rPr>
          <w:rFonts w:ascii="Bookman Old Style" w:hAnsi="Bookman Old Style" w:cs="Bookman Old Style"/>
          <w:sz w:val="20"/>
          <w:szCs w:val="20"/>
        </w:rPr>
      </w:pPr>
      <w:r w:rsidRPr="003B048D">
        <w:rPr>
          <w:rFonts w:ascii="Bookman Old Style" w:hAnsi="Bookman Old Style" w:cs="Bookman Old Style"/>
          <w:sz w:val="20"/>
          <w:szCs w:val="20"/>
        </w:rPr>
        <w:t>данных о строительных контрактах (договорах) на возведение аналогичных объектов;</w:t>
      </w:r>
    </w:p>
    <w:p w:rsidR="00B84D3C" w:rsidRPr="003B048D" w:rsidRDefault="00B84D3C" w:rsidP="00303E37">
      <w:pPr>
        <w:pStyle w:val="aff2"/>
        <w:numPr>
          <w:ilvl w:val="0"/>
          <w:numId w:val="30"/>
        </w:numPr>
        <w:autoSpaceDE w:val="0"/>
        <w:autoSpaceDN w:val="0"/>
        <w:adjustRightInd w:val="0"/>
        <w:jc w:val="both"/>
        <w:rPr>
          <w:rFonts w:ascii="Bookman Old Style" w:hAnsi="Bookman Old Style" w:cs="Bookman Old Style"/>
          <w:sz w:val="20"/>
          <w:szCs w:val="20"/>
        </w:rPr>
      </w:pPr>
      <w:r w:rsidRPr="003B048D">
        <w:rPr>
          <w:rFonts w:ascii="Bookman Old Style" w:hAnsi="Bookman Old Style" w:cs="Bookman Old Style"/>
          <w:sz w:val="20"/>
          <w:szCs w:val="20"/>
        </w:rPr>
        <w:t>данных о затратах на строительство аналогичных объектов из специализированных справочников;</w:t>
      </w:r>
    </w:p>
    <w:p w:rsidR="00B84D3C" w:rsidRPr="003B048D" w:rsidRDefault="00B84D3C" w:rsidP="00303E37">
      <w:pPr>
        <w:pStyle w:val="aff2"/>
        <w:numPr>
          <w:ilvl w:val="0"/>
          <w:numId w:val="30"/>
        </w:numPr>
        <w:autoSpaceDE w:val="0"/>
        <w:autoSpaceDN w:val="0"/>
        <w:adjustRightInd w:val="0"/>
        <w:jc w:val="both"/>
        <w:rPr>
          <w:rFonts w:ascii="Bookman Old Style" w:hAnsi="Bookman Old Style" w:cs="Bookman Old Style"/>
          <w:sz w:val="20"/>
          <w:szCs w:val="20"/>
        </w:rPr>
      </w:pPr>
      <w:r w:rsidRPr="003B048D">
        <w:rPr>
          <w:rFonts w:ascii="Bookman Old Style" w:hAnsi="Bookman Old Style" w:cs="Bookman Old Style"/>
          <w:sz w:val="20"/>
          <w:szCs w:val="20"/>
        </w:rPr>
        <w:t>сметных расчетов;</w:t>
      </w:r>
    </w:p>
    <w:p w:rsidR="00B84D3C" w:rsidRPr="003B048D" w:rsidRDefault="00B84D3C" w:rsidP="00303E37">
      <w:pPr>
        <w:pStyle w:val="aff2"/>
        <w:numPr>
          <w:ilvl w:val="0"/>
          <w:numId w:val="30"/>
        </w:numPr>
        <w:autoSpaceDE w:val="0"/>
        <w:autoSpaceDN w:val="0"/>
        <w:adjustRightInd w:val="0"/>
        <w:jc w:val="both"/>
        <w:rPr>
          <w:rFonts w:ascii="Bookman Old Style" w:hAnsi="Bookman Old Style" w:cs="Bookman Old Style"/>
          <w:sz w:val="20"/>
          <w:szCs w:val="20"/>
        </w:rPr>
      </w:pPr>
      <w:r w:rsidRPr="003B048D">
        <w:rPr>
          <w:rFonts w:ascii="Bookman Old Style" w:hAnsi="Bookman Old Style" w:cs="Bookman Old Style"/>
          <w:sz w:val="20"/>
          <w:szCs w:val="20"/>
        </w:rPr>
        <w:t>информации о рыночных ценах на строительные материалы;</w:t>
      </w:r>
    </w:p>
    <w:p w:rsidR="00B84D3C" w:rsidRPr="003B048D" w:rsidRDefault="00B84D3C" w:rsidP="00303E37">
      <w:pPr>
        <w:pStyle w:val="aff2"/>
        <w:numPr>
          <w:ilvl w:val="0"/>
          <w:numId w:val="30"/>
        </w:numPr>
        <w:autoSpaceDE w:val="0"/>
        <w:autoSpaceDN w:val="0"/>
        <w:adjustRightInd w:val="0"/>
        <w:jc w:val="both"/>
        <w:rPr>
          <w:rFonts w:ascii="Bookman Old Style" w:hAnsi="Bookman Old Style" w:cs="Bookman Old Style"/>
          <w:sz w:val="20"/>
          <w:szCs w:val="20"/>
        </w:rPr>
      </w:pPr>
      <w:r w:rsidRPr="003B048D">
        <w:rPr>
          <w:rFonts w:ascii="Bookman Old Style" w:hAnsi="Bookman Old Style" w:cs="Bookman Old Style"/>
          <w:sz w:val="20"/>
          <w:szCs w:val="20"/>
        </w:rPr>
        <w:t>других данных;</w:t>
      </w:r>
    </w:p>
    <w:p w:rsidR="00B84D3C" w:rsidRPr="00B84D3C" w:rsidRDefault="00B84D3C" w:rsidP="00303E37">
      <w:pPr>
        <w:pStyle w:val="aff2"/>
        <w:numPr>
          <w:ilvl w:val="0"/>
          <w:numId w:val="24"/>
        </w:numPr>
        <w:autoSpaceDE w:val="0"/>
        <w:autoSpaceDN w:val="0"/>
        <w:adjustRightInd w:val="0"/>
        <w:spacing w:before="120" w:after="120"/>
        <w:ind w:left="709" w:hanging="357"/>
        <w:contextualSpacing w:val="0"/>
        <w:jc w:val="both"/>
        <w:rPr>
          <w:rFonts w:ascii="Bookman Old Style" w:hAnsi="Bookman Old Style" w:cs="Bookman Old Style"/>
          <w:sz w:val="20"/>
          <w:szCs w:val="20"/>
        </w:rPr>
      </w:pPr>
      <w:r w:rsidRPr="00B84D3C">
        <w:rPr>
          <w:rFonts w:ascii="Bookman Old Style" w:hAnsi="Bookman Old Style" w:cs="Bookman Old Style"/>
          <w:sz w:val="20"/>
          <w:szCs w:val="20"/>
        </w:rPr>
        <w:t>затраты на создание объектов капитального строительства определяются как сумма издержек, входящих в состав строительно-монтажных работ, непосредственно связанных с созданием этих объектов, и издержек, сопутствующих их созданию, но не включаемых в состав строительно-монтажных работ;</w:t>
      </w:r>
    </w:p>
    <w:p w:rsidR="00B84D3C" w:rsidRPr="00B84D3C" w:rsidRDefault="00B84D3C" w:rsidP="00303E37">
      <w:pPr>
        <w:pStyle w:val="aff2"/>
        <w:numPr>
          <w:ilvl w:val="0"/>
          <w:numId w:val="24"/>
        </w:numPr>
        <w:autoSpaceDE w:val="0"/>
        <w:autoSpaceDN w:val="0"/>
        <w:adjustRightInd w:val="0"/>
        <w:spacing w:before="120" w:after="120"/>
        <w:ind w:left="709" w:hanging="357"/>
        <w:contextualSpacing w:val="0"/>
        <w:jc w:val="both"/>
        <w:rPr>
          <w:rFonts w:ascii="Bookman Old Style" w:hAnsi="Bookman Old Style" w:cs="Bookman Old Style"/>
          <w:sz w:val="20"/>
          <w:szCs w:val="20"/>
        </w:rPr>
      </w:pPr>
      <w:r w:rsidRPr="00B84D3C">
        <w:rPr>
          <w:rFonts w:ascii="Bookman Old Style" w:hAnsi="Bookman Old Style" w:cs="Bookman Old Style"/>
          <w:sz w:val="20"/>
          <w:szCs w:val="20"/>
        </w:rPr>
        <w:t>для целей оценки рыночной стоимости недвижимости величина прибыли предпринимателя определяется на основе рыночной информации методами экстракции, экспертных оценок или аналитических моделей с учетом прямых, косвенных и вмененных издержек, связанных с созданием объектов капитального строительства и приобретением прав на земельный участок;</w:t>
      </w:r>
    </w:p>
    <w:p w:rsidR="00A7343D" w:rsidRPr="009E33BE" w:rsidRDefault="00B84D3C" w:rsidP="00303E37">
      <w:pPr>
        <w:pStyle w:val="aff2"/>
        <w:numPr>
          <w:ilvl w:val="0"/>
          <w:numId w:val="24"/>
        </w:numPr>
        <w:autoSpaceDE w:val="0"/>
        <w:autoSpaceDN w:val="0"/>
        <w:adjustRightInd w:val="0"/>
        <w:spacing w:before="120" w:after="120"/>
        <w:ind w:left="709" w:hanging="357"/>
        <w:contextualSpacing w:val="0"/>
        <w:jc w:val="both"/>
        <w:rPr>
          <w:rFonts w:ascii="Bookman Old Style" w:hAnsi="Bookman Old Style" w:cs="Bookman Old Style"/>
          <w:sz w:val="20"/>
          <w:szCs w:val="20"/>
        </w:rPr>
      </w:pPr>
      <w:r w:rsidRPr="00B84D3C">
        <w:rPr>
          <w:rFonts w:ascii="Bookman Old Style" w:hAnsi="Bookman Old Style" w:cs="Bookman Old Style"/>
          <w:sz w:val="20"/>
          <w:szCs w:val="20"/>
        </w:rPr>
        <w:t>величина износа и устареваний определяется как потеря стоимости недвижимости в результате физического износа, функционального и внешнего (экономического) устареваний. При этом износ и устаревания относятся к объектам капитального строительства, относящимся к оцениваемой недвижимости.</w:t>
      </w:r>
    </w:p>
    <w:p w:rsidR="001C4571" w:rsidRPr="00D60B93" w:rsidRDefault="001C4571" w:rsidP="00CD4611">
      <w:pPr>
        <w:pStyle w:val="2"/>
        <w:spacing w:before="120" w:after="120"/>
        <w:rPr>
          <w:rFonts w:ascii="Bookman Old Style" w:hAnsi="Bookman Old Style"/>
          <w:b/>
          <w:sz w:val="20"/>
          <w:szCs w:val="20"/>
        </w:rPr>
      </w:pPr>
      <w:bookmarkStart w:id="224" w:name="_Toc365041369"/>
      <w:bookmarkStart w:id="225" w:name="_Toc461206388"/>
      <w:bookmarkEnd w:id="209"/>
      <w:bookmarkEnd w:id="210"/>
      <w:bookmarkEnd w:id="211"/>
      <w:bookmarkEnd w:id="212"/>
      <w:bookmarkEnd w:id="218"/>
      <w:r w:rsidRPr="00D60B93">
        <w:rPr>
          <w:rFonts w:ascii="Bookman Old Style" w:hAnsi="Bookman Old Style"/>
          <w:b/>
          <w:sz w:val="20"/>
          <w:szCs w:val="20"/>
        </w:rPr>
        <w:t>5.2. ОБОСНОВАНИЕ ВЫБОРА ПОДХОДОВ И МЕТОДОВ</w:t>
      </w:r>
      <w:bookmarkEnd w:id="213"/>
      <w:bookmarkEnd w:id="214"/>
      <w:bookmarkEnd w:id="215"/>
      <w:bookmarkEnd w:id="224"/>
      <w:bookmarkEnd w:id="225"/>
    </w:p>
    <w:p w:rsidR="00D60B93" w:rsidRPr="00300E68" w:rsidRDefault="00D60B93" w:rsidP="00300E68">
      <w:pPr>
        <w:pStyle w:val="3"/>
        <w:rPr>
          <w:rFonts w:ascii="Bookman Old Style" w:hAnsi="Bookman Old Style"/>
          <w:sz w:val="20"/>
          <w:szCs w:val="20"/>
        </w:rPr>
      </w:pPr>
      <w:bookmarkStart w:id="226" w:name="_Toc461206389"/>
      <w:bookmarkStart w:id="227" w:name="_Toc238358582"/>
      <w:bookmarkStart w:id="228" w:name="_Toc240097256"/>
      <w:bookmarkStart w:id="229" w:name="_Toc260339946"/>
      <w:bookmarkStart w:id="230" w:name="_Toc365041370"/>
      <w:r w:rsidRPr="00300E68">
        <w:rPr>
          <w:rFonts w:ascii="Bookman Old Style" w:hAnsi="Bookman Old Style"/>
          <w:sz w:val="20"/>
          <w:szCs w:val="20"/>
        </w:rPr>
        <w:t>5.2.1. Обоснование выбора подхода и метод</w:t>
      </w:r>
      <w:r w:rsidR="007201B4" w:rsidRPr="00300E68">
        <w:rPr>
          <w:rFonts w:ascii="Bookman Old Style" w:hAnsi="Bookman Old Style"/>
          <w:sz w:val="20"/>
          <w:szCs w:val="20"/>
        </w:rPr>
        <w:t>ов</w:t>
      </w:r>
      <w:r w:rsidRPr="00300E68">
        <w:rPr>
          <w:rFonts w:ascii="Bookman Old Style" w:hAnsi="Bookman Old Style"/>
          <w:sz w:val="20"/>
          <w:szCs w:val="20"/>
        </w:rPr>
        <w:t xml:space="preserve"> затратного подхода</w:t>
      </w:r>
      <w:bookmarkEnd w:id="226"/>
    </w:p>
    <w:p w:rsidR="001C4571" w:rsidRPr="00D60B93" w:rsidRDefault="001C4571" w:rsidP="00CD4611">
      <w:pPr>
        <w:pStyle w:val="3"/>
        <w:spacing w:after="120"/>
        <w:rPr>
          <w:rFonts w:ascii="Bookman Old Style" w:hAnsi="Bookman Old Style"/>
          <w:sz w:val="20"/>
          <w:szCs w:val="20"/>
        </w:rPr>
      </w:pPr>
      <w:bookmarkStart w:id="231" w:name="_Toc461206390"/>
      <w:r w:rsidRPr="00D60B93">
        <w:rPr>
          <w:rFonts w:ascii="Bookman Old Style" w:hAnsi="Bookman Old Style"/>
          <w:sz w:val="20"/>
          <w:szCs w:val="20"/>
        </w:rPr>
        <w:t>5.2.1.</w:t>
      </w:r>
      <w:r w:rsidR="00D60B93" w:rsidRPr="00D60B93">
        <w:rPr>
          <w:rFonts w:ascii="Bookman Old Style" w:hAnsi="Bookman Old Style"/>
          <w:sz w:val="20"/>
          <w:szCs w:val="20"/>
        </w:rPr>
        <w:t>1.</w:t>
      </w:r>
      <w:r w:rsidRPr="00D60B93">
        <w:rPr>
          <w:rFonts w:ascii="Bookman Old Style" w:hAnsi="Bookman Old Style"/>
          <w:sz w:val="20"/>
          <w:szCs w:val="20"/>
        </w:rPr>
        <w:t xml:space="preserve"> Обоснование </w:t>
      </w:r>
      <w:r w:rsidR="00F009BE" w:rsidRPr="00D60B93">
        <w:rPr>
          <w:rFonts w:ascii="Bookman Old Style" w:hAnsi="Bookman Old Style"/>
          <w:sz w:val="20"/>
          <w:szCs w:val="20"/>
        </w:rPr>
        <w:t>применения, отказа от применения</w:t>
      </w:r>
      <w:r w:rsidR="005E6C84" w:rsidRPr="00D60B93">
        <w:rPr>
          <w:rFonts w:ascii="Bookman Old Style" w:hAnsi="Bookman Old Style"/>
          <w:sz w:val="20"/>
          <w:szCs w:val="20"/>
        </w:rPr>
        <w:t xml:space="preserve"> подхода</w:t>
      </w:r>
      <w:bookmarkEnd w:id="231"/>
      <w:r w:rsidR="005E6C84" w:rsidRPr="00D60B93">
        <w:rPr>
          <w:rFonts w:ascii="Bookman Old Style" w:hAnsi="Bookman Old Style"/>
          <w:sz w:val="20"/>
          <w:szCs w:val="20"/>
        </w:rPr>
        <w:t xml:space="preserve"> </w:t>
      </w:r>
      <w:bookmarkEnd w:id="227"/>
      <w:bookmarkEnd w:id="228"/>
      <w:bookmarkEnd w:id="229"/>
      <w:bookmarkEnd w:id="230"/>
    </w:p>
    <w:p w:rsidR="005E6C84" w:rsidRPr="005E6C84" w:rsidRDefault="005E6C84" w:rsidP="00CD4611">
      <w:pPr>
        <w:spacing w:before="120" w:after="120"/>
        <w:ind w:firstLine="709"/>
        <w:jc w:val="both"/>
        <w:rPr>
          <w:rFonts w:ascii="Bookman Old Style" w:hAnsi="Bookman Old Style"/>
          <w:sz w:val="20"/>
          <w:szCs w:val="20"/>
        </w:rPr>
      </w:pPr>
      <w:bookmarkStart w:id="232" w:name="_Toc238358583"/>
      <w:bookmarkStart w:id="233" w:name="_Toc240097257"/>
      <w:bookmarkStart w:id="234" w:name="_Toc260339947"/>
      <w:r w:rsidRPr="005E6C84">
        <w:rPr>
          <w:rFonts w:ascii="Bookman Old Style" w:hAnsi="Bookman Old Style"/>
          <w:sz w:val="20"/>
          <w:szCs w:val="20"/>
        </w:rPr>
        <w:t>Согласно ст. 23 ФСО № 1:</w:t>
      </w:r>
    </w:p>
    <w:p w:rsidR="005E6C84" w:rsidRDefault="005E6C84" w:rsidP="00CD4611">
      <w:pPr>
        <w:spacing w:before="120" w:after="120"/>
        <w:ind w:firstLine="709"/>
        <w:jc w:val="both"/>
        <w:rPr>
          <w:rFonts w:ascii="Bookman Old Style" w:hAnsi="Bookman Old Style"/>
          <w:i/>
          <w:sz w:val="20"/>
          <w:szCs w:val="20"/>
        </w:rPr>
      </w:pPr>
      <w:r w:rsidRPr="005E6C84">
        <w:rPr>
          <w:rFonts w:ascii="Bookman Old Style" w:hAnsi="Bookman Old Style"/>
          <w:i/>
          <w:sz w:val="20"/>
          <w:szCs w:val="20"/>
        </w:rPr>
        <w:t>«Затратный подход применяется, когда существует возможность заменить объект оценки другим объектом, который либо является точной копией объекта оценки, либо имеет аналогичные полезные свойства».</w:t>
      </w:r>
    </w:p>
    <w:p w:rsidR="00094B50" w:rsidRPr="00094B50" w:rsidRDefault="00094B50" w:rsidP="00CD4611">
      <w:pPr>
        <w:spacing w:before="120" w:after="120"/>
        <w:ind w:firstLine="709"/>
        <w:jc w:val="both"/>
      </w:pPr>
      <w:r w:rsidRPr="00094B50">
        <w:rPr>
          <w:rFonts w:ascii="Bookman Old Style" w:hAnsi="Bookman Old Style"/>
          <w:sz w:val="20"/>
          <w:szCs w:val="20"/>
        </w:rPr>
        <w:t>В соответствии с ФСО № 7</w:t>
      </w:r>
      <w:r w:rsidRPr="00094B50">
        <w:t>:</w:t>
      </w:r>
    </w:p>
    <w:p w:rsidR="00094B50" w:rsidRPr="00094B50" w:rsidRDefault="00094B50" w:rsidP="00CD4611">
      <w:pPr>
        <w:spacing w:before="120" w:after="120"/>
        <w:ind w:firstLine="709"/>
        <w:jc w:val="both"/>
        <w:rPr>
          <w:rFonts w:ascii="Bookman Old Style" w:hAnsi="Bookman Old Style"/>
          <w:i/>
          <w:sz w:val="20"/>
          <w:szCs w:val="20"/>
        </w:rPr>
      </w:pPr>
      <w:r>
        <w:rPr>
          <w:rFonts w:ascii="Bookman Old Style" w:hAnsi="Bookman Old Style"/>
          <w:i/>
          <w:sz w:val="20"/>
          <w:szCs w:val="20"/>
        </w:rPr>
        <w:t>«З</w:t>
      </w:r>
      <w:r w:rsidRPr="00094B50">
        <w:rPr>
          <w:rFonts w:ascii="Bookman Old Style" w:hAnsi="Bookman Old Style"/>
          <w:i/>
          <w:sz w:val="20"/>
          <w:szCs w:val="20"/>
        </w:rPr>
        <w:t>атратный подход рекомендуется применять для оценки объектов недвижимости - земельных участков, застроенных объектами капитального строительства, или объектов капитального строительства, но не их частей, например жилых и нежилых помещений</w:t>
      </w:r>
      <w:r>
        <w:rPr>
          <w:rFonts w:ascii="Bookman Old Style" w:hAnsi="Bookman Old Style"/>
          <w:i/>
          <w:sz w:val="20"/>
          <w:szCs w:val="20"/>
        </w:rPr>
        <w:t>»</w:t>
      </w:r>
      <w:r w:rsidRPr="00094B50">
        <w:rPr>
          <w:rFonts w:ascii="Bookman Old Style" w:hAnsi="Bookman Old Style"/>
          <w:i/>
          <w:sz w:val="20"/>
          <w:szCs w:val="20"/>
        </w:rPr>
        <w:t>;</w:t>
      </w:r>
    </w:p>
    <w:p w:rsidR="00094B50" w:rsidRPr="00094B50" w:rsidRDefault="00094B50" w:rsidP="00CD4611">
      <w:pPr>
        <w:spacing w:before="120" w:after="120"/>
        <w:ind w:firstLine="709"/>
        <w:jc w:val="both"/>
        <w:rPr>
          <w:rFonts w:ascii="Bookman Old Style" w:hAnsi="Bookman Old Style"/>
          <w:i/>
          <w:sz w:val="20"/>
          <w:szCs w:val="20"/>
        </w:rPr>
      </w:pPr>
      <w:r>
        <w:rPr>
          <w:rFonts w:ascii="Bookman Old Style" w:hAnsi="Bookman Old Style"/>
          <w:i/>
          <w:sz w:val="20"/>
          <w:szCs w:val="20"/>
        </w:rPr>
        <w:t>«З</w:t>
      </w:r>
      <w:r w:rsidRPr="00094B50">
        <w:rPr>
          <w:rFonts w:ascii="Bookman Old Style" w:hAnsi="Bookman Old Style"/>
          <w:i/>
          <w:sz w:val="20"/>
          <w:szCs w:val="20"/>
        </w:rPr>
        <w:t>атратный подход целесообразно применять для оценки недвижимости, если она соответствует наиболее эффективному использованию земельного участка как незастроенного и есть возможность корректной оценки физического износа, а также функционального и внешнего (экономического) устареваний объектов капитального строительства</w:t>
      </w:r>
      <w:r>
        <w:rPr>
          <w:rFonts w:ascii="Bookman Old Style" w:hAnsi="Bookman Old Style"/>
          <w:i/>
          <w:sz w:val="20"/>
          <w:szCs w:val="20"/>
        </w:rPr>
        <w:t>»</w:t>
      </w:r>
      <w:r w:rsidRPr="00094B50">
        <w:rPr>
          <w:rFonts w:ascii="Bookman Old Style" w:hAnsi="Bookman Old Style"/>
          <w:i/>
          <w:sz w:val="20"/>
          <w:szCs w:val="20"/>
        </w:rPr>
        <w:t>;</w:t>
      </w:r>
    </w:p>
    <w:p w:rsidR="00094B50" w:rsidRPr="005E6C84" w:rsidRDefault="00094B50" w:rsidP="00CD4611">
      <w:pPr>
        <w:spacing w:before="120" w:after="120"/>
        <w:ind w:firstLine="709"/>
        <w:jc w:val="both"/>
        <w:rPr>
          <w:rFonts w:ascii="Bookman Old Style" w:hAnsi="Bookman Old Style"/>
          <w:i/>
          <w:sz w:val="20"/>
          <w:szCs w:val="20"/>
        </w:rPr>
      </w:pPr>
      <w:r>
        <w:rPr>
          <w:rFonts w:ascii="Bookman Old Style" w:hAnsi="Bookman Old Style"/>
          <w:i/>
          <w:sz w:val="20"/>
          <w:szCs w:val="20"/>
        </w:rPr>
        <w:t>«З</w:t>
      </w:r>
      <w:r w:rsidRPr="00094B50">
        <w:rPr>
          <w:rFonts w:ascii="Bookman Old Style" w:hAnsi="Bookman Old Style"/>
          <w:i/>
          <w:sz w:val="20"/>
          <w:szCs w:val="20"/>
        </w:rPr>
        <w:t>атратный подход рекомендуется использовать при низкой активности рынка, когда недостаточно данных, необходимых для применения сравнительного и доходного подходов к оценке, а также для оценки недвижимости специального назначения и использования (например, линейных объектов, гидротехнических сооружений, водонапорных башен, насосных станций, котельных, инженерных сетей и другой недвижимости, в отношении которой рыночные данные о сделках и предложениях отсутствуют)</w:t>
      </w:r>
      <w:r>
        <w:rPr>
          <w:rFonts w:ascii="Bookman Old Style" w:hAnsi="Bookman Old Style"/>
          <w:i/>
          <w:sz w:val="20"/>
          <w:szCs w:val="20"/>
        </w:rPr>
        <w:t>»;</w:t>
      </w:r>
    </w:p>
    <w:p w:rsidR="005E6C84" w:rsidRPr="005E6C84" w:rsidRDefault="005E6C84" w:rsidP="00CD4611">
      <w:pPr>
        <w:spacing w:before="120" w:after="120"/>
        <w:ind w:firstLine="709"/>
        <w:jc w:val="both"/>
        <w:rPr>
          <w:rFonts w:ascii="Bookman Old Style" w:hAnsi="Bookman Old Style"/>
          <w:sz w:val="20"/>
          <w:szCs w:val="20"/>
        </w:rPr>
      </w:pPr>
      <w:r w:rsidRPr="005E6C84">
        <w:rPr>
          <w:rFonts w:ascii="Bookman Old Style" w:hAnsi="Bookman Old Style"/>
          <w:sz w:val="20"/>
          <w:szCs w:val="20"/>
        </w:rPr>
        <w:t>При этом, исходя из сущности затратного подхода, под возможностью заменить объект оценки понимается возможность создания новой точной копии или объекта замещения.</w:t>
      </w:r>
    </w:p>
    <w:p w:rsidR="005E6C84" w:rsidRPr="005E6C84" w:rsidRDefault="005E6C84" w:rsidP="00CD4611">
      <w:pPr>
        <w:spacing w:before="120" w:after="120"/>
        <w:ind w:firstLine="709"/>
        <w:jc w:val="both"/>
        <w:rPr>
          <w:rFonts w:ascii="Bookman Old Style" w:hAnsi="Bookman Old Style"/>
          <w:sz w:val="20"/>
          <w:szCs w:val="20"/>
        </w:rPr>
      </w:pPr>
      <w:r w:rsidRPr="005E6C84">
        <w:rPr>
          <w:rFonts w:ascii="Bookman Old Style" w:hAnsi="Bookman Old Style"/>
          <w:sz w:val="20"/>
          <w:szCs w:val="20"/>
        </w:rPr>
        <w:lastRenderedPageBreak/>
        <w:t xml:space="preserve">Изучив количественные и качественные характеристики элементов Объекта оценки, </w:t>
      </w:r>
      <w:r w:rsidR="005737FE">
        <w:rPr>
          <w:rFonts w:ascii="Bookman Old Style" w:hAnsi="Bookman Old Style"/>
          <w:sz w:val="20"/>
          <w:szCs w:val="20"/>
        </w:rPr>
        <w:t xml:space="preserve">материалы анализа рынка и наиболее эффективного использования, </w:t>
      </w:r>
      <w:r w:rsidRPr="005E6C84">
        <w:rPr>
          <w:rFonts w:ascii="Bookman Old Style" w:hAnsi="Bookman Old Style"/>
          <w:sz w:val="20"/>
          <w:szCs w:val="20"/>
        </w:rPr>
        <w:t>оценщик сделал следующие выводы:</w:t>
      </w:r>
    </w:p>
    <w:p w:rsidR="00015C1C" w:rsidRDefault="00197A86" w:rsidP="00303E37">
      <w:pPr>
        <w:numPr>
          <w:ilvl w:val="0"/>
          <w:numId w:val="18"/>
        </w:numPr>
        <w:spacing w:before="120" w:after="120"/>
        <w:jc w:val="both"/>
        <w:rPr>
          <w:rFonts w:ascii="Bookman Old Style" w:hAnsi="Bookman Old Style"/>
          <w:sz w:val="20"/>
          <w:szCs w:val="20"/>
        </w:rPr>
      </w:pPr>
      <w:r>
        <w:rPr>
          <w:rFonts w:ascii="Bookman Old Style" w:hAnsi="Bookman Old Style"/>
          <w:sz w:val="20"/>
          <w:szCs w:val="20"/>
        </w:rPr>
        <w:t>Затратный подход рекомендуется использовать при низкой активности рынка недвижимости. Проведенный анализ рынка коммерческой недвижимости Красноярска выявил достаточный потенциал данных для проведения оценки методами сравнительного подхода</w:t>
      </w:r>
      <w:r w:rsidR="00CD4611">
        <w:rPr>
          <w:rFonts w:ascii="Bookman Old Style" w:hAnsi="Bookman Old Style"/>
          <w:sz w:val="20"/>
          <w:szCs w:val="20"/>
        </w:rPr>
        <w:t>, как наиболее точно отражающи</w:t>
      </w:r>
      <w:r>
        <w:rPr>
          <w:rFonts w:ascii="Bookman Old Style" w:hAnsi="Bookman Old Style"/>
          <w:sz w:val="20"/>
          <w:szCs w:val="20"/>
        </w:rPr>
        <w:t xml:space="preserve">м значение рыночной стоимости </w:t>
      </w:r>
      <w:r w:rsidR="00230864">
        <w:rPr>
          <w:rFonts w:ascii="Bookman Old Style" w:hAnsi="Bookman Old Style"/>
          <w:sz w:val="20"/>
          <w:szCs w:val="20"/>
        </w:rPr>
        <w:t>здани</w:t>
      </w:r>
      <w:r w:rsidR="00AD346D">
        <w:rPr>
          <w:rFonts w:ascii="Bookman Old Style" w:hAnsi="Bookman Old Style"/>
          <w:sz w:val="20"/>
          <w:szCs w:val="20"/>
        </w:rPr>
        <w:t>я</w:t>
      </w:r>
      <w:r>
        <w:rPr>
          <w:rFonts w:ascii="Bookman Old Style" w:hAnsi="Bookman Old Style"/>
          <w:sz w:val="20"/>
          <w:szCs w:val="20"/>
        </w:rPr>
        <w:t>.</w:t>
      </w:r>
    </w:p>
    <w:p w:rsidR="00177A72" w:rsidRDefault="00177A72" w:rsidP="00303E37">
      <w:pPr>
        <w:numPr>
          <w:ilvl w:val="0"/>
          <w:numId w:val="18"/>
        </w:numPr>
        <w:spacing w:before="120" w:after="120"/>
        <w:jc w:val="both"/>
        <w:rPr>
          <w:rFonts w:ascii="Bookman Old Style" w:hAnsi="Bookman Old Style"/>
          <w:sz w:val="20"/>
          <w:szCs w:val="20"/>
        </w:rPr>
      </w:pPr>
      <w:r>
        <w:rPr>
          <w:rFonts w:ascii="Bookman Old Style" w:hAnsi="Bookman Old Style"/>
          <w:sz w:val="20"/>
          <w:szCs w:val="20"/>
        </w:rPr>
        <w:t>Рыночная стоимость объекта недвижимости не определяется затратами на его строительство;</w:t>
      </w:r>
    </w:p>
    <w:p w:rsidR="005F6A69" w:rsidRDefault="005F6A69" w:rsidP="00303E37">
      <w:pPr>
        <w:numPr>
          <w:ilvl w:val="0"/>
          <w:numId w:val="18"/>
        </w:numPr>
        <w:spacing w:before="120" w:after="120"/>
        <w:jc w:val="both"/>
        <w:rPr>
          <w:rFonts w:ascii="Bookman Old Style" w:hAnsi="Bookman Old Style"/>
          <w:sz w:val="20"/>
          <w:szCs w:val="20"/>
        </w:rPr>
      </w:pPr>
      <w:r w:rsidRPr="005F6A69">
        <w:rPr>
          <w:rFonts w:ascii="Bookman Old Style" w:hAnsi="Bookman Old Style"/>
          <w:sz w:val="20"/>
          <w:szCs w:val="20"/>
        </w:rPr>
        <w:t>На первичном рынке оборудования удалось произвести расчет стоимости затрат на создание новой точной копии для элементов Объекта оценки. Таким образом, проведен расчет стоимости методом затратного подхода</w:t>
      </w:r>
      <w:r>
        <w:rPr>
          <w:rFonts w:ascii="Bookman Old Style" w:hAnsi="Bookman Old Style"/>
          <w:sz w:val="20"/>
          <w:szCs w:val="20"/>
        </w:rPr>
        <w:t>;</w:t>
      </w:r>
    </w:p>
    <w:p w:rsidR="005F6A69" w:rsidRDefault="005F6A69" w:rsidP="00303E37">
      <w:pPr>
        <w:numPr>
          <w:ilvl w:val="0"/>
          <w:numId w:val="18"/>
        </w:numPr>
        <w:spacing w:before="120" w:after="120"/>
        <w:jc w:val="both"/>
        <w:rPr>
          <w:rFonts w:ascii="Bookman Old Style" w:hAnsi="Bookman Old Style"/>
          <w:sz w:val="20"/>
          <w:szCs w:val="20"/>
        </w:rPr>
      </w:pPr>
      <w:r w:rsidRPr="005F6A69">
        <w:rPr>
          <w:rFonts w:ascii="Bookman Old Style" w:hAnsi="Bookman Old Style"/>
          <w:sz w:val="20"/>
          <w:szCs w:val="20"/>
        </w:rPr>
        <w:t>Затратный подход непосредственно как самостоятельный подход к определению стоимости земельных участков он неприменим</w:t>
      </w:r>
      <w:r w:rsidRPr="005F6A69">
        <w:rPr>
          <w:rFonts w:ascii="Bookman Old Style" w:hAnsi="Bookman Old Style"/>
          <w:sz w:val="20"/>
          <w:szCs w:val="20"/>
          <w:vertAlign w:val="superscript"/>
        </w:rPr>
        <w:footnoteReference w:id="41"/>
      </w:r>
    </w:p>
    <w:p w:rsidR="005E6C84" w:rsidRDefault="005E6C84" w:rsidP="00CD4611">
      <w:pPr>
        <w:spacing w:before="120" w:after="120"/>
        <w:ind w:firstLine="709"/>
        <w:jc w:val="both"/>
        <w:rPr>
          <w:rFonts w:ascii="Bookman Old Style" w:hAnsi="Bookman Old Style"/>
          <w:sz w:val="20"/>
          <w:szCs w:val="20"/>
        </w:rPr>
      </w:pPr>
      <w:r w:rsidRPr="005E6C84">
        <w:rPr>
          <w:rFonts w:ascii="Bookman Old Style" w:hAnsi="Bookman Old Style"/>
          <w:sz w:val="20"/>
          <w:szCs w:val="20"/>
        </w:rPr>
        <w:t>Исходя из представленных фактов, затратный подход</w:t>
      </w:r>
      <w:r w:rsidR="002F6EAB">
        <w:rPr>
          <w:rFonts w:ascii="Bookman Old Style" w:hAnsi="Bookman Old Style"/>
          <w:sz w:val="20"/>
          <w:szCs w:val="20"/>
        </w:rPr>
        <w:t xml:space="preserve"> </w:t>
      </w:r>
      <w:r w:rsidRPr="005E6C84">
        <w:rPr>
          <w:rFonts w:ascii="Bookman Old Style" w:hAnsi="Bookman Old Style"/>
          <w:sz w:val="20"/>
          <w:szCs w:val="20"/>
        </w:rPr>
        <w:t xml:space="preserve">будет использован для оценки </w:t>
      </w:r>
      <w:r w:rsidR="005F6A69">
        <w:rPr>
          <w:rFonts w:ascii="Bookman Old Style" w:hAnsi="Bookman Old Style"/>
          <w:sz w:val="20"/>
          <w:szCs w:val="20"/>
        </w:rPr>
        <w:t xml:space="preserve">части элементов </w:t>
      </w:r>
      <w:r w:rsidR="008E12E7">
        <w:rPr>
          <w:rFonts w:ascii="Bookman Old Style" w:hAnsi="Bookman Old Style"/>
          <w:sz w:val="20"/>
          <w:szCs w:val="20"/>
        </w:rPr>
        <w:t>Объекта оценки, в следствии выполнения условия</w:t>
      </w:r>
      <w:r w:rsidRPr="005E6C84">
        <w:rPr>
          <w:rFonts w:ascii="Bookman Old Style" w:hAnsi="Bookman Old Style"/>
          <w:sz w:val="20"/>
          <w:szCs w:val="20"/>
        </w:rPr>
        <w:t xml:space="preserve"> применения данного</w:t>
      </w:r>
      <w:r w:rsidR="005737FE">
        <w:rPr>
          <w:rFonts w:ascii="Bookman Old Style" w:hAnsi="Bookman Old Style"/>
          <w:sz w:val="20"/>
          <w:szCs w:val="20"/>
        </w:rPr>
        <w:t xml:space="preserve"> подхода согласно ст. 23 ФСО №1 и ст.</w:t>
      </w:r>
      <w:r w:rsidR="0067070B">
        <w:rPr>
          <w:rFonts w:ascii="Bookman Old Style" w:hAnsi="Bookman Old Style"/>
          <w:sz w:val="20"/>
          <w:szCs w:val="20"/>
        </w:rPr>
        <w:t xml:space="preserve"> 24</w:t>
      </w:r>
      <w:r w:rsidR="005737FE">
        <w:rPr>
          <w:rFonts w:ascii="Bookman Old Style" w:hAnsi="Bookman Old Style"/>
          <w:sz w:val="20"/>
          <w:szCs w:val="20"/>
        </w:rPr>
        <w:t xml:space="preserve"> ФСО № 7.</w:t>
      </w:r>
      <w:r w:rsidRPr="005E6C84">
        <w:rPr>
          <w:rFonts w:ascii="Bookman Old Style" w:hAnsi="Bookman Old Style"/>
          <w:sz w:val="20"/>
          <w:szCs w:val="20"/>
        </w:rPr>
        <w:t xml:space="preserve"> </w:t>
      </w:r>
      <w:r w:rsidR="005F6A69">
        <w:rPr>
          <w:rFonts w:ascii="Bookman Old Style" w:hAnsi="Bookman Old Style"/>
          <w:sz w:val="20"/>
          <w:szCs w:val="20"/>
        </w:rPr>
        <w:t xml:space="preserve"> </w:t>
      </w:r>
    </w:p>
    <w:p w:rsidR="00F009BE" w:rsidRPr="000877E7" w:rsidRDefault="00D60B93" w:rsidP="000877E7">
      <w:pPr>
        <w:pStyle w:val="3"/>
        <w:rPr>
          <w:rFonts w:ascii="Bookman Old Style" w:hAnsi="Bookman Old Style"/>
          <w:sz w:val="20"/>
          <w:szCs w:val="20"/>
        </w:rPr>
      </w:pPr>
      <w:bookmarkStart w:id="235" w:name="_Toc461206391"/>
      <w:r w:rsidRPr="000877E7">
        <w:rPr>
          <w:rFonts w:ascii="Bookman Old Style" w:hAnsi="Bookman Old Style"/>
          <w:sz w:val="20"/>
          <w:szCs w:val="20"/>
        </w:rPr>
        <w:t>5.2.1</w:t>
      </w:r>
      <w:r w:rsidR="00F009BE" w:rsidRPr="000877E7">
        <w:rPr>
          <w:rFonts w:ascii="Bookman Old Style" w:hAnsi="Bookman Old Style"/>
          <w:sz w:val="20"/>
          <w:szCs w:val="20"/>
        </w:rPr>
        <w:t>.</w:t>
      </w:r>
      <w:r w:rsidRPr="000877E7">
        <w:rPr>
          <w:rFonts w:ascii="Bookman Old Style" w:hAnsi="Bookman Old Style"/>
          <w:sz w:val="20"/>
          <w:szCs w:val="20"/>
        </w:rPr>
        <w:t>2.</w:t>
      </w:r>
      <w:r w:rsidR="00F009BE" w:rsidRPr="000877E7">
        <w:rPr>
          <w:rFonts w:ascii="Bookman Old Style" w:hAnsi="Bookman Old Style"/>
          <w:sz w:val="20"/>
          <w:szCs w:val="20"/>
        </w:rPr>
        <w:t xml:space="preserve"> Обоснование выбора методов затратного подхода</w:t>
      </w:r>
      <w:bookmarkEnd w:id="235"/>
    </w:p>
    <w:p w:rsidR="005F6A69" w:rsidRPr="00350107" w:rsidRDefault="005F6A69" w:rsidP="005F6A69">
      <w:pPr>
        <w:spacing w:before="100" w:after="100"/>
        <w:ind w:firstLine="708"/>
        <w:jc w:val="both"/>
        <w:rPr>
          <w:rFonts w:ascii="Bookman Old Style" w:hAnsi="Bookman Old Style"/>
          <w:sz w:val="20"/>
          <w:szCs w:val="20"/>
        </w:rPr>
      </w:pPr>
      <w:bookmarkStart w:id="236" w:name="_Toc365041371"/>
      <w:r w:rsidRPr="00350107">
        <w:rPr>
          <w:rFonts w:ascii="Bookman Old Style" w:hAnsi="Bookman Old Style"/>
          <w:sz w:val="20"/>
          <w:szCs w:val="20"/>
        </w:rPr>
        <w:t xml:space="preserve">При расчете стоимости </w:t>
      </w:r>
      <w:r>
        <w:rPr>
          <w:rFonts w:ascii="Bookman Old Style" w:hAnsi="Bookman Old Style"/>
          <w:sz w:val="20"/>
          <w:szCs w:val="20"/>
        </w:rPr>
        <w:t xml:space="preserve">части </w:t>
      </w:r>
      <w:r w:rsidRPr="00350107">
        <w:rPr>
          <w:rFonts w:ascii="Bookman Old Style" w:hAnsi="Bookman Old Style"/>
          <w:sz w:val="20"/>
          <w:szCs w:val="20"/>
        </w:rPr>
        <w:t>элементов Объекта оценки затратным подходом использованы методы  оценки</w:t>
      </w:r>
      <w:r w:rsidRPr="00350107">
        <w:rPr>
          <w:rFonts w:ascii="Bookman Old Style" w:hAnsi="Bookman Old Style"/>
          <w:sz w:val="20"/>
          <w:szCs w:val="20"/>
          <w:vertAlign w:val="superscript"/>
        </w:rPr>
        <w:footnoteReference w:id="42"/>
      </w:r>
      <w:r w:rsidRPr="00350107">
        <w:rPr>
          <w:rFonts w:ascii="Bookman Old Style" w:hAnsi="Bookman Old Style"/>
          <w:sz w:val="20"/>
          <w:szCs w:val="20"/>
        </w:rPr>
        <w:t>:</w:t>
      </w:r>
    </w:p>
    <w:p w:rsidR="005F6A69" w:rsidRPr="00350107" w:rsidRDefault="005F6A69" w:rsidP="00303E37">
      <w:pPr>
        <w:pStyle w:val="aff2"/>
        <w:numPr>
          <w:ilvl w:val="0"/>
          <w:numId w:val="59"/>
        </w:numPr>
        <w:spacing w:before="100" w:after="100"/>
        <w:ind w:left="0" w:firstLine="709"/>
        <w:contextualSpacing w:val="0"/>
        <w:jc w:val="both"/>
        <w:rPr>
          <w:rFonts w:ascii="Bookman Old Style" w:hAnsi="Bookman Old Style"/>
          <w:sz w:val="20"/>
          <w:szCs w:val="20"/>
        </w:rPr>
      </w:pPr>
      <w:r w:rsidRPr="005F6A69">
        <w:rPr>
          <w:rFonts w:ascii="Bookman Old Style" w:hAnsi="Bookman Old Style"/>
          <w:sz w:val="20"/>
          <w:szCs w:val="20"/>
        </w:rPr>
        <w:t>Метод расчета по цене однородного объекта</w:t>
      </w:r>
      <w:r w:rsidRPr="00350107">
        <w:rPr>
          <w:rFonts w:ascii="Bookman Old Style" w:hAnsi="Bookman Old Style"/>
          <w:sz w:val="20"/>
          <w:szCs w:val="20"/>
        </w:rPr>
        <w:t>.</w:t>
      </w:r>
      <w:r>
        <w:rPr>
          <w:rFonts w:ascii="Bookman Old Style" w:hAnsi="Bookman Old Style"/>
          <w:sz w:val="20"/>
          <w:szCs w:val="20"/>
        </w:rPr>
        <w:t xml:space="preserve"> </w:t>
      </w:r>
    </w:p>
    <w:p w:rsidR="005F6A69" w:rsidRPr="00DA065B" w:rsidRDefault="005F6A69" w:rsidP="005F6A69">
      <w:pPr>
        <w:pStyle w:val="aff2"/>
        <w:spacing w:before="100" w:after="100"/>
        <w:ind w:left="0" w:firstLine="709"/>
        <w:contextualSpacing w:val="0"/>
        <w:jc w:val="both"/>
        <w:rPr>
          <w:rFonts w:ascii="Bookman Old Style" w:hAnsi="Bookman Old Style"/>
          <w:sz w:val="20"/>
          <w:szCs w:val="20"/>
        </w:rPr>
      </w:pPr>
      <w:r w:rsidRPr="005F6A69">
        <w:rPr>
          <w:rFonts w:ascii="Bookman Old Style" w:hAnsi="Bookman Old Style"/>
          <w:sz w:val="20"/>
          <w:szCs w:val="20"/>
        </w:rPr>
        <w:t>Сущность метода заключается в том, что для оцениваемого объекта, если объект не сложный и конструктивно однородный, подбирают конструктивно и технологически однородный объект. При этом предполагают, что полная себестоимость изготовления однородного объекта близка к себестоимости изготовления оцениваемого объекта</w:t>
      </w:r>
    </w:p>
    <w:p w:rsidR="00AA2D36" w:rsidRPr="000877E7" w:rsidRDefault="00AA2D36" w:rsidP="00350107">
      <w:pPr>
        <w:pStyle w:val="3"/>
        <w:spacing w:after="120"/>
        <w:rPr>
          <w:rFonts w:ascii="Bookman Old Style" w:hAnsi="Bookman Old Style"/>
          <w:sz w:val="20"/>
          <w:szCs w:val="20"/>
        </w:rPr>
      </w:pPr>
      <w:bookmarkStart w:id="237" w:name="_Toc461206392"/>
      <w:r w:rsidRPr="000877E7">
        <w:rPr>
          <w:rFonts w:ascii="Bookman Old Style" w:hAnsi="Bookman Old Style"/>
          <w:sz w:val="20"/>
          <w:szCs w:val="20"/>
        </w:rPr>
        <w:t>5.2.2. Обоснование выбора подхода и методов сравнительного подхода</w:t>
      </w:r>
      <w:bookmarkEnd w:id="237"/>
    </w:p>
    <w:p w:rsidR="00AA2D36" w:rsidRPr="000877E7" w:rsidRDefault="00AA2D36" w:rsidP="00350107">
      <w:pPr>
        <w:pStyle w:val="3"/>
        <w:spacing w:after="120"/>
        <w:rPr>
          <w:rFonts w:ascii="Bookman Old Style" w:hAnsi="Bookman Old Style"/>
          <w:sz w:val="20"/>
          <w:szCs w:val="20"/>
        </w:rPr>
      </w:pPr>
      <w:bookmarkStart w:id="238" w:name="_Toc461206393"/>
      <w:r w:rsidRPr="000877E7">
        <w:rPr>
          <w:rFonts w:ascii="Bookman Old Style" w:hAnsi="Bookman Old Style"/>
          <w:sz w:val="20"/>
          <w:szCs w:val="20"/>
        </w:rPr>
        <w:t>5.2.2.1. Обоснование применения, отказа от применения подхода</w:t>
      </w:r>
      <w:bookmarkEnd w:id="238"/>
      <w:r w:rsidRPr="000877E7">
        <w:rPr>
          <w:rFonts w:ascii="Bookman Old Style" w:hAnsi="Bookman Old Style"/>
          <w:sz w:val="20"/>
          <w:szCs w:val="20"/>
        </w:rPr>
        <w:t xml:space="preserve"> </w:t>
      </w:r>
      <w:r w:rsidR="005F6A69">
        <w:rPr>
          <w:rFonts w:ascii="Bookman Old Style" w:hAnsi="Bookman Old Style"/>
          <w:sz w:val="20"/>
          <w:szCs w:val="20"/>
        </w:rPr>
        <w:t xml:space="preserve"> </w:t>
      </w:r>
    </w:p>
    <w:p w:rsidR="005E6C84" w:rsidRPr="007E11AB" w:rsidRDefault="005E6C84" w:rsidP="00350107">
      <w:pPr>
        <w:spacing w:before="120" w:after="120"/>
        <w:ind w:firstLine="708"/>
        <w:jc w:val="both"/>
        <w:rPr>
          <w:rFonts w:ascii="Bookman Old Style" w:hAnsi="Bookman Old Style"/>
          <w:sz w:val="20"/>
          <w:szCs w:val="20"/>
        </w:rPr>
      </w:pPr>
      <w:bookmarkStart w:id="239" w:name="_Toc238358584"/>
      <w:bookmarkStart w:id="240" w:name="_Toc240097258"/>
      <w:bookmarkStart w:id="241" w:name="_Toc260339948"/>
      <w:bookmarkStart w:id="242" w:name="_Toc365041372"/>
      <w:bookmarkEnd w:id="232"/>
      <w:bookmarkEnd w:id="233"/>
      <w:bookmarkEnd w:id="234"/>
      <w:bookmarkEnd w:id="236"/>
      <w:r w:rsidRPr="007E11AB">
        <w:rPr>
          <w:rFonts w:ascii="Bookman Old Style" w:hAnsi="Bookman Old Style"/>
          <w:sz w:val="20"/>
          <w:szCs w:val="20"/>
        </w:rPr>
        <w:t>Согласно ст. 22 ФСО</w:t>
      </w:r>
      <w:r>
        <w:rPr>
          <w:rFonts w:ascii="Bookman Old Style" w:hAnsi="Bookman Old Style"/>
          <w:sz w:val="20"/>
          <w:szCs w:val="20"/>
        </w:rPr>
        <w:t xml:space="preserve"> № </w:t>
      </w:r>
      <w:r w:rsidRPr="007E11AB">
        <w:rPr>
          <w:rFonts w:ascii="Bookman Old Style" w:hAnsi="Bookman Old Style"/>
          <w:sz w:val="20"/>
          <w:szCs w:val="20"/>
        </w:rPr>
        <w:t>1</w:t>
      </w:r>
      <w:r>
        <w:rPr>
          <w:rFonts w:ascii="Bookman Old Style" w:hAnsi="Bookman Old Style"/>
          <w:sz w:val="20"/>
          <w:szCs w:val="20"/>
        </w:rPr>
        <w:t>:</w:t>
      </w:r>
    </w:p>
    <w:p w:rsidR="005E6C84" w:rsidRPr="00011168" w:rsidRDefault="005E6C84" w:rsidP="00CD4611">
      <w:pPr>
        <w:spacing w:before="120" w:after="120"/>
        <w:ind w:left="120" w:firstLine="600"/>
        <w:jc w:val="both"/>
        <w:rPr>
          <w:rFonts w:ascii="Bookman Old Style" w:hAnsi="Bookman Old Style"/>
          <w:i/>
          <w:sz w:val="20"/>
          <w:szCs w:val="20"/>
        </w:rPr>
      </w:pPr>
      <w:r w:rsidRPr="00011168">
        <w:rPr>
          <w:rFonts w:ascii="Bookman Old Style" w:hAnsi="Bookman Old Style"/>
          <w:i/>
          <w:sz w:val="20"/>
          <w:szCs w:val="20"/>
        </w:rPr>
        <w:t>«Сравнительный подход применяется, когда существует достоверная и доступная для анализа информация о ценах и характеристиках объектов-аналогов».</w:t>
      </w:r>
    </w:p>
    <w:p w:rsidR="005E6C84" w:rsidRDefault="005E6C84" w:rsidP="00CD4611">
      <w:pPr>
        <w:spacing w:before="120" w:after="120"/>
        <w:ind w:left="120" w:firstLine="600"/>
        <w:jc w:val="both"/>
        <w:rPr>
          <w:rFonts w:ascii="Bookman Old Style" w:hAnsi="Bookman Old Style"/>
          <w:sz w:val="20"/>
          <w:szCs w:val="20"/>
        </w:rPr>
      </w:pPr>
      <w:r>
        <w:rPr>
          <w:rFonts w:ascii="Bookman Old Style" w:hAnsi="Bookman Old Style"/>
          <w:sz w:val="20"/>
          <w:szCs w:val="20"/>
        </w:rPr>
        <w:t>Под объектом-аналогом признается (ФСО № 1 ст. 14):</w:t>
      </w:r>
    </w:p>
    <w:p w:rsidR="005E6C84" w:rsidRDefault="005E6C84" w:rsidP="00CD4611">
      <w:pPr>
        <w:spacing w:before="120" w:after="120"/>
        <w:ind w:left="120" w:firstLine="600"/>
        <w:jc w:val="both"/>
        <w:rPr>
          <w:rFonts w:ascii="Bookman Old Style" w:hAnsi="Bookman Old Style"/>
          <w:sz w:val="20"/>
          <w:szCs w:val="20"/>
        </w:rPr>
      </w:pPr>
      <w:r>
        <w:rPr>
          <w:rFonts w:ascii="Bookman Old Style" w:hAnsi="Bookman Old Style"/>
          <w:sz w:val="20"/>
          <w:szCs w:val="20"/>
        </w:rPr>
        <w:t>«…объект, сходный объекту оценки по основным экономическим, материальным, техническим и другим характеристикам, определяющим его стоимость».</w:t>
      </w:r>
    </w:p>
    <w:p w:rsidR="00D4697E" w:rsidRDefault="005737FE" w:rsidP="00CD4611">
      <w:pPr>
        <w:autoSpaceDE w:val="0"/>
        <w:autoSpaceDN w:val="0"/>
        <w:adjustRightInd w:val="0"/>
        <w:spacing w:before="120" w:after="120"/>
        <w:ind w:firstLine="709"/>
        <w:jc w:val="both"/>
        <w:rPr>
          <w:rFonts w:ascii="Bookman Old Style" w:hAnsi="Bookman Old Style" w:cs="Arial"/>
          <w:color w:val="000000"/>
          <w:sz w:val="20"/>
          <w:szCs w:val="20"/>
        </w:rPr>
      </w:pPr>
      <w:r>
        <w:rPr>
          <w:rFonts w:ascii="Bookman Old Style" w:hAnsi="Bookman Old Style" w:cs="Arial"/>
          <w:color w:val="000000"/>
          <w:sz w:val="20"/>
          <w:szCs w:val="20"/>
        </w:rPr>
        <w:t>В соответствии с ФСО № 7:</w:t>
      </w:r>
    </w:p>
    <w:p w:rsidR="00D4697E" w:rsidRPr="005737FE" w:rsidRDefault="005737FE" w:rsidP="00CD4611">
      <w:pPr>
        <w:autoSpaceDE w:val="0"/>
        <w:autoSpaceDN w:val="0"/>
        <w:adjustRightInd w:val="0"/>
        <w:spacing w:before="120" w:after="120"/>
        <w:ind w:firstLine="709"/>
        <w:rPr>
          <w:rFonts w:ascii="Bookman Old Style" w:hAnsi="Bookman Old Style" w:cs="Bookman Old Style"/>
          <w:i/>
          <w:sz w:val="20"/>
          <w:szCs w:val="20"/>
        </w:rPr>
      </w:pPr>
      <w:r w:rsidRPr="005737FE">
        <w:rPr>
          <w:rFonts w:ascii="Bookman Old Style" w:hAnsi="Bookman Old Style" w:cs="Arial"/>
          <w:i/>
          <w:color w:val="000000"/>
          <w:sz w:val="20"/>
          <w:szCs w:val="20"/>
        </w:rPr>
        <w:t>«</w:t>
      </w:r>
      <w:r>
        <w:rPr>
          <w:rFonts w:ascii="Bookman Old Style" w:hAnsi="Bookman Old Style" w:cs="Arial"/>
          <w:i/>
          <w:color w:val="000000"/>
          <w:sz w:val="20"/>
          <w:szCs w:val="20"/>
        </w:rPr>
        <w:t>С</w:t>
      </w:r>
      <w:r w:rsidR="00D4697E" w:rsidRPr="005737FE">
        <w:rPr>
          <w:rFonts w:ascii="Bookman Old Style" w:hAnsi="Bookman Old Style" w:cs="Bookman Old Style"/>
          <w:i/>
          <w:sz w:val="20"/>
          <w:szCs w:val="20"/>
        </w:rPr>
        <w:t>равнительный подход применяется для оценки недвижимости, когда можно подобрать достаточное для оценки количество объектов-аналогов с известными ценами сделок и (или) предложений</w:t>
      </w:r>
      <w:r w:rsidRPr="005737FE">
        <w:rPr>
          <w:rFonts w:ascii="Bookman Old Style" w:hAnsi="Bookman Old Style" w:cs="Bookman Old Style"/>
          <w:i/>
          <w:sz w:val="20"/>
          <w:szCs w:val="20"/>
        </w:rPr>
        <w:t>»</w:t>
      </w:r>
      <w:r w:rsidR="00D4697E" w:rsidRPr="005737FE">
        <w:rPr>
          <w:rFonts w:ascii="Bookman Old Style" w:hAnsi="Bookman Old Style" w:cs="Bookman Old Style"/>
          <w:i/>
          <w:sz w:val="20"/>
          <w:szCs w:val="20"/>
        </w:rPr>
        <w:t>;</w:t>
      </w:r>
    </w:p>
    <w:p w:rsidR="005E6C84" w:rsidRDefault="005737FE" w:rsidP="00CD4611">
      <w:pPr>
        <w:pStyle w:val="ConsPlusNormal"/>
        <w:widowControl/>
        <w:spacing w:before="120" w:after="120"/>
        <w:ind w:firstLine="709"/>
        <w:jc w:val="both"/>
        <w:rPr>
          <w:rFonts w:ascii="Bookman Old Style" w:hAnsi="Bookman Old Style"/>
        </w:rPr>
      </w:pPr>
      <w:r w:rsidRPr="005737FE">
        <w:rPr>
          <w:rFonts w:ascii="Bookman Old Style" w:hAnsi="Bookman Old Style"/>
        </w:rPr>
        <w:t>Изучив количественные и качественные характеристики элементов Объекта оценки, материалы анализа рынка и наиболее эффективного использования, оценщик сделал следующие выводы:</w:t>
      </w:r>
    </w:p>
    <w:p w:rsidR="00E75C7A" w:rsidRDefault="00E75C7A" w:rsidP="00303E37">
      <w:pPr>
        <w:pStyle w:val="ConsPlusNormal"/>
        <w:numPr>
          <w:ilvl w:val="0"/>
          <w:numId w:val="18"/>
        </w:numPr>
        <w:spacing w:before="120" w:after="120"/>
        <w:jc w:val="both"/>
        <w:rPr>
          <w:rFonts w:ascii="Bookman Old Style" w:hAnsi="Bookman Old Style"/>
        </w:rPr>
      </w:pPr>
      <w:r w:rsidRPr="008412E7">
        <w:rPr>
          <w:rFonts w:ascii="Bookman Old Style" w:hAnsi="Bookman Old Style"/>
        </w:rPr>
        <w:t>Элементы Объекта оценки являются типичными для рынка продаж коммерческой недвижимости</w:t>
      </w:r>
      <w:r>
        <w:rPr>
          <w:rFonts w:ascii="Bookman Old Style" w:hAnsi="Bookman Old Style"/>
        </w:rPr>
        <w:t xml:space="preserve"> и земельных участков.</w:t>
      </w:r>
    </w:p>
    <w:p w:rsidR="00DA065B" w:rsidRDefault="00E75C7A" w:rsidP="00303E37">
      <w:pPr>
        <w:pStyle w:val="ConsPlusNormal"/>
        <w:widowControl/>
        <w:numPr>
          <w:ilvl w:val="0"/>
          <w:numId w:val="18"/>
        </w:numPr>
        <w:spacing w:before="120" w:after="120"/>
        <w:jc w:val="both"/>
        <w:rPr>
          <w:rFonts w:ascii="Bookman Old Style" w:hAnsi="Bookman Old Style"/>
        </w:rPr>
      </w:pPr>
      <w:r>
        <w:rPr>
          <w:rFonts w:ascii="Bookman Old Style" w:hAnsi="Bookman Old Style"/>
        </w:rPr>
        <w:t xml:space="preserve">На рынке коммерческой недвижимости Красноярска существует возможность выбора объектов-аналогов </w:t>
      </w:r>
      <w:r w:rsidRPr="005737FE">
        <w:rPr>
          <w:rFonts w:ascii="Bookman Old Style" w:hAnsi="Bookman Old Style"/>
        </w:rPr>
        <w:t xml:space="preserve">которые относятся к одному с </w:t>
      </w:r>
      <w:r>
        <w:rPr>
          <w:rFonts w:ascii="Bookman Old Style" w:hAnsi="Bookman Old Style"/>
        </w:rPr>
        <w:t>Объектом оценки</w:t>
      </w:r>
      <w:r w:rsidRPr="005737FE">
        <w:rPr>
          <w:rFonts w:ascii="Bookman Old Style" w:hAnsi="Bookman Old Style"/>
        </w:rPr>
        <w:t xml:space="preserve"> сегменту рынка и сопоставимы с ним по ценообразующим фактора</w:t>
      </w:r>
      <w:r>
        <w:rPr>
          <w:rFonts w:ascii="Bookman Old Style" w:hAnsi="Bookman Old Style"/>
        </w:rPr>
        <w:t>м. Полученные результаты расчета можно считать надежными и достоверными</w:t>
      </w:r>
      <w:r w:rsidR="00DA065B">
        <w:rPr>
          <w:rFonts w:ascii="Bookman Old Style" w:hAnsi="Bookman Old Style"/>
        </w:rPr>
        <w:t xml:space="preserve">. </w:t>
      </w:r>
    </w:p>
    <w:p w:rsidR="005F6A69" w:rsidRDefault="005F6A69" w:rsidP="00303E37">
      <w:pPr>
        <w:pStyle w:val="ConsPlusNormal"/>
        <w:widowControl/>
        <w:numPr>
          <w:ilvl w:val="0"/>
          <w:numId w:val="18"/>
        </w:numPr>
        <w:spacing w:before="120" w:after="120"/>
        <w:jc w:val="both"/>
        <w:rPr>
          <w:rFonts w:ascii="Bookman Old Style" w:hAnsi="Bookman Old Style"/>
        </w:rPr>
      </w:pPr>
      <w:r w:rsidRPr="005F6A69">
        <w:rPr>
          <w:rFonts w:ascii="Bookman Old Style" w:hAnsi="Bookman Old Style"/>
        </w:rPr>
        <w:lastRenderedPageBreak/>
        <w:t xml:space="preserve">Проведенные исследования доступных оценщику источников информации не выявили на российском рынке предложений о продаже оборудования с техническими характеристиками элементов Объекта оценки. Также на </w:t>
      </w:r>
      <w:r>
        <w:rPr>
          <w:rFonts w:ascii="Bookman Old Style" w:hAnsi="Bookman Old Style"/>
        </w:rPr>
        <w:t xml:space="preserve">турецком </w:t>
      </w:r>
      <w:r w:rsidRPr="005F6A69">
        <w:rPr>
          <w:rFonts w:ascii="Bookman Old Style" w:hAnsi="Bookman Old Style"/>
        </w:rPr>
        <w:t>рынке не выявлены предложения о продаже оборудования с аналогичными техническими характеристиками элементов Объекта оценки. Что в свою очередь позволило сделать вывод об отсутствии доступной и достоверной информации об объектах аналогах, сходных по своим ценообразующим характеристикам элементам Объекта оценки</w:t>
      </w:r>
    </w:p>
    <w:p w:rsidR="005E6C84" w:rsidRDefault="005E6C84" w:rsidP="00CD4611">
      <w:pPr>
        <w:pStyle w:val="ConsPlusNormal"/>
        <w:widowControl/>
        <w:spacing w:before="120" w:after="120"/>
        <w:jc w:val="both"/>
        <w:rPr>
          <w:rFonts w:ascii="Bookman Old Style" w:hAnsi="Bookman Old Style"/>
        </w:rPr>
      </w:pPr>
      <w:r>
        <w:rPr>
          <w:rFonts w:ascii="Bookman Old Style" w:hAnsi="Bookman Old Style"/>
        </w:rPr>
        <w:t xml:space="preserve">Исходя из представленных фактов, сравнительный подход будет использован для оценки  </w:t>
      </w:r>
      <w:r w:rsidR="005F6A69">
        <w:rPr>
          <w:rFonts w:ascii="Bookman Old Style" w:hAnsi="Bookman Old Style"/>
        </w:rPr>
        <w:t xml:space="preserve">части элементов </w:t>
      </w:r>
      <w:r>
        <w:rPr>
          <w:rFonts w:ascii="Bookman Old Style" w:hAnsi="Bookman Old Style"/>
        </w:rPr>
        <w:t xml:space="preserve">Объекта оценки, </w:t>
      </w:r>
      <w:r w:rsidR="008E12E7">
        <w:rPr>
          <w:rFonts w:ascii="Bookman Old Style" w:hAnsi="Bookman Old Style"/>
        </w:rPr>
        <w:t>т.к.</w:t>
      </w:r>
      <w:r>
        <w:rPr>
          <w:rFonts w:ascii="Bookman Old Style" w:hAnsi="Bookman Old Style"/>
        </w:rPr>
        <w:t xml:space="preserve"> выполняется условие применения данного</w:t>
      </w:r>
      <w:r w:rsidR="005737FE">
        <w:rPr>
          <w:rFonts w:ascii="Bookman Old Style" w:hAnsi="Bookman Old Style"/>
        </w:rPr>
        <w:t xml:space="preserve"> подхода согласно ст. 22 ФСО №1 и  ст. 22 ФСО № 7.</w:t>
      </w:r>
      <w:r w:rsidR="005F6A69">
        <w:rPr>
          <w:rFonts w:ascii="Bookman Old Style" w:hAnsi="Bookman Old Style"/>
        </w:rPr>
        <w:t xml:space="preserve"> </w:t>
      </w:r>
    </w:p>
    <w:p w:rsidR="00AA2D36" w:rsidRPr="000877E7" w:rsidRDefault="00AA2D36" w:rsidP="000877E7">
      <w:pPr>
        <w:pStyle w:val="3"/>
        <w:rPr>
          <w:rFonts w:ascii="Bookman Old Style" w:hAnsi="Bookman Old Style"/>
          <w:sz w:val="20"/>
          <w:szCs w:val="20"/>
        </w:rPr>
      </w:pPr>
      <w:bookmarkStart w:id="243" w:name="_Toc461206394"/>
      <w:r w:rsidRPr="000877E7">
        <w:rPr>
          <w:rFonts w:ascii="Bookman Old Style" w:hAnsi="Bookman Old Style"/>
          <w:sz w:val="20"/>
          <w:szCs w:val="20"/>
        </w:rPr>
        <w:t>5.2.2.2. Обоснование выбора методов сравнительного подхода</w:t>
      </w:r>
      <w:bookmarkEnd w:id="243"/>
    </w:p>
    <w:p w:rsidR="00F53AE8" w:rsidRDefault="0067070B" w:rsidP="00CD4611">
      <w:pPr>
        <w:spacing w:before="120" w:after="120"/>
        <w:ind w:firstLine="709"/>
        <w:jc w:val="both"/>
        <w:rPr>
          <w:rFonts w:ascii="Bookman Old Style" w:hAnsi="Bookman Old Style"/>
          <w:sz w:val="20"/>
          <w:szCs w:val="20"/>
        </w:rPr>
      </w:pPr>
      <w:r>
        <w:rPr>
          <w:rFonts w:ascii="Bookman Old Style" w:hAnsi="Bookman Old Style"/>
          <w:sz w:val="20"/>
          <w:szCs w:val="20"/>
        </w:rPr>
        <w:t>При расчете стоимости О</w:t>
      </w:r>
      <w:r w:rsidR="00F53AE8" w:rsidRPr="0067070B">
        <w:rPr>
          <w:rFonts w:ascii="Bookman Old Style" w:hAnsi="Bookman Old Style"/>
          <w:sz w:val="20"/>
          <w:szCs w:val="20"/>
        </w:rPr>
        <w:t>бъекта оценки сравнительным подходом использ</w:t>
      </w:r>
      <w:r w:rsidR="002C5BF2">
        <w:rPr>
          <w:rFonts w:ascii="Bookman Old Style" w:hAnsi="Bookman Old Style"/>
          <w:sz w:val="20"/>
          <w:szCs w:val="20"/>
        </w:rPr>
        <w:t xml:space="preserve">ованы методы </w:t>
      </w:r>
      <w:r w:rsidR="00F53AE8" w:rsidRPr="0067070B">
        <w:rPr>
          <w:rFonts w:ascii="Bookman Old Style" w:hAnsi="Bookman Old Style"/>
          <w:sz w:val="20"/>
          <w:szCs w:val="20"/>
        </w:rPr>
        <w:t xml:space="preserve"> оценки</w:t>
      </w:r>
      <w:r w:rsidR="00F53AE8" w:rsidRPr="0067070B">
        <w:rPr>
          <w:rStyle w:val="aff0"/>
          <w:rFonts w:ascii="Bookman Old Style" w:hAnsi="Bookman Old Style"/>
          <w:sz w:val="20"/>
          <w:szCs w:val="20"/>
        </w:rPr>
        <w:footnoteReference w:id="43"/>
      </w:r>
      <w:r w:rsidR="00F53AE8" w:rsidRPr="0067070B">
        <w:rPr>
          <w:rFonts w:ascii="Bookman Old Style" w:hAnsi="Bookman Old Style"/>
          <w:sz w:val="20"/>
          <w:szCs w:val="20"/>
        </w:rPr>
        <w:t>:</w:t>
      </w:r>
    </w:p>
    <w:p w:rsidR="00F74994" w:rsidRPr="00F74994" w:rsidRDefault="00F74994" w:rsidP="00303E37">
      <w:pPr>
        <w:pStyle w:val="aff2"/>
        <w:numPr>
          <w:ilvl w:val="0"/>
          <w:numId w:val="25"/>
        </w:numPr>
        <w:autoSpaceDE w:val="0"/>
        <w:autoSpaceDN w:val="0"/>
        <w:adjustRightInd w:val="0"/>
        <w:spacing w:before="120" w:after="120"/>
        <w:contextualSpacing w:val="0"/>
        <w:rPr>
          <w:rFonts w:ascii="Bookman Old Style" w:hAnsi="Bookman Old Style" w:cs="Bookman Old Style"/>
          <w:sz w:val="20"/>
          <w:szCs w:val="20"/>
        </w:rPr>
      </w:pPr>
      <w:r w:rsidRPr="00F74994">
        <w:rPr>
          <w:rFonts w:ascii="Bookman Old Style" w:hAnsi="Bookman Old Style" w:cs="Bookman Old Style"/>
          <w:sz w:val="20"/>
          <w:szCs w:val="20"/>
        </w:rPr>
        <w:t>метод количественных корректировок, а также его сочетания с качественными методами оценки.</w:t>
      </w:r>
    </w:p>
    <w:p w:rsidR="00F74994" w:rsidRPr="00F74994" w:rsidRDefault="00F74994" w:rsidP="00CD4611">
      <w:pPr>
        <w:autoSpaceDE w:val="0"/>
        <w:autoSpaceDN w:val="0"/>
        <w:adjustRightInd w:val="0"/>
        <w:spacing w:before="120" w:after="120"/>
        <w:ind w:left="709"/>
        <w:rPr>
          <w:rFonts w:ascii="Bookman Old Style" w:hAnsi="Bookman Old Style" w:cs="Bookman Old Style"/>
          <w:sz w:val="20"/>
          <w:szCs w:val="20"/>
        </w:rPr>
      </w:pPr>
      <w:r>
        <w:rPr>
          <w:rFonts w:ascii="Bookman Old Style" w:hAnsi="Bookman Old Style" w:cs="Bookman Old Style"/>
          <w:sz w:val="20"/>
          <w:szCs w:val="20"/>
        </w:rPr>
        <w:t>Последовательность применения методов:</w:t>
      </w:r>
    </w:p>
    <w:p w:rsidR="00F74994" w:rsidRPr="00C329C9" w:rsidRDefault="00F74994" w:rsidP="00303E37">
      <w:pPr>
        <w:pStyle w:val="aff2"/>
        <w:numPr>
          <w:ilvl w:val="0"/>
          <w:numId w:val="26"/>
        </w:numPr>
        <w:autoSpaceDE w:val="0"/>
        <w:autoSpaceDN w:val="0"/>
        <w:adjustRightInd w:val="0"/>
        <w:spacing w:before="120" w:after="120"/>
        <w:ind w:left="714" w:hanging="357"/>
        <w:contextualSpacing w:val="0"/>
        <w:jc w:val="both"/>
        <w:rPr>
          <w:rFonts w:ascii="Bookman Old Style" w:hAnsi="Bookman Old Style" w:cs="Bookman Old Style"/>
          <w:sz w:val="20"/>
          <w:szCs w:val="20"/>
        </w:rPr>
      </w:pPr>
      <w:r w:rsidRPr="00C329C9">
        <w:rPr>
          <w:rFonts w:ascii="Bookman Old Style" w:hAnsi="Bookman Old Style" w:cs="Bookman Old Style"/>
          <w:sz w:val="20"/>
          <w:szCs w:val="20"/>
        </w:rPr>
        <w:t>При применении качественных методов оценка недвижимости выполняется путем изучения взаимосвязей, выявляемых на основе анализа цен сделок и (или) предложений с объектами-аналогами или соответствующей информации, полученной от экспертов, и использования этих взаимосвязей для проведения оценки в соответствии с технологией выбранного для оценки метода.</w:t>
      </w:r>
    </w:p>
    <w:p w:rsidR="00F74994" w:rsidRPr="00C329C9" w:rsidRDefault="00F74994" w:rsidP="00303E37">
      <w:pPr>
        <w:pStyle w:val="aff2"/>
        <w:numPr>
          <w:ilvl w:val="0"/>
          <w:numId w:val="26"/>
        </w:numPr>
        <w:autoSpaceDE w:val="0"/>
        <w:autoSpaceDN w:val="0"/>
        <w:adjustRightInd w:val="0"/>
        <w:spacing w:before="120" w:after="120"/>
        <w:ind w:left="714" w:hanging="357"/>
        <w:contextualSpacing w:val="0"/>
        <w:jc w:val="both"/>
        <w:rPr>
          <w:rFonts w:ascii="Bookman Old Style" w:hAnsi="Bookman Old Style" w:cs="Bookman Old Style"/>
          <w:sz w:val="20"/>
          <w:szCs w:val="20"/>
        </w:rPr>
      </w:pPr>
      <w:r w:rsidRPr="00C329C9">
        <w:rPr>
          <w:rFonts w:ascii="Bookman Old Style" w:hAnsi="Bookman Old Style" w:cs="Bookman Old Style"/>
          <w:sz w:val="20"/>
          <w:szCs w:val="20"/>
        </w:rPr>
        <w:t>При применении метода корректировок каждый объект-аналог сравнивается с объектом оценки по ценообразующим факторам (элементам сравнения), выявляются различия объектов по этим факторам и цена объекта-аналога или ее удельный показатель корректируется по выявленным различиям с целью дальнейшего определения стоимости объекта оценки. При этом корректировка по каждому элементу сравнения основывается на принципе вклада этого элемента в стоимость объекта.</w:t>
      </w:r>
    </w:p>
    <w:p w:rsidR="00F74994" w:rsidRPr="005D726A" w:rsidRDefault="00F74994" w:rsidP="00DA065B">
      <w:pPr>
        <w:pStyle w:val="aff2"/>
        <w:autoSpaceDE w:val="0"/>
        <w:autoSpaceDN w:val="0"/>
        <w:adjustRightInd w:val="0"/>
        <w:spacing w:before="120" w:after="120"/>
        <w:contextualSpacing w:val="0"/>
        <w:jc w:val="both"/>
        <w:rPr>
          <w:rFonts w:ascii="Bookman Old Style" w:hAnsi="Bookman Old Style" w:cs="Bookman Old Style"/>
          <w:sz w:val="20"/>
          <w:szCs w:val="20"/>
        </w:rPr>
      </w:pPr>
      <w:r>
        <w:rPr>
          <w:rFonts w:ascii="Bookman Old Style" w:hAnsi="Bookman Old Style" w:cs="Bookman Old Style"/>
          <w:sz w:val="20"/>
          <w:szCs w:val="20"/>
        </w:rPr>
        <w:t>Д</w:t>
      </w:r>
      <w:r w:rsidRPr="005D726A">
        <w:rPr>
          <w:rFonts w:ascii="Bookman Old Style" w:hAnsi="Bookman Old Style" w:cs="Bookman Old Style"/>
          <w:sz w:val="20"/>
          <w:szCs w:val="20"/>
        </w:rPr>
        <w:t>ля сравнения объекта оценки с другими объектами недвижимости, с которыми были совершены сделки или которые представлены на рынке для их совершения, использ</w:t>
      </w:r>
      <w:r>
        <w:rPr>
          <w:rFonts w:ascii="Bookman Old Style" w:hAnsi="Bookman Old Style" w:cs="Bookman Old Style"/>
          <w:sz w:val="20"/>
          <w:szCs w:val="20"/>
        </w:rPr>
        <w:t>ованы</w:t>
      </w:r>
      <w:r w:rsidRPr="005D726A">
        <w:rPr>
          <w:rFonts w:ascii="Bookman Old Style" w:hAnsi="Bookman Old Style" w:cs="Bookman Old Style"/>
          <w:sz w:val="20"/>
          <w:szCs w:val="20"/>
        </w:rPr>
        <w:t xml:space="preserve"> следующие элементы сравнения:</w:t>
      </w:r>
    </w:p>
    <w:p w:rsidR="00F74994" w:rsidRPr="002C5BF2" w:rsidRDefault="00F74994" w:rsidP="00303E37">
      <w:pPr>
        <w:pStyle w:val="aff2"/>
        <w:numPr>
          <w:ilvl w:val="0"/>
          <w:numId w:val="31"/>
        </w:numPr>
        <w:autoSpaceDE w:val="0"/>
        <w:autoSpaceDN w:val="0"/>
        <w:adjustRightInd w:val="0"/>
        <w:jc w:val="both"/>
        <w:rPr>
          <w:rFonts w:ascii="Bookman Old Style" w:hAnsi="Bookman Old Style" w:cs="Bookman Old Style"/>
          <w:sz w:val="20"/>
          <w:szCs w:val="20"/>
        </w:rPr>
      </w:pPr>
      <w:r w:rsidRPr="002C5BF2">
        <w:rPr>
          <w:rFonts w:ascii="Bookman Old Style" w:hAnsi="Bookman Old Style" w:cs="Bookman Old Style"/>
          <w:sz w:val="20"/>
          <w:szCs w:val="20"/>
        </w:rPr>
        <w:t>передаваемые имущественные права, ограничения (обременения) этих прав;</w:t>
      </w:r>
    </w:p>
    <w:p w:rsidR="00F74994" w:rsidRPr="002C5BF2" w:rsidRDefault="00F74994" w:rsidP="00303E37">
      <w:pPr>
        <w:pStyle w:val="aff2"/>
        <w:numPr>
          <w:ilvl w:val="0"/>
          <w:numId w:val="31"/>
        </w:numPr>
        <w:autoSpaceDE w:val="0"/>
        <w:autoSpaceDN w:val="0"/>
        <w:adjustRightInd w:val="0"/>
        <w:jc w:val="both"/>
        <w:rPr>
          <w:rFonts w:ascii="Bookman Old Style" w:hAnsi="Bookman Old Style" w:cs="Bookman Old Style"/>
          <w:sz w:val="20"/>
          <w:szCs w:val="20"/>
        </w:rPr>
      </w:pPr>
      <w:r w:rsidRPr="002C5BF2">
        <w:rPr>
          <w:rFonts w:ascii="Bookman Old Style" w:hAnsi="Bookman Old Style" w:cs="Bookman Old Style"/>
          <w:sz w:val="20"/>
          <w:szCs w:val="20"/>
        </w:rPr>
        <w:t>условия финансирования состоявшейся или предполагаемой сделки (вид оплаты, условия кредитования, иные условия);</w:t>
      </w:r>
    </w:p>
    <w:p w:rsidR="00F74994" w:rsidRPr="002C5BF2" w:rsidRDefault="00F74994" w:rsidP="00303E37">
      <w:pPr>
        <w:pStyle w:val="aff2"/>
        <w:numPr>
          <w:ilvl w:val="0"/>
          <w:numId w:val="31"/>
        </w:numPr>
        <w:autoSpaceDE w:val="0"/>
        <w:autoSpaceDN w:val="0"/>
        <w:adjustRightInd w:val="0"/>
        <w:jc w:val="both"/>
        <w:rPr>
          <w:rFonts w:ascii="Bookman Old Style" w:hAnsi="Bookman Old Style" w:cs="Bookman Old Style"/>
          <w:sz w:val="20"/>
          <w:szCs w:val="20"/>
        </w:rPr>
      </w:pPr>
      <w:r w:rsidRPr="002C5BF2">
        <w:rPr>
          <w:rFonts w:ascii="Bookman Old Style" w:hAnsi="Bookman Old Style" w:cs="Bookman Old Style"/>
          <w:sz w:val="20"/>
          <w:szCs w:val="20"/>
        </w:rPr>
        <w:t>условия продажи (нетипичные для рынка условия, сделка между аффилированными лицами, иные условия);</w:t>
      </w:r>
    </w:p>
    <w:p w:rsidR="00F74994" w:rsidRPr="002C5BF2" w:rsidRDefault="00F74994" w:rsidP="00303E37">
      <w:pPr>
        <w:pStyle w:val="aff2"/>
        <w:numPr>
          <w:ilvl w:val="0"/>
          <w:numId w:val="31"/>
        </w:numPr>
        <w:autoSpaceDE w:val="0"/>
        <w:autoSpaceDN w:val="0"/>
        <w:adjustRightInd w:val="0"/>
        <w:jc w:val="both"/>
        <w:rPr>
          <w:rFonts w:ascii="Bookman Old Style" w:hAnsi="Bookman Old Style" w:cs="Bookman Old Style"/>
          <w:sz w:val="20"/>
          <w:szCs w:val="20"/>
        </w:rPr>
      </w:pPr>
      <w:r w:rsidRPr="002C5BF2">
        <w:rPr>
          <w:rFonts w:ascii="Bookman Old Style" w:hAnsi="Bookman Old Style" w:cs="Bookman Old Style"/>
          <w:sz w:val="20"/>
          <w:szCs w:val="20"/>
        </w:rPr>
        <w:t>условия рынка (изменения цен за период между датами сделки и оценки, скидки к ценам предложений, иные условия);</w:t>
      </w:r>
    </w:p>
    <w:p w:rsidR="00F74994" w:rsidRPr="002C5BF2" w:rsidRDefault="00F74994" w:rsidP="00303E37">
      <w:pPr>
        <w:pStyle w:val="aff2"/>
        <w:numPr>
          <w:ilvl w:val="0"/>
          <w:numId w:val="31"/>
        </w:numPr>
        <w:autoSpaceDE w:val="0"/>
        <w:autoSpaceDN w:val="0"/>
        <w:adjustRightInd w:val="0"/>
        <w:jc w:val="both"/>
        <w:rPr>
          <w:rFonts w:ascii="Bookman Old Style" w:hAnsi="Bookman Old Style" w:cs="Bookman Old Style"/>
          <w:sz w:val="20"/>
          <w:szCs w:val="20"/>
        </w:rPr>
      </w:pPr>
      <w:r w:rsidRPr="002C5BF2">
        <w:rPr>
          <w:rFonts w:ascii="Bookman Old Style" w:hAnsi="Bookman Old Style" w:cs="Bookman Old Style"/>
          <w:sz w:val="20"/>
          <w:szCs w:val="20"/>
        </w:rPr>
        <w:t>вид использования и (или) зонирование;</w:t>
      </w:r>
    </w:p>
    <w:p w:rsidR="00F74994" w:rsidRPr="002C5BF2" w:rsidRDefault="00F74994" w:rsidP="00303E37">
      <w:pPr>
        <w:pStyle w:val="aff2"/>
        <w:numPr>
          <w:ilvl w:val="0"/>
          <w:numId w:val="31"/>
        </w:numPr>
        <w:autoSpaceDE w:val="0"/>
        <w:autoSpaceDN w:val="0"/>
        <w:adjustRightInd w:val="0"/>
        <w:jc w:val="both"/>
        <w:rPr>
          <w:rFonts w:ascii="Bookman Old Style" w:hAnsi="Bookman Old Style" w:cs="Bookman Old Style"/>
          <w:sz w:val="20"/>
          <w:szCs w:val="20"/>
        </w:rPr>
      </w:pPr>
      <w:r w:rsidRPr="002C5BF2">
        <w:rPr>
          <w:rFonts w:ascii="Bookman Old Style" w:hAnsi="Bookman Old Style" w:cs="Bookman Old Style"/>
          <w:sz w:val="20"/>
          <w:szCs w:val="20"/>
        </w:rPr>
        <w:t>местоположение объекта;</w:t>
      </w:r>
    </w:p>
    <w:p w:rsidR="00F74994" w:rsidRPr="002C5BF2" w:rsidRDefault="00F74994" w:rsidP="00303E37">
      <w:pPr>
        <w:pStyle w:val="aff2"/>
        <w:numPr>
          <w:ilvl w:val="0"/>
          <w:numId w:val="31"/>
        </w:numPr>
        <w:autoSpaceDE w:val="0"/>
        <w:autoSpaceDN w:val="0"/>
        <w:adjustRightInd w:val="0"/>
        <w:jc w:val="both"/>
        <w:rPr>
          <w:rFonts w:ascii="Bookman Old Style" w:hAnsi="Bookman Old Style" w:cs="Bookman Old Style"/>
          <w:sz w:val="20"/>
          <w:szCs w:val="20"/>
        </w:rPr>
      </w:pPr>
      <w:r w:rsidRPr="002C5BF2">
        <w:rPr>
          <w:rFonts w:ascii="Bookman Old Style" w:hAnsi="Bookman Old Style" w:cs="Bookman Old Style"/>
          <w:sz w:val="20"/>
          <w:szCs w:val="20"/>
        </w:rPr>
        <w:t>физические характеристики объекта, в том числе, состояние объектов капитального строительства, соотношение площади земельного участка и площади его застройки, иные характеристики;</w:t>
      </w:r>
    </w:p>
    <w:p w:rsidR="00F74994" w:rsidRPr="002C5BF2" w:rsidRDefault="00F74994" w:rsidP="00303E37">
      <w:pPr>
        <w:pStyle w:val="aff2"/>
        <w:numPr>
          <w:ilvl w:val="0"/>
          <w:numId w:val="31"/>
        </w:numPr>
        <w:autoSpaceDE w:val="0"/>
        <w:autoSpaceDN w:val="0"/>
        <w:adjustRightInd w:val="0"/>
        <w:jc w:val="both"/>
        <w:rPr>
          <w:rFonts w:ascii="Bookman Old Style" w:hAnsi="Bookman Old Style" w:cs="Bookman Old Style"/>
          <w:sz w:val="20"/>
          <w:szCs w:val="20"/>
        </w:rPr>
      </w:pPr>
      <w:r w:rsidRPr="002C5BF2">
        <w:rPr>
          <w:rFonts w:ascii="Bookman Old Style" w:hAnsi="Bookman Old Style" w:cs="Bookman Old Style"/>
          <w:sz w:val="20"/>
          <w:szCs w:val="20"/>
        </w:rPr>
        <w:t>экономические характеристики (уровень операционных расходов, условия аренды, состав арендаторов, иные характеристики);</w:t>
      </w:r>
    </w:p>
    <w:p w:rsidR="00F74994" w:rsidRPr="002C5BF2" w:rsidRDefault="00F74994" w:rsidP="00303E37">
      <w:pPr>
        <w:pStyle w:val="aff2"/>
        <w:numPr>
          <w:ilvl w:val="0"/>
          <w:numId w:val="31"/>
        </w:numPr>
        <w:autoSpaceDE w:val="0"/>
        <w:autoSpaceDN w:val="0"/>
        <w:adjustRightInd w:val="0"/>
        <w:jc w:val="both"/>
        <w:rPr>
          <w:rFonts w:ascii="Bookman Old Style" w:hAnsi="Bookman Old Style" w:cs="Bookman Old Style"/>
          <w:sz w:val="20"/>
          <w:szCs w:val="20"/>
        </w:rPr>
      </w:pPr>
      <w:r w:rsidRPr="002C5BF2">
        <w:rPr>
          <w:rFonts w:ascii="Bookman Old Style" w:hAnsi="Bookman Old Style" w:cs="Bookman Old Style"/>
          <w:sz w:val="20"/>
          <w:szCs w:val="20"/>
        </w:rPr>
        <w:t>наличие движимого имущества, не связанного с недвижимостью;</w:t>
      </w:r>
    </w:p>
    <w:p w:rsidR="00F74994" w:rsidRPr="002C5BF2" w:rsidRDefault="00F74994" w:rsidP="00303E37">
      <w:pPr>
        <w:pStyle w:val="aff2"/>
        <w:numPr>
          <w:ilvl w:val="0"/>
          <w:numId w:val="31"/>
        </w:numPr>
        <w:autoSpaceDE w:val="0"/>
        <w:autoSpaceDN w:val="0"/>
        <w:adjustRightInd w:val="0"/>
        <w:jc w:val="both"/>
        <w:rPr>
          <w:rFonts w:ascii="Bookman Old Style" w:hAnsi="Bookman Old Style" w:cs="Bookman Old Style"/>
          <w:sz w:val="20"/>
          <w:szCs w:val="20"/>
        </w:rPr>
      </w:pPr>
      <w:r w:rsidRPr="002C5BF2">
        <w:rPr>
          <w:rFonts w:ascii="Bookman Old Style" w:hAnsi="Bookman Old Style" w:cs="Bookman Old Style"/>
          <w:sz w:val="20"/>
          <w:szCs w:val="20"/>
        </w:rPr>
        <w:t>другие характеристики (элементы), влияющие на стоимость;</w:t>
      </w:r>
    </w:p>
    <w:p w:rsidR="00F53AE8" w:rsidRDefault="00F53AE8" w:rsidP="00DA065B">
      <w:pPr>
        <w:spacing w:before="120" w:after="120"/>
        <w:ind w:firstLine="709"/>
        <w:jc w:val="both"/>
        <w:rPr>
          <w:rFonts w:ascii="Bookman Old Style" w:hAnsi="Bookman Old Style"/>
          <w:sz w:val="20"/>
          <w:szCs w:val="20"/>
        </w:rPr>
      </w:pPr>
      <w:r w:rsidRPr="009914D9">
        <w:rPr>
          <w:rFonts w:ascii="Bookman Old Style" w:hAnsi="Bookman Old Style"/>
          <w:sz w:val="20"/>
          <w:szCs w:val="20"/>
        </w:rPr>
        <w:t>Выбор метод</w:t>
      </w:r>
      <w:r w:rsidR="009914D9" w:rsidRPr="009914D9">
        <w:rPr>
          <w:rFonts w:ascii="Bookman Old Style" w:hAnsi="Bookman Old Style"/>
          <w:sz w:val="20"/>
          <w:szCs w:val="20"/>
        </w:rPr>
        <w:t>ов</w:t>
      </w:r>
      <w:r w:rsidRPr="009914D9">
        <w:rPr>
          <w:rFonts w:ascii="Bookman Old Style" w:hAnsi="Bookman Old Style"/>
          <w:sz w:val="20"/>
          <w:szCs w:val="20"/>
        </w:rPr>
        <w:t xml:space="preserve"> </w:t>
      </w:r>
      <w:r w:rsidR="00442D18" w:rsidRPr="009914D9">
        <w:rPr>
          <w:rFonts w:ascii="Bookman Old Style" w:hAnsi="Bookman Old Style"/>
          <w:sz w:val="20"/>
          <w:szCs w:val="20"/>
        </w:rPr>
        <w:t>сравнительного подхода</w:t>
      </w:r>
      <w:r w:rsidRPr="009914D9">
        <w:rPr>
          <w:rFonts w:ascii="Bookman Old Style" w:hAnsi="Bookman Old Style"/>
          <w:sz w:val="20"/>
          <w:szCs w:val="20"/>
        </w:rPr>
        <w:t xml:space="preserve"> обусловлен наличием достаточной и достоверной информации для их реализации в рамках </w:t>
      </w:r>
      <w:r w:rsidR="00442D18" w:rsidRPr="009914D9">
        <w:rPr>
          <w:rFonts w:ascii="Bookman Old Style" w:hAnsi="Bookman Old Style"/>
          <w:sz w:val="20"/>
          <w:szCs w:val="20"/>
        </w:rPr>
        <w:t>сравнительного</w:t>
      </w:r>
      <w:r w:rsidRPr="009914D9">
        <w:rPr>
          <w:rFonts w:ascii="Bookman Old Style" w:hAnsi="Bookman Old Style"/>
          <w:sz w:val="20"/>
          <w:szCs w:val="20"/>
        </w:rPr>
        <w:t xml:space="preserve"> подхода.</w:t>
      </w:r>
    </w:p>
    <w:p w:rsidR="00CE17F5" w:rsidRDefault="00CE17F5" w:rsidP="00DA065B">
      <w:pPr>
        <w:spacing w:before="120" w:after="120"/>
        <w:ind w:firstLine="709"/>
        <w:jc w:val="both"/>
        <w:rPr>
          <w:rFonts w:ascii="Bookman Old Style" w:hAnsi="Bookman Old Style"/>
          <w:sz w:val="20"/>
          <w:szCs w:val="20"/>
        </w:rPr>
      </w:pPr>
    </w:p>
    <w:p w:rsidR="00CE17F5" w:rsidRPr="009914D9" w:rsidRDefault="00CE17F5" w:rsidP="00DA065B">
      <w:pPr>
        <w:spacing w:before="120" w:after="120"/>
        <w:ind w:firstLine="709"/>
        <w:jc w:val="both"/>
        <w:rPr>
          <w:rFonts w:ascii="Bookman Old Style" w:hAnsi="Bookman Old Style"/>
          <w:sz w:val="20"/>
          <w:szCs w:val="20"/>
        </w:rPr>
      </w:pPr>
    </w:p>
    <w:p w:rsidR="00442D18" w:rsidRPr="00B76506" w:rsidRDefault="00442D18" w:rsidP="000877E7">
      <w:pPr>
        <w:pStyle w:val="3"/>
        <w:rPr>
          <w:rFonts w:ascii="Bookman Old Style" w:hAnsi="Bookman Old Style"/>
          <w:sz w:val="20"/>
          <w:szCs w:val="20"/>
        </w:rPr>
      </w:pPr>
      <w:bookmarkStart w:id="244" w:name="_Toc461206395"/>
      <w:r w:rsidRPr="00B76506">
        <w:rPr>
          <w:rFonts w:ascii="Bookman Old Style" w:hAnsi="Bookman Old Style"/>
          <w:sz w:val="20"/>
          <w:szCs w:val="20"/>
        </w:rPr>
        <w:lastRenderedPageBreak/>
        <w:t>5.2.3. Обоснование выбора подхода и методов доходного подхода</w:t>
      </w:r>
      <w:bookmarkEnd w:id="244"/>
    </w:p>
    <w:p w:rsidR="00442D18" w:rsidRPr="00B76506" w:rsidRDefault="00442D18" w:rsidP="000877E7">
      <w:pPr>
        <w:pStyle w:val="3"/>
        <w:rPr>
          <w:rFonts w:ascii="Bookman Old Style" w:hAnsi="Bookman Old Style"/>
          <w:sz w:val="20"/>
          <w:szCs w:val="20"/>
        </w:rPr>
      </w:pPr>
      <w:bookmarkStart w:id="245" w:name="_Toc461206396"/>
      <w:r w:rsidRPr="00B76506">
        <w:rPr>
          <w:rFonts w:ascii="Bookman Old Style" w:hAnsi="Bookman Old Style"/>
          <w:sz w:val="20"/>
          <w:szCs w:val="20"/>
        </w:rPr>
        <w:t>5.2.3.1. Обоснование применения, отказа от применения подхода</w:t>
      </w:r>
      <w:bookmarkEnd w:id="245"/>
      <w:r w:rsidRPr="00B76506">
        <w:rPr>
          <w:rFonts w:ascii="Bookman Old Style" w:hAnsi="Bookman Old Style"/>
          <w:sz w:val="20"/>
          <w:szCs w:val="20"/>
        </w:rPr>
        <w:t xml:space="preserve"> </w:t>
      </w:r>
    </w:p>
    <w:bookmarkEnd w:id="239"/>
    <w:bookmarkEnd w:id="240"/>
    <w:bookmarkEnd w:id="241"/>
    <w:bookmarkEnd w:id="242"/>
    <w:p w:rsidR="005E6C84" w:rsidRPr="00B76506" w:rsidRDefault="005E6C84" w:rsidP="00CC60F4">
      <w:pPr>
        <w:autoSpaceDE w:val="0"/>
        <w:autoSpaceDN w:val="0"/>
        <w:adjustRightInd w:val="0"/>
        <w:spacing w:before="120" w:after="120"/>
        <w:ind w:firstLine="720"/>
        <w:jc w:val="both"/>
        <w:rPr>
          <w:rFonts w:ascii="Bookman Old Style" w:hAnsi="Bookman Old Style" w:cs="Arial"/>
          <w:bCs/>
          <w:sz w:val="20"/>
          <w:szCs w:val="20"/>
        </w:rPr>
      </w:pPr>
      <w:r w:rsidRPr="00B76506">
        <w:rPr>
          <w:rFonts w:ascii="Bookman Old Style" w:hAnsi="Bookman Old Style" w:cs="Arial"/>
          <w:bCs/>
          <w:sz w:val="20"/>
          <w:szCs w:val="20"/>
        </w:rPr>
        <w:t>Согласно ст. 21 ФСО № 1:</w:t>
      </w:r>
    </w:p>
    <w:p w:rsidR="005E6C84" w:rsidRPr="00B76506" w:rsidRDefault="005E6C84" w:rsidP="00CC60F4">
      <w:pPr>
        <w:autoSpaceDE w:val="0"/>
        <w:autoSpaceDN w:val="0"/>
        <w:adjustRightInd w:val="0"/>
        <w:spacing w:before="120" w:after="120"/>
        <w:ind w:firstLine="720"/>
        <w:jc w:val="both"/>
        <w:rPr>
          <w:rFonts w:ascii="Bookman Old Style" w:hAnsi="Bookman Old Style" w:cs="Arial"/>
          <w:bCs/>
          <w:i/>
          <w:sz w:val="20"/>
          <w:szCs w:val="20"/>
        </w:rPr>
      </w:pPr>
      <w:r w:rsidRPr="00B76506">
        <w:rPr>
          <w:rFonts w:ascii="Bookman Old Style" w:hAnsi="Bookman Old Style" w:cs="Arial"/>
          <w:bCs/>
          <w:i/>
          <w:sz w:val="20"/>
          <w:szCs w:val="20"/>
        </w:rPr>
        <w:t>«Доходный подход применяется, когда существует достоверная информация, позволяющая прогнозировать будущие доходы, которые объект оценки способен приносить, а также связанные с объектом оценки расходы».</w:t>
      </w:r>
    </w:p>
    <w:p w:rsidR="0021784F" w:rsidRPr="003641F2" w:rsidRDefault="0021784F" w:rsidP="00CC60F4">
      <w:pPr>
        <w:autoSpaceDE w:val="0"/>
        <w:autoSpaceDN w:val="0"/>
        <w:adjustRightInd w:val="0"/>
        <w:spacing w:before="120" w:after="120"/>
        <w:ind w:firstLine="709"/>
        <w:jc w:val="both"/>
        <w:rPr>
          <w:rFonts w:ascii="Bookman Old Style" w:hAnsi="Bookman Old Style" w:cs="Arial"/>
          <w:color w:val="000000"/>
          <w:sz w:val="20"/>
          <w:szCs w:val="20"/>
        </w:rPr>
      </w:pPr>
      <w:r w:rsidRPr="00B76506">
        <w:rPr>
          <w:rFonts w:ascii="Bookman Old Style" w:hAnsi="Bookman Old Style" w:cs="Arial"/>
          <w:color w:val="000000"/>
          <w:sz w:val="20"/>
          <w:szCs w:val="20"/>
        </w:rPr>
        <w:t>В соответствии с ФСО № 7:</w:t>
      </w:r>
    </w:p>
    <w:p w:rsidR="0021784F" w:rsidRPr="003641F2" w:rsidRDefault="0021784F" w:rsidP="00CC60F4">
      <w:pPr>
        <w:autoSpaceDE w:val="0"/>
        <w:autoSpaceDN w:val="0"/>
        <w:adjustRightInd w:val="0"/>
        <w:spacing w:before="120" w:after="120"/>
        <w:ind w:firstLine="720"/>
        <w:jc w:val="both"/>
        <w:rPr>
          <w:rFonts w:ascii="Bookman Old Style" w:hAnsi="Bookman Old Style" w:cs="Arial"/>
          <w:bCs/>
          <w:i/>
          <w:sz w:val="20"/>
          <w:szCs w:val="20"/>
        </w:rPr>
      </w:pPr>
      <w:r w:rsidRPr="003641F2">
        <w:rPr>
          <w:rFonts w:ascii="Bookman Old Style" w:hAnsi="Bookman Old Style" w:cs="Bookman Old Style"/>
          <w:i/>
          <w:sz w:val="20"/>
          <w:szCs w:val="20"/>
        </w:rPr>
        <w:t>«Доходный подход применяется для оценки недвижимости, генерирующей или способной генерировать потоки доходов»</w:t>
      </w:r>
    </w:p>
    <w:p w:rsidR="005E6C84" w:rsidRPr="003641F2" w:rsidRDefault="0021784F" w:rsidP="00CC60F4">
      <w:pPr>
        <w:autoSpaceDE w:val="0"/>
        <w:autoSpaceDN w:val="0"/>
        <w:adjustRightInd w:val="0"/>
        <w:spacing w:before="120" w:after="120"/>
        <w:ind w:firstLine="720"/>
        <w:jc w:val="both"/>
        <w:rPr>
          <w:rFonts w:ascii="Bookman Old Style" w:hAnsi="Bookman Old Style" w:cs="Arial"/>
          <w:bCs/>
          <w:sz w:val="20"/>
          <w:szCs w:val="20"/>
        </w:rPr>
      </w:pPr>
      <w:r w:rsidRPr="003641F2">
        <w:rPr>
          <w:rFonts w:ascii="Bookman Old Style" w:hAnsi="Bookman Old Style" w:cs="Arial"/>
          <w:bCs/>
          <w:sz w:val="20"/>
          <w:szCs w:val="20"/>
        </w:rPr>
        <w:t>Изучив количественные и качественные характеристики элементов Объекта оценки, материалы анализа рынка и наиболее эффективного использования, оценщик сделал следующие выводы:</w:t>
      </w:r>
    </w:p>
    <w:p w:rsidR="006A199E" w:rsidRPr="006A199E" w:rsidRDefault="006A199E" w:rsidP="00AB1FB9">
      <w:pPr>
        <w:numPr>
          <w:ilvl w:val="0"/>
          <w:numId w:val="12"/>
        </w:numPr>
        <w:autoSpaceDE w:val="0"/>
        <w:autoSpaceDN w:val="0"/>
        <w:adjustRightInd w:val="0"/>
        <w:spacing w:before="120" w:after="120"/>
        <w:jc w:val="both"/>
        <w:rPr>
          <w:rFonts w:ascii="Bookman Old Style" w:hAnsi="Bookman Old Style" w:cs="Arial"/>
          <w:bCs/>
          <w:sz w:val="20"/>
          <w:szCs w:val="20"/>
        </w:rPr>
      </w:pPr>
      <w:r w:rsidRPr="006A199E">
        <w:rPr>
          <w:rFonts w:ascii="Bookman Old Style" w:hAnsi="Bookman Old Style" w:cs="Arial"/>
          <w:bCs/>
          <w:sz w:val="20"/>
          <w:szCs w:val="20"/>
        </w:rPr>
        <w:t>В рамках доходного подхода стоимость недвижимости определяется методами прямой капитализации, методами дисконтирования денежных потоков или методом капитализации по расчетным моделям</w:t>
      </w:r>
    </w:p>
    <w:p w:rsidR="00177A72" w:rsidRDefault="006A199E" w:rsidP="00AB1FB9">
      <w:pPr>
        <w:numPr>
          <w:ilvl w:val="0"/>
          <w:numId w:val="12"/>
        </w:numPr>
        <w:autoSpaceDE w:val="0"/>
        <w:autoSpaceDN w:val="0"/>
        <w:adjustRightInd w:val="0"/>
        <w:spacing w:before="120" w:after="120"/>
        <w:jc w:val="both"/>
        <w:rPr>
          <w:rFonts w:ascii="Bookman Old Style" w:hAnsi="Bookman Old Style" w:cs="Arial"/>
          <w:bCs/>
          <w:sz w:val="20"/>
          <w:szCs w:val="20"/>
        </w:rPr>
      </w:pPr>
      <w:r w:rsidRPr="006A199E">
        <w:rPr>
          <w:rFonts w:ascii="Bookman Old Style" w:hAnsi="Bookman Old Style" w:cs="Arial"/>
          <w:bCs/>
          <w:sz w:val="20"/>
          <w:szCs w:val="20"/>
        </w:rPr>
        <w:t>Проведенный анализ количественных и качественных характеристик Объекта оценки, определил возможность спрогнозировать доходы от эксплуатации оцениваемых объектов, а также связанные с этой эксплуатацией расходы</w:t>
      </w:r>
      <w:r w:rsidR="00177A72" w:rsidRPr="00177A72">
        <w:rPr>
          <w:rFonts w:ascii="Bookman Old Style" w:hAnsi="Bookman Old Style" w:cs="Arial"/>
          <w:bCs/>
          <w:sz w:val="20"/>
          <w:szCs w:val="20"/>
        </w:rPr>
        <w:t>.</w:t>
      </w:r>
      <w:r>
        <w:rPr>
          <w:rFonts w:ascii="Bookman Old Style" w:hAnsi="Bookman Old Style" w:cs="Arial"/>
          <w:bCs/>
          <w:sz w:val="20"/>
          <w:szCs w:val="20"/>
        </w:rPr>
        <w:t xml:space="preserve"> </w:t>
      </w:r>
    </w:p>
    <w:p w:rsidR="005F6A69" w:rsidRPr="005F6A69" w:rsidRDefault="005F6A69" w:rsidP="005F6A69">
      <w:pPr>
        <w:numPr>
          <w:ilvl w:val="0"/>
          <w:numId w:val="12"/>
        </w:numPr>
        <w:autoSpaceDE w:val="0"/>
        <w:autoSpaceDN w:val="0"/>
        <w:adjustRightInd w:val="0"/>
        <w:spacing w:before="120" w:after="120"/>
        <w:jc w:val="both"/>
        <w:rPr>
          <w:rFonts w:ascii="Bookman Old Style" w:hAnsi="Bookman Old Style" w:cs="Arial"/>
          <w:bCs/>
          <w:sz w:val="20"/>
          <w:szCs w:val="20"/>
        </w:rPr>
      </w:pPr>
      <w:r w:rsidRPr="005F6A69">
        <w:rPr>
          <w:rFonts w:ascii="Bookman Old Style" w:hAnsi="Bookman Old Style" w:cs="Arial"/>
          <w:bCs/>
          <w:sz w:val="20"/>
          <w:szCs w:val="20"/>
        </w:rPr>
        <w:t>При расчете стоимости оборудования доходный подход не применим в силу того что, понятие дохода связывается с конкретным производством или оказанием услуг, то доходный подход малоэффективен при оценке отдельных видов средств труда, включая машины и оборудование, которые, как правило, являются элементами системы, приносящей доход. Ставки арендной платы, позволяющие сопоставить уровень доходов от эксплуатации объектов аналогов, на данный вид имущества – отсутствуют</w:t>
      </w:r>
    </w:p>
    <w:p w:rsidR="005E6C84" w:rsidRPr="003641F2" w:rsidRDefault="005E6C84" w:rsidP="00442D18">
      <w:pPr>
        <w:autoSpaceDE w:val="0"/>
        <w:autoSpaceDN w:val="0"/>
        <w:adjustRightInd w:val="0"/>
        <w:spacing w:before="120" w:after="120"/>
        <w:ind w:firstLine="720"/>
        <w:jc w:val="both"/>
        <w:rPr>
          <w:rFonts w:ascii="Bookman Old Style" w:hAnsi="Bookman Old Style" w:cs="Arial"/>
          <w:bCs/>
          <w:sz w:val="20"/>
          <w:szCs w:val="20"/>
        </w:rPr>
      </w:pPr>
      <w:r w:rsidRPr="003641F2">
        <w:rPr>
          <w:rFonts w:ascii="Bookman Old Style" w:hAnsi="Bookman Old Style" w:cs="Arial"/>
          <w:bCs/>
          <w:sz w:val="20"/>
          <w:szCs w:val="20"/>
        </w:rPr>
        <w:t>Исходя из представленных фактов, доходный подход</w:t>
      </w:r>
      <w:r w:rsidR="00F3110C" w:rsidRPr="003641F2">
        <w:rPr>
          <w:rFonts w:ascii="Bookman Old Style" w:hAnsi="Bookman Old Style" w:cs="Arial"/>
          <w:bCs/>
          <w:sz w:val="20"/>
          <w:szCs w:val="20"/>
        </w:rPr>
        <w:t xml:space="preserve"> </w:t>
      </w:r>
      <w:r w:rsidRPr="003641F2">
        <w:rPr>
          <w:rFonts w:ascii="Bookman Old Style" w:hAnsi="Bookman Old Style" w:cs="Arial"/>
          <w:bCs/>
          <w:sz w:val="20"/>
          <w:szCs w:val="20"/>
        </w:rPr>
        <w:t xml:space="preserve">будет использован для оценки </w:t>
      </w:r>
      <w:r w:rsidR="005F6A69">
        <w:rPr>
          <w:rFonts w:ascii="Bookman Old Style" w:hAnsi="Bookman Old Style" w:cs="Arial"/>
          <w:bCs/>
          <w:sz w:val="20"/>
          <w:szCs w:val="20"/>
        </w:rPr>
        <w:t xml:space="preserve">части элементов </w:t>
      </w:r>
      <w:r w:rsidRPr="003641F2">
        <w:rPr>
          <w:rFonts w:ascii="Bookman Old Style" w:hAnsi="Bookman Old Style" w:cs="Arial"/>
          <w:bCs/>
          <w:sz w:val="20"/>
          <w:szCs w:val="20"/>
        </w:rPr>
        <w:t>Объекта оценки, так как</w:t>
      </w:r>
      <w:r w:rsidR="003641F2" w:rsidRPr="003641F2">
        <w:rPr>
          <w:rFonts w:ascii="Bookman Old Style" w:hAnsi="Bookman Old Style" w:cs="Arial"/>
          <w:bCs/>
          <w:sz w:val="20"/>
          <w:szCs w:val="20"/>
        </w:rPr>
        <w:t xml:space="preserve"> </w:t>
      </w:r>
      <w:r w:rsidRPr="003641F2">
        <w:rPr>
          <w:rFonts w:ascii="Bookman Old Style" w:hAnsi="Bookman Old Style" w:cs="Arial"/>
          <w:bCs/>
          <w:sz w:val="20"/>
          <w:szCs w:val="20"/>
        </w:rPr>
        <w:t>выполняется условие применения данного</w:t>
      </w:r>
      <w:r w:rsidR="00F3110C" w:rsidRPr="003641F2">
        <w:rPr>
          <w:rFonts w:ascii="Bookman Old Style" w:hAnsi="Bookman Old Style" w:cs="Arial"/>
          <w:bCs/>
          <w:sz w:val="20"/>
          <w:szCs w:val="20"/>
        </w:rPr>
        <w:t xml:space="preserve"> подхода согласно ст. 21 ФСО №</w:t>
      </w:r>
      <w:r w:rsidR="002C5BF2" w:rsidRPr="003641F2">
        <w:rPr>
          <w:rFonts w:ascii="Bookman Old Style" w:hAnsi="Bookman Old Style" w:cs="Arial"/>
          <w:bCs/>
          <w:sz w:val="20"/>
          <w:szCs w:val="20"/>
        </w:rPr>
        <w:t xml:space="preserve"> </w:t>
      </w:r>
      <w:r w:rsidR="00F3110C" w:rsidRPr="003641F2">
        <w:rPr>
          <w:rFonts w:ascii="Bookman Old Style" w:hAnsi="Bookman Old Style" w:cs="Arial"/>
          <w:bCs/>
          <w:sz w:val="20"/>
          <w:szCs w:val="20"/>
        </w:rPr>
        <w:t>1 и ст. 23 ФСО № 7.</w:t>
      </w:r>
    </w:p>
    <w:p w:rsidR="00442D18" w:rsidRPr="008474E1" w:rsidRDefault="00442D18" w:rsidP="00DA065B">
      <w:pPr>
        <w:pStyle w:val="3"/>
        <w:spacing w:after="120"/>
        <w:rPr>
          <w:rFonts w:ascii="Bookman Old Style" w:hAnsi="Bookman Old Style"/>
          <w:sz w:val="20"/>
          <w:szCs w:val="20"/>
        </w:rPr>
      </w:pPr>
      <w:bookmarkStart w:id="246" w:name="_Toc461206397"/>
      <w:r w:rsidRPr="008474E1">
        <w:rPr>
          <w:rFonts w:ascii="Bookman Old Style" w:hAnsi="Bookman Old Style"/>
          <w:sz w:val="20"/>
          <w:szCs w:val="20"/>
        </w:rPr>
        <w:t>5.2.3.2. Обоснование выбора методов доходного подхода</w:t>
      </w:r>
      <w:bookmarkEnd w:id="246"/>
    </w:p>
    <w:p w:rsidR="006A199E" w:rsidRPr="006A199E" w:rsidRDefault="006A199E" w:rsidP="006A199E">
      <w:pPr>
        <w:spacing w:before="120" w:after="120"/>
        <w:ind w:firstLine="709"/>
        <w:jc w:val="both"/>
        <w:rPr>
          <w:rFonts w:ascii="Bookman Old Style" w:hAnsi="Bookman Old Style"/>
          <w:sz w:val="20"/>
          <w:szCs w:val="20"/>
        </w:rPr>
      </w:pPr>
      <w:bookmarkStart w:id="247" w:name="_Toc365041373"/>
      <w:bookmarkStart w:id="248" w:name="_Toc170273673"/>
      <w:bookmarkStart w:id="249" w:name="_Toc200193974"/>
      <w:bookmarkEnd w:id="144"/>
      <w:bookmarkEnd w:id="145"/>
      <w:bookmarkEnd w:id="146"/>
      <w:bookmarkEnd w:id="155"/>
      <w:bookmarkEnd w:id="156"/>
      <w:bookmarkEnd w:id="157"/>
      <w:r w:rsidRPr="006A199E">
        <w:rPr>
          <w:rFonts w:ascii="Bookman Old Style" w:hAnsi="Bookman Old Style"/>
          <w:sz w:val="20"/>
          <w:szCs w:val="20"/>
        </w:rPr>
        <w:t>При расчете стоимости Объекта оценки доходным подходом использован метод  оценки</w:t>
      </w:r>
      <w:r w:rsidRPr="006A199E">
        <w:rPr>
          <w:rFonts w:ascii="Bookman Old Style" w:hAnsi="Bookman Old Style"/>
          <w:sz w:val="20"/>
          <w:szCs w:val="20"/>
          <w:vertAlign w:val="superscript"/>
        </w:rPr>
        <w:footnoteReference w:id="44"/>
      </w:r>
      <w:r w:rsidRPr="006A199E">
        <w:rPr>
          <w:rFonts w:ascii="Bookman Old Style" w:hAnsi="Bookman Old Style"/>
          <w:sz w:val="20"/>
          <w:szCs w:val="20"/>
        </w:rPr>
        <w:t>:</w:t>
      </w:r>
    </w:p>
    <w:p w:rsidR="006A199E" w:rsidRPr="006A199E" w:rsidRDefault="006A199E" w:rsidP="00303E37">
      <w:pPr>
        <w:numPr>
          <w:ilvl w:val="0"/>
          <w:numId w:val="44"/>
        </w:numPr>
        <w:spacing w:before="120" w:after="120"/>
        <w:jc w:val="both"/>
        <w:rPr>
          <w:rFonts w:ascii="Bookman Old Style" w:hAnsi="Bookman Old Style"/>
          <w:sz w:val="20"/>
          <w:szCs w:val="20"/>
        </w:rPr>
      </w:pPr>
      <w:r w:rsidRPr="006A199E">
        <w:rPr>
          <w:rFonts w:ascii="Bookman Old Style" w:hAnsi="Bookman Old Style"/>
          <w:sz w:val="20"/>
          <w:szCs w:val="20"/>
        </w:rPr>
        <w:t>Метод капитализации по расчетной модели.</w:t>
      </w:r>
    </w:p>
    <w:p w:rsidR="006A199E" w:rsidRPr="006A199E" w:rsidRDefault="006A199E" w:rsidP="006A199E">
      <w:pPr>
        <w:spacing w:before="120" w:after="120"/>
        <w:ind w:left="720"/>
        <w:jc w:val="both"/>
        <w:rPr>
          <w:rFonts w:ascii="Bookman Old Style" w:hAnsi="Bookman Old Style"/>
          <w:sz w:val="20"/>
          <w:szCs w:val="20"/>
        </w:rPr>
      </w:pPr>
      <w:r w:rsidRPr="006A199E">
        <w:rPr>
          <w:rFonts w:ascii="Bookman Old Style" w:hAnsi="Bookman Old Style"/>
          <w:sz w:val="20"/>
          <w:szCs w:val="20"/>
        </w:rPr>
        <w:t>Метод используется для недвижимости генерирующей регулярные потоки доходов с ожидаемой динамикой их изменения. Капитализация таких доходов проводится по общей ставке капитализации, конструируемой на основе ставки дисконтирования, применяемой в расчет модели возврата капитала, способов и условия финансирования, а также изменений доходов и стоимости недвижимости в будущем.</w:t>
      </w:r>
    </w:p>
    <w:p w:rsidR="006A199E" w:rsidRPr="006A199E" w:rsidRDefault="006A199E" w:rsidP="006A199E">
      <w:pPr>
        <w:spacing w:before="120" w:after="120"/>
        <w:ind w:firstLine="709"/>
        <w:jc w:val="both"/>
        <w:rPr>
          <w:rFonts w:ascii="Bookman Old Style" w:hAnsi="Bookman Old Style"/>
          <w:sz w:val="20"/>
          <w:szCs w:val="20"/>
        </w:rPr>
      </w:pPr>
      <w:r w:rsidRPr="006A199E">
        <w:rPr>
          <w:rFonts w:ascii="Bookman Old Style" w:hAnsi="Bookman Old Style"/>
          <w:sz w:val="20"/>
          <w:szCs w:val="20"/>
        </w:rPr>
        <w:t xml:space="preserve">Допущения о ограничения использования метода: </w:t>
      </w:r>
    </w:p>
    <w:p w:rsidR="006A199E" w:rsidRPr="006A199E" w:rsidRDefault="006A199E" w:rsidP="00303E37">
      <w:pPr>
        <w:numPr>
          <w:ilvl w:val="0"/>
          <w:numId w:val="43"/>
        </w:numPr>
        <w:spacing w:before="120" w:after="120"/>
        <w:rPr>
          <w:rFonts w:ascii="Bookman Old Style" w:hAnsi="Bookman Old Style"/>
          <w:sz w:val="20"/>
          <w:szCs w:val="20"/>
        </w:rPr>
      </w:pPr>
      <w:r w:rsidRPr="006A199E">
        <w:rPr>
          <w:rFonts w:ascii="Bookman Old Style" w:hAnsi="Bookman Old Style"/>
          <w:sz w:val="20"/>
          <w:szCs w:val="20"/>
        </w:rPr>
        <w:t xml:space="preserve">Применяемая в расчете модель Инвуда получена из традиционной формулы дисконтирования денежного потока и при одинаковых допущениях приводит к одним и тем же результатам. </w:t>
      </w:r>
    </w:p>
    <w:p w:rsidR="006A199E" w:rsidRPr="006A199E" w:rsidRDefault="006A199E" w:rsidP="00303E37">
      <w:pPr>
        <w:numPr>
          <w:ilvl w:val="0"/>
          <w:numId w:val="43"/>
        </w:numPr>
        <w:spacing w:before="120" w:after="120"/>
        <w:jc w:val="both"/>
        <w:rPr>
          <w:rFonts w:ascii="Bookman Old Style" w:hAnsi="Bookman Old Style"/>
          <w:sz w:val="20"/>
          <w:szCs w:val="20"/>
        </w:rPr>
      </w:pPr>
      <w:r w:rsidRPr="006A199E">
        <w:rPr>
          <w:rFonts w:ascii="Bookman Old Style" w:hAnsi="Bookman Old Style"/>
          <w:sz w:val="20"/>
          <w:szCs w:val="20"/>
        </w:rPr>
        <w:t>В качестве прогнозного периода принимается ожидаемый срок эксплуатации объекта.</w:t>
      </w:r>
    </w:p>
    <w:p w:rsidR="006A199E" w:rsidRPr="006A199E" w:rsidRDefault="006A199E" w:rsidP="00303E37">
      <w:pPr>
        <w:numPr>
          <w:ilvl w:val="0"/>
          <w:numId w:val="43"/>
        </w:numPr>
        <w:spacing w:before="120" w:after="120"/>
        <w:jc w:val="both"/>
        <w:rPr>
          <w:rFonts w:ascii="Bookman Old Style" w:hAnsi="Bookman Old Style"/>
          <w:sz w:val="20"/>
          <w:szCs w:val="20"/>
        </w:rPr>
      </w:pPr>
      <w:r w:rsidRPr="006A199E">
        <w:rPr>
          <w:rFonts w:ascii="Bookman Old Style" w:hAnsi="Bookman Old Style"/>
          <w:sz w:val="20"/>
          <w:szCs w:val="20"/>
        </w:rPr>
        <w:t>В течении всего срока эксплуатации объект приносит постоянный доход.</w:t>
      </w:r>
    </w:p>
    <w:p w:rsidR="006A199E" w:rsidRPr="006A199E" w:rsidRDefault="006A199E" w:rsidP="00303E37">
      <w:pPr>
        <w:numPr>
          <w:ilvl w:val="0"/>
          <w:numId w:val="43"/>
        </w:numPr>
        <w:spacing w:before="120" w:after="120"/>
        <w:jc w:val="both"/>
        <w:rPr>
          <w:rFonts w:ascii="Bookman Old Style" w:hAnsi="Bookman Old Style"/>
          <w:sz w:val="20"/>
          <w:szCs w:val="20"/>
        </w:rPr>
      </w:pPr>
      <w:r w:rsidRPr="006A199E">
        <w:rPr>
          <w:rFonts w:ascii="Bookman Old Style" w:hAnsi="Bookman Old Style"/>
          <w:sz w:val="20"/>
          <w:szCs w:val="20"/>
        </w:rPr>
        <w:t>Ежегодные платежи образованные чистым операционным доходом поступают в конце каждого периода.</w:t>
      </w:r>
    </w:p>
    <w:p w:rsidR="006A199E" w:rsidRPr="006A199E" w:rsidRDefault="006A199E" w:rsidP="00303E37">
      <w:pPr>
        <w:numPr>
          <w:ilvl w:val="0"/>
          <w:numId w:val="43"/>
        </w:numPr>
        <w:spacing w:before="120" w:after="120"/>
        <w:jc w:val="both"/>
        <w:rPr>
          <w:rFonts w:ascii="Bookman Old Style" w:hAnsi="Bookman Old Style"/>
          <w:sz w:val="20"/>
          <w:szCs w:val="20"/>
        </w:rPr>
      </w:pPr>
      <w:r w:rsidRPr="006A199E">
        <w:rPr>
          <w:rFonts w:ascii="Bookman Old Style" w:hAnsi="Bookman Old Style"/>
          <w:sz w:val="20"/>
          <w:szCs w:val="20"/>
        </w:rPr>
        <w:t>По окончании срока эксплуатации объект полностью утрачивает свою стоимость.</w:t>
      </w:r>
    </w:p>
    <w:p w:rsidR="00DC434B" w:rsidRPr="00DC434B" w:rsidRDefault="006A199E" w:rsidP="006A199E">
      <w:pPr>
        <w:spacing w:before="120" w:after="120"/>
        <w:ind w:firstLine="709"/>
        <w:jc w:val="both"/>
        <w:rPr>
          <w:rFonts w:ascii="Bookman Old Style" w:hAnsi="Bookman Old Style"/>
          <w:sz w:val="20"/>
          <w:szCs w:val="20"/>
        </w:rPr>
      </w:pPr>
      <w:r w:rsidRPr="006A199E">
        <w:rPr>
          <w:rFonts w:ascii="Bookman Old Style" w:hAnsi="Bookman Old Style"/>
          <w:sz w:val="20"/>
          <w:szCs w:val="20"/>
        </w:rPr>
        <w:t>Выбор метода доходного подхода обусловлен наличием достаточной и достоверной информации для их реализации в рамках доходного подхода</w:t>
      </w:r>
      <w:r w:rsidR="00DC434B" w:rsidRPr="00DC434B">
        <w:rPr>
          <w:rFonts w:ascii="Bookman Old Style" w:hAnsi="Bookman Old Style"/>
          <w:sz w:val="20"/>
          <w:szCs w:val="20"/>
        </w:rPr>
        <w:t>.</w:t>
      </w:r>
    </w:p>
    <w:p w:rsidR="00413F32" w:rsidRPr="000877E7" w:rsidRDefault="00413F32" w:rsidP="000877E7">
      <w:pPr>
        <w:pStyle w:val="2"/>
        <w:rPr>
          <w:rFonts w:ascii="Bookman Old Style" w:hAnsi="Bookman Old Style"/>
          <w:b/>
          <w:sz w:val="20"/>
          <w:szCs w:val="20"/>
        </w:rPr>
      </w:pPr>
      <w:bookmarkStart w:id="250" w:name="_Toc461206398"/>
      <w:r w:rsidRPr="000877E7">
        <w:rPr>
          <w:rFonts w:ascii="Bookman Old Style" w:hAnsi="Bookman Old Style"/>
          <w:b/>
          <w:sz w:val="20"/>
          <w:szCs w:val="20"/>
        </w:rPr>
        <w:lastRenderedPageBreak/>
        <w:t>5.3. АНАЛИЗ НАИБОЛЕЕ ЭФФЕКТИВНОГО ИСПОЛЬЗОВАНИЯ</w:t>
      </w:r>
      <w:bookmarkEnd w:id="247"/>
      <w:bookmarkEnd w:id="250"/>
    </w:p>
    <w:p w:rsidR="00413F32" w:rsidRDefault="00413F32" w:rsidP="00434B45">
      <w:pPr>
        <w:spacing w:before="120" w:after="120"/>
        <w:jc w:val="both"/>
        <w:rPr>
          <w:rFonts w:ascii="Bookman Old Style" w:hAnsi="Bookman Old Style"/>
          <w:i/>
          <w:sz w:val="20"/>
          <w:szCs w:val="20"/>
        </w:rPr>
      </w:pPr>
      <w:r w:rsidRPr="00CF084F">
        <w:rPr>
          <w:rFonts w:ascii="Bookman Old Style" w:hAnsi="Bookman Old Style"/>
          <w:sz w:val="20"/>
          <w:szCs w:val="20"/>
        </w:rPr>
        <w:tab/>
        <w:t xml:space="preserve">ФСО № 1, статья 2, пункт 10: </w:t>
      </w:r>
      <w:r w:rsidRPr="002B2FED">
        <w:rPr>
          <w:rFonts w:ascii="Bookman Old Style" w:hAnsi="Bookman Old Style"/>
          <w:i/>
          <w:sz w:val="20"/>
          <w:szCs w:val="20"/>
        </w:rPr>
        <w:t xml:space="preserve">«При определении наиболее эффективного использования объекта оценки определяется использование объекта оценки, при котором его стоимость будет наибольшей». </w:t>
      </w:r>
    </w:p>
    <w:p w:rsidR="002B2FED" w:rsidRDefault="002B2FED" w:rsidP="00434B45">
      <w:pPr>
        <w:spacing w:before="120" w:after="120"/>
        <w:ind w:firstLine="709"/>
        <w:jc w:val="both"/>
        <w:rPr>
          <w:rFonts w:ascii="Bookman Old Style" w:hAnsi="Bookman Old Style"/>
          <w:sz w:val="20"/>
          <w:szCs w:val="20"/>
        </w:rPr>
      </w:pPr>
      <w:r>
        <w:rPr>
          <w:rFonts w:ascii="Bookman Old Style" w:hAnsi="Bookman Old Style"/>
          <w:sz w:val="20"/>
          <w:szCs w:val="20"/>
        </w:rPr>
        <w:t xml:space="preserve">ФСО № 7 Раздел  5: </w:t>
      </w:r>
    </w:p>
    <w:p w:rsidR="008F3634" w:rsidRPr="003A2BF2" w:rsidRDefault="00B557C0" w:rsidP="00303E37">
      <w:pPr>
        <w:pStyle w:val="aff2"/>
        <w:numPr>
          <w:ilvl w:val="0"/>
          <w:numId w:val="37"/>
        </w:numPr>
        <w:spacing w:before="120" w:after="120"/>
        <w:jc w:val="both"/>
        <w:rPr>
          <w:rFonts w:ascii="Bookman Old Style" w:hAnsi="Bookman Old Style"/>
          <w:i/>
          <w:sz w:val="20"/>
          <w:szCs w:val="20"/>
        </w:rPr>
      </w:pPr>
      <w:r w:rsidRPr="003A2BF2">
        <w:rPr>
          <w:rFonts w:ascii="Bookman Old Style" w:hAnsi="Bookman Old Style"/>
          <w:sz w:val="20"/>
          <w:szCs w:val="20"/>
        </w:rPr>
        <w:t>Статья 12:</w:t>
      </w:r>
      <w:r w:rsidR="001C65EC" w:rsidRPr="003A2BF2">
        <w:rPr>
          <w:rFonts w:ascii="Bookman Old Style" w:hAnsi="Bookman Old Style"/>
          <w:i/>
          <w:sz w:val="20"/>
          <w:szCs w:val="20"/>
        </w:rPr>
        <w:t xml:space="preserve"> </w:t>
      </w:r>
      <w:r w:rsidR="002B2FED" w:rsidRPr="003A2BF2">
        <w:rPr>
          <w:rFonts w:ascii="Bookman Old Style" w:hAnsi="Bookman Old Style"/>
          <w:i/>
          <w:sz w:val="20"/>
          <w:szCs w:val="20"/>
        </w:rPr>
        <w:t>«Анализ наиболее эффективного использования лежит в основе оценок рыночной стоимости недвижимости».</w:t>
      </w:r>
    </w:p>
    <w:p w:rsidR="002B2FED" w:rsidRPr="003A2BF2" w:rsidRDefault="00B557C0" w:rsidP="00303E37">
      <w:pPr>
        <w:pStyle w:val="aff2"/>
        <w:numPr>
          <w:ilvl w:val="0"/>
          <w:numId w:val="37"/>
        </w:numPr>
        <w:spacing w:before="120" w:after="120"/>
        <w:jc w:val="both"/>
        <w:rPr>
          <w:rFonts w:ascii="Bookman Old Style" w:hAnsi="Bookman Old Style"/>
          <w:i/>
          <w:sz w:val="20"/>
          <w:szCs w:val="20"/>
        </w:rPr>
      </w:pPr>
      <w:r w:rsidRPr="003A2BF2">
        <w:rPr>
          <w:rFonts w:ascii="Bookman Old Style" w:hAnsi="Bookman Old Style"/>
          <w:sz w:val="20"/>
          <w:szCs w:val="20"/>
        </w:rPr>
        <w:t>Статья 13:</w:t>
      </w:r>
      <w:r w:rsidRPr="003A2BF2">
        <w:rPr>
          <w:rFonts w:ascii="Bookman Old Style" w:hAnsi="Bookman Old Style"/>
          <w:i/>
          <w:sz w:val="20"/>
          <w:szCs w:val="20"/>
        </w:rPr>
        <w:t xml:space="preserve"> </w:t>
      </w:r>
      <w:r w:rsidR="002B2FED" w:rsidRPr="003A2BF2">
        <w:rPr>
          <w:rFonts w:ascii="Bookman Old Style" w:hAnsi="Bookman Old Style"/>
          <w:sz w:val="20"/>
          <w:szCs w:val="20"/>
        </w:rPr>
        <w:t>«</w:t>
      </w:r>
      <w:r w:rsidR="002B2FED" w:rsidRPr="003A2BF2">
        <w:rPr>
          <w:rFonts w:ascii="Bookman Old Style" w:hAnsi="Bookman Old Style"/>
          <w:i/>
          <w:sz w:val="20"/>
          <w:szCs w:val="20"/>
        </w:rPr>
        <w:t>Наиболее эффективное использование представляет собой такое использование недвижимости, которое максимизирует ее продуктивность (соответствует ее наибольшей стоимости) и которое физически возможно, юридически разрешено (на дату определения стоимости объекта оценки) и финансово оправдано».</w:t>
      </w:r>
    </w:p>
    <w:p w:rsidR="002B2FED" w:rsidRPr="003A2BF2" w:rsidRDefault="00B557C0" w:rsidP="00303E37">
      <w:pPr>
        <w:pStyle w:val="aff2"/>
        <w:numPr>
          <w:ilvl w:val="0"/>
          <w:numId w:val="37"/>
        </w:numPr>
        <w:spacing w:before="120" w:after="120"/>
        <w:jc w:val="both"/>
        <w:rPr>
          <w:rFonts w:ascii="Bookman Old Style" w:hAnsi="Bookman Old Style" w:cs="Bookman Old Style"/>
          <w:i/>
          <w:sz w:val="20"/>
          <w:szCs w:val="20"/>
        </w:rPr>
      </w:pPr>
      <w:r w:rsidRPr="003A2BF2">
        <w:rPr>
          <w:rFonts w:ascii="Bookman Old Style" w:hAnsi="Bookman Old Style" w:cs="Bookman Old Style"/>
          <w:sz w:val="20"/>
          <w:szCs w:val="20"/>
        </w:rPr>
        <w:t>Статья 14:</w:t>
      </w:r>
      <w:r w:rsidRPr="003A2BF2">
        <w:rPr>
          <w:rFonts w:ascii="Bookman Old Style" w:hAnsi="Bookman Old Style" w:cs="Bookman Old Style"/>
          <w:i/>
          <w:sz w:val="20"/>
          <w:szCs w:val="20"/>
        </w:rPr>
        <w:t xml:space="preserve"> </w:t>
      </w:r>
      <w:r w:rsidR="002B2FED" w:rsidRPr="003A2BF2">
        <w:rPr>
          <w:rFonts w:ascii="Bookman Old Style" w:hAnsi="Bookman Old Style" w:cs="Bookman Old Style"/>
          <w:i/>
          <w:sz w:val="20"/>
          <w:szCs w:val="20"/>
        </w:rPr>
        <w:t>«Наиболее эффективное использование представляет собой такое использование недвижимости, которое максимизирует ее продуктивность (соответствует ее наибольшей стоимости) и которое физически возможно, юридически разрешено (на дату определения стоимости объекта оценки) и финансово оправдано».</w:t>
      </w:r>
    </w:p>
    <w:p w:rsidR="002B2FED" w:rsidRPr="003A2BF2" w:rsidRDefault="00B557C0" w:rsidP="00303E37">
      <w:pPr>
        <w:pStyle w:val="aff2"/>
        <w:numPr>
          <w:ilvl w:val="0"/>
          <w:numId w:val="37"/>
        </w:numPr>
        <w:spacing w:before="120" w:after="120"/>
        <w:jc w:val="both"/>
        <w:rPr>
          <w:rFonts w:ascii="Bookman Old Style" w:hAnsi="Bookman Old Style" w:cs="Bookman Old Style"/>
          <w:i/>
          <w:sz w:val="20"/>
          <w:szCs w:val="20"/>
        </w:rPr>
      </w:pPr>
      <w:r w:rsidRPr="003A2BF2">
        <w:rPr>
          <w:rFonts w:ascii="Bookman Old Style" w:hAnsi="Bookman Old Style" w:cs="Bookman Old Style"/>
          <w:sz w:val="20"/>
          <w:szCs w:val="20"/>
        </w:rPr>
        <w:t>Статья 15:</w:t>
      </w:r>
      <w:r w:rsidRPr="003A2BF2">
        <w:rPr>
          <w:rFonts w:ascii="Bookman Old Style" w:hAnsi="Bookman Old Style" w:cs="Bookman Old Style"/>
          <w:i/>
          <w:sz w:val="20"/>
          <w:szCs w:val="20"/>
        </w:rPr>
        <w:t xml:space="preserve"> </w:t>
      </w:r>
      <w:r w:rsidR="002B2FED" w:rsidRPr="003A2BF2">
        <w:rPr>
          <w:rFonts w:ascii="Bookman Old Style" w:hAnsi="Bookman Old Style" w:cs="Bookman Old Style"/>
          <w:i/>
          <w:sz w:val="20"/>
          <w:szCs w:val="20"/>
        </w:rPr>
        <w:t>«Наиболее эффективное использование объекта недвижимости может соответствовать его фактическому использованию или предполагать иное использование, например ремонт (или реконструкцию) имеющихся на земельном участке объектов капитального строительства».</w:t>
      </w:r>
    </w:p>
    <w:p w:rsidR="002B2FED" w:rsidRPr="003A2BF2" w:rsidRDefault="00B557C0" w:rsidP="00303E37">
      <w:pPr>
        <w:pStyle w:val="aff2"/>
        <w:numPr>
          <w:ilvl w:val="0"/>
          <w:numId w:val="37"/>
        </w:numPr>
        <w:spacing w:before="120" w:after="120"/>
        <w:jc w:val="both"/>
        <w:rPr>
          <w:rFonts w:ascii="Bookman Old Style" w:hAnsi="Bookman Old Style" w:cs="Bookman Old Style"/>
          <w:sz w:val="20"/>
          <w:szCs w:val="20"/>
        </w:rPr>
      </w:pPr>
      <w:r w:rsidRPr="003A2BF2">
        <w:rPr>
          <w:rFonts w:ascii="Bookman Old Style" w:hAnsi="Bookman Old Style" w:cs="Bookman Old Style"/>
          <w:sz w:val="20"/>
          <w:szCs w:val="20"/>
        </w:rPr>
        <w:t>Статья 16:</w:t>
      </w:r>
      <w:r w:rsidR="002B2FED" w:rsidRPr="003A2BF2">
        <w:rPr>
          <w:rFonts w:ascii="Bookman Old Style" w:hAnsi="Bookman Old Style" w:cs="Bookman Old Style"/>
          <w:i/>
          <w:sz w:val="20"/>
          <w:szCs w:val="20"/>
        </w:rPr>
        <w:t>«Анализ наиболее эффективного использования позволяет выявить наиболее прибыльное использование объекта недвижимости, на который ориентируются участники рынка (покупатели и продавцы) при формировании цены сделки. При определении рыночной стоимости оценщик руководствуется результатами этого анализа для выбора подходов и методов оценки объекта оценки и выбора сопоставимых объектов недвижимости при применении каждого подхода».</w:t>
      </w:r>
    </w:p>
    <w:p w:rsidR="002B2FED" w:rsidRPr="003A2BF2" w:rsidRDefault="00B557C0" w:rsidP="00303E37">
      <w:pPr>
        <w:pStyle w:val="aff2"/>
        <w:numPr>
          <w:ilvl w:val="0"/>
          <w:numId w:val="37"/>
        </w:numPr>
        <w:spacing w:before="120" w:after="120"/>
        <w:jc w:val="both"/>
        <w:rPr>
          <w:rFonts w:ascii="Bookman Old Style" w:hAnsi="Bookman Old Style" w:cs="Bookman Old Style"/>
          <w:i/>
          <w:sz w:val="20"/>
          <w:szCs w:val="20"/>
        </w:rPr>
      </w:pPr>
      <w:r w:rsidRPr="003A2BF2">
        <w:rPr>
          <w:rFonts w:ascii="Bookman Old Style" w:hAnsi="Bookman Old Style" w:cs="Bookman Old Style"/>
          <w:sz w:val="20"/>
          <w:szCs w:val="20"/>
        </w:rPr>
        <w:t>Статья 17:</w:t>
      </w:r>
      <w:r w:rsidRPr="003A2BF2">
        <w:rPr>
          <w:rFonts w:ascii="Bookman Old Style" w:hAnsi="Bookman Old Style" w:cs="Bookman Old Style"/>
          <w:i/>
          <w:sz w:val="20"/>
          <w:szCs w:val="20"/>
        </w:rPr>
        <w:t xml:space="preserve"> </w:t>
      </w:r>
      <w:r w:rsidR="002B2FED" w:rsidRPr="003A2BF2">
        <w:rPr>
          <w:rFonts w:ascii="Bookman Old Style" w:hAnsi="Bookman Old Style" w:cs="Bookman Old Style"/>
          <w:i/>
          <w:sz w:val="20"/>
          <w:szCs w:val="20"/>
        </w:rPr>
        <w:t>«Анализ наиболее эффективного использования объекта оценки проводится, как правило, по объемно-планировочным и конструктивным решениям. Для объектов оценки, включающих в себя земельный участок и объекты капитального строительства, наиболее эффективное использование определяется с учетом имеющихся объектов капитального строительства. При этом такой анализ выполняется путем проведения необходимых для этого вычислений либо без них, если представлены обоснования, не требующие расчетов».</w:t>
      </w:r>
    </w:p>
    <w:p w:rsidR="002B2FED" w:rsidRPr="003A2BF2" w:rsidRDefault="00B557C0" w:rsidP="00303E37">
      <w:pPr>
        <w:pStyle w:val="aff2"/>
        <w:numPr>
          <w:ilvl w:val="0"/>
          <w:numId w:val="37"/>
        </w:numPr>
        <w:tabs>
          <w:tab w:val="left" w:pos="2279"/>
        </w:tabs>
        <w:spacing w:before="120" w:after="120"/>
        <w:rPr>
          <w:rFonts w:ascii="Bookman Old Style" w:hAnsi="Bookman Old Style" w:cs="Bookman Old Style"/>
          <w:i/>
          <w:sz w:val="20"/>
          <w:szCs w:val="20"/>
        </w:rPr>
      </w:pPr>
      <w:r w:rsidRPr="003A2BF2">
        <w:rPr>
          <w:rFonts w:ascii="Bookman Old Style" w:hAnsi="Bookman Old Style" w:cs="Bookman Old Style"/>
          <w:sz w:val="20"/>
          <w:szCs w:val="20"/>
        </w:rPr>
        <w:t>Статья 18:</w:t>
      </w:r>
      <w:r w:rsidRPr="003A2BF2">
        <w:rPr>
          <w:rFonts w:ascii="Bookman Old Style" w:hAnsi="Bookman Old Style" w:cs="Bookman Old Style"/>
          <w:i/>
          <w:sz w:val="20"/>
          <w:szCs w:val="20"/>
        </w:rPr>
        <w:t xml:space="preserve"> </w:t>
      </w:r>
      <w:r w:rsidR="002B2FED" w:rsidRPr="003A2BF2">
        <w:rPr>
          <w:rFonts w:ascii="Bookman Old Style" w:hAnsi="Bookman Old Style" w:cs="Bookman Old Style"/>
          <w:i/>
          <w:sz w:val="20"/>
          <w:szCs w:val="20"/>
        </w:rPr>
        <w:t>«Анализ наиболее эффективного использования частей объекта недвижимости, например встроенных жилых и нежилых помещений, проводится с учетом фактического использования других частей этого объекта».</w:t>
      </w:r>
    </w:p>
    <w:p w:rsidR="002B2FED" w:rsidRPr="003A2BF2" w:rsidRDefault="00B557C0" w:rsidP="00303E37">
      <w:pPr>
        <w:pStyle w:val="aff2"/>
        <w:numPr>
          <w:ilvl w:val="0"/>
          <w:numId w:val="37"/>
        </w:numPr>
        <w:spacing w:before="120" w:after="120"/>
        <w:rPr>
          <w:rFonts w:ascii="Bookman Old Style" w:hAnsi="Bookman Old Style" w:cs="Bookman Old Style"/>
          <w:i/>
          <w:sz w:val="20"/>
          <w:szCs w:val="20"/>
        </w:rPr>
      </w:pPr>
      <w:r w:rsidRPr="003A2BF2">
        <w:rPr>
          <w:rFonts w:ascii="Bookman Old Style" w:hAnsi="Bookman Old Style" w:cs="Bookman Old Style"/>
          <w:sz w:val="20"/>
          <w:szCs w:val="20"/>
        </w:rPr>
        <w:t>Статья 19:</w:t>
      </w:r>
      <w:r w:rsidRPr="003A2BF2">
        <w:rPr>
          <w:rFonts w:ascii="Bookman Old Style" w:hAnsi="Bookman Old Style" w:cs="Bookman Old Style"/>
          <w:i/>
          <w:sz w:val="20"/>
          <w:szCs w:val="20"/>
        </w:rPr>
        <w:t xml:space="preserve"> </w:t>
      </w:r>
      <w:r w:rsidR="002B2FED" w:rsidRPr="003A2BF2">
        <w:rPr>
          <w:rFonts w:ascii="Bookman Old Style" w:hAnsi="Bookman Old Style" w:cs="Bookman Old Style"/>
          <w:i/>
          <w:sz w:val="20"/>
          <w:szCs w:val="20"/>
        </w:rPr>
        <w:t>«Анализ наиболее эффективного использования части реконструируемого или подлежащего реконструкции объекта недвижимости проводится с учетом наиболее эффективного использования всего реконструируемого объекта недвижимости».</w:t>
      </w:r>
    </w:p>
    <w:p w:rsidR="002B2FED" w:rsidRPr="003A2BF2" w:rsidRDefault="00B557C0" w:rsidP="00303E37">
      <w:pPr>
        <w:pStyle w:val="aff2"/>
        <w:numPr>
          <w:ilvl w:val="0"/>
          <w:numId w:val="37"/>
        </w:numPr>
        <w:spacing w:before="120" w:after="120"/>
        <w:rPr>
          <w:rFonts w:ascii="Bookman Old Style" w:hAnsi="Bookman Old Style" w:cs="Bookman Old Style"/>
          <w:i/>
          <w:sz w:val="20"/>
          <w:szCs w:val="20"/>
        </w:rPr>
      </w:pPr>
      <w:r w:rsidRPr="003A2BF2">
        <w:rPr>
          <w:rFonts w:ascii="Bookman Old Style" w:hAnsi="Bookman Old Style" w:cs="Bookman Old Style"/>
          <w:sz w:val="20"/>
          <w:szCs w:val="20"/>
        </w:rPr>
        <w:t>Статья 20:</w:t>
      </w:r>
      <w:r w:rsidRPr="003A2BF2">
        <w:rPr>
          <w:rFonts w:ascii="Bookman Old Style" w:hAnsi="Bookman Old Style" w:cs="Bookman Old Style"/>
          <w:i/>
          <w:sz w:val="20"/>
          <w:szCs w:val="20"/>
        </w:rPr>
        <w:t xml:space="preserve"> </w:t>
      </w:r>
      <w:r w:rsidR="002B2FED" w:rsidRPr="003A2BF2">
        <w:rPr>
          <w:rFonts w:ascii="Bookman Old Style" w:hAnsi="Bookman Old Style" w:cs="Bookman Old Style"/>
          <w:i/>
          <w:sz w:val="20"/>
          <w:szCs w:val="20"/>
        </w:rPr>
        <w:t>«Наиболее эффективное использование объекта недвижимости, оцениваемого в отдельности, может отличаться от его наиболее эффективного использования в составе оцениваемого комплекса объектов недвижимости».</w:t>
      </w:r>
    </w:p>
    <w:p w:rsidR="00413F32" w:rsidRDefault="002B2FED" w:rsidP="00434B45">
      <w:pPr>
        <w:spacing w:before="120" w:after="120"/>
        <w:ind w:firstLine="709"/>
        <w:jc w:val="both"/>
        <w:rPr>
          <w:rFonts w:ascii="Bookman Old Style" w:hAnsi="Bookman Old Style"/>
          <w:sz w:val="20"/>
          <w:szCs w:val="20"/>
        </w:rPr>
      </w:pPr>
      <w:r>
        <w:rPr>
          <w:rFonts w:ascii="Bookman Old Style" w:hAnsi="Bookman Old Style"/>
          <w:sz w:val="20"/>
          <w:szCs w:val="20"/>
        </w:rPr>
        <w:t>Исходя из изложенных п</w:t>
      </w:r>
      <w:r w:rsidR="00413F32" w:rsidRPr="00CF084F">
        <w:rPr>
          <w:rFonts w:ascii="Bookman Old Style" w:hAnsi="Bookman Old Style"/>
          <w:sz w:val="20"/>
          <w:szCs w:val="20"/>
        </w:rPr>
        <w:t>оняти</w:t>
      </w:r>
      <w:r>
        <w:rPr>
          <w:rFonts w:ascii="Bookman Old Style" w:hAnsi="Bookman Old Style"/>
          <w:sz w:val="20"/>
          <w:szCs w:val="20"/>
        </w:rPr>
        <w:t>й и определений</w:t>
      </w:r>
      <w:r w:rsidR="00E4209D">
        <w:rPr>
          <w:rFonts w:ascii="Bookman Old Style" w:hAnsi="Bookman Old Style"/>
          <w:sz w:val="20"/>
          <w:szCs w:val="20"/>
        </w:rPr>
        <w:t>, утвержденных законодательством РФ регулирующих оценочную деятельность,</w:t>
      </w:r>
      <w:r w:rsidR="00413F32" w:rsidRPr="00CF084F">
        <w:rPr>
          <w:rFonts w:ascii="Bookman Old Style" w:hAnsi="Bookman Old Style"/>
          <w:sz w:val="20"/>
          <w:szCs w:val="20"/>
        </w:rPr>
        <w:t xml:space="preserve"> </w:t>
      </w:r>
      <w:r>
        <w:rPr>
          <w:rFonts w:ascii="Bookman Old Style" w:hAnsi="Bookman Old Style"/>
          <w:sz w:val="20"/>
          <w:szCs w:val="20"/>
        </w:rPr>
        <w:t>анализ наиболее эффективного использования является</w:t>
      </w:r>
      <w:r w:rsidR="00413F32" w:rsidRPr="00CF084F">
        <w:rPr>
          <w:rFonts w:ascii="Bookman Old Style" w:hAnsi="Bookman Old Style"/>
          <w:sz w:val="20"/>
          <w:szCs w:val="20"/>
        </w:rPr>
        <w:t xml:space="preserve"> основополагающим, а также является неотъемлемой частью расчетов рыночной стоимости.</w:t>
      </w:r>
    </w:p>
    <w:p w:rsidR="00413F32" w:rsidRPr="000877E7" w:rsidRDefault="00413F32" w:rsidP="000877E7">
      <w:pPr>
        <w:pStyle w:val="3"/>
        <w:rPr>
          <w:rFonts w:ascii="Bookman Old Style" w:hAnsi="Bookman Old Style"/>
          <w:sz w:val="20"/>
          <w:szCs w:val="20"/>
        </w:rPr>
      </w:pPr>
      <w:bookmarkStart w:id="251" w:name="_Toc365041374"/>
      <w:bookmarkStart w:id="252" w:name="_Toc461206399"/>
      <w:r w:rsidRPr="000877E7">
        <w:rPr>
          <w:rFonts w:ascii="Bookman Old Style" w:hAnsi="Bookman Old Style"/>
          <w:sz w:val="20"/>
          <w:szCs w:val="20"/>
        </w:rPr>
        <w:t xml:space="preserve">5.3.1. </w:t>
      </w:r>
      <w:r w:rsidR="003F6B03" w:rsidRPr="000877E7">
        <w:rPr>
          <w:rFonts w:ascii="Bookman Old Style" w:hAnsi="Bookman Old Style"/>
          <w:sz w:val="20"/>
          <w:szCs w:val="20"/>
        </w:rPr>
        <w:t xml:space="preserve">Анализ </w:t>
      </w:r>
      <w:r w:rsidRPr="000877E7">
        <w:rPr>
          <w:rFonts w:ascii="Bookman Old Style" w:hAnsi="Bookman Old Style"/>
          <w:sz w:val="20"/>
          <w:szCs w:val="20"/>
        </w:rPr>
        <w:t>НЭИ</w:t>
      </w:r>
      <w:bookmarkEnd w:id="251"/>
      <w:bookmarkEnd w:id="252"/>
    </w:p>
    <w:p w:rsidR="003F6B03" w:rsidRDefault="003F6B03" w:rsidP="003F6B03">
      <w:pPr>
        <w:spacing w:before="120" w:after="120"/>
        <w:ind w:firstLine="709"/>
        <w:jc w:val="both"/>
        <w:rPr>
          <w:rFonts w:ascii="Bookman Old Style" w:hAnsi="Bookman Old Style"/>
          <w:sz w:val="20"/>
          <w:szCs w:val="20"/>
        </w:rPr>
      </w:pPr>
      <w:r>
        <w:rPr>
          <w:rFonts w:ascii="Bookman Old Style" w:hAnsi="Bookman Old Style"/>
          <w:sz w:val="20"/>
          <w:szCs w:val="20"/>
        </w:rPr>
        <w:t>В связи с тем, что методика проведения анализа НЭИ в Федеральных стандартах оценки не представлена, проведен анализ</w:t>
      </w:r>
      <w:r w:rsidR="00771BB5">
        <w:rPr>
          <w:rFonts w:ascii="Bookman Old Style" w:hAnsi="Bookman Old Style"/>
          <w:sz w:val="20"/>
          <w:szCs w:val="20"/>
        </w:rPr>
        <w:t xml:space="preserve"> Объекта оценки в соответствии пунктами</w:t>
      </w:r>
      <w:r>
        <w:rPr>
          <w:rFonts w:ascii="Bookman Old Style" w:hAnsi="Bookman Old Style"/>
          <w:sz w:val="20"/>
          <w:szCs w:val="20"/>
        </w:rPr>
        <w:t xml:space="preserve"> установленны</w:t>
      </w:r>
      <w:r w:rsidR="00771BB5">
        <w:rPr>
          <w:rFonts w:ascii="Bookman Old Style" w:hAnsi="Bookman Old Style"/>
          <w:sz w:val="20"/>
          <w:szCs w:val="20"/>
        </w:rPr>
        <w:t>ми</w:t>
      </w:r>
      <w:r>
        <w:rPr>
          <w:rFonts w:ascii="Bookman Old Style" w:hAnsi="Bookman Old Style"/>
          <w:sz w:val="20"/>
          <w:szCs w:val="20"/>
        </w:rPr>
        <w:t xml:space="preserve"> ФСО № 7 раздел 5.</w:t>
      </w:r>
    </w:p>
    <w:p w:rsidR="009E0D79" w:rsidRPr="009E0D79" w:rsidRDefault="009E0D79" w:rsidP="009E0D79">
      <w:pPr>
        <w:spacing w:before="120" w:after="120"/>
        <w:ind w:firstLine="709"/>
        <w:jc w:val="both"/>
        <w:rPr>
          <w:rFonts w:ascii="Bookman Old Style" w:hAnsi="Bookman Old Style"/>
          <w:i/>
          <w:sz w:val="20"/>
          <w:szCs w:val="20"/>
        </w:rPr>
      </w:pPr>
      <w:r w:rsidRPr="009E0D79">
        <w:rPr>
          <w:rFonts w:ascii="Bookman Old Style" w:hAnsi="Bookman Old Style"/>
          <w:sz w:val="20"/>
          <w:szCs w:val="20"/>
        </w:rPr>
        <w:t>Анализ НЭИ в соответствии со статьями ФСО № 7:</w:t>
      </w:r>
      <w:r w:rsidRPr="009E0D79">
        <w:rPr>
          <w:rFonts w:ascii="Bookman Old Style" w:hAnsi="Bookman Old Style"/>
          <w:i/>
          <w:sz w:val="20"/>
          <w:szCs w:val="20"/>
        </w:rPr>
        <w:t xml:space="preserve"> </w:t>
      </w:r>
    </w:p>
    <w:p w:rsidR="009E0D79" w:rsidRPr="009E0D79" w:rsidRDefault="009E0D79" w:rsidP="009E0D79">
      <w:pPr>
        <w:spacing w:before="120" w:after="120"/>
        <w:ind w:firstLine="709"/>
        <w:jc w:val="both"/>
        <w:rPr>
          <w:rFonts w:ascii="Bookman Old Style" w:hAnsi="Bookman Old Style"/>
          <w:i/>
          <w:sz w:val="20"/>
          <w:szCs w:val="20"/>
        </w:rPr>
      </w:pPr>
      <w:r w:rsidRPr="009E0D79">
        <w:rPr>
          <w:rFonts w:ascii="Bookman Old Style" w:hAnsi="Bookman Old Style"/>
          <w:sz w:val="20"/>
          <w:szCs w:val="20"/>
        </w:rPr>
        <w:t>«</w:t>
      </w:r>
      <w:r w:rsidRPr="009E0D79">
        <w:rPr>
          <w:rFonts w:ascii="Bookman Old Style" w:hAnsi="Bookman Old Style"/>
          <w:i/>
          <w:sz w:val="20"/>
          <w:szCs w:val="20"/>
        </w:rPr>
        <w:t>Наиболее эффективное использование представляет собой такое использование недвижимости, которое максимизирует ее продуктивность (соответствует ее наибольшей стоимости) и которое физически возможно, юридически разрешено (на дату определения стоимости объекта оценки) и финансово оправдано»</w:t>
      </w:r>
    </w:p>
    <w:p w:rsidR="009E0D79" w:rsidRPr="009E0D79" w:rsidRDefault="009E0D79" w:rsidP="009E0D79">
      <w:pPr>
        <w:spacing w:before="120" w:after="120"/>
        <w:ind w:firstLine="709"/>
        <w:jc w:val="both"/>
        <w:rPr>
          <w:rFonts w:ascii="Bookman Old Style" w:hAnsi="Bookman Old Style"/>
          <w:i/>
          <w:sz w:val="20"/>
          <w:szCs w:val="20"/>
        </w:rPr>
      </w:pPr>
      <w:r w:rsidRPr="009E0D79">
        <w:rPr>
          <w:rFonts w:ascii="Bookman Old Style" w:hAnsi="Bookman Old Style"/>
          <w:i/>
          <w:sz w:val="20"/>
          <w:szCs w:val="20"/>
        </w:rPr>
        <w:t xml:space="preserve">«Анализ наиболее эффективного использования позволяет выявить наиболее прибыльное использование объекта недвижимости, на который ориентируются участники рынка (покупатели и продавцы) при формировании цены сделки. При определении рыночной стоимости оценщик руководствуется результатами этого анализа для выбора подходов и методов оценки </w:t>
      </w:r>
      <w:r w:rsidRPr="009E0D79">
        <w:rPr>
          <w:rFonts w:ascii="Bookman Old Style" w:hAnsi="Bookman Old Style"/>
          <w:i/>
          <w:sz w:val="20"/>
          <w:szCs w:val="20"/>
        </w:rPr>
        <w:lastRenderedPageBreak/>
        <w:t>объекта оценки и выбора сопоставимых объектов недвижимости при применении каждого подхода»</w:t>
      </w:r>
    </w:p>
    <w:p w:rsidR="009E0D79" w:rsidRDefault="009E0D79" w:rsidP="009E0D79">
      <w:pPr>
        <w:suppressAutoHyphens/>
        <w:spacing w:before="120" w:after="120"/>
        <w:ind w:firstLine="567"/>
        <w:jc w:val="both"/>
        <w:rPr>
          <w:rFonts w:ascii="Bookman Old Style" w:hAnsi="Bookman Old Style"/>
          <w:color w:val="000000"/>
          <w:sz w:val="20"/>
          <w:szCs w:val="20"/>
        </w:rPr>
      </w:pPr>
      <w:bookmarkStart w:id="253" w:name="_Toc213831276"/>
      <w:bookmarkStart w:id="254" w:name="_Toc216160141"/>
      <w:bookmarkStart w:id="255" w:name="_Toc238617589"/>
      <w:bookmarkStart w:id="256" w:name="_Toc330465459"/>
      <w:bookmarkStart w:id="257" w:name="_Toc365041375"/>
      <w:r w:rsidRPr="00275286">
        <w:rPr>
          <w:rFonts w:ascii="Bookman Old Style" w:hAnsi="Bookman Old Style"/>
          <w:color w:val="000000"/>
          <w:sz w:val="20"/>
          <w:szCs w:val="20"/>
        </w:rPr>
        <w:t>Для определения наиболее эффективного использования необходимо провести анализ в соответствии с четырьмя нижеперечисленными критериями:</w:t>
      </w:r>
    </w:p>
    <w:p w:rsidR="009E0D79" w:rsidRPr="00275286" w:rsidRDefault="009E0D79" w:rsidP="009E0D79">
      <w:pPr>
        <w:suppressAutoHyphens/>
        <w:spacing w:before="120" w:after="120"/>
        <w:ind w:firstLine="567"/>
        <w:jc w:val="both"/>
        <w:rPr>
          <w:rFonts w:ascii="Bookman Old Style" w:hAnsi="Bookman Old Style"/>
          <w:color w:val="000000"/>
          <w:sz w:val="20"/>
          <w:szCs w:val="20"/>
        </w:rPr>
      </w:pPr>
      <w:r w:rsidRPr="00275286">
        <w:rPr>
          <w:rFonts w:ascii="Bookman Old Style" w:hAnsi="Bookman Old Style"/>
          <w:color w:val="000000"/>
          <w:sz w:val="20"/>
          <w:szCs w:val="20"/>
        </w:rPr>
        <w:t>1) Юридическая правомочность;</w:t>
      </w:r>
    </w:p>
    <w:p w:rsidR="009E0D79" w:rsidRPr="00275286" w:rsidRDefault="009E0D79" w:rsidP="009E0D79">
      <w:pPr>
        <w:suppressAutoHyphens/>
        <w:spacing w:before="120" w:after="120"/>
        <w:ind w:firstLine="567"/>
        <w:jc w:val="both"/>
        <w:rPr>
          <w:rFonts w:ascii="Bookman Old Style" w:hAnsi="Bookman Old Style"/>
          <w:color w:val="000000"/>
          <w:sz w:val="20"/>
          <w:szCs w:val="20"/>
        </w:rPr>
      </w:pPr>
      <w:r w:rsidRPr="00275286">
        <w:rPr>
          <w:rFonts w:ascii="Bookman Old Style" w:hAnsi="Bookman Old Style"/>
          <w:color w:val="000000"/>
          <w:sz w:val="20"/>
          <w:szCs w:val="20"/>
        </w:rPr>
        <w:t>При анализе данного критерия необходимо принимать во внимание различные юридические ограничения, которые включают</w:t>
      </w:r>
      <w:r>
        <w:rPr>
          <w:rFonts w:ascii="Bookman Old Style" w:hAnsi="Bookman Old Style"/>
          <w:color w:val="000000"/>
          <w:sz w:val="20"/>
          <w:szCs w:val="20"/>
        </w:rPr>
        <w:t xml:space="preserve"> в себя, например: права на Объект оценки,</w:t>
      </w:r>
      <w:r w:rsidRPr="00275286">
        <w:rPr>
          <w:rFonts w:ascii="Bookman Old Style" w:hAnsi="Bookman Old Style"/>
          <w:color w:val="000000"/>
          <w:sz w:val="20"/>
          <w:szCs w:val="20"/>
        </w:rPr>
        <w:t xml:space="preserve"> правила зонирования, строительные кодексы, законодательство в области окружающей среды и другие действующие законодательные акты</w:t>
      </w:r>
      <w:r>
        <w:rPr>
          <w:rFonts w:ascii="Bookman Old Style" w:hAnsi="Bookman Old Style"/>
          <w:color w:val="000000"/>
          <w:sz w:val="20"/>
          <w:szCs w:val="20"/>
        </w:rPr>
        <w:t xml:space="preserve"> в сфере функционирования Объекта оценки.</w:t>
      </w:r>
    </w:p>
    <w:p w:rsidR="009E0D79" w:rsidRPr="00275286" w:rsidRDefault="009E0D79" w:rsidP="009E0D79">
      <w:pPr>
        <w:suppressAutoHyphens/>
        <w:spacing w:before="120" w:after="120"/>
        <w:ind w:firstLine="567"/>
        <w:jc w:val="both"/>
        <w:rPr>
          <w:rFonts w:ascii="Bookman Old Style" w:hAnsi="Bookman Old Style"/>
          <w:color w:val="000000"/>
          <w:sz w:val="20"/>
          <w:szCs w:val="20"/>
        </w:rPr>
      </w:pPr>
      <w:r w:rsidRPr="00275286">
        <w:rPr>
          <w:rFonts w:ascii="Bookman Old Style" w:hAnsi="Bookman Old Style"/>
          <w:color w:val="000000"/>
          <w:sz w:val="20"/>
          <w:szCs w:val="20"/>
        </w:rPr>
        <w:t>2) Физическая осуществимость;</w:t>
      </w:r>
    </w:p>
    <w:p w:rsidR="009E0D79" w:rsidRPr="00275286" w:rsidRDefault="009E0D79" w:rsidP="009E0D79">
      <w:pPr>
        <w:suppressAutoHyphens/>
        <w:spacing w:before="120" w:after="120"/>
        <w:ind w:firstLine="567"/>
        <w:jc w:val="both"/>
        <w:rPr>
          <w:rFonts w:ascii="Bookman Old Style" w:hAnsi="Bookman Old Style"/>
          <w:color w:val="000000"/>
          <w:sz w:val="20"/>
          <w:szCs w:val="20"/>
        </w:rPr>
      </w:pPr>
      <w:r w:rsidRPr="00275286">
        <w:rPr>
          <w:rFonts w:ascii="Bookman Old Style" w:hAnsi="Bookman Old Style"/>
          <w:color w:val="000000"/>
          <w:sz w:val="20"/>
          <w:szCs w:val="20"/>
        </w:rPr>
        <w:t>Данный критерий предполагает анализ физических характеристик</w:t>
      </w:r>
      <w:r>
        <w:rPr>
          <w:rFonts w:ascii="Bookman Old Style" w:hAnsi="Bookman Old Style"/>
          <w:color w:val="000000"/>
          <w:sz w:val="20"/>
          <w:szCs w:val="20"/>
        </w:rPr>
        <w:t>, основным из которых является состояние оцениваемого объекта, например объект может быть использован по фактическому использованию либо предполагать ремонт или реконструкцию.</w:t>
      </w:r>
    </w:p>
    <w:p w:rsidR="009E0D79" w:rsidRPr="00275286" w:rsidRDefault="009E0D79" w:rsidP="009E0D79">
      <w:pPr>
        <w:suppressAutoHyphens/>
        <w:spacing w:before="120" w:after="120"/>
        <w:ind w:firstLine="567"/>
        <w:jc w:val="both"/>
        <w:rPr>
          <w:rFonts w:ascii="Bookman Old Style" w:hAnsi="Bookman Old Style"/>
          <w:color w:val="000000"/>
          <w:sz w:val="20"/>
          <w:szCs w:val="20"/>
        </w:rPr>
      </w:pPr>
      <w:r w:rsidRPr="00275286">
        <w:rPr>
          <w:rFonts w:ascii="Bookman Old Style" w:hAnsi="Bookman Old Style"/>
          <w:color w:val="000000"/>
          <w:sz w:val="20"/>
          <w:szCs w:val="20"/>
        </w:rPr>
        <w:t>3) Финансовая оправданность;</w:t>
      </w:r>
    </w:p>
    <w:p w:rsidR="009E0D79" w:rsidRPr="00275286" w:rsidRDefault="009E0D79" w:rsidP="009E0D79">
      <w:pPr>
        <w:suppressAutoHyphens/>
        <w:spacing w:before="120" w:after="120"/>
        <w:ind w:firstLine="567"/>
        <w:jc w:val="both"/>
        <w:rPr>
          <w:rFonts w:ascii="Bookman Old Style" w:hAnsi="Bookman Old Style"/>
          <w:color w:val="000000"/>
          <w:sz w:val="20"/>
          <w:szCs w:val="20"/>
        </w:rPr>
      </w:pPr>
      <w:r w:rsidRPr="00275286">
        <w:rPr>
          <w:rFonts w:ascii="Bookman Old Style" w:hAnsi="Bookman Old Style"/>
          <w:color w:val="000000"/>
          <w:sz w:val="20"/>
          <w:szCs w:val="20"/>
        </w:rPr>
        <w:t>Из всех физически возможных и законодательно разрешенных вариантов использования земельного участка выбираются такие, которые обеспечивают отдачу, превышающую величину необходимых инвестиций и эксплу</w:t>
      </w:r>
      <w:r>
        <w:rPr>
          <w:rFonts w:ascii="Bookman Old Style" w:hAnsi="Bookman Old Style"/>
          <w:color w:val="000000"/>
          <w:sz w:val="20"/>
          <w:szCs w:val="20"/>
        </w:rPr>
        <w:t>а</w:t>
      </w:r>
      <w:r w:rsidRPr="00275286">
        <w:rPr>
          <w:rFonts w:ascii="Bookman Old Style" w:hAnsi="Bookman Old Style"/>
          <w:color w:val="000000"/>
          <w:sz w:val="20"/>
          <w:szCs w:val="20"/>
        </w:rPr>
        <w:t>тационных расходов.</w:t>
      </w:r>
    </w:p>
    <w:p w:rsidR="009E0D79" w:rsidRPr="00275286" w:rsidRDefault="009E0D79" w:rsidP="009E0D79">
      <w:pPr>
        <w:suppressAutoHyphens/>
        <w:spacing w:before="120" w:after="120"/>
        <w:ind w:firstLine="567"/>
        <w:jc w:val="both"/>
        <w:rPr>
          <w:rFonts w:ascii="Bookman Old Style" w:hAnsi="Bookman Old Style"/>
          <w:color w:val="000000"/>
          <w:sz w:val="20"/>
          <w:szCs w:val="20"/>
        </w:rPr>
      </w:pPr>
      <w:r w:rsidRPr="00275286">
        <w:rPr>
          <w:rFonts w:ascii="Bookman Old Style" w:hAnsi="Bookman Old Style"/>
          <w:color w:val="000000"/>
          <w:sz w:val="20"/>
          <w:szCs w:val="20"/>
        </w:rPr>
        <w:t>4) Максимально экономически эффективное использование.</w:t>
      </w:r>
    </w:p>
    <w:p w:rsidR="009E0D79" w:rsidRPr="00275286" w:rsidRDefault="009E0D79" w:rsidP="009E0D79">
      <w:pPr>
        <w:suppressAutoHyphens/>
        <w:spacing w:before="120" w:after="120"/>
        <w:ind w:firstLine="567"/>
        <w:jc w:val="both"/>
        <w:rPr>
          <w:rFonts w:ascii="Bookman Old Style" w:hAnsi="Bookman Old Style"/>
          <w:color w:val="000000"/>
          <w:sz w:val="20"/>
          <w:szCs w:val="20"/>
        </w:rPr>
      </w:pPr>
      <w:r w:rsidRPr="00275286">
        <w:rPr>
          <w:rFonts w:ascii="Bookman Old Style" w:hAnsi="Bookman Old Style"/>
          <w:color w:val="000000"/>
          <w:sz w:val="20"/>
          <w:szCs w:val="20"/>
        </w:rPr>
        <w:t xml:space="preserve">Использование, которое соответствует максимальной отдаче среди всех рассмотренных финансово состоятельных вариантов. </w:t>
      </w:r>
    </w:p>
    <w:p w:rsidR="009E0D79" w:rsidRPr="00275286" w:rsidRDefault="009E0D79" w:rsidP="009E0D79">
      <w:pPr>
        <w:spacing w:before="120" w:after="120"/>
        <w:ind w:firstLine="567"/>
        <w:jc w:val="both"/>
        <w:rPr>
          <w:rFonts w:ascii="Bookman Old Style" w:hAnsi="Bookman Old Style"/>
          <w:color w:val="000000"/>
          <w:sz w:val="20"/>
          <w:szCs w:val="20"/>
        </w:rPr>
      </w:pPr>
      <w:r w:rsidRPr="00275286">
        <w:rPr>
          <w:rFonts w:ascii="Bookman Old Style" w:hAnsi="Bookman Old Style"/>
          <w:color w:val="000000"/>
          <w:sz w:val="20"/>
          <w:szCs w:val="20"/>
        </w:rPr>
        <w:t>Первоначально недвижимость рассматривается с позиций двух вышеперечисленных критериев: юридическая правомочность и физическая осуществимость. Далее из всех физически возможных и законодательно разрешенных вариантов использования недвижимости выбираются такие, которые являются экономически целесообразными и при этом обеспечивают максимальный доход.</w:t>
      </w:r>
    </w:p>
    <w:p w:rsidR="009E0D79" w:rsidRPr="00B21788" w:rsidRDefault="009E0D79" w:rsidP="00303E37">
      <w:pPr>
        <w:pStyle w:val="aff2"/>
        <w:numPr>
          <w:ilvl w:val="0"/>
          <w:numId w:val="41"/>
        </w:numPr>
        <w:spacing w:before="120" w:after="120"/>
        <w:jc w:val="both"/>
        <w:rPr>
          <w:rFonts w:ascii="Bookman Old Style" w:hAnsi="Bookman Old Style"/>
          <w:sz w:val="20"/>
          <w:szCs w:val="20"/>
        </w:rPr>
      </w:pPr>
      <w:r w:rsidRPr="00B21788">
        <w:rPr>
          <w:rFonts w:ascii="Bookman Old Style" w:hAnsi="Bookman Old Style"/>
          <w:sz w:val="20"/>
          <w:szCs w:val="20"/>
        </w:rPr>
        <w:t>Юридическая правомочность. ООО «</w:t>
      </w:r>
      <w:r w:rsidR="005F6A69">
        <w:rPr>
          <w:rFonts w:ascii="Bookman Old Style" w:hAnsi="Bookman Old Style"/>
          <w:sz w:val="20"/>
          <w:szCs w:val="20"/>
        </w:rPr>
        <w:t>Окно</w:t>
      </w:r>
      <w:r w:rsidRPr="00B21788">
        <w:rPr>
          <w:rFonts w:ascii="Bookman Old Style" w:hAnsi="Bookman Old Style"/>
          <w:sz w:val="20"/>
          <w:szCs w:val="20"/>
        </w:rPr>
        <w:t>» признано банкротом в соответствии с законодательством РФ. Все имущество предприятия подлежит реализации согласно положений Федерального закона о несостоятельности (банкротстве).</w:t>
      </w:r>
    </w:p>
    <w:p w:rsidR="009E0D79" w:rsidRPr="00B21788" w:rsidRDefault="009E0D79" w:rsidP="009E0D79">
      <w:pPr>
        <w:spacing w:before="120" w:after="120"/>
        <w:ind w:left="709"/>
        <w:jc w:val="both"/>
        <w:rPr>
          <w:rFonts w:ascii="Bookman Old Style" w:hAnsi="Bookman Old Style"/>
          <w:sz w:val="20"/>
          <w:szCs w:val="20"/>
        </w:rPr>
      </w:pPr>
      <w:r w:rsidRPr="00B21788">
        <w:rPr>
          <w:rFonts w:ascii="Bookman Old Style" w:hAnsi="Bookman Old Style"/>
          <w:sz w:val="20"/>
          <w:szCs w:val="20"/>
        </w:rPr>
        <w:t xml:space="preserve">Таким образом, реализация </w:t>
      </w:r>
      <w:r w:rsidR="006A199E">
        <w:rPr>
          <w:rFonts w:ascii="Bookman Old Style" w:hAnsi="Bookman Old Style"/>
          <w:sz w:val="20"/>
          <w:szCs w:val="20"/>
        </w:rPr>
        <w:t xml:space="preserve">элементов </w:t>
      </w:r>
      <w:r w:rsidRPr="00B21788">
        <w:rPr>
          <w:rFonts w:ascii="Bookman Old Style" w:hAnsi="Bookman Old Style"/>
          <w:sz w:val="20"/>
          <w:szCs w:val="20"/>
        </w:rPr>
        <w:t>Объекта оценки юридически возможна, согласно статей закона о банкротстве и согласно статей ФСО №7, обеспечивает максимальную продуктивность с целью удовлетворения реестра требований кредиторов предприятия.</w:t>
      </w:r>
    </w:p>
    <w:p w:rsidR="009E0D79" w:rsidRPr="00B21788" w:rsidRDefault="009E0D79" w:rsidP="00303E37">
      <w:pPr>
        <w:pStyle w:val="aff2"/>
        <w:numPr>
          <w:ilvl w:val="0"/>
          <w:numId w:val="41"/>
        </w:numPr>
        <w:spacing w:before="120" w:after="120"/>
        <w:contextualSpacing w:val="0"/>
        <w:jc w:val="both"/>
        <w:rPr>
          <w:rFonts w:ascii="Bookman Old Style" w:hAnsi="Bookman Old Style"/>
          <w:sz w:val="20"/>
          <w:szCs w:val="20"/>
        </w:rPr>
      </w:pPr>
      <w:r w:rsidRPr="00B21788">
        <w:rPr>
          <w:rFonts w:ascii="Bookman Old Style" w:hAnsi="Bookman Old Style"/>
          <w:sz w:val="20"/>
          <w:szCs w:val="20"/>
        </w:rPr>
        <w:t xml:space="preserve">Физическая осуществимость. Физическое состояние недвижимого имущества позволяет производить их дальнейшую эксплуатацию после проведения </w:t>
      </w:r>
      <w:r w:rsidR="005F6A69">
        <w:rPr>
          <w:rFonts w:ascii="Bookman Old Style" w:hAnsi="Bookman Old Style"/>
          <w:sz w:val="20"/>
          <w:szCs w:val="20"/>
        </w:rPr>
        <w:t xml:space="preserve">косметических </w:t>
      </w:r>
      <w:r w:rsidRPr="00B21788">
        <w:rPr>
          <w:rFonts w:ascii="Bookman Old Style" w:hAnsi="Bookman Old Style"/>
          <w:sz w:val="20"/>
          <w:szCs w:val="20"/>
        </w:rPr>
        <w:t xml:space="preserve">работ по </w:t>
      </w:r>
      <w:r w:rsidR="006A199E">
        <w:rPr>
          <w:rFonts w:ascii="Bookman Old Style" w:hAnsi="Bookman Old Style"/>
          <w:sz w:val="20"/>
          <w:szCs w:val="20"/>
        </w:rPr>
        <w:t>ремонту</w:t>
      </w:r>
      <w:r w:rsidR="00177A72">
        <w:rPr>
          <w:rFonts w:ascii="Bookman Old Style" w:hAnsi="Bookman Old Style"/>
          <w:sz w:val="20"/>
          <w:szCs w:val="20"/>
        </w:rPr>
        <w:t xml:space="preserve"> </w:t>
      </w:r>
      <w:r w:rsidRPr="00B21788">
        <w:rPr>
          <w:rFonts w:ascii="Bookman Old Style" w:hAnsi="Bookman Old Style"/>
          <w:sz w:val="20"/>
          <w:szCs w:val="20"/>
        </w:rPr>
        <w:t>некоторых к</w:t>
      </w:r>
      <w:r w:rsidR="00177A72">
        <w:rPr>
          <w:rFonts w:ascii="Bookman Old Style" w:hAnsi="Bookman Old Style"/>
          <w:sz w:val="20"/>
          <w:szCs w:val="20"/>
        </w:rPr>
        <w:t>онструктивных элементов объекта.</w:t>
      </w:r>
    </w:p>
    <w:p w:rsidR="009E0D79" w:rsidRPr="00B21788" w:rsidRDefault="009E0D79" w:rsidP="00303E37">
      <w:pPr>
        <w:pStyle w:val="aff2"/>
        <w:numPr>
          <w:ilvl w:val="0"/>
          <w:numId w:val="41"/>
        </w:numPr>
        <w:spacing w:before="120" w:after="120"/>
        <w:jc w:val="both"/>
        <w:rPr>
          <w:rFonts w:ascii="Bookman Old Style" w:hAnsi="Bookman Old Style"/>
          <w:sz w:val="20"/>
          <w:szCs w:val="20"/>
        </w:rPr>
      </w:pPr>
      <w:r w:rsidRPr="00B21788">
        <w:rPr>
          <w:rFonts w:ascii="Bookman Old Style" w:hAnsi="Bookman Old Style"/>
          <w:sz w:val="20"/>
          <w:szCs w:val="20"/>
        </w:rPr>
        <w:t>Максимально эффективное использование. Максимальная рыночная стоимость оцениваемого Объекта оценки соответствует рассмотренным вариантам. Для Объекта оценки существует финансовая оправданность устранения последствий физического износа. При использовании Объекта оценки по прямому функциональному назначению, достигается максимальная величина стоимости Объекта оценки.</w:t>
      </w:r>
    </w:p>
    <w:p w:rsidR="00CF084F" w:rsidRPr="00B21788" w:rsidRDefault="00413F32" w:rsidP="000877E7">
      <w:pPr>
        <w:pStyle w:val="3"/>
        <w:rPr>
          <w:rFonts w:ascii="Bookman Old Style" w:hAnsi="Bookman Old Style"/>
          <w:sz w:val="20"/>
          <w:szCs w:val="20"/>
        </w:rPr>
      </w:pPr>
      <w:bookmarkStart w:id="258" w:name="_Toc461206400"/>
      <w:r w:rsidRPr="00B21788">
        <w:rPr>
          <w:rFonts w:ascii="Bookman Old Style" w:hAnsi="Bookman Old Style"/>
          <w:sz w:val="20"/>
          <w:szCs w:val="20"/>
        </w:rPr>
        <w:t>5.3.2. Выводы по анализу НЭИ</w:t>
      </w:r>
      <w:bookmarkStart w:id="259" w:name="_Toc379539512"/>
      <w:bookmarkStart w:id="260" w:name="_Toc379550531"/>
      <w:bookmarkStart w:id="261" w:name="_Toc380579837"/>
      <w:bookmarkEnd w:id="253"/>
      <w:bookmarkEnd w:id="254"/>
      <w:bookmarkEnd w:id="255"/>
      <w:bookmarkEnd w:id="256"/>
      <w:bookmarkEnd w:id="257"/>
      <w:bookmarkEnd w:id="258"/>
    </w:p>
    <w:p w:rsidR="00CA18B6" w:rsidRPr="00744589" w:rsidRDefault="009E0D79" w:rsidP="00744589">
      <w:pPr>
        <w:spacing w:before="120" w:after="120"/>
        <w:ind w:firstLine="709"/>
        <w:jc w:val="both"/>
        <w:rPr>
          <w:rFonts w:ascii="Bookman Old Style" w:hAnsi="Bookman Old Style"/>
          <w:sz w:val="20"/>
          <w:szCs w:val="20"/>
        </w:rPr>
      </w:pPr>
      <w:r w:rsidRPr="00B21788">
        <w:rPr>
          <w:rFonts w:ascii="Bookman Old Style" w:hAnsi="Bookman Old Style"/>
          <w:sz w:val="20"/>
          <w:szCs w:val="20"/>
        </w:rPr>
        <w:t>Исходя из проведенного анализа, можно сделать вывод, что реализация Объекта оценки физически возможна, юридически и финансово оправдана, согласно статей закона о банкротстве и согласно статей ФСО №7 и в соответствии с выбранными методами расчета, достигается</w:t>
      </w:r>
      <w:r w:rsidRPr="009E0D79">
        <w:rPr>
          <w:rFonts w:ascii="Bookman Old Style" w:hAnsi="Bookman Old Style"/>
          <w:sz w:val="20"/>
          <w:szCs w:val="20"/>
        </w:rPr>
        <w:t xml:space="preserve"> максимальная продуктивность (наибольшая стоимость) Объекта оценки</w:t>
      </w:r>
      <w:r w:rsidR="0097141F" w:rsidRPr="00F80AB0">
        <w:rPr>
          <w:rFonts w:ascii="Bookman Old Style" w:hAnsi="Bookman Old Style"/>
          <w:sz w:val="20"/>
          <w:szCs w:val="20"/>
        </w:rPr>
        <w:t>.</w:t>
      </w:r>
    </w:p>
    <w:p w:rsidR="00F45425" w:rsidRPr="000877E7" w:rsidRDefault="00F45425" w:rsidP="00F45425">
      <w:pPr>
        <w:pStyle w:val="2"/>
        <w:rPr>
          <w:rFonts w:ascii="Bookman Old Style" w:hAnsi="Bookman Old Style"/>
          <w:b/>
          <w:sz w:val="20"/>
          <w:szCs w:val="20"/>
        </w:rPr>
      </w:pPr>
      <w:bookmarkStart w:id="262" w:name="_Toc461206401"/>
      <w:bookmarkStart w:id="263" w:name="_Toc365041377"/>
      <w:bookmarkStart w:id="264" w:name="_Toc196937198"/>
      <w:bookmarkStart w:id="265" w:name="_Toc327961193"/>
      <w:bookmarkStart w:id="266" w:name="_Toc330465468"/>
      <w:bookmarkEnd w:id="259"/>
      <w:bookmarkEnd w:id="260"/>
      <w:bookmarkEnd w:id="261"/>
      <w:r>
        <w:rPr>
          <w:rFonts w:ascii="Bookman Old Style" w:hAnsi="Bookman Old Style"/>
          <w:b/>
          <w:sz w:val="20"/>
          <w:szCs w:val="20"/>
        </w:rPr>
        <w:t>5.4</w:t>
      </w:r>
      <w:r w:rsidRPr="000877E7">
        <w:rPr>
          <w:rFonts w:ascii="Bookman Old Style" w:hAnsi="Bookman Old Style"/>
          <w:b/>
          <w:sz w:val="20"/>
          <w:szCs w:val="20"/>
        </w:rPr>
        <w:t xml:space="preserve">. </w:t>
      </w:r>
      <w:r>
        <w:rPr>
          <w:rFonts w:ascii="Bookman Old Style" w:hAnsi="Bookman Old Style"/>
          <w:b/>
          <w:sz w:val="20"/>
          <w:szCs w:val="20"/>
        </w:rPr>
        <w:t>РАСЧЕТ РЫНОЧНОЙ СТОИМОСТИ СРАВНИТЕЛЬНЫМ ПОДХОДОМ</w:t>
      </w:r>
      <w:bookmarkEnd w:id="262"/>
    </w:p>
    <w:p w:rsidR="00F45425" w:rsidRPr="000877E7" w:rsidRDefault="00F45425" w:rsidP="00F45425">
      <w:pPr>
        <w:pStyle w:val="3"/>
        <w:rPr>
          <w:rFonts w:ascii="Bookman Old Style" w:hAnsi="Bookman Old Style"/>
          <w:sz w:val="20"/>
          <w:szCs w:val="20"/>
        </w:rPr>
      </w:pPr>
      <w:bookmarkStart w:id="267" w:name="_Toc461206402"/>
      <w:r w:rsidRPr="00B625F0">
        <w:rPr>
          <w:rFonts w:ascii="Bookman Old Style" w:hAnsi="Bookman Old Style"/>
          <w:sz w:val="20"/>
          <w:szCs w:val="20"/>
        </w:rPr>
        <w:t>5.4.1. Последовательность определения стоимости</w:t>
      </w:r>
      <w:bookmarkEnd w:id="267"/>
    </w:p>
    <w:p w:rsidR="00F45425" w:rsidRPr="00431CC5" w:rsidRDefault="00F45425" w:rsidP="00F45425">
      <w:pPr>
        <w:spacing w:before="120" w:after="120"/>
        <w:ind w:firstLine="708"/>
        <w:jc w:val="both"/>
        <w:rPr>
          <w:rFonts w:ascii="Bookman Old Style" w:hAnsi="Bookman Old Style"/>
          <w:sz w:val="20"/>
          <w:szCs w:val="20"/>
        </w:rPr>
      </w:pPr>
      <w:r w:rsidRPr="00431CC5">
        <w:rPr>
          <w:rFonts w:ascii="Bookman Old Style" w:hAnsi="Bookman Old Style"/>
          <w:sz w:val="20"/>
          <w:szCs w:val="20"/>
        </w:rPr>
        <w:t>После проведенного анализа представленной документации по Объекту оценки, анализа рынка и внешних факторов, влияющих на стоимость объектов и определения варианта НЭИ, был сделан вывод о возможности применения сравнительного подхода.</w:t>
      </w:r>
    </w:p>
    <w:p w:rsidR="00F45425" w:rsidRPr="00431CC5" w:rsidRDefault="00F45425" w:rsidP="00F45425">
      <w:pPr>
        <w:spacing w:before="120" w:after="120"/>
        <w:ind w:firstLine="708"/>
        <w:jc w:val="both"/>
        <w:rPr>
          <w:rFonts w:ascii="Bookman Old Style" w:hAnsi="Bookman Old Style"/>
          <w:sz w:val="20"/>
          <w:szCs w:val="20"/>
        </w:rPr>
      </w:pPr>
      <w:r w:rsidRPr="00431CC5">
        <w:rPr>
          <w:rFonts w:ascii="Bookman Old Style" w:hAnsi="Bookman Old Style"/>
          <w:sz w:val="20"/>
          <w:szCs w:val="20"/>
        </w:rPr>
        <w:lastRenderedPageBreak/>
        <w:t>Согласно, ФСО № 1 пункт 14</w:t>
      </w:r>
      <w:r w:rsidRPr="00431CC5">
        <w:rPr>
          <w:rFonts w:ascii="Bookman Old Style" w:hAnsi="Bookman Old Style"/>
          <w:sz w:val="20"/>
          <w:szCs w:val="20"/>
          <w:vertAlign w:val="superscript"/>
        </w:rPr>
        <w:footnoteReference w:id="45"/>
      </w:r>
      <w:r w:rsidRPr="00431CC5">
        <w:rPr>
          <w:rFonts w:ascii="Bookman Old Style" w:hAnsi="Bookman Old Style"/>
          <w:sz w:val="20"/>
          <w:szCs w:val="20"/>
        </w:rPr>
        <w:t>:</w:t>
      </w:r>
    </w:p>
    <w:p w:rsidR="00F45425" w:rsidRPr="00431CC5" w:rsidRDefault="00F45425" w:rsidP="00F45425">
      <w:pPr>
        <w:spacing w:before="120" w:after="120"/>
        <w:ind w:firstLine="708"/>
        <w:jc w:val="both"/>
        <w:rPr>
          <w:rFonts w:ascii="Bookman Old Style" w:hAnsi="Bookman Old Style" w:cs="Bookman Old Style"/>
          <w:sz w:val="20"/>
          <w:szCs w:val="20"/>
        </w:rPr>
      </w:pPr>
      <w:bookmarkStart w:id="268" w:name="_Toc285494276"/>
      <w:bookmarkStart w:id="269" w:name="_Toc288743396"/>
      <w:bookmarkStart w:id="270" w:name="_Toc289034994"/>
      <w:r w:rsidRPr="00431CC5">
        <w:rPr>
          <w:rFonts w:ascii="Bookman Old Style" w:hAnsi="Bookman Old Style" w:cs="Bookman Old Style"/>
          <w:sz w:val="20"/>
          <w:szCs w:val="20"/>
        </w:rPr>
        <w:t>«Сравнительный подход - совокупность методов оценки стоимости объекта оценки, основанных на сравнении объекта оценки с объектами - аналогами объекта оценки, в отношении которых имеется информация о ценах. Объектом - аналогом объекта оценки для целей оценки признается объект, сходный объекту оценки по основным экономическим, материальным, техническим и другим характеристикам, определяющим его стоимость».</w:t>
      </w:r>
      <w:bookmarkEnd w:id="268"/>
      <w:bookmarkEnd w:id="269"/>
      <w:bookmarkEnd w:id="270"/>
    </w:p>
    <w:p w:rsidR="00F45425" w:rsidRDefault="00F45425" w:rsidP="00F45425">
      <w:pPr>
        <w:autoSpaceDE w:val="0"/>
        <w:autoSpaceDN w:val="0"/>
        <w:adjustRightInd w:val="0"/>
        <w:spacing w:before="120" w:after="120"/>
        <w:ind w:firstLine="720"/>
        <w:jc w:val="both"/>
        <w:rPr>
          <w:rFonts w:ascii="Bookman Old Style" w:hAnsi="Bookman Old Style" w:cs="Arial"/>
          <w:bCs/>
          <w:sz w:val="20"/>
          <w:szCs w:val="20"/>
        </w:rPr>
      </w:pPr>
      <w:r>
        <w:rPr>
          <w:rFonts w:ascii="Bookman Old Style" w:hAnsi="Bookman Old Style" w:cs="Arial"/>
          <w:bCs/>
          <w:sz w:val="20"/>
          <w:szCs w:val="20"/>
        </w:rPr>
        <w:t xml:space="preserve">При применении сравнительного подхода оценщик руководствовался ст. 21 </w:t>
      </w:r>
      <w:r w:rsidRPr="0067070B">
        <w:rPr>
          <w:rFonts w:ascii="Bookman Old Style" w:hAnsi="Bookman Old Style" w:cs="Arial"/>
          <w:bCs/>
          <w:sz w:val="20"/>
          <w:szCs w:val="20"/>
        </w:rPr>
        <w:t>ФСО №</w:t>
      </w:r>
      <w:r>
        <w:rPr>
          <w:rFonts w:ascii="Bookman Old Style" w:hAnsi="Bookman Old Style" w:cs="Arial"/>
          <w:bCs/>
          <w:sz w:val="20"/>
          <w:szCs w:val="20"/>
        </w:rPr>
        <w:t xml:space="preserve"> </w:t>
      </w:r>
      <w:r w:rsidRPr="0067070B">
        <w:rPr>
          <w:rFonts w:ascii="Bookman Old Style" w:hAnsi="Bookman Old Style" w:cs="Arial"/>
          <w:bCs/>
          <w:sz w:val="20"/>
          <w:szCs w:val="20"/>
        </w:rPr>
        <w:t>1 и ст. 23 ФСО № 7.</w:t>
      </w:r>
    </w:p>
    <w:p w:rsidR="00F45425" w:rsidRDefault="00F45425" w:rsidP="00F45425">
      <w:pPr>
        <w:spacing w:before="120" w:after="120"/>
        <w:ind w:firstLine="708"/>
        <w:jc w:val="both"/>
        <w:rPr>
          <w:rFonts w:ascii="Bookman Old Style" w:hAnsi="Bookman Old Style" w:cs="Bookman Old Style"/>
          <w:sz w:val="20"/>
          <w:szCs w:val="20"/>
        </w:rPr>
      </w:pPr>
      <w:r w:rsidRPr="00431CC5">
        <w:rPr>
          <w:rFonts w:ascii="Bookman Old Style" w:hAnsi="Bookman Old Style"/>
          <w:sz w:val="20"/>
          <w:szCs w:val="20"/>
        </w:rPr>
        <w:t>Для реализации методов сравнител</w:t>
      </w:r>
      <w:r>
        <w:rPr>
          <w:rFonts w:ascii="Bookman Old Style" w:hAnsi="Bookman Old Style"/>
          <w:sz w:val="20"/>
          <w:szCs w:val="20"/>
        </w:rPr>
        <w:t xml:space="preserve">ьного подхода, оценщик использовал </w:t>
      </w:r>
      <w:r w:rsidRPr="00D52A61">
        <w:rPr>
          <w:rFonts w:ascii="Bookman Old Style" w:hAnsi="Bookman Old Style"/>
          <w:sz w:val="20"/>
          <w:szCs w:val="20"/>
        </w:rPr>
        <w:t>метод корректировок, а также его сочетания с качественными методами оценки</w:t>
      </w:r>
      <w:r>
        <w:rPr>
          <w:rFonts w:ascii="Bookman Old Style" w:hAnsi="Bookman Old Style"/>
          <w:sz w:val="20"/>
          <w:szCs w:val="20"/>
        </w:rPr>
        <w:t xml:space="preserve">, при этом </w:t>
      </w:r>
      <w:r w:rsidRPr="002A0856">
        <w:rPr>
          <w:rFonts w:ascii="Bookman Old Style" w:hAnsi="Bookman Old Style"/>
          <w:sz w:val="20"/>
          <w:szCs w:val="20"/>
        </w:rPr>
        <w:t xml:space="preserve">каждый объект-аналог </w:t>
      </w:r>
      <w:r w:rsidRPr="00C329C9">
        <w:rPr>
          <w:rFonts w:ascii="Bookman Old Style" w:hAnsi="Bookman Old Style" w:cs="Bookman Old Style"/>
          <w:sz w:val="20"/>
          <w:szCs w:val="20"/>
        </w:rPr>
        <w:t>сравнивается с объектом оценки по ценообразующим факторам (элементам сравнения), выявляются различия объектов по этим факторам и цена объекта-аналога или ее удельный показатель корректируется по выявленным различиям с целью дальнейшего определения стоимости объекта оценки.</w:t>
      </w:r>
    </w:p>
    <w:p w:rsidR="00F45425" w:rsidRPr="00431CC5" w:rsidRDefault="00F45425" w:rsidP="00F45425">
      <w:pPr>
        <w:spacing w:before="120" w:after="120"/>
        <w:ind w:firstLine="708"/>
        <w:jc w:val="both"/>
        <w:rPr>
          <w:rFonts w:ascii="Bookman Old Style" w:hAnsi="Bookman Old Style"/>
          <w:sz w:val="20"/>
          <w:szCs w:val="20"/>
        </w:rPr>
      </w:pPr>
      <w:r w:rsidRPr="00431CC5">
        <w:rPr>
          <w:rFonts w:ascii="Bookman Old Style" w:hAnsi="Bookman Old Style"/>
          <w:sz w:val="20"/>
          <w:szCs w:val="20"/>
        </w:rPr>
        <w:t>Метод</w:t>
      </w:r>
      <w:r>
        <w:rPr>
          <w:rFonts w:ascii="Bookman Old Style" w:hAnsi="Bookman Old Style"/>
          <w:sz w:val="20"/>
          <w:szCs w:val="20"/>
        </w:rPr>
        <w:t xml:space="preserve"> корректировок</w:t>
      </w:r>
      <w:r w:rsidRPr="00431CC5">
        <w:rPr>
          <w:rFonts w:ascii="Bookman Old Style" w:hAnsi="Bookman Old Style"/>
          <w:sz w:val="20"/>
          <w:szCs w:val="20"/>
        </w:rPr>
        <w:t xml:space="preserve"> предполагает следующую последовательность действий:</w:t>
      </w:r>
    </w:p>
    <w:p w:rsidR="00F45425" w:rsidRPr="002A0856" w:rsidRDefault="00F45425" w:rsidP="00303E37">
      <w:pPr>
        <w:pStyle w:val="aff2"/>
        <w:numPr>
          <w:ilvl w:val="0"/>
          <w:numId w:val="32"/>
        </w:numPr>
        <w:spacing w:before="120" w:after="120"/>
        <w:ind w:left="714" w:hanging="357"/>
        <w:contextualSpacing w:val="0"/>
        <w:rPr>
          <w:rFonts w:ascii="Bookman Old Style" w:hAnsi="Bookman Old Style"/>
          <w:sz w:val="20"/>
          <w:szCs w:val="20"/>
        </w:rPr>
      </w:pPr>
      <w:r w:rsidRPr="002A0856">
        <w:rPr>
          <w:rFonts w:ascii="Bookman Old Style" w:hAnsi="Bookman Old Style"/>
          <w:sz w:val="20"/>
          <w:szCs w:val="20"/>
        </w:rPr>
        <w:t>определение элементов, по которым осуществляется сравнение объекта оценки с объектами-аналогами;</w:t>
      </w:r>
    </w:p>
    <w:p w:rsidR="00F45425" w:rsidRPr="002A0856" w:rsidRDefault="00F45425" w:rsidP="00303E37">
      <w:pPr>
        <w:pStyle w:val="aff2"/>
        <w:numPr>
          <w:ilvl w:val="0"/>
          <w:numId w:val="32"/>
        </w:numPr>
        <w:spacing w:before="120" w:after="120"/>
        <w:ind w:left="714" w:hanging="357"/>
        <w:contextualSpacing w:val="0"/>
        <w:rPr>
          <w:rFonts w:ascii="Bookman Old Style" w:hAnsi="Bookman Old Style"/>
          <w:sz w:val="20"/>
          <w:szCs w:val="20"/>
        </w:rPr>
      </w:pPr>
      <w:r w:rsidRPr="002A0856">
        <w:rPr>
          <w:rFonts w:ascii="Bookman Old Style" w:hAnsi="Bookman Old Style"/>
          <w:sz w:val="20"/>
          <w:szCs w:val="20"/>
        </w:rPr>
        <w:t>определение по каждому из элементов сравнения характера и степени отличий каждого аналога от оцениваемого объекта;</w:t>
      </w:r>
    </w:p>
    <w:p w:rsidR="00F45425" w:rsidRPr="002A0856" w:rsidRDefault="00F45425" w:rsidP="00303E37">
      <w:pPr>
        <w:pStyle w:val="aff2"/>
        <w:numPr>
          <w:ilvl w:val="0"/>
          <w:numId w:val="32"/>
        </w:numPr>
        <w:spacing w:before="120" w:after="120"/>
        <w:ind w:left="714" w:hanging="357"/>
        <w:contextualSpacing w:val="0"/>
        <w:rPr>
          <w:rFonts w:ascii="Bookman Old Style" w:hAnsi="Bookman Old Style"/>
          <w:sz w:val="20"/>
          <w:szCs w:val="20"/>
        </w:rPr>
      </w:pPr>
      <w:r w:rsidRPr="002A0856">
        <w:rPr>
          <w:rFonts w:ascii="Bookman Old Style" w:hAnsi="Bookman Old Style"/>
          <w:sz w:val="20"/>
          <w:szCs w:val="20"/>
        </w:rPr>
        <w:t>определение по каждому из элементов сравнения корректировок цен аналогов, соответствующих характеру и степени отличий каждого аналога от оцениваемого объекта;</w:t>
      </w:r>
    </w:p>
    <w:p w:rsidR="00F45425" w:rsidRPr="002A0856" w:rsidRDefault="00F45425" w:rsidP="00303E37">
      <w:pPr>
        <w:pStyle w:val="aff2"/>
        <w:numPr>
          <w:ilvl w:val="0"/>
          <w:numId w:val="32"/>
        </w:numPr>
        <w:spacing w:before="120" w:after="120"/>
        <w:ind w:left="714" w:hanging="357"/>
        <w:contextualSpacing w:val="0"/>
        <w:rPr>
          <w:rFonts w:ascii="Bookman Old Style" w:hAnsi="Bookman Old Style"/>
          <w:sz w:val="20"/>
          <w:szCs w:val="20"/>
        </w:rPr>
      </w:pPr>
      <w:r w:rsidRPr="002A0856">
        <w:rPr>
          <w:rFonts w:ascii="Bookman Old Style" w:hAnsi="Bookman Old Style"/>
          <w:sz w:val="20"/>
          <w:szCs w:val="20"/>
        </w:rPr>
        <w:t>корректировка по каждому из элементов сравнения цен каждого аналога, сглаживающая их отличия от оцениваемого объекта;</w:t>
      </w:r>
    </w:p>
    <w:p w:rsidR="00F45425" w:rsidRPr="002A0856" w:rsidRDefault="00F45425" w:rsidP="00303E37">
      <w:pPr>
        <w:pStyle w:val="aff2"/>
        <w:numPr>
          <w:ilvl w:val="0"/>
          <w:numId w:val="32"/>
        </w:numPr>
        <w:spacing w:before="120" w:after="120"/>
        <w:ind w:left="714" w:hanging="357"/>
        <w:contextualSpacing w:val="0"/>
        <w:rPr>
          <w:rFonts w:ascii="Bookman Old Style" w:hAnsi="Bookman Old Style"/>
          <w:sz w:val="20"/>
          <w:szCs w:val="20"/>
        </w:rPr>
      </w:pPr>
      <w:r w:rsidRPr="002A0856">
        <w:rPr>
          <w:rFonts w:ascii="Bookman Old Style" w:hAnsi="Bookman Old Style"/>
          <w:sz w:val="20"/>
          <w:szCs w:val="20"/>
        </w:rPr>
        <w:t>расчет рыночной стоимости объекта путем обоснованного обобщения скорректированных цен аналогов.</w:t>
      </w:r>
    </w:p>
    <w:p w:rsidR="00F45425" w:rsidRDefault="00F45425" w:rsidP="00F45425">
      <w:pPr>
        <w:spacing w:before="120" w:after="120"/>
        <w:ind w:firstLine="708"/>
        <w:jc w:val="both"/>
        <w:rPr>
          <w:rFonts w:ascii="Bookman Old Style" w:hAnsi="Bookman Old Style"/>
          <w:sz w:val="20"/>
          <w:szCs w:val="20"/>
        </w:rPr>
      </w:pPr>
      <w:r w:rsidRPr="002A0856">
        <w:rPr>
          <w:rFonts w:ascii="Bookman Old Style" w:hAnsi="Bookman Old Style"/>
          <w:sz w:val="20"/>
          <w:szCs w:val="20"/>
        </w:rPr>
        <w:t>При применении качественных методов оценка недвижимости выполняется путем изучения взаимосвязей, выявляемых на основе анализа цен сделок и (или) предложений с объектами-аналогами или соответствующей информации, полученной от экспертов, и использования этих взаимосвязей для проведения оценки в соответствии с технологие</w:t>
      </w:r>
      <w:r>
        <w:rPr>
          <w:rFonts w:ascii="Bookman Old Style" w:hAnsi="Bookman Old Style"/>
          <w:sz w:val="20"/>
          <w:szCs w:val="20"/>
        </w:rPr>
        <w:t>й выбранного для оценки метода.</w:t>
      </w:r>
    </w:p>
    <w:p w:rsidR="00F45425" w:rsidRPr="00431CC5" w:rsidRDefault="00F45425" w:rsidP="00F45425">
      <w:pPr>
        <w:spacing w:before="120" w:after="120"/>
        <w:ind w:firstLine="708"/>
        <w:jc w:val="both"/>
        <w:rPr>
          <w:rFonts w:ascii="Bookman Old Style" w:hAnsi="Bookman Old Style"/>
          <w:sz w:val="20"/>
          <w:szCs w:val="20"/>
        </w:rPr>
      </w:pPr>
      <w:r w:rsidRPr="00431CC5">
        <w:rPr>
          <w:rFonts w:ascii="Bookman Old Style" w:hAnsi="Bookman Old Style"/>
          <w:sz w:val="20"/>
          <w:szCs w:val="20"/>
        </w:rPr>
        <w:t xml:space="preserve">Расчет рыночной стоимости объекта в рамках метода </w:t>
      </w:r>
      <w:r>
        <w:rPr>
          <w:rFonts w:ascii="Bookman Old Style" w:hAnsi="Bookman Old Style"/>
          <w:sz w:val="20"/>
          <w:szCs w:val="20"/>
        </w:rPr>
        <w:t>корректировок</w:t>
      </w:r>
      <w:r w:rsidRPr="00431CC5">
        <w:rPr>
          <w:rFonts w:ascii="Bookman Old Style" w:hAnsi="Bookman Old Style"/>
          <w:sz w:val="20"/>
          <w:szCs w:val="20"/>
        </w:rPr>
        <w:t xml:space="preserve"> выполняется по следующей формуле:</w:t>
      </w:r>
    </w:p>
    <w:p w:rsidR="00F45425" w:rsidRPr="00431CC5" w:rsidRDefault="006C4CCF" w:rsidP="00F45425">
      <w:pPr>
        <w:spacing w:before="120" w:after="120"/>
        <w:ind w:firstLine="708"/>
        <w:jc w:val="both"/>
        <w:rPr>
          <w:rFonts w:ascii="Bookman Old Style" w:hAnsi="Bookman Old Style"/>
          <w:sz w:val="20"/>
          <w:szCs w:val="20"/>
        </w:rPr>
      </w:pPr>
      <m:oMathPara>
        <m:oMath>
          <m:sSub>
            <m:sSubPr>
              <m:ctrlPr>
                <w:rPr>
                  <w:rFonts w:ascii="Cambria Math" w:hAnsi="Cambria Math"/>
                  <w:i/>
                  <w:sz w:val="20"/>
                  <w:szCs w:val="20"/>
                </w:rPr>
              </m:ctrlPr>
            </m:sSubPr>
            <m:e>
              <m:r>
                <w:rPr>
                  <w:rFonts w:ascii="Cambria Math" w:hAnsi="Cambria Math"/>
                  <w:sz w:val="20"/>
                  <w:szCs w:val="20"/>
                  <w:lang w:val="en-US"/>
                </w:rPr>
                <m:t>V</m:t>
              </m:r>
            </m:e>
            <m:sub>
              <m:r>
                <w:rPr>
                  <w:rFonts w:ascii="Cambria Math" w:hAnsi="Cambria Math"/>
                  <w:sz w:val="20"/>
                  <w:szCs w:val="20"/>
                </w:rPr>
                <m:t>l</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P</m:t>
              </m:r>
            </m:e>
            <m:sub>
              <m:r>
                <w:rPr>
                  <w:rFonts w:ascii="Cambria Math" w:hAnsi="Cambria Math"/>
                  <w:sz w:val="20"/>
                  <w:szCs w:val="20"/>
                </w:rPr>
                <m:t>li</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ADJ</m:t>
              </m:r>
            </m:e>
            <m:sub>
              <m:r>
                <w:rPr>
                  <w:rFonts w:ascii="Cambria Math" w:hAnsi="Cambria Math"/>
                  <w:sz w:val="20"/>
                  <w:szCs w:val="20"/>
                </w:rPr>
                <m:t>li</m:t>
              </m:r>
            </m:sub>
          </m:sSub>
        </m:oMath>
      </m:oMathPara>
    </w:p>
    <w:p w:rsidR="00F45425" w:rsidRPr="00431CC5" w:rsidRDefault="00F45425" w:rsidP="00F45425">
      <w:pPr>
        <w:spacing w:before="120" w:after="120"/>
        <w:ind w:firstLine="708"/>
        <w:jc w:val="both"/>
        <w:rPr>
          <w:rFonts w:ascii="Bookman Old Style" w:hAnsi="Bookman Old Style"/>
          <w:sz w:val="20"/>
          <w:szCs w:val="20"/>
        </w:rPr>
      </w:pPr>
      <w:r w:rsidRPr="00431CC5">
        <w:rPr>
          <w:rFonts w:ascii="Bookman Old Style" w:hAnsi="Bookman Old Style"/>
          <w:sz w:val="20"/>
          <w:szCs w:val="20"/>
        </w:rPr>
        <w:t>где</w:t>
      </w:r>
    </w:p>
    <w:p w:rsidR="00F45425" w:rsidRPr="00431CC5" w:rsidRDefault="00F45425" w:rsidP="00F45425">
      <w:pPr>
        <w:spacing w:before="120" w:after="120"/>
        <w:ind w:firstLine="708"/>
        <w:jc w:val="both"/>
        <w:rPr>
          <w:rFonts w:ascii="Bookman Old Style" w:hAnsi="Bookman Old Style"/>
          <w:sz w:val="20"/>
          <w:szCs w:val="20"/>
        </w:rPr>
      </w:pPr>
      <w:r w:rsidRPr="00431CC5">
        <w:rPr>
          <w:rFonts w:ascii="Bookman Old Style" w:hAnsi="Bookman Old Style"/>
          <w:i/>
          <w:iCs/>
          <w:sz w:val="20"/>
          <w:szCs w:val="20"/>
          <w:lang w:val="en-US"/>
        </w:rPr>
        <w:t>VL</w:t>
      </w:r>
      <w:r w:rsidRPr="00431CC5">
        <w:rPr>
          <w:rFonts w:ascii="Bookman Old Style" w:hAnsi="Bookman Old Style"/>
          <w:sz w:val="20"/>
          <w:szCs w:val="20"/>
        </w:rPr>
        <w:t xml:space="preserve"> - стоимость объекта оценки;</w:t>
      </w:r>
    </w:p>
    <w:p w:rsidR="00F45425" w:rsidRPr="00431CC5" w:rsidRDefault="00F45425" w:rsidP="00F45425">
      <w:pPr>
        <w:spacing w:before="120" w:after="120"/>
        <w:ind w:firstLine="708"/>
        <w:jc w:val="both"/>
        <w:rPr>
          <w:rFonts w:ascii="Bookman Old Style" w:hAnsi="Bookman Old Style"/>
          <w:sz w:val="20"/>
          <w:szCs w:val="20"/>
        </w:rPr>
      </w:pPr>
      <w:r w:rsidRPr="00431CC5">
        <w:rPr>
          <w:rFonts w:ascii="Bookman Old Style" w:hAnsi="Bookman Old Style"/>
          <w:i/>
          <w:iCs/>
          <w:sz w:val="20"/>
          <w:szCs w:val="20"/>
          <w:lang w:val="en-US"/>
        </w:rPr>
        <w:t>Pli</w:t>
      </w:r>
      <w:r w:rsidRPr="00431CC5">
        <w:rPr>
          <w:rFonts w:ascii="Bookman Old Style" w:hAnsi="Bookman Old Style"/>
          <w:sz w:val="20"/>
          <w:szCs w:val="20"/>
        </w:rPr>
        <w:t xml:space="preserve"> – цена продажи объекта-аналога;</w:t>
      </w:r>
    </w:p>
    <w:p w:rsidR="00F45425" w:rsidRDefault="00F45425" w:rsidP="00F45425">
      <w:pPr>
        <w:spacing w:before="120" w:after="120"/>
        <w:ind w:firstLine="708"/>
        <w:jc w:val="both"/>
        <w:rPr>
          <w:rFonts w:ascii="Bookman Old Style" w:hAnsi="Bookman Old Style"/>
          <w:sz w:val="20"/>
          <w:szCs w:val="20"/>
        </w:rPr>
      </w:pPr>
      <w:r w:rsidRPr="00431CC5">
        <w:rPr>
          <w:rFonts w:ascii="Bookman Old Style" w:hAnsi="Bookman Old Style"/>
          <w:i/>
          <w:iCs/>
          <w:sz w:val="20"/>
          <w:szCs w:val="20"/>
          <w:lang w:val="en-US"/>
        </w:rPr>
        <w:t>ADJli</w:t>
      </w:r>
      <w:r w:rsidRPr="00431CC5">
        <w:rPr>
          <w:rFonts w:ascii="Bookman Old Style" w:hAnsi="Bookman Old Style"/>
          <w:sz w:val="20"/>
          <w:szCs w:val="20"/>
        </w:rPr>
        <w:t xml:space="preserve"> – совокупная поправка к цене продажи объекта-аналога по каждому из элементов сравнения.</w:t>
      </w:r>
    </w:p>
    <w:p w:rsidR="00F45425" w:rsidRDefault="00F45425" w:rsidP="00F45425">
      <w:pPr>
        <w:spacing w:before="120" w:after="120"/>
        <w:ind w:firstLine="708"/>
        <w:jc w:val="both"/>
        <w:rPr>
          <w:rFonts w:ascii="Bookman Old Style" w:hAnsi="Bookman Old Style"/>
          <w:sz w:val="20"/>
          <w:szCs w:val="20"/>
        </w:rPr>
      </w:pPr>
      <w:r w:rsidRPr="00431CC5">
        <w:rPr>
          <w:rFonts w:ascii="Bookman Old Style" w:hAnsi="Bookman Old Style"/>
          <w:sz w:val="20"/>
          <w:szCs w:val="20"/>
        </w:rPr>
        <w:t>К элементам сравнения относятся факторы стоимости объекта оценки и сложившиеся на рынке характеристики сделок с недвижимым имущес</w:t>
      </w:r>
      <w:r>
        <w:rPr>
          <w:rFonts w:ascii="Bookman Old Style" w:hAnsi="Bookman Old Style"/>
          <w:sz w:val="20"/>
          <w:szCs w:val="20"/>
        </w:rPr>
        <w:t>твом, такие как:</w:t>
      </w:r>
    </w:p>
    <w:p w:rsidR="00F45425" w:rsidRPr="002C5BF2" w:rsidRDefault="00F45425" w:rsidP="00303E37">
      <w:pPr>
        <w:pStyle w:val="aff2"/>
        <w:numPr>
          <w:ilvl w:val="0"/>
          <w:numId w:val="31"/>
        </w:numPr>
        <w:autoSpaceDE w:val="0"/>
        <w:autoSpaceDN w:val="0"/>
        <w:adjustRightInd w:val="0"/>
        <w:jc w:val="both"/>
        <w:rPr>
          <w:rFonts w:ascii="Bookman Old Style" w:hAnsi="Bookman Old Style" w:cs="Bookman Old Style"/>
          <w:sz w:val="20"/>
          <w:szCs w:val="20"/>
        </w:rPr>
      </w:pPr>
      <w:r w:rsidRPr="002C5BF2">
        <w:rPr>
          <w:rFonts w:ascii="Bookman Old Style" w:hAnsi="Bookman Old Style" w:cs="Bookman Old Style"/>
          <w:sz w:val="20"/>
          <w:szCs w:val="20"/>
        </w:rPr>
        <w:t>передаваемые имущественные права, ограничения (обременения) этих прав;</w:t>
      </w:r>
    </w:p>
    <w:p w:rsidR="00F45425" w:rsidRPr="002C5BF2" w:rsidRDefault="00F45425" w:rsidP="00303E37">
      <w:pPr>
        <w:pStyle w:val="aff2"/>
        <w:numPr>
          <w:ilvl w:val="0"/>
          <w:numId w:val="31"/>
        </w:numPr>
        <w:autoSpaceDE w:val="0"/>
        <w:autoSpaceDN w:val="0"/>
        <w:adjustRightInd w:val="0"/>
        <w:jc w:val="both"/>
        <w:rPr>
          <w:rFonts w:ascii="Bookman Old Style" w:hAnsi="Bookman Old Style" w:cs="Bookman Old Style"/>
          <w:sz w:val="20"/>
          <w:szCs w:val="20"/>
        </w:rPr>
      </w:pPr>
      <w:r w:rsidRPr="002C5BF2">
        <w:rPr>
          <w:rFonts w:ascii="Bookman Old Style" w:hAnsi="Bookman Old Style" w:cs="Bookman Old Style"/>
          <w:sz w:val="20"/>
          <w:szCs w:val="20"/>
        </w:rPr>
        <w:t>условия финансирования состоявшейся или предполагаемой сделки (вид оплаты, условия кредитования, иные условия);</w:t>
      </w:r>
    </w:p>
    <w:p w:rsidR="00F45425" w:rsidRPr="002C5BF2" w:rsidRDefault="00F45425" w:rsidP="00303E37">
      <w:pPr>
        <w:pStyle w:val="aff2"/>
        <w:numPr>
          <w:ilvl w:val="0"/>
          <w:numId w:val="31"/>
        </w:numPr>
        <w:autoSpaceDE w:val="0"/>
        <w:autoSpaceDN w:val="0"/>
        <w:adjustRightInd w:val="0"/>
        <w:jc w:val="both"/>
        <w:rPr>
          <w:rFonts w:ascii="Bookman Old Style" w:hAnsi="Bookman Old Style" w:cs="Bookman Old Style"/>
          <w:sz w:val="20"/>
          <w:szCs w:val="20"/>
        </w:rPr>
      </w:pPr>
      <w:r w:rsidRPr="002C5BF2">
        <w:rPr>
          <w:rFonts w:ascii="Bookman Old Style" w:hAnsi="Bookman Old Style" w:cs="Bookman Old Style"/>
          <w:sz w:val="20"/>
          <w:szCs w:val="20"/>
        </w:rPr>
        <w:t>условия продажи (нетипичные для рынка условия, сделка между аффилированными лицами, иные условия);</w:t>
      </w:r>
    </w:p>
    <w:p w:rsidR="00F45425" w:rsidRPr="002C5BF2" w:rsidRDefault="00F45425" w:rsidP="00303E37">
      <w:pPr>
        <w:pStyle w:val="aff2"/>
        <w:numPr>
          <w:ilvl w:val="0"/>
          <w:numId w:val="31"/>
        </w:numPr>
        <w:autoSpaceDE w:val="0"/>
        <w:autoSpaceDN w:val="0"/>
        <w:adjustRightInd w:val="0"/>
        <w:jc w:val="both"/>
        <w:rPr>
          <w:rFonts w:ascii="Bookman Old Style" w:hAnsi="Bookman Old Style" w:cs="Bookman Old Style"/>
          <w:sz w:val="20"/>
          <w:szCs w:val="20"/>
        </w:rPr>
      </w:pPr>
      <w:r w:rsidRPr="002C5BF2">
        <w:rPr>
          <w:rFonts w:ascii="Bookman Old Style" w:hAnsi="Bookman Old Style" w:cs="Bookman Old Style"/>
          <w:sz w:val="20"/>
          <w:szCs w:val="20"/>
        </w:rPr>
        <w:t>условия рынка (изменения цен за период между датами сделки и оценки, скидки к ценам предложений, иные условия);</w:t>
      </w:r>
    </w:p>
    <w:p w:rsidR="00F45425" w:rsidRPr="002C5BF2" w:rsidRDefault="00F45425" w:rsidP="00303E37">
      <w:pPr>
        <w:pStyle w:val="aff2"/>
        <w:numPr>
          <w:ilvl w:val="0"/>
          <w:numId w:val="31"/>
        </w:numPr>
        <w:autoSpaceDE w:val="0"/>
        <w:autoSpaceDN w:val="0"/>
        <w:adjustRightInd w:val="0"/>
        <w:jc w:val="both"/>
        <w:rPr>
          <w:rFonts w:ascii="Bookman Old Style" w:hAnsi="Bookman Old Style" w:cs="Bookman Old Style"/>
          <w:sz w:val="20"/>
          <w:szCs w:val="20"/>
        </w:rPr>
      </w:pPr>
      <w:r w:rsidRPr="002C5BF2">
        <w:rPr>
          <w:rFonts w:ascii="Bookman Old Style" w:hAnsi="Bookman Old Style" w:cs="Bookman Old Style"/>
          <w:sz w:val="20"/>
          <w:szCs w:val="20"/>
        </w:rPr>
        <w:t>вид использования и (или) зонирование;</w:t>
      </w:r>
    </w:p>
    <w:p w:rsidR="00F45425" w:rsidRPr="002C5BF2" w:rsidRDefault="00F45425" w:rsidP="00303E37">
      <w:pPr>
        <w:pStyle w:val="aff2"/>
        <w:numPr>
          <w:ilvl w:val="0"/>
          <w:numId w:val="31"/>
        </w:numPr>
        <w:autoSpaceDE w:val="0"/>
        <w:autoSpaceDN w:val="0"/>
        <w:adjustRightInd w:val="0"/>
        <w:jc w:val="both"/>
        <w:rPr>
          <w:rFonts w:ascii="Bookman Old Style" w:hAnsi="Bookman Old Style" w:cs="Bookman Old Style"/>
          <w:sz w:val="20"/>
          <w:szCs w:val="20"/>
        </w:rPr>
      </w:pPr>
      <w:r w:rsidRPr="002C5BF2">
        <w:rPr>
          <w:rFonts w:ascii="Bookman Old Style" w:hAnsi="Bookman Old Style" w:cs="Bookman Old Style"/>
          <w:sz w:val="20"/>
          <w:szCs w:val="20"/>
        </w:rPr>
        <w:t>местоположение объекта;</w:t>
      </w:r>
    </w:p>
    <w:p w:rsidR="00F45425" w:rsidRPr="002C5BF2" w:rsidRDefault="00F45425" w:rsidP="00303E37">
      <w:pPr>
        <w:pStyle w:val="aff2"/>
        <w:numPr>
          <w:ilvl w:val="0"/>
          <w:numId w:val="31"/>
        </w:numPr>
        <w:autoSpaceDE w:val="0"/>
        <w:autoSpaceDN w:val="0"/>
        <w:adjustRightInd w:val="0"/>
        <w:jc w:val="both"/>
        <w:rPr>
          <w:rFonts w:ascii="Bookman Old Style" w:hAnsi="Bookman Old Style" w:cs="Bookman Old Style"/>
          <w:sz w:val="20"/>
          <w:szCs w:val="20"/>
        </w:rPr>
      </w:pPr>
      <w:r w:rsidRPr="002C5BF2">
        <w:rPr>
          <w:rFonts w:ascii="Bookman Old Style" w:hAnsi="Bookman Old Style" w:cs="Bookman Old Style"/>
          <w:sz w:val="20"/>
          <w:szCs w:val="20"/>
        </w:rPr>
        <w:lastRenderedPageBreak/>
        <w:t>физические характеристики объекта, в том числе свойства земельного участка, состояние объектов капитального строительства, соотношение площади земельного участка и площади его застройки, иные характеристики;</w:t>
      </w:r>
    </w:p>
    <w:p w:rsidR="00F45425" w:rsidRPr="002C5BF2" w:rsidRDefault="00F45425" w:rsidP="00303E37">
      <w:pPr>
        <w:pStyle w:val="aff2"/>
        <w:numPr>
          <w:ilvl w:val="0"/>
          <w:numId w:val="31"/>
        </w:numPr>
        <w:autoSpaceDE w:val="0"/>
        <w:autoSpaceDN w:val="0"/>
        <w:adjustRightInd w:val="0"/>
        <w:jc w:val="both"/>
        <w:rPr>
          <w:rFonts w:ascii="Bookman Old Style" w:hAnsi="Bookman Old Style" w:cs="Bookman Old Style"/>
          <w:sz w:val="20"/>
          <w:szCs w:val="20"/>
        </w:rPr>
      </w:pPr>
      <w:r w:rsidRPr="002C5BF2">
        <w:rPr>
          <w:rFonts w:ascii="Bookman Old Style" w:hAnsi="Bookman Old Style" w:cs="Bookman Old Style"/>
          <w:sz w:val="20"/>
          <w:szCs w:val="20"/>
        </w:rPr>
        <w:t>экономические характеристики (уровень операционных расходов, условия аренды, состав арендаторов, иные характеристики);</w:t>
      </w:r>
    </w:p>
    <w:p w:rsidR="00F45425" w:rsidRPr="002C5BF2" w:rsidRDefault="00F45425" w:rsidP="00303E37">
      <w:pPr>
        <w:pStyle w:val="aff2"/>
        <w:numPr>
          <w:ilvl w:val="0"/>
          <w:numId w:val="31"/>
        </w:numPr>
        <w:autoSpaceDE w:val="0"/>
        <w:autoSpaceDN w:val="0"/>
        <w:adjustRightInd w:val="0"/>
        <w:jc w:val="both"/>
        <w:rPr>
          <w:rFonts w:ascii="Bookman Old Style" w:hAnsi="Bookman Old Style" w:cs="Bookman Old Style"/>
          <w:sz w:val="20"/>
          <w:szCs w:val="20"/>
        </w:rPr>
      </w:pPr>
      <w:r w:rsidRPr="002C5BF2">
        <w:rPr>
          <w:rFonts w:ascii="Bookman Old Style" w:hAnsi="Bookman Old Style" w:cs="Bookman Old Style"/>
          <w:sz w:val="20"/>
          <w:szCs w:val="20"/>
        </w:rPr>
        <w:t>наличие движимого имущества, не связанного с недвижимостью;</w:t>
      </w:r>
    </w:p>
    <w:p w:rsidR="00F45425" w:rsidRPr="002C5BF2" w:rsidRDefault="00F45425" w:rsidP="00303E37">
      <w:pPr>
        <w:pStyle w:val="aff2"/>
        <w:numPr>
          <w:ilvl w:val="0"/>
          <w:numId w:val="31"/>
        </w:numPr>
        <w:autoSpaceDE w:val="0"/>
        <w:autoSpaceDN w:val="0"/>
        <w:adjustRightInd w:val="0"/>
        <w:jc w:val="both"/>
        <w:rPr>
          <w:rFonts w:ascii="Bookman Old Style" w:hAnsi="Bookman Old Style" w:cs="Bookman Old Style"/>
          <w:sz w:val="20"/>
          <w:szCs w:val="20"/>
        </w:rPr>
      </w:pPr>
      <w:r w:rsidRPr="002C5BF2">
        <w:rPr>
          <w:rFonts w:ascii="Bookman Old Style" w:hAnsi="Bookman Old Style" w:cs="Bookman Old Style"/>
          <w:sz w:val="20"/>
          <w:szCs w:val="20"/>
        </w:rPr>
        <w:t>другие характеристики (элементы), влияющие на стоимость;</w:t>
      </w:r>
    </w:p>
    <w:p w:rsidR="00F45425" w:rsidRPr="00431CC5" w:rsidRDefault="00F45425" w:rsidP="00F45425">
      <w:pPr>
        <w:spacing w:before="120" w:after="120"/>
        <w:ind w:firstLine="708"/>
        <w:jc w:val="both"/>
        <w:rPr>
          <w:rFonts w:ascii="Bookman Old Style" w:hAnsi="Bookman Old Style"/>
          <w:sz w:val="20"/>
          <w:szCs w:val="20"/>
        </w:rPr>
      </w:pPr>
      <w:r>
        <w:rPr>
          <w:rFonts w:ascii="Bookman Old Style" w:hAnsi="Bookman Old Style"/>
          <w:sz w:val="20"/>
          <w:szCs w:val="20"/>
        </w:rPr>
        <w:t xml:space="preserve">Для </w:t>
      </w:r>
      <w:r w:rsidRPr="00FC029A">
        <w:rPr>
          <w:rFonts w:ascii="Bookman Old Style" w:hAnsi="Bookman Old Style"/>
          <w:sz w:val="20"/>
          <w:szCs w:val="20"/>
        </w:rPr>
        <w:t>выполнения расчетов использ</w:t>
      </w:r>
      <w:r>
        <w:rPr>
          <w:rFonts w:ascii="Bookman Old Style" w:hAnsi="Bookman Old Style"/>
          <w:sz w:val="20"/>
          <w:szCs w:val="20"/>
        </w:rPr>
        <w:t>ованы</w:t>
      </w:r>
      <w:r w:rsidRPr="00FC029A">
        <w:rPr>
          <w:rFonts w:ascii="Bookman Old Style" w:hAnsi="Bookman Old Style"/>
          <w:sz w:val="20"/>
          <w:szCs w:val="20"/>
        </w:rPr>
        <w:t xml:space="preserve"> типичные для аналогичного объекта сложившиеся на рынке оцениваемого объекта удельные показатели стоимости (единицы сравнения), в частности цена за единицу площади</w:t>
      </w:r>
      <w:r w:rsidRPr="00431CC5">
        <w:rPr>
          <w:rFonts w:ascii="Bookman Old Style" w:hAnsi="Bookman Old Style"/>
          <w:sz w:val="20"/>
          <w:szCs w:val="20"/>
        </w:rPr>
        <w:t>. Корректировки цен могут рассчитываться в денежном или процентном выражении.</w:t>
      </w:r>
    </w:p>
    <w:p w:rsidR="00F45425" w:rsidRPr="00431CC5" w:rsidRDefault="00F45425" w:rsidP="00F45425">
      <w:pPr>
        <w:spacing w:before="120" w:after="120"/>
        <w:ind w:firstLine="708"/>
        <w:jc w:val="both"/>
        <w:rPr>
          <w:rFonts w:ascii="Bookman Old Style" w:hAnsi="Bookman Old Style"/>
          <w:sz w:val="20"/>
          <w:szCs w:val="20"/>
        </w:rPr>
      </w:pPr>
      <w:r w:rsidRPr="00431CC5">
        <w:rPr>
          <w:rFonts w:ascii="Bookman Old Style" w:hAnsi="Bookman Old Style"/>
          <w:sz w:val="20"/>
          <w:szCs w:val="20"/>
        </w:rPr>
        <w:t>Величины корректировок цен, как правило, определяются следующими способами</w:t>
      </w:r>
      <w:r w:rsidRPr="00431CC5">
        <w:rPr>
          <w:rFonts w:ascii="Bookman Old Style" w:hAnsi="Bookman Old Style"/>
          <w:sz w:val="20"/>
          <w:szCs w:val="20"/>
          <w:vertAlign w:val="superscript"/>
        </w:rPr>
        <w:footnoteReference w:id="46"/>
      </w:r>
      <w:r w:rsidRPr="00431CC5">
        <w:rPr>
          <w:rFonts w:ascii="Bookman Old Style" w:hAnsi="Bookman Old Style"/>
          <w:sz w:val="20"/>
          <w:szCs w:val="20"/>
        </w:rPr>
        <w:t>:</w:t>
      </w:r>
    </w:p>
    <w:p w:rsidR="00F45425" w:rsidRPr="00FC029A" w:rsidRDefault="00F45425" w:rsidP="00303E37">
      <w:pPr>
        <w:pStyle w:val="aff2"/>
        <w:numPr>
          <w:ilvl w:val="0"/>
          <w:numId w:val="33"/>
        </w:numPr>
        <w:spacing w:before="120" w:after="120"/>
        <w:ind w:left="714" w:hanging="357"/>
        <w:contextualSpacing w:val="0"/>
        <w:jc w:val="both"/>
        <w:rPr>
          <w:rFonts w:ascii="Bookman Old Style" w:hAnsi="Bookman Old Style"/>
          <w:sz w:val="20"/>
          <w:szCs w:val="20"/>
        </w:rPr>
      </w:pPr>
      <w:r w:rsidRPr="00FC029A">
        <w:rPr>
          <w:rFonts w:ascii="Bookman Old Style" w:hAnsi="Bookman Old Style"/>
          <w:sz w:val="20"/>
          <w:szCs w:val="20"/>
        </w:rPr>
        <w:t>прямым попарным сопоставлением цен аналогов (метод анализа пар данных), отличающихся друг от друга только по одному элементу сравнения, и определением на базе полученной таким образом информации корректировки по данному элементу сравнения;</w:t>
      </w:r>
    </w:p>
    <w:p w:rsidR="00F45425" w:rsidRPr="00FC029A" w:rsidRDefault="00F45425" w:rsidP="00303E37">
      <w:pPr>
        <w:pStyle w:val="aff2"/>
        <w:numPr>
          <w:ilvl w:val="0"/>
          <w:numId w:val="33"/>
        </w:numPr>
        <w:spacing w:before="120" w:after="120"/>
        <w:ind w:left="714" w:hanging="357"/>
        <w:contextualSpacing w:val="0"/>
        <w:jc w:val="both"/>
        <w:rPr>
          <w:rFonts w:ascii="Bookman Old Style" w:hAnsi="Bookman Old Style"/>
          <w:sz w:val="20"/>
          <w:szCs w:val="20"/>
        </w:rPr>
      </w:pPr>
      <w:r w:rsidRPr="00FC029A">
        <w:rPr>
          <w:rFonts w:ascii="Bookman Old Style" w:hAnsi="Bookman Old Style"/>
          <w:sz w:val="20"/>
          <w:szCs w:val="20"/>
        </w:rPr>
        <w:t>корреляционно-регрессионным анализом связи между изменением элемента сравнения и изменением цен аналогов (цен единиц измерения аналогов) и определением уравнения связи между значением элемента сравнения и величиной рыночной стоимости объекта;</w:t>
      </w:r>
    </w:p>
    <w:p w:rsidR="00F45425" w:rsidRPr="00FC029A" w:rsidRDefault="00F45425" w:rsidP="00303E37">
      <w:pPr>
        <w:pStyle w:val="aff2"/>
        <w:numPr>
          <w:ilvl w:val="0"/>
          <w:numId w:val="33"/>
        </w:numPr>
        <w:spacing w:before="120" w:after="120"/>
        <w:ind w:left="714" w:hanging="357"/>
        <w:contextualSpacing w:val="0"/>
        <w:jc w:val="both"/>
        <w:rPr>
          <w:rFonts w:ascii="Bookman Old Style" w:hAnsi="Bookman Old Style"/>
          <w:sz w:val="20"/>
          <w:szCs w:val="20"/>
        </w:rPr>
      </w:pPr>
      <w:r w:rsidRPr="00FC029A">
        <w:rPr>
          <w:rFonts w:ascii="Bookman Old Style" w:hAnsi="Bookman Old Style"/>
          <w:sz w:val="20"/>
          <w:szCs w:val="20"/>
        </w:rPr>
        <w:t>определением затрат, связанных с изменением характеристики элемента сравнения, по которому аналог отличается от объекта оценки;</w:t>
      </w:r>
    </w:p>
    <w:p w:rsidR="00F45425" w:rsidRPr="00FC029A" w:rsidRDefault="00F45425" w:rsidP="00303E37">
      <w:pPr>
        <w:pStyle w:val="aff2"/>
        <w:numPr>
          <w:ilvl w:val="0"/>
          <w:numId w:val="33"/>
        </w:numPr>
        <w:spacing w:before="120" w:after="120"/>
        <w:ind w:left="714" w:hanging="357"/>
        <w:contextualSpacing w:val="0"/>
        <w:jc w:val="both"/>
        <w:rPr>
          <w:rFonts w:ascii="Bookman Old Style" w:hAnsi="Bookman Old Style"/>
          <w:sz w:val="20"/>
          <w:szCs w:val="20"/>
        </w:rPr>
      </w:pPr>
      <w:r w:rsidRPr="00FC029A">
        <w:rPr>
          <w:rFonts w:ascii="Bookman Old Style" w:hAnsi="Bookman Old Style"/>
          <w:sz w:val="20"/>
          <w:szCs w:val="20"/>
        </w:rPr>
        <w:t>экспертным обоснованием корректировок цен аналогов.</w:t>
      </w:r>
    </w:p>
    <w:p w:rsidR="00F45425" w:rsidRDefault="00F45425" w:rsidP="00F45425">
      <w:pPr>
        <w:spacing w:before="120" w:after="120"/>
        <w:ind w:firstLine="708"/>
        <w:jc w:val="both"/>
        <w:rPr>
          <w:rFonts w:ascii="Bookman Old Style" w:hAnsi="Bookman Old Style"/>
          <w:sz w:val="20"/>
          <w:szCs w:val="20"/>
        </w:rPr>
      </w:pPr>
      <w:r w:rsidRPr="00431CC5">
        <w:rPr>
          <w:rFonts w:ascii="Bookman Old Style" w:hAnsi="Bookman Old Style"/>
          <w:sz w:val="20"/>
          <w:szCs w:val="20"/>
        </w:rPr>
        <w:t xml:space="preserve">В результате определения и внесения корректировок, цены аналогов (единицы измерения аналогов), как правило, должны быть близки друг к другу. </w:t>
      </w:r>
    </w:p>
    <w:p w:rsidR="00F45425" w:rsidRPr="000877E7" w:rsidRDefault="00F45425" w:rsidP="00F45425">
      <w:pPr>
        <w:pStyle w:val="3"/>
        <w:rPr>
          <w:rFonts w:ascii="Bookman Old Style" w:hAnsi="Bookman Old Style"/>
          <w:sz w:val="20"/>
          <w:szCs w:val="20"/>
        </w:rPr>
      </w:pPr>
      <w:bookmarkStart w:id="271" w:name="_Toc461206403"/>
      <w:r>
        <w:rPr>
          <w:rFonts w:ascii="Bookman Old Style" w:hAnsi="Bookman Old Style"/>
          <w:sz w:val="20"/>
          <w:szCs w:val="20"/>
        </w:rPr>
        <w:t>5.4</w:t>
      </w:r>
      <w:r w:rsidRPr="000877E7">
        <w:rPr>
          <w:rFonts w:ascii="Bookman Old Style" w:hAnsi="Bookman Old Style"/>
          <w:sz w:val="20"/>
          <w:szCs w:val="20"/>
        </w:rPr>
        <w:t>.</w:t>
      </w:r>
      <w:r w:rsidR="009E0D79">
        <w:rPr>
          <w:rFonts w:ascii="Bookman Old Style" w:hAnsi="Bookman Old Style"/>
          <w:sz w:val="20"/>
          <w:szCs w:val="20"/>
        </w:rPr>
        <w:t>2</w:t>
      </w:r>
      <w:r w:rsidRPr="000877E7">
        <w:rPr>
          <w:rFonts w:ascii="Bookman Old Style" w:hAnsi="Bookman Old Style"/>
          <w:sz w:val="20"/>
          <w:szCs w:val="20"/>
        </w:rPr>
        <w:t>. Выбор единиц сравнения</w:t>
      </w:r>
      <w:bookmarkEnd w:id="271"/>
    </w:p>
    <w:p w:rsidR="00F45425" w:rsidRDefault="00F45425" w:rsidP="00F45425">
      <w:pPr>
        <w:overflowPunct w:val="0"/>
        <w:autoSpaceDE w:val="0"/>
        <w:autoSpaceDN w:val="0"/>
        <w:adjustRightInd w:val="0"/>
        <w:spacing w:before="120" w:after="120"/>
        <w:ind w:firstLine="708"/>
        <w:jc w:val="both"/>
        <w:rPr>
          <w:rFonts w:ascii="Bookman Old Style" w:hAnsi="Bookman Old Style"/>
          <w:sz w:val="20"/>
          <w:szCs w:val="20"/>
        </w:rPr>
      </w:pPr>
      <w:r>
        <w:rPr>
          <w:rFonts w:ascii="Bookman Old Style" w:hAnsi="Bookman Old Style"/>
          <w:sz w:val="20"/>
          <w:szCs w:val="20"/>
        </w:rPr>
        <w:t>При расчете рыночной стоимости Объекта оценки в качестве единицы сравнения выбрана стоимость 1 кв.м. общей площади.</w:t>
      </w:r>
    </w:p>
    <w:p w:rsidR="00F45425" w:rsidRPr="00806707" w:rsidRDefault="00F45425" w:rsidP="00F45425">
      <w:pPr>
        <w:overflowPunct w:val="0"/>
        <w:autoSpaceDE w:val="0"/>
        <w:autoSpaceDN w:val="0"/>
        <w:adjustRightInd w:val="0"/>
        <w:spacing w:before="120" w:after="120"/>
        <w:ind w:firstLine="644"/>
        <w:rPr>
          <w:rFonts w:ascii="Bookman Old Style" w:hAnsi="Bookman Old Style"/>
          <w:sz w:val="20"/>
          <w:szCs w:val="20"/>
        </w:rPr>
      </w:pPr>
      <w:r w:rsidRPr="00806707">
        <w:rPr>
          <w:rFonts w:ascii="Bookman Old Style" w:hAnsi="Bookman Old Style"/>
          <w:sz w:val="20"/>
          <w:szCs w:val="20"/>
        </w:rPr>
        <w:t>Можно выделить три основных критерия выбора единицы сравнения:</w:t>
      </w:r>
    </w:p>
    <w:p w:rsidR="00F45425" w:rsidRPr="00806707" w:rsidRDefault="00F45425" w:rsidP="00303E37">
      <w:pPr>
        <w:numPr>
          <w:ilvl w:val="0"/>
          <w:numId w:val="34"/>
        </w:numPr>
        <w:overflowPunct w:val="0"/>
        <w:autoSpaceDE w:val="0"/>
        <w:autoSpaceDN w:val="0"/>
        <w:adjustRightInd w:val="0"/>
        <w:spacing w:before="120" w:after="120"/>
        <w:jc w:val="both"/>
        <w:rPr>
          <w:rFonts w:ascii="Bookman Old Style" w:hAnsi="Bookman Old Style" w:cs="Arial"/>
          <w:sz w:val="20"/>
          <w:szCs w:val="20"/>
        </w:rPr>
      </w:pPr>
      <w:r w:rsidRPr="00806707">
        <w:rPr>
          <w:rFonts w:ascii="Bookman Old Style" w:hAnsi="Bookman Old Style" w:cs="Arial"/>
          <w:sz w:val="20"/>
          <w:szCs w:val="20"/>
        </w:rPr>
        <w:t>Данная единица сравнения используется покупателями и продавцами, а также другими специалистам</w:t>
      </w:r>
      <w:r>
        <w:rPr>
          <w:rFonts w:ascii="Bookman Old Style" w:hAnsi="Bookman Old Style" w:cs="Arial"/>
          <w:sz w:val="20"/>
          <w:szCs w:val="20"/>
        </w:rPr>
        <w:t>и на конкретном сегменте рынка, т.е. является типичной единицей сравнения на рынке оцениваемого Объекта.</w:t>
      </w:r>
    </w:p>
    <w:p w:rsidR="00F45425" w:rsidRPr="00806707" w:rsidRDefault="00F45425" w:rsidP="00303E37">
      <w:pPr>
        <w:numPr>
          <w:ilvl w:val="0"/>
          <w:numId w:val="34"/>
        </w:numPr>
        <w:overflowPunct w:val="0"/>
        <w:autoSpaceDE w:val="0"/>
        <w:autoSpaceDN w:val="0"/>
        <w:adjustRightInd w:val="0"/>
        <w:spacing w:before="120" w:after="120"/>
        <w:jc w:val="both"/>
        <w:rPr>
          <w:rFonts w:ascii="Bookman Old Style" w:hAnsi="Bookman Old Style" w:cs="Arial"/>
          <w:sz w:val="20"/>
          <w:szCs w:val="20"/>
        </w:rPr>
      </w:pPr>
      <w:r w:rsidRPr="00806707">
        <w:rPr>
          <w:rFonts w:ascii="Bookman Old Style" w:hAnsi="Bookman Old Style" w:cs="Arial"/>
          <w:sz w:val="20"/>
          <w:szCs w:val="20"/>
        </w:rPr>
        <w:t>Данная единиц</w:t>
      </w:r>
      <w:r>
        <w:rPr>
          <w:rFonts w:ascii="Bookman Old Style" w:hAnsi="Bookman Old Style" w:cs="Arial"/>
          <w:sz w:val="20"/>
          <w:szCs w:val="20"/>
        </w:rPr>
        <w:t>а сравнения является общей для О</w:t>
      </w:r>
      <w:r w:rsidRPr="00806707">
        <w:rPr>
          <w:rFonts w:ascii="Bookman Old Style" w:hAnsi="Bookman Old Style" w:cs="Arial"/>
          <w:sz w:val="20"/>
          <w:szCs w:val="20"/>
        </w:rPr>
        <w:t>бъекта оценки и объектов-аналогов («общий знаменатель»).</w:t>
      </w:r>
    </w:p>
    <w:p w:rsidR="00F45425" w:rsidRPr="00806707" w:rsidRDefault="00F45425" w:rsidP="00303E37">
      <w:pPr>
        <w:numPr>
          <w:ilvl w:val="0"/>
          <w:numId w:val="34"/>
        </w:numPr>
        <w:overflowPunct w:val="0"/>
        <w:autoSpaceDE w:val="0"/>
        <w:autoSpaceDN w:val="0"/>
        <w:adjustRightInd w:val="0"/>
        <w:spacing w:before="120" w:after="120"/>
        <w:jc w:val="both"/>
        <w:rPr>
          <w:rFonts w:ascii="Bookman Old Style" w:hAnsi="Bookman Old Style" w:cs="Arial"/>
          <w:sz w:val="20"/>
          <w:szCs w:val="20"/>
        </w:rPr>
      </w:pPr>
      <w:r w:rsidRPr="00806707">
        <w:rPr>
          <w:rFonts w:ascii="Bookman Old Style" w:hAnsi="Bookman Old Style" w:cs="Arial"/>
          <w:sz w:val="20"/>
          <w:szCs w:val="20"/>
        </w:rPr>
        <w:t>Данная единица сравнения является удельной характеристикой (удельной ценой), что существенно ослабляет зависимость этой характеристики от общего количества ценообразующ</w:t>
      </w:r>
      <w:r>
        <w:rPr>
          <w:rFonts w:ascii="Bookman Old Style" w:hAnsi="Bookman Old Style" w:cs="Arial"/>
          <w:sz w:val="20"/>
          <w:szCs w:val="20"/>
        </w:rPr>
        <w:t>их</w:t>
      </w:r>
      <w:r w:rsidRPr="00806707">
        <w:rPr>
          <w:rFonts w:ascii="Bookman Old Style" w:hAnsi="Bookman Old Style" w:cs="Arial"/>
          <w:sz w:val="20"/>
          <w:szCs w:val="20"/>
        </w:rPr>
        <w:t xml:space="preserve"> фактор</w:t>
      </w:r>
      <w:r>
        <w:rPr>
          <w:rFonts w:ascii="Bookman Old Style" w:hAnsi="Bookman Old Style" w:cs="Arial"/>
          <w:sz w:val="20"/>
          <w:szCs w:val="20"/>
        </w:rPr>
        <w:t>ов</w:t>
      </w:r>
      <w:r w:rsidRPr="00806707">
        <w:rPr>
          <w:rFonts w:ascii="Bookman Old Style" w:hAnsi="Bookman Old Style" w:cs="Arial"/>
          <w:sz w:val="20"/>
          <w:szCs w:val="20"/>
        </w:rPr>
        <w:t>.</w:t>
      </w:r>
    </w:p>
    <w:p w:rsidR="00F45425" w:rsidRDefault="00F45425" w:rsidP="00F45425">
      <w:pPr>
        <w:overflowPunct w:val="0"/>
        <w:autoSpaceDE w:val="0"/>
        <w:autoSpaceDN w:val="0"/>
        <w:adjustRightInd w:val="0"/>
        <w:spacing w:before="120" w:after="120"/>
        <w:ind w:firstLine="708"/>
        <w:jc w:val="both"/>
        <w:rPr>
          <w:rFonts w:ascii="Bookman Old Style" w:hAnsi="Bookman Old Style" w:cs="Arial"/>
          <w:sz w:val="20"/>
          <w:szCs w:val="20"/>
        </w:rPr>
      </w:pPr>
      <w:r w:rsidRPr="00806707">
        <w:rPr>
          <w:rFonts w:ascii="Bookman Old Style" w:hAnsi="Bookman Old Style" w:cs="Arial"/>
          <w:sz w:val="20"/>
          <w:szCs w:val="20"/>
        </w:rPr>
        <w:t>Этим же объясняется отказ от использования других единиц сравнения.</w:t>
      </w:r>
    </w:p>
    <w:p w:rsidR="00F45425" w:rsidRPr="000877E7" w:rsidRDefault="00F45425" w:rsidP="00F45425">
      <w:pPr>
        <w:pStyle w:val="3"/>
        <w:rPr>
          <w:rFonts w:ascii="Bookman Old Style" w:hAnsi="Bookman Old Style"/>
          <w:sz w:val="20"/>
          <w:szCs w:val="20"/>
        </w:rPr>
      </w:pPr>
      <w:bookmarkStart w:id="272" w:name="_Toc461206404"/>
      <w:r>
        <w:rPr>
          <w:rFonts w:ascii="Bookman Old Style" w:hAnsi="Bookman Old Style"/>
          <w:sz w:val="20"/>
          <w:szCs w:val="20"/>
        </w:rPr>
        <w:t>5.4</w:t>
      </w:r>
      <w:r w:rsidRPr="000877E7">
        <w:rPr>
          <w:rFonts w:ascii="Bookman Old Style" w:hAnsi="Bookman Old Style"/>
          <w:sz w:val="20"/>
          <w:szCs w:val="20"/>
        </w:rPr>
        <w:t>.</w:t>
      </w:r>
      <w:r w:rsidR="009E0D79">
        <w:rPr>
          <w:rFonts w:ascii="Bookman Old Style" w:hAnsi="Bookman Old Style"/>
          <w:sz w:val="20"/>
          <w:szCs w:val="20"/>
        </w:rPr>
        <w:t>3</w:t>
      </w:r>
      <w:r w:rsidRPr="000877E7">
        <w:rPr>
          <w:rFonts w:ascii="Bookman Old Style" w:hAnsi="Bookman Old Style"/>
          <w:sz w:val="20"/>
          <w:szCs w:val="20"/>
        </w:rPr>
        <w:t>. Правило отбора аналогов</w:t>
      </w:r>
      <w:r>
        <w:rPr>
          <w:rStyle w:val="aff0"/>
          <w:rFonts w:ascii="Bookman Old Style" w:hAnsi="Bookman Old Style"/>
          <w:sz w:val="20"/>
          <w:szCs w:val="20"/>
        </w:rPr>
        <w:footnoteReference w:id="47"/>
      </w:r>
      <w:bookmarkEnd w:id="272"/>
    </w:p>
    <w:p w:rsidR="009E0D79" w:rsidRPr="00110867" w:rsidRDefault="009E0D79" w:rsidP="009E0D79">
      <w:pPr>
        <w:spacing w:before="120" w:after="120"/>
        <w:ind w:firstLine="709"/>
        <w:jc w:val="both"/>
        <w:rPr>
          <w:rFonts w:ascii="Bookman Old Style" w:hAnsi="Bookman Old Style" w:cs="Arial"/>
          <w:sz w:val="20"/>
          <w:szCs w:val="20"/>
        </w:rPr>
      </w:pPr>
      <w:r w:rsidRPr="00110867">
        <w:rPr>
          <w:rFonts w:ascii="Bookman Old Style" w:hAnsi="Bookman Old Style" w:cs="Arial"/>
          <w:sz w:val="20"/>
          <w:szCs w:val="20"/>
        </w:rPr>
        <w:t>Объем доступных оценщику рыночных данных приведен в соответствующих разделах анализа рынка коммерческой недвижимости.</w:t>
      </w:r>
    </w:p>
    <w:p w:rsidR="009E0D79" w:rsidRPr="00110867" w:rsidRDefault="009E0D79" w:rsidP="009E0D79">
      <w:pPr>
        <w:spacing w:before="120" w:after="120"/>
        <w:ind w:firstLine="709"/>
        <w:jc w:val="both"/>
        <w:rPr>
          <w:rFonts w:ascii="Bookman Old Style" w:hAnsi="Bookman Old Style" w:cs="Arial"/>
          <w:sz w:val="20"/>
          <w:szCs w:val="20"/>
        </w:rPr>
      </w:pPr>
      <w:r w:rsidRPr="00110867">
        <w:rPr>
          <w:rFonts w:ascii="Bookman Old Style" w:hAnsi="Bookman Old Style" w:cs="Arial"/>
          <w:sz w:val="20"/>
          <w:szCs w:val="20"/>
        </w:rPr>
        <w:t>На рынке коммерческой недвижимости</w:t>
      </w:r>
      <w:r w:rsidR="006568BA">
        <w:rPr>
          <w:rFonts w:ascii="Bookman Old Style" w:hAnsi="Bookman Old Style" w:cs="Arial"/>
          <w:sz w:val="20"/>
          <w:szCs w:val="20"/>
        </w:rPr>
        <w:t xml:space="preserve"> и земельных участков </w:t>
      </w:r>
      <w:r w:rsidR="005F6A69">
        <w:rPr>
          <w:rFonts w:ascii="Bookman Old Style" w:hAnsi="Bookman Old Style" w:cs="Arial"/>
          <w:sz w:val="20"/>
          <w:szCs w:val="20"/>
        </w:rPr>
        <w:t>Ленинского</w:t>
      </w:r>
      <w:r w:rsidRPr="00110867">
        <w:rPr>
          <w:rFonts w:ascii="Bookman Old Style" w:hAnsi="Bookman Old Style" w:cs="Arial"/>
          <w:sz w:val="20"/>
          <w:szCs w:val="20"/>
        </w:rPr>
        <w:t xml:space="preserve"> </w:t>
      </w:r>
      <w:r w:rsidR="006A199E">
        <w:rPr>
          <w:rFonts w:ascii="Bookman Old Style" w:hAnsi="Bookman Old Style" w:cs="Arial"/>
          <w:sz w:val="20"/>
          <w:szCs w:val="20"/>
        </w:rPr>
        <w:t xml:space="preserve">района </w:t>
      </w:r>
      <w:r w:rsidRPr="00110867">
        <w:rPr>
          <w:rFonts w:ascii="Bookman Old Style" w:hAnsi="Bookman Old Style" w:cs="Arial"/>
          <w:sz w:val="20"/>
          <w:szCs w:val="20"/>
        </w:rPr>
        <w:t>г. Красноярска существует возможность выбора объектов-аналогов которые относятся к одному с элементами Объекта оценки сегменту рынка и сопоставимы с ним по ценообразующим факторам, а полученные результаты расчета можно считать надежными и достоверными, так как база оценки, мотивации сторон, характер гипотетической сделки, цель и задача оценки, а также степень экспозиции объектов на рынке при планируемой сделке совпадают, что обеспечивает адекватное определение рыночной стоимости Объекта оценки.</w:t>
      </w:r>
    </w:p>
    <w:p w:rsidR="009E0D79" w:rsidRPr="00110867" w:rsidRDefault="009E0D79" w:rsidP="009E0D79">
      <w:pPr>
        <w:spacing w:before="120" w:after="120"/>
        <w:ind w:firstLine="709"/>
        <w:jc w:val="both"/>
        <w:rPr>
          <w:rFonts w:ascii="Bookman Old Style" w:hAnsi="Bookman Old Style" w:cs="Arial"/>
          <w:sz w:val="20"/>
          <w:szCs w:val="20"/>
        </w:rPr>
      </w:pPr>
      <w:r w:rsidRPr="00110867">
        <w:rPr>
          <w:rFonts w:ascii="Bookman Old Style" w:hAnsi="Bookman Old Style" w:cs="Arial"/>
          <w:sz w:val="20"/>
          <w:szCs w:val="20"/>
        </w:rPr>
        <w:t>Необходимо отметить, что выбранные при расчете стоимости объекты-аналоги соответствуют элементам Объекта оценки по основному ценообразующему фактору определяющему стоимость недвижимого имущества – местоположению.</w:t>
      </w:r>
    </w:p>
    <w:p w:rsidR="00F45425" w:rsidRDefault="009E0D79" w:rsidP="009E0D79">
      <w:pPr>
        <w:spacing w:before="120" w:after="120"/>
        <w:ind w:firstLine="709"/>
        <w:jc w:val="both"/>
        <w:rPr>
          <w:rFonts w:ascii="Bookman Old Style" w:hAnsi="Bookman Old Style"/>
          <w:sz w:val="20"/>
          <w:szCs w:val="20"/>
        </w:rPr>
      </w:pPr>
      <w:r w:rsidRPr="00110867">
        <w:rPr>
          <w:rFonts w:ascii="Bookman Old Style" w:hAnsi="Bookman Old Style" w:cs="Arial"/>
          <w:sz w:val="20"/>
          <w:szCs w:val="20"/>
        </w:rPr>
        <w:lastRenderedPageBreak/>
        <w:t>Таким образом, при выборе объектов-аналогов оценщик руководствовался этим правилом</w:t>
      </w:r>
      <w:r w:rsidR="00284ACB" w:rsidRPr="00110867">
        <w:rPr>
          <w:rFonts w:ascii="Bookman Old Style" w:hAnsi="Bookman Old Style" w:cs="Arial"/>
          <w:sz w:val="20"/>
          <w:szCs w:val="20"/>
        </w:rPr>
        <w:t>.</w:t>
      </w:r>
    </w:p>
    <w:p w:rsidR="00F45425" w:rsidRPr="000877E7" w:rsidRDefault="00F45425" w:rsidP="00F45425">
      <w:pPr>
        <w:pStyle w:val="3"/>
        <w:rPr>
          <w:rFonts w:ascii="Bookman Old Style" w:hAnsi="Bookman Old Style"/>
          <w:sz w:val="20"/>
          <w:szCs w:val="20"/>
        </w:rPr>
      </w:pPr>
      <w:bookmarkStart w:id="273" w:name="_Toc461206405"/>
      <w:r>
        <w:rPr>
          <w:rFonts w:ascii="Bookman Old Style" w:hAnsi="Bookman Old Style"/>
          <w:sz w:val="20"/>
          <w:szCs w:val="20"/>
        </w:rPr>
        <w:t>5.4</w:t>
      </w:r>
      <w:r w:rsidRPr="000877E7">
        <w:rPr>
          <w:rFonts w:ascii="Bookman Old Style" w:hAnsi="Bookman Old Style"/>
          <w:sz w:val="20"/>
          <w:szCs w:val="20"/>
        </w:rPr>
        <w:t>.</w:t>
      </w:r>
      <w:r w:rsidR="00A21E6E">
        <w:rPr>
          <w:rFonts w:ascii="Bookman Old Style" w:hAnsi="Bookman Old Style"/>
          <w:sz w:val="20"/>
          <w:szCs w:val="20"/>
        </w:rPr>
        <w:t>4</w:t>
      </w:r>
      <w:r w:rsidRPr="000877E7">
        <w:rPr>
          <w:rFonts w:ascii="Bookman Old Style" w:hAnsi="Bookman Old Style"/>
          <w:sz w:val="20"/>
          <w:szCs w:val="20"/>
        </w:rPr>
        <w:t>. Корректировка по элементам сравнения. Согласование скорректированных результатов расчетов.</w:t>
      </w:r>
      <w:bookmarkEnd w:id="273"/>
    </w:p>
    <w:p w:rsidR="00F45425" w:rsidRDefault="00F45425" w:rsidP="00F45425">
      <w:pPr>
        <w:spacing w:before="120" w:after="120"/>
        <w:ind w:firstLine="709"/>
        <w:jc w:val="both"/>
        <w:rPr>
          <w:rFonts w:ascii="Bookman Old Style" w:hAnsi="Bookman Old Style"/>
          <w:sz w:val="20"/>
          <w:szCs w:val="20"/>
        </w:rPr>
      </w:pPr>
      <w:r w:rsidRPr="00231E9E">
        <w:rPr>
          <w:rFonts w:ascii="Bookman Old Style" w:hAnsi="Bookman Old Style"/>
          <w:sz w:val="20"/>
          <w:szCs w:val="20"/>
        </w:rPr>
        <w:t xml:space="preserve">Используя методику расчетов приведенную в </w:t>
      </w:r>
      <w:r w:rsidRPr="00071BBA">
        <w:rPr>
          <w:rFonts w:ascii="Bookman Old Style" w:hAnsi="Bookman Old Style"/>
          <w:sz w:val="20"/>
          <w:szCs w:val="20"/>
        </w:rPr>
        <w:t>пункте 5.4.1.</w:t>
      </w:r>
      <w:r w:rsidRPr="00231E9E">
        <w:rPr>
          <w:rFonts w:ascii="Bookman Old Style" w:hAnsi="Bookman Old Style"/>
          <w:sz w:val="20"/>
          <w:szCs w:val="20"/>
        </w:rPr>
        <w:t xml:space="preserve"> проведен расчет стоимости 1 кв.м. элементов Объекта оценки.</w:t>
      </w:r>
      <w:r w:rsidR="00CB5263" w:rsidRPr="00CB5263">
        <w:rPr>
          <w:rFonts w:ascii="Bookman Old Style" w:hAnsi="Bookman Old Style"/>
          <w:sz w:val="20"/>
          <w:szCs w:val="20"/>
        </w:rPr>
        <w:t xml:space="preserve"> </w:t>
      </w:r>
    </w:p>
    <w:p w:rsidR="00F45425" w:rsidRDefault="00F45425" w:rsidP="00F45425">
      <w:pPr>
        <w:spacing w:before="120" w:after="120"/>
        <w:ind w:firstLine="709"/>
        <w:jc w:val="both"/>
        <w:rPr>
          <w:rFonts w:ascii="Bookman Old Style" w:hAnsi="Bookman Old Style"/>
          <w:sz w:val="20"/>
          <w:szCs w:val="20"/>
        </w:rPr>
      </w:pPr>
      <w:r w:rsidRPr="00231E9E">
        <w:rPr>
          <w:rFonts w:ascii="Bookman Old Style" w:hAnsi="Bookman Old Style"/>
          <w:sz w:val="20"/>
          <w:szCs w:val="20"/>
        </w:rPr>
        <w:t>Необходимо отметить, что выбранные при расчете ценообразующие факторы, являются основными при определении стоимости элементов Объекта оценки. Ценообразующие факторы, не связанные с факторами спроса и предложения на рынке недвижимого имущества в рассматриваемых сегментах рынка, при проведении расчета не использовались.</w:t>
      </w:r>
    </w:p>
    <w:p w:rsidR="00490A76" w:rsidRDefault="00F45425" w:rsidP="00F45425">
      <w:pPr>
        <w:pStyle w:val="3"/>
        <w:rPr>
          <w:rFonts w:ascii="Bookman Old Style" w:hAnsi="Bookman Old Style"/>
          <w:sz w:val="20"/>
          <w:szCs w:val="20"/>
        </w:rPr>
      </w:pPr>
      <w:bookmarkStart w:id="274" w:name="_Toc461206406"/>
      <w:r>
        <w:rPr>
          <w:rFonts w:ascii="Bookman Old Style" w:hAnsi="Bookman Old Style"/>
          <w:sz w:val="20"/>
          <w:szCs w:val="20"/>
        </w:rPr>
        <w:t>5.4</w:t>
      </w:r>
      <w:r w:rsidRPr="00B32FC8">
        <w:rPr>
          <w:rFonts w:ascii="Bookman Old Style" w:hAnsi="Bookman Old Style"/>
          <w:sz w:val="20"/>
          <w:szCs w:val="20"/>
        </w:rPr>
        <w:t>.</w:t>
      </w:r>
      <w:r w:rsidR="00A21E6E">
        <w:rPr>
          <w:rFonts w:ascii="Bookman Old Style" w:hAnsi="Bookman Old Style"/>
          <w:sz w:val="20"/>
          <w:szCs w:val="20"/>
        </w:rPr>
        <w:t>4</w:t>
      </w:r>
      <w:r w:rsidRPr="00B32FC8">
        <w:rPr>
          <w:rFonts w:ascii="Bookman Old Style" w:hAnsi="Bookman Old Style"/>
          <w:sz w:val="20"/>
          <w:szCs w:val="20"/>
        </w:rPr>
        <w:t xml:space="preserve">.1. Расчет стоимости 1 кв.м. </w:t>
      </w:r>
      <w:r w:rsidR="00490A76">
        <w:rPr>
          <w:rFonts w:ascii="Bookman Old Style" w:hAnsi="Bookman Old Style"/>
          <w:sz w:val="20"/>
          <w:szCs w:val="20"/>
        </w:rPr>
        <w:t xml:space="preserve">нежилого помещения производственно-складского назначения площадью </w:t>
      </w:r>
      <w:r w:rsidR="00CE17F5">
        <w:rPr>
          <w:rFonts w:ascii="Bookman Old Style" w:hAnsi="Bookman Old Style"/>
          <w:sz w:val="20"/>
          <w:szCs w:val="20"/>
          <w:lang w:val="en-US"/>
        </w:rPr>
        <w:t>&gt;1000</w:t>
      </w:r>
      <w:r w:rsidR="00490A76">
        <w:rPr>
          <w:rFonts w:ascii="Bookman Old Style" w:hAnsi="Bookman Old Style"/>
          <w:sz w:val="20"/>
          <w:szCs w:val="20"/>
        </w:rPr>
        <w:t xml:space="preserve"> кв.м.</w:t>
      </w:r>
      <w:bookmarkEnd w:id="274"/>
      <w:r w:rsidR="00490A76">
        <w:rPr>
          <w:rFonts w:ascii="Bookman Old Style" w:hAnsi="Bookman Old Style"/>
          <w:sz w:val="20"/>
          <w:szCs w:val="20"/>
        </w:rPr>
        <w:t xml:space="preserve"> </w:t>
      </w:r>
    </w:p>
    <w:tbl>
      <w:tblPr>
        <w:tblW w:w="51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85"/>
        <w:gridCol w:w="1502"/>
        <w:gridCol w:w="1809"/>
        <w:gridCol w:w="1916"/>
        <w:gridCol w:w="2026"/>
        <w:gridCol w:w="1704"/>
      </w:tblGrid>
      <w:tr w:rsidR="00490A76" w:rsidRPr="00490A76" w:rsidTr="00490A76">
        <w:trPr>
          <w:cantSplit/>
          <w:trHeight w:val="170"/>
        </w:trPr>
        <w:tc>
          <w:tcPr>
            <w:tcW w:w="831" w:type="pct"/>
            <w:shd w:val="clear" w:color="auto" w:fill="auto"/>
            <w:vAlign w:val="center"/>
            <w:hideMark/>
          </w:tcPr>
          <w:p w:rsidR="00490A76" w:rsidRPr="00490A76" w:rsidRDefault="00490A76" w:rsidP="00490A76">
            <w:pPr>
              <w:jc w:val="center"/>
              <w:rPr>
                <w:rFonts w:ascii="Cambria" w:hAnsi="Cambria"/>
                <w:b/>
                <w:bCs/>
                <w:sz w:val="16"/>
                <w:szCs w:val="16"/>
              </w:rPr>
            </w:pPr>
            <w:r w:rsidRPr="00490A76">
              <w:rPr>
                <w:rFonts w:ascii="Cambria" w:hAnsi="Cambria"/>
                <w:b/>
                <w:bCs/>
                <w:sz w:val="16"/>
                <w:szCs w:val="16"/>
              </w:rPr>
              <w:t>Показатель</w:t>
            </w:r>
          </w:p>
        </w:tc>
        <w:tc>
          <w:tcPr>
            <w:tcW w:w="699" w:type="pct"/>
            <w:shd w:val="clear" w:color="auto" w:fill="auto"/>
            <w:vAlign w:val="center"/>
            <w:hideMark/>
          </w:tcPr>
          <w:p w:rsidR="00490A76" w:rsidRPr="00490A76" w:rsidRDefault="00490A76" w:rsidP="00490A76">
            <w:pPr>
              <w:jc w:val="center"/>
              <w:rPr>
                <w:rFonts w:ascii="Cambria" w:hAnsi="Cambria"/>
                <w:b/>
                <w:bCs/>
                <w:sz w:val="16"/>
                <w:szCs w:val="16"/>
              </w:rPr>
            </w:pPr>
            <w:r w:rsidRPr="00490A76">
              <w:rPr>
                <w:rFonts w:ascii="Cambria" w:hAnsi="Cambria"/>
                <w:b/>
                <w:bCs/>
                <w:sz w:val="16"/>
                <w:szCs w:val="16"/>
              </w:rPr>
              <w:t>Объект оценки</w:t>
            </w:r>
          </w:p>
        </w:tc>
        <w:tc>
          <w:tcPr>
            <w:tcW w:w="842" w:type="pct"/>
            <w:shd w:val="clear" w:color="auto" w:fill="auto"/>
            <w:vAlign w:val="center"/>
            <w:hideMark/>
          </w:tcPr>
          <w:p w:rsidR="00490A76" w:rsidRPr="00490A76" w:rsidRDefault="00490A76" w:rsidP="00490A76">
            <w:pPr>
              <w:jc w:val="center"/>
              <w:rPr>
                <w:rFonts w:ascii="Cambria" w:hAnsi="Cambria"/>
                <w:b/>
                <w:bCs/>
                <w:sz w:val="16"/>
                <w:szCs w:val="16"/>
              </w:rPr>
            </w:pPr>
            <w:r w:rsidRPr="00490A76">
              <w:rPr>
                <w:rFonts w:ascii="Cambria" w:hAnsi="Cambria"/>
                <w:b/>
                <w:bCs/>
                <w:sz w:val="16"/>
                <w:szCs w:val="16"/>
              </w:rPr>
              <w:t>Аналог 1</w:t>
            </w:r>
          </w:p>
        </w:tc>
        <w:tc>
          <w:tcPr>
            <w:tcW w:w="892" w:type="pct"/>
            <w:shd w:val="clear" w:color="auto" w:fill="auto"/>
            <w:vAlign w:val="center"/>
            <w:hideMark/>
          </w:tcPr>
          <w:p w:rsidR="00490A76" w:rsidRPr="00490A76" w:rsidRDefault="00490A76" w:rsidP="00490A76">
            <w:pPr>
              <w:jc w:val="center"/>
              <w:rPr>
                <w:rFonts w:ascii="Cambria" w:hAnsi="Cambria"/>
                <w:b/>
                <w:bCs/>
                <w:sz w:val="16"/>
                <w:szCs w:val="16"/>
              </w:rPr>
            </w:pPr>
            <w:r w:rsidRPr="00490A76">
              <w:rPr>
                <w:rFonts w:ascii="Cambria" w:hAnsi="Cambria"/>
                <w:b/>
                <w:bCs/>
                <w:sz w:val="16"/>
                <w:szCs w:val="16"/>
              </w:rPr>
              <w:t>Аналог 2</w:t>
            </w:r>
          </w:p>
        </w:tc>
        <w:tc>
          <w:tcPr>
            <w:tcW w:w="943" w:type="pct"/>
            <w:shd w:val="clear" w:color="auto" w:fill="auto"/>
            <w:vAlign w:val="center"/>
            <w:hideMark/>
          </w:tcPr>
          <w:p w:rsidR="00490A76" w:rsidRPr="00490A76" w:rsidRDefault="00490A76" w:rsidP="00490A76">
            <w:pPr>
              <w:jc w:val="center"/>
              <w:rPr>
                <w:rFonts w:ascii="Cambria" w:hAnsi="Cambria"/>
                <w:b/>
                <w:bCs/>
                <w:sz w:val="16"/>
                <w:szCs w:val="16"/>
              </w:rPr>
            </w:pPr>
            <w:r w:rsidRPr="00490A76">
              <w:rPr>
                <w:rFonts w:ascii="Cambria" w:hAnsi="Cambria"/>
                <w:b/>
                <w:bCs/>
                <w:sz w:val="16"/>
                <w:szCs w:val="16"/>
              </w:rPr>
              <w:t>Аналог 3</w:t>
            </w:r>
          </w:p>
        </w:tc>
        <w:tc>
          <w:tcPr>
            <w:tcW w:w="793" w:type="pct"/>
            <w:shd w:val="clear" w:color="auto" w:fill="auto"/>
            <w:vAlign w:val="center"/>
            <w:hideMark/>
          </w:tcPr>
          <w:p w:rsidR="00490A76" w:rsidRPr="00490A76" w:rsidRDefault="00490A76" w:rsidP="00490A76">
            <w:pPr>
              <w:jc w:val="center"/>
              <w:rPr>
                <w:rFonts w:ascii="Cambria" w:hAnsi="Cambria"/>
                <w:b/>
                <w:bCs/>
                <w:sz w:val="16"/>
                <w:szCs w:val="16"/>
              </w:rPr>
            </w:pPr>
            <w:r w:rsidRPr="00490A76">
              <w:rPr>
                <w:rFonts w:ascii="Cambria" w:hAnsi="Cambria"/>
                <w:b/>
                <w:bCs/>
                <w:sz w:val="16"/>
                <w:szCs w:val="16"/>
              </w:rPr>
              <w:t>Аналог 4</w:t>
            </w:r>
          </w:p>
        </w:tc>
      </w:tr>
      <w:tr w:rsidR="00490A76" w:rsidRPr="00490A76" w:rsidTr="00490A76">
        <w:trPr>
          <w:cantSplit/>
          <w:trHeight w:val="170"/>
        </w:trPr>
        <w:tc>
          <w:tcPr>
            <w:tcW w:w="831" w:type="pct"/>
            <w:shd w:val="clear" w:color="auto" w:fill="auto"/>
            <w:vAlign w:val="center"/>
            <w:hideMark/>
          </w:tcPr>
          <w:p w:rsidR="00490A76" w:rsidRPr="00490A76" w:rsidRDefault="00490A76" w:rsidP="00490A76">
            <w:pPr>
              <w:rPr>
                <w:rFonts w:ascii="Cambria" w:hAnsi="Cambria"/>
                <w:sz w:val="16"/>
                <w:szCs w:val="16"/>
              </w:rPr>
            </w:pPr>
            <w:r w:rsidRPr="00490A76">
              <w:rPr>
                <w:rFonts w:ascii="Cambria" w:hAnsi="Cambria"/>
                <w:sz w:val="16"/>
                <w:szCs w:val="16"/>
              </w:rPr>
              <w:t>Источник информации</w:t>
            </w:r>
          </w:p>
        </w:tc>
        <w:tc>
          <w:tcPr>
            <w:tcW w:w="699" w:type="pct"/>
            <w:shd w:val="clear" w:color="auto" w:fill="auto"/>
            <w:vAlign w:val="center"/>
            <w:hideMark/>
          </w:tcPr>
          <w:p w:rsidR="00490A76" w:rsidRPr="00490A76" w:rsidRDefault="00490A76" w:rsidP="00490A76">
            <w:pPr>
              <w:jc w:val="center"/>
              <w:rPr>
                <w:rFonts w:ascii="Cambria" w:hAnsi="Cambria"/>
                <w:sz w:val="16"/>
                <w:szCs w:val="16"/>
              </w:rPr>
            </w:pPr>
            <w:r w:rsidRPr="00490A76">
              <w:rPr>
                <w:rFonts w:ascii="Cambria" w:hAnsi="Cambria"/>
                <w:sz w:val="16"/>
                <w:szCs w:val="16"/>
              </w:rPr>
              <w:t>-</w:t>
            </w:r>
          </w:p>
        </w:tc>
        <w:tc>
          <w:tcPr>
            <w:tcW w:w="842" w:type="pct"/>
            <w:shd w:val="clear" w:color="auto" w:fill="auto"/>
            <w:vAlign w:val="center"/>
            <w:hideMark/>
          </w:tcPr>
          <w:p w:rsidR="00490A76" w:rsidRPr="00490A76" w:rsidRDefault="006C4CCF" w:rsidP="00490A76">
            <w:pPr>
              <w:jc w:val="center"/>
              <w:rPr>
                <w:rFonts w:ascii="Cambria" w:hAnsi="Cambria"/>
                <w:sz w:val="16"/>
                <w:szCs w:val="16"/>
                <w:u w:val="single"/>
              </w:rPr>
            </w:pPr>
            <w:hyperlink r:id="rId52" w:history="1">
              <w:r w:rsidR="00490A76" w:rsidRPr="00490A76">
                <w:rPr>
                  <w:rFonts w:ascii="Cambria" w:hAnsi="Cambria"/>
                  <w:sz w:val="16"/>
                  <w:szCs w:val="16"/>
                  <w:u w:val="single"/>
                </w:rPr>
                <w:t>https://www.avito.ru</w:t>
              </w:r>
            </w:hyperlink>
          </w:p>
        </w:tc>
        <w:tc>
          <w:tcPr>
            <w:tcW w:w="892" w:type="pct"/>
            <w:shd w:val="clear" w:color="auto" w:fill="auto"/>
            <w:vAlign w:val="center"/>
            <w:hideMark/>
          </w:tcPr>
          <w:p w:rsidR="00490A76" w:rsidRPr="00490A76" w:rsidRDefault="006C4CCF" w:rsidP="00490A76">
            <w:pPr>
              <w:jc w:val="center"/>
              <w:rPr>
                <w:rFonts w:ascii="Cambria" w:hAnsi="Cambria"/>
                <w:sz w:val="16"/>
                <w:szCs w:val="16"/>
                <w:u w:val="single"/>
              </w:rPr>
            </w:pPr>
            <w:hyperlink r:id="rId53" w:history="1">
              <w:r w:rsidR="00490A76" w:rsidRPr="00490A76">
                <w:rPr>
                  <w:rFonts w:ascii="Cambria" w:hAnsi="Cambria"/>
                  <w:sz w:val="16"/>
                  <w:szCs w:val="16"/>
                  <w:u w:val="single"/>
                </w:rPr>
                <w:t>http://kn.gilcom.ru</w:t>
              </w:r>
            </w:hyperlink>
          </w:p>
        </w:tc>
        <w:tc>
          <w:tcPr>
            <w:tcW w:w="943" w:type="pct"/>
            <w:shd w:val="clear" w:color="auto" w:fill="auto"/>
            <w:vAlign w:val="center"/>
            <w:hideMark/>
          </w:tcPr>
          <w:p w:rsidR="00490A76" w:rsidRPr="00490A76" w:rsidRDefault="006C4CCF" w:rsidP="00490A76">
            <w:pPr>
              <w:jc w:val="center"/>
              <w:rPr>
                <w:rFonts w:ascii="Cambria" w:hAnsi="Cambria"/>
                <w:sz w:val="16"/>
                <w:szCs w:val="16"/>
                <w:u w:val="single"/>
              </w:rPr>
            </w:pPr>
            <w:hyperlink r:id="rId54" w:history="1">
              <w:r w:rsidR="00490A76" w:rsidRPr="00490A76">
                <w:rPr>
                  <w:rFonts w:ascii="Cambria" w:hAnsi="Cambria"/>
                  <w:sz w:val="16"/>
                  <w:szCs w:val="16"/>
                  <w:u w:val="single"/>
                </w:rPr>
                <w:t>https://www.avito.ru</w:t>
              </w:r>
            </w:hyperlink>
          </w:p>
        </w:tc>
        <w:tc>
          <w:tcPr>
            <w:tcW w:w="793" w:type="pct"/>
            <w:shd w:val="clear" w:color="auto" w:fill="auto"/>
            <w:vAlign w:val="center"/>
            <w:hideMark/>
          </w:tcPr>
          <w:p w:rsidR="00490A76" w:rsidRPr="00490A76" w:rsidRDefault="006C4CCF" w:rsidP="00490A76">
            <w:pPr>
              <w:jc w:val="center"/>
              <w:rPr>
                <w:rFonts w:ascii="Cambria" w:hAnsi="Cambria"/>
                <w:sz w:val="16"/>
                <w:szCs w:val="16"/>
                <w:u w:val="single"/>
              </w:rPr>
            </w:pPr>
            <w:hyperlink r:id="rId55" w:history="1">
              <w:r w:rsidR="00490A76" w:rsidRPr="00490A76">
                <w:rPr>
                  <w:rFonts w:ascii="Cambria" w:hAnsi="Cambria"/>
                  <w:sz w:val="16"/>
                  <w:szCs w:val="16"/>
                  <w:u w:val="single"/>
                </w:rPr>
                <w:t>https://www.avito.ru</w:t>
              </w:r>
            </w:hyperlink>
          </w:p>
        </w:tc>
      </w:tr>
      <w:tr w:rsidR="00490A76" w:rsidRPr="00490A76" w:rsidTr="00490A76">
        <w:trPr>
          <w:cantSplit/>
          <w:trHeight w:val="170"/>
        </w:trPr>
        <w:tc>
          <w:tcPr>
            <w:tcW w:w="831" w:type="pct"/>
            <w:shd w:val="clear" w:color="auto" w:fill="auto"/>
            <w:vAlign w:val="center"/>
            <w:hideMark/>
          </w:tcPr>
          <w:p w:rsidR="00490A76" w:rsidRPr="00490A76" w:rsidRDefault="00490A76" w:rsidP="00490A76">
            <w:pPr>
              <w:rPr>
                <w:rFonts w:ascii="Cambria" w:hAnsi="Cambria"/>
                <w:sz w:val="16"/>
                <w:szCs w:val="16"/>
              </w:rPr>
            </w:pPr>
            <w:r w:rsidRPr="00490A76">
              <w:rPr>
                <w:rFonts w:ascii="Cambria" w:hAnsi="Cambria"/>
                <w:sz w:val="16"/>
                <w:szCs w:val="16"/>
              </w:rPr>
              <w:t>Сегмент рынка</w:t>
            </w:r>
          </w:p>
        </w:tc>
        <w:tc>
          <w:tcPr>
            <w:tcW w:w="699" w:type="pct"/>
            <w:shd w:val="clear" w:color="auto" w:fill="auto"/>
            <w:vAlign w:val="center"/>
            <w:hideMark/>
          </w:tcPr>
          <w:p w:rsidR="00490A76" w:rsidRPr="00490A76" w:rsidRDefault="00490A76" w:rsidP="00490A76">
            <w:pPr>
              <w:jc w:val="center"/>
              <w:rPr>
                <w:rFonts w:ascii="Cambria" w:hAnsi="Cambria"/>
                <w:sz w:val="16"/>
                <w:szCs w:val="16"/>
              </w:rPr>
            </w:pPr>
            <w:r w:rsidRPr="00490A76">
              <w:rPr>
                <w:rFonts w:ascii="Cambria" w:hAnsi="Cambria"/>
                <w:sz w:val="16"/>
                <w:szCs w:val="16"/>
              </w:rPr>
              <w:t>ПСН</w:t>
            </w:r>
          </w:p>
        </w:tc>
        <w:tc>
          <w:tcPr>
            <w:tcW w:w="842" w:type="pct"/>
            <w:shd w:val="clear" w:color="auto" w:fill="auto"/>
            <w:vAlign w:val="center"/>
            <w:hideMark/>
          </w:tcPr>
          <w:p w:rsidR="00490A76" w:rsidRPr="00490A76" w:rsidRDefault="00490A76" w:rsidP="00490A76">
            <w:pPr>
              <w:jc w:val="center"/>
              <w:rPr>
                <w:rFonts w:ascii="Cambria" w:hAnsi="Cambria"/>
                <w:sz w:val="16"/>
                <w:szCs w:val="16"/>
              </w:rPr>
            </w:pPr>
            <w:r w:rsidRPr="00490A76">
              <w:rPr>
                <w:rFonts w:ascii="Cambria" w:hAnsi="Cambria"/>
                <w:sz w:val="16"/>
                <w:szCs w:val="16"/>
              </w:rPr>
              <w:t>ПСН</w:t>
            </w:r>
          </w:p>
        </w:tc>
        <w:tc>
          <w:tcPr>
            <w:tcW w:w="892" w:type="pct"/>
            <w:shd w:val="clear" w:color="auto" w:fill="auto"/>
            <w:vAlign w:val="center"/>
            <w:hideMark/>
          </w:tcPr>
          <w:p w:rsidR="00490A76" w:rsidRPr="00490A76" w:rsidRDefault="00490A76" w:rsidP="00490A76">
            <w:pPr>
              <w:jc w:val="center"/>
              <w:rPr>
                <w:rFonts w:ascii="Cambria" w:hAnsi="Cambria"/>
                <w:sz w:val="16"/>
                <w:szCs w:val="16"/>
              </w:rPr>
            </w:pPr>
            <w:r w:rsidRPr="00490A76">
              <w:rPr>
                <w:rFonts w:ascii="Cambria" w:hAnsi="Cambria"/>
                <w:sz w:val="16"/>
                <w:szCs w:val="16"/>
              </w:rPr>
              <w:t>ПСН</w:t>
            </w:r>
          </w:p>
        </w:tc>
        <w:tc>
          <w:tcPr>
            <w:tcW w:w="943" w:type="pct"/>
            <w:shd w:val="clear" w:color="auto" w:fill="auto"/>
            <w:vAlign w:val="center"/>
            <w:hideMark/>
          </w:tcPr>
          <w:p w:rsidR="00490A76" w:rsidRPr="00490A76" w:rsidRDefault="00490A76" w:rsidP="00490A76">
            <w:pPr>
              <w:jc w:val="center"/>
              <w:rPr>
                <w:rFonts w:ascii="Cambria" w:hAnsi="Cambria"/>
                <w:sz w:val="16"/>
                <w:szCs w:val="16"/>
              </w:rPr>
            </w:pPr>
            <w:r w:rsidRPr="00490A76">
              <w:rPr>
                <w:rFonts w:ascii="Cambria" w:hAnsi="Cambria"/>
                <w:sz w:val="16"/>
                <w:szCs w:val="16"/>
              </w:rPr>
              <w:t>ПСН</w:t>
            </w:r>
          </w:p>
        </w:tc>
        <w:tc>
          <w:tcPr>
            <w:tcW w:w="793" w:type="pct"/>
            <w:shd w:val="clear" w:color="auto" w:fill="auto"/>
            <w:vAlign w:val="center"/>
            <w:hideMark/>
          </w:tcPr>
          <w:p w:rsidR="00490A76" w:rsidRPr="00490A76" w:rsidRDefault="00490A76" w:rsidP="00490A76">
            <w:pPr>
              <w:jc w:val="center"/>
              <w:rPr>
                <w:rFonts w:ascii="Cambria" w:hAnsi="Cambria"/>
                <w:sz w:val="16"/>
                <w:szCs w:val="16"/>
              </w:rPr>
            </w:pPr>
            <w:r w:rsidRPr="00490A76">
              <w:rPr>
                <w:rFonts w:ascii="Cambria" w:hAnsi="Cambria"/>
                <w:sz w:val="16"/>
                <w:szCs w:val="16"/>
              </w:rPr>
              <w:t>ПСН</w:t>
            </w:r>
          </w:p>
        </w:tc>
      </w:tr>
      <w:tr w:rsidR="006568BA" w:rsidRPr="00490A76" w:rsidTr="00490A76">
        <w:trPr>
          <w:cantSplit/>
          <w:trHeight w:val="170"/>
        </w:trPr>
        <w:tc>
          <w:tcPr>
            <w:tcW w:w="831" w:type="pct"/>
            <w:shd w:val="clear" w:color="auto" w:fill="auto"/>
            <w:vAlign w:val="center"/>
            <w:hideMark/>
          </w:tcPr>
          <w:p w:rsidR="006568BA" w:rsidRPr="00490A76" w:rsidRDefault="006568BA" w:rsidP="00490A76">
            <w:pPr>
              <w:rPr>
                <w:rFonts w:ascii="Cambria" w:hAnsi="Cambria"/>
                <w:sz w:val="16"/>
                <w:szCs w:val="16"/>
              </w:rPr>
            </w:pPr>
            <w:r w:rsidRPr="00490A76">
              <w:rPr>
                <w:rFonts w:ascii="Cambria" w:hAnsi="Cambria"/>
                <w:sz w:val="16"/>
                <w:szCs w:val="16"/>
              </w:rPr>
              <w:t>Местоположение</w:t>
            </w:r>
          </w:p>
        </w:tc>
        <w:tc>
          <w:tcPr>
            <w:tcW w:w="699"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г. Красноярск, Ленинский район, ул. Айвазовского,37а</w:t>
            </w:r>
          </w:p>
        </w:tc>
        <w:tc>
          <w:tcPr>
            <w:tcW w:w="842"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г. Красноярск, Ленинский район, ул Семена Давыдова, 60с2</w:t>
            </w:r>
          </w:p>
        </w:tc>
        <w:tc>
          <w:tcPr>
            <w:tcW w:w="892"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г. Красноярск, Ленинский район, ул. Энергетиков</w:t>
            </w:r>
          </w:p>
        </w:tc>
        <w:tc>
          <w:tcPr>
            <w:tcW w:w="943"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г. Красноярск, Ленинский район, ул. Айвазовского,16</w:t>
            </w:r>
          </w:p>
        </w:tc>
        <w:tc>
          <w:tcPr>
            <w:tcW w:w="793"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г. Красноярск, Ленинский район, ул. Айвазовского</w:t>
            </w:r>
          </w:p>
        </w:tc>
      </w:tr>
      <w:tr w:rsidR="006568BA" w:rsidRPr="00490A76" w:rsidTr="00490A76">
        <w:trPr>
          <w:cantSplit/>
          <w:trHeight w:val="170"/>
        </w:trPr>
        <w:tc>
          <w:tcPr>
            <w:tcW w:w="831" w:type="pct"/>
            <w:shd w:val="clear" w:color="auto" w:fill="auto"/>
            <w:vAlign w:val="center"/>
            <w:hideMark/>
          </w:tcPr>
          <w:p w:rsidR="006568BA" w:rsidRPr="00490A76" w:rsidRDefault="006568BA" w:rsidP="00490A76">
            <w:pPr>
              <w:rPr>
                <w:rFonts w:ascii="Cambria" w:hAnsi="Cambria"/>
                <w:b/>
                <w:bCs/>
                <w:sz w:val="16"/>
                <w:szCs w:val="16"/>
              </w:rPr>
            </w:pPr>
            <w:r w:rsidRPr="00490A76">
              <w:rPr>
                <w:rFonts w:ascii="Cambria" w:hAnsi="Cambria"/>
                <w:b/>
                <w:bCs/>
                <w:sz w:val="16"/>
                <w:szCs w:val="16"/>
              </w:rPr>
              <w:t>Стоимость, руб.</w:t>
            </w:r>
          </w:p>
        </w:tc>
        <w:tc>
          <w:tcPr>
            <w:tcW w:w="699" w:type="pct"/>
            <w:shd w:val="clear" w:color="auto" w:fill="auto"/>
            <w:vAlign w:val="center"/>
            <w:hideMark/>
          </w:tcPr>
          <w:p w:rsidR="006568BA" w:rsidRDefault="006568BA">
            <w:pPr>
              <w:jc w:val="center"/>
              <w:rPr>
                <w:rFonts w:ascii="Cambria" w:hAnsi="Cambria"/>
                <w:b/>
                <w:bCs/>
                <w:sz w:val="16"/>
                <w:szCs w:val="16"/>
              </w:rPr>
            </w:pPr>
            <w:r>
              <w:rPr>
                <w:rFonts w:ascii="Cambria" w:hAnsi="Cambria"/>
                <w:b/>
                <w:bCs/>
                <w:sz w:val="16"/>
                <w:szCs w:val="16"/>
              </w:rPr>
              <w:t>-</w:t>
            </w:r>
          </w:p>
        </w:tc>
        <w:tc>
          <w:tcPr>
            <w:tcW w:w="842"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17 495 660</w:t>
            </w:r>
          </w:p>
        </w:tc>
        <w:tc>
          <w:tcPr>
            <w:tcW w:w="892"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41 000 000</w:t>
            </w:r>
          </w:p>
        </w:tc>
        <w:tc>
          <w:tcPr>
            <w:tcW w:w="943"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12 300 000</w:t>
            </w:r>
          </w:p>
        </w:tc>
        <w:tc>
          <w:tcPr>
            <w:tcW w:w="793"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21 000 000</w:t>
            </w:r>
          </w:p>
        </w:tc>
      </w:tr>
      <w:tr w:rsidR="006568BA" w:rsidRPr="00490A76" w:rsidTr="00490A76">
        <w:trPr>
          <w:cantSplit/>
          <w:trHeight w:val="170"/>
        </w:trPr>
        <w:tc>
          <w:tcPr>
            <w:tcW w:w="831" w:type="pct"/>
            <w:shd w:val="clear" w:color="auto" w:fill="auto"/>
            <w:vAlign w:val="center"/>
            <w:hideMark/>
          </w:tcPr>
          <w:p w:rsidR="006568BA" w:rsidRPr="00490A76" w:rsidRDefault="006568BA" w:rsidP="00490A76">
            <w:pPr>
              <w:rPr>
                <w:rFonts w:ascii="Cambria" w:hAnsi="Cambria"/>
                <w:sz w:val="16"/>
                <w:szCs w:val="16"/>
              </w:rPr>
            </w:pPr>
            <w:r w:rsidRPr="00490A76">
              <w:rPr>
                <w:rFonts w:ascii="Cambria" w:hAnsi="Cambria"/>
                <w:sz w:val="16"/>
                <w:szCs w:val="16"/>
              </w:rPr>
              <w:t>Площадь здания, кв.м.</w:t>
            </w:r>
          </w:p>
        </w:tc>
        <w:tc>
          <w:tcPr>
            <w:tcW w:w="699" w:type="pct"/>
            <w:shd w:val="clear" w:color="auto" w:fill="auto"/>
            <w:vAlign w:val="center"/>
            <w:hideMark/>
          </w:tcPr>
          <w:p w:rsidR="006568BA" w:rsidRDefault="00DB0AEE">
            <w:pPr>
              <w:jc w:val="center"/>
              <w:rPr>
                <w:rFonts w:ascii="Cambria" w:hAnsi="Cambria"/>
                <w:b/>
                <w:bCs/>
                <w:sz w:val="16"/>
                <w:szCs w:val="16"/>
              </w:rPr>
            </w:pPr>
            <w:r w:rsidRPr="00DB0AEE">
              <w:rPr>
                <w:rFonts w:ascii="Cambria" w:hAnsi="Cambria"/>
                <w:b/>
                <w:bCs/>
                <w:sz w:val="16"/>
                <w:szCs w:val="16"/>
              </w:rPr>
              <w:t>3 771,30</w:t>
            </w:r>
          </w:p>
        </w:tc>
        <w:tc>
          <w:tcPr>
            <w:tcW w:w="842"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961,3</w:t>
            </w:r>
          </w:p>
        </w:tc>
        <w:tc>
          <w:tcPr>
            <w:tcW w:w="892"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1 583,0</w:t>
            </w:r>
          </w:p>
        </w:tc>
        <w:tc>
          <w:tcPr>
            <w:tcW w:w="943" w:type="pct"/>
            <w:shd w:val="clear" w:color="auto" w:fill="auto"/>
            <w:vAlign w:val="center"/>
            <w:hideMark/>
          </w:tcPr>
          <w:p w:rsidR="006568BA" w:rsidRDefault="006568BA">
            <w:pPr>
              <w:jc w:val="center"/>
              <w:rPr>
                <w:rFonts w:ascii="Cambria" w:hAnsi="Cambria"/>
                <w:b/>
                <w:bCs/>
                <w:sz w:val="16"/>
                <w:szCs w:val="16"/>
              </w:rPr>
            </w:pPr>
            <w:r>
              <w:rPr>
                <w:rFonts w:ascii="Cambria" w:hAnsi="Cambria"/>
                <w:b/>
                <w:bCs/>
                <w:sz w:val="16"/>
                <w:szCs w:val="16"/>
              </w:rPr>
              <w:t>620,00</w:t>
            </w:r>
          </w:p>
        </w:tc>
        <w:tc>
          <w:tcPr>
            <w:tcW w:w="793" w:type="pct"/>
            <w:shd w:val="clear" w:color="auto" w:fill="auto"/>
            <w:vAlign w:val="center"/>
            <w:hideMark/>
          </w:tcPr>
          <w:p w:rsidR="006568BA" w:rsidRDefault="006568BA">
            <w:pPr>
              <w:jc w:val="center"/>
              <w:rPr>
                <w:rFonts w:ascii="Cambria" w:hAnsi="Cambria"/>
                <w:b/>
                <w:bCs/>
                <w:sz w:val="16"/>
                <w:szCs w:val="16"/>
              </w:rPr>
            </w:pPr>
            <w:r>
              <w:rPr>
                <w:rFonts w:ascii="Cambria" w:hAnsi="Cambria"/>
                <w:b/>
                <w:bCs/>
                <w:sz w:val="16"/>
                <w:szCs w:val="16"/>
              </w:rPr>
              <w:t>878,80</w:t>
            </w:r>
          </w:p>
        </w:tc>
      </w:tr>
      <w:tr w:rsidR="006568BA" w:rsidRPr="00490A76" w:rsidTr="00490A76">
        <w:trPr>
          <w:cantSplit/>
          <w:trHeight w:val="170"/>
        </w:trPr>
        <w:tc>
          <w:tcPr>
            <w:tcW w:w="831" w:type="pct"/>
            <w:shd w:val="clear" w:color="auto" w:fill="auto"/>
            <w:vAlign w:val="center"/>
            <w:hideMark/>
          </w:tcPr>
          <w:p w:rsidR="006568BA" w:rsidRPr="00490A76" w:rsidRDefault="006568BA" w:rsidP="00490A76">
            <w:pPr>
              <w:rPr>
                <w:rFonts w:ascii="Cambria" w:hAnsi="Cambria"/>
                <w:sz w:val="16"/>
                <w:szCs w:val="16"/>
              </w:rPr>
            </w:pPr>
            <w:r w:rsidRPr="00490A76">
              <w:rPr>
                <w:rFonts w:ascii="Cambria" w:hAnsi="Cambria"/>
                <w:sz w:val="16"/>
                <w:szCs w:val="16"/>
              </w:rPr>
              <w:t>Площадь ЗУ, кв.м.</w:t>
            </w:r>
          </w:p>
        </w:tc>
        <w:tc>
          <w:tcPr>
            <w:tcW w:w="699"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 </w:t>
            </w:r>
          </w:p>
        </w:tc>
        <w:tc>
          <w:tcPr>
            <w:tcW w:w="842"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2 763,0</w:t>
            </w:r>
          </w:p>
        </w:tc>
        <w:tc>
          <w:tcPr>
            <w:tcW w:w="892"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6 700,0</w:t>
            </w:r>
          </w:p>
        </w:tc>
        <w:tc>
          <w:tcPr>
            <w:tcW w:w="943"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2 700,00</w:t>
            </w:r>
          </w:p>
        </w:tc>
        <w:tc>
          <w:tcPr>
            <w:tcW w:w="793"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2 300,0</w:t>
            </w:r>
          </w:p>
        </w:tc>
      </w:tr>
      <w:tr w:rsidR="006568BA" w:rsidRPr="00490A76" w:rsidTr="00490A76">
        <w:trPr>
          <w:cantSplit/>
          <w:trHeight w:val="170"/>
        </w:trPr>
        <w:tc>
          <w:tcPr>
            <w:tcW w:w="831" w:type="pct"/>
            <w:shd w:val="clear" w:color="auto" w:fill="auto"/>
            <w:vAlign w:val="center"/>
            <w:hideMark/>
          </w:tcPr>
          <w:p w:rsidR="006568BA" w:rsidRPr="00490A76" w:rsidRDefault="006568BA" w:rsidP="00490A76">
            <w:pPr>
              <w:rPr>
                <w:rFonts w:ascii="Cambria" w:hAnsi="Cambria"/>
                <w:sz w:val="16"/>
                <w:szCs w:val="16"/>
              </w:rPr>
            </w:pPr>
            <w:r w:rsidRPr="00490A76">
              <w:rPr>
                <w:rFonts w:ascii="Cambria" w:hAnsi="Cambria"/>
                <w:sz w:val="16"/>
                <w:szCs w:val="16"/>
              </w:rPr>
              <w:t>Стоимость ЗУ</w:t>
            </w:r>
          </w:p>
        </w:tc>
        <w:tc>
          <w:tcPr>
            <w:tcW w:w="699"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 </w:t>
            </w:r>
          </w:p>
        </w:tc>
        <w:tc>
          <w:tcPr>
            <w:tcW w:w="842"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446 529,88</w:t>
            </w:r>
          </w:p>
        </w:tc>
        <w:tc>
          <w:tcPr>
            <w:tcW w:w="892"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1 082 790,53</w:t>
            </w:r>
          </w:p>
        </w:tc>
        <w:tc>
          <w:tcPr>
            <w:tcW w:w="943"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436 348,42</w:t>
            </w:r>
          </w:p>
        </w:tc>
        <w:tc>
          <w:tcPr>
            <w:tcW w:w="793"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371 704,21</w:t>
            </w:r>
          </w:p>
        </w:tc>
      </w:tr>
      <w:tr w:rsidR="006568BA" w:rsidRPr="00490A76" w:rsidTr="00490A76">
        <w:trPr>
          <w:cantSplit/>
          <w:trHeight w:val="170"/>
        </w:trPr>
        <w:tc>
          <w:tcPr>
            <w:tcW w:w="831" w:type="pct"/>
            <w:shd w:val="clear" w:color="auto" w:fill="auto"/>
            <w:vAlign w:val="center"/>
            <w:hideMark/>
          </w:tcPr>
          <w:p w:rsidR="006568BA" w:rsidRPr="00490A76" w:rsidRDefault="006568BA" w:rsidP="00490A76">
            <w:pPr>
              <w:rPr>
                <w:rFonts w:ascii="Cambria" w:hAnsi="Cambria"/>
                <w:b/>
                <w:bCs/>
                <w:sz w:val="16"/>
                <w:szCs w:val="16"/>
              </w:rPr>
            </w:pPr>
            <w:r w:rsidRPr="00490A76">
              <w:rPr>
                <w:rFonts w:ascii="Cambria" w:hAnsi="Cambria"/>
                <w:b/>
                <w:bCs/>
                <w:sz w:val="16"/>
                <w:szCs w:val="16"/>
              </w:rPr>
              <w:t xml:space="preserve">Стоимость здания без ЗУ, руб. </w:t>
            </w:r>
          </w:p>
        </w:tc>
        <w:tc>
          <w:tcPr>
            <w:tcW w:w="699" w:type="pct"/>
            <w:shd w:val="clear" w:color="auto" w:fill="auto"/>
            <w:vAlign w:val="center"/>
            <w:hideMark/>
          </w:tcPr>
          <w:p w:rsidR="006568BA" w:rsidRDefault="006568BA">
            <w:pPr>
              <w:jc w:val="center"/>
              <w:rPr>
                <w:rFonts w:ascii="Cambria" w:hAnsi="Cambria"/>
                <w:b/>
                <w:bCs/>
                <w:sz w:val="16"/>
                <w:szCs w:val="16"/>
              </w:rPr>
            </w:pPr>
            <w:r>
              <w:rPr>
                <w:rFonts w:ascii="Cambria" w:hAnsi="Cambria"/>
                <w:b/>
                <w:bCs/>
                <w:sz w:val="16"/>
                <w:szCs w:val="16"/>
              </w:rPr>
              <w:t>?</w:t>
            </w:r>
          </w:p>
        </w:tc>
        <w:tc>
          <w:tcPr>
            <w:tcW w:w="842" w:type="pct"/>
            <w:shd w:val="clear" w:color="auto" w:fill="auto"/>
            <w:vAlign w:val="center"/>
            <w:hideMark/>
          </w:tcPr>
          <w:p w:rsidR="006568BA" w:rsidRDefault="006568BA">
            <w:pPr>
              <w:jc w:val="center"/>
              <w:rPr>
                <w:rFonts w:ascii="Cambria" w:hAnsi="Cambria"/>
                <w:b/>
                <w:bCs/>
                <w:sz w:val="16"/>
                <w:szCs w:val="16"/>
              </w:rPr>
            </w:pPr>
            <w:r>
              <w:rPr>
                <w:rFonts w:ascii="Cambria" w:hAnsi="Cambria"/>
                <w:b/>
                <w:bCs/>
                <w:sz w:val="16"/>
                <w:szCs w:val="16"/>
              </w:rPr>
              <w:t>17 049 130,12</w:t>
            </w:r>
          </w:p>
        </w:tc>
        <w:tc>
          <w:tcPr>
            <w:tcW w:w="892" w:type="pct"/>
            <w:shd w:val="clear" w:color="auto" w:fill="auto"/>
            <w:vAlign w:val="center"/>
            <w:hideMark/>
          </w:tcPr>
          <w:p w:rsidR="006568BA" w:rsidRDefault="006568BA">
            <w:pPr>
              <w:jc w:val="center"/>
              <w:rPr>
                <w:rFonts w:ascii="Cambria" w:hAnsi="Cambria"/>
                <w:b/>
                <w:bCs/>
                <w:sz w:val="16"/>
                <w:szCs w:val="16"/>
              </w:rPr>
            </w:pPr>
            <w:r>
              <w:rPr>
                <w:rFonts w:ascii="Cambria" w:hAnsi="Cambria"/>
                <w:b/>
                <w:bCs/>
                <w:sz w:val="16"/>
                <w:szCs w:val="16"/>
              </w:rPr>
              <w:t>39 917 209,47</w:t>
            </w:r>
          </w:p>
        </w:tc>
        <w:tc>
          <w:tcPr>
            <w:tcW w:w="943" w:type="pct"/>
            <w:shd w:val="clear" w:color="auto" w:fill="auto"/>
            <w:vAlign w:val="center"/>
            <w:hideMark/>
          </w:tcPr>
          <w:p w:rsidR="006568BA" w:rsidRDefault="006568BA">
            <w:pPr>
              <w:jc w:val="center"/>
              <w:rPr>
                <w:rFonts w:ascii="Cambria" w:hAnsi="Cambria"/>
                <w:b/>
                <w:bCs/>
                <w:sz w:val="16"/>
                <w:szCs w:val="16"/>
              </w:rPr>
            </w:pPr>
            <w:r>
              <w:rPr>
                <w:rFonts w:ascii="Cambria" w:hAnsi="Cambria"/>
                <w:b/>
                <w:bCs/>
                <w:sz w:val="16"/>
                <w:szCs w:val="16"/>
              </w:rPr>
              <w:t>11 863 651,58</w:t>
            </w:r>
          </w:p>
        </w:tc>
        <w:tc>
          <w:tcPr>
            <w:tcW w:w="793" w:type="pct"/>
            <w:shd w:val="clear" w:color="auto" w:fill="auto"/>
            <w:vAlign w:val="center"/>
            <w:hideMark/>
          </w:tcPr>
          <w:p w:rsidR="006568BA" w:rsidRDefault="006568BA">
            <w:pPr>
              <w:jc w:val="center"/>
              <w:rPr>
                <w:rFonts w:ascii="Cambria" w:hAnsi="Cambria"/>
                <w:b/>
                <w:bCs/>
                <w:sz w:val="16"/>
                <w:szCs w:val="16"/>
              </w:rPr>
            </w:pPr>
            <w:r>
              <w:rPr>
                <w:rFonts w:ascii="Cambria" w:hAnsi="Cambria"/>
                <w:b/>
                <w:bCs/>
                <w:sz w:val="16"/>
                <w:szCs w:val="16"/>
              </w:rPr>
              <w:t>20 628 295,79</w:t>
            </w:r>
          </w:p>
        </w:tc>
      </w:tr>
      <w:tr w:rsidR="006568BA" w:rsidRPr="00490A76" w:rsidTr="00490A76">
        <w:trPr>
          <w:cantSplit/>
          <w:trHeight w:val="170"/>
        </w:trPr>
        <w:tc>
          <w:tcPr>
            <w:tcW w:w="831" w:type="pct"/>
            <w:shd w:val="clear" w:color="auto" w:fill="auto"/>
            <w:vAlign w:val="center"/>
            <w:hideMark/>
          </w:tcPr>
          <w:p w:rsidR="006568BA" w:rsidRPr="00490A76" w:rsidRDefault="006568BA" w:rsidP="00490A76">
            <w:pPr>
              <w:rPr>
                <w:rFonts w:ascii="Cambria" w:hAnsi="Cambria"/>
                <w:b/>
                <w:bCs/>
                <w:sz w:val="16"/>
                <w:szCs w:val="16"/>
              </w:rPr>
            </w:pPr>
            <w:r w:rsidRPr="00490A76">
              <w:rPr>
                <w:rFonts w:ascii="Cambria" w:hAnsi="Cambria"/>
                <w:b/>
                <w:bCs/>
                <w:sz w:val="16"/>
                <w:szCs w:val="16"/>
              </w:rPr>
              <w:t>Стоимость здания, руб. кв.м.</w:t>
            </w:r>
          </w:p>
        </w:tc>
        <w:tc>
          <w:tcPr>
            <w:tcW w:w="699" w:type="pct"/>
            <w:shd w:val="clear" w:color="auto" w:fill="auto"/>
            <w:vAlign w:val="center"/>
            <w:hideMark/>
          </w:tcPr>
          <w:p w:rsidR="006568BA" w:rsidRDefault="006568BA">
            <w:pPr>
              <w:jc w:val="center"/>
              <w:rPr>
                <w:rFonts w:ascii="Cambria" w:hAnsi="Cambria"/>
                <w:b/>
                <w:bCs/>
                <w:sz w:val="16"/>
                <w:szCs w:val="16"/>
              </w:rPr>
            </w:pPr>
            <w:r>
              <w:rPr>
                <w:rFonts w:ascii="Cambria" w:hAnsi="Cambria"/>
                <w:b/>
                <w:bCs/>
                <w:sz w:val="16"/>
                <w:szCs w:val="16"/>
              </w:rPr>
              <w:t> </w:t>
            </w:r>
          </w:p>
        </w:tc>
        <w:tc>
          <w:tcPr>
            <w:tcW w:w="842" w:type="pct"/>
            <w:shd w:val="clear" w:color="auto" w:fill="auto"/>
            <w:vAlign w:val="center"/>
            <w:hideMark/>
          </w:tcPr>
          <w:p w:rsidR="006568BA" w:rsidRDefault="006568BA">
            <w:pPr>
              <w:jc w:val="center"/>
              <w:rPr>
                <w:rFonts w:ascii="Cambria" w:hAnsi="Cambria"/>
                <w:b/>
                <w:bCs/>
                <w:sz w:val="16"/>
                <w:szCs w:val="16"/>
              </w:rPr>
            </w:pPr>
            <w:r>
              <w:rPr>
                <w:rFonts w:ascii="Cambria" w:hAnsi="Cambria"/>
                <w:b/>
                <w:bCs/>
                <w:sz w:val="16"/>
                <w:szCs w:val="16"/>
              </w:rPr>
              <w:t>17 749,51</w:t>
            </w:r>
          </w:p>
        </w:tc>
        <w:tc>
          <w:tcPr>
            <w:tcW w:w="892" w:type="pct"/>
            <w:shd w:val="clear" w:color="auto" w:fill="auto"/>
            <w:vAlign w:val="center"/>
            <w:hideMark/>
          </w:tcPr>
          <w:p w:rsidR="006568BA" w:rsidRDefault="006568BA">
            <w:pPr>
              <w:jc w:val="center"/>
              <w:rPr>
                <w:rFonts w:ascii="Cambria" w:hAnsi="Cambria"/>
                <w:b/>
                <w:bCs/>
                <w:sz w:val="16"/>
                <w:szCs w:val="16"/>
              </w:rPr>
            </w:pPr>
            <w:r>
              <w:rPr>
                <w:rFonts w:ascii="Cambria" w:hAnsi="Cambria"/>
                <w:b/>
                <w:bCs/>
                <w:sz w:val="16"/>
                <w:szCs w:val="16"/>
              </w:rPr>
              <w:t>25 216,18</w:t>
            </w:r>
          </w:p>
        </w:tc>
        <w:tc>
          <w:tcPr>
            <w:tcW w:w="943" w:type="pct"/>
            <w:shd w:val="clear" w:color="auto" w:fill="auto"/>
            <w:vAlign w:val="center"/>
            <w:hideMark/>
          </w:tcPr>
          <w:p w:rsidR="006568BA" w:rsidRDefault="006568BA">
            <w:pPr>
              <w:jc w:val="center"/>
              <w:rPr>
                <w:rFonts w:ascii="Cambria" w:hAnsi="Cambria"/>
                <w:b/>
                <w:bCs/>
                <w:sz w:val="16"/>
                <w:szCs w:val="16"/>
              </w:rPr>
            </w:pPr>
            <w:r>
              <w:rPr>
                <w:rFonts w:ascii="Cambria" w:hAnsi="Cambria"/>
                <w:b/>
                <w:bCs/>
                <w:sz w:val="16"/>
                <w:szCs w:val="16"/>
              </w:rPr>
              <w:t>19 134,92</w:t>
            </w:r>
          </w:p>
        </w:tc>
        <w:tc>
          <w:tcPr>
            <w:tcW w:w="793" w:type="pct"/>
            <w:shd w:val="clear" w:color="auto" w:fill="auto"/>
            <w:vAlign w:val="center"/>
            <w:hideMark/>
          </w:tcPr>
          <w:p w:rsidR="006568BA" w:rsidRDefault="006568BA">
            <w:pPr>
              <w:jc w:val="center"/>
              <w:rPr>
                <w:rFonts w:ascii="Cambria" w:hAnsi="Cambria"/>
                <w:b/>
                <w:bCs/>
                <w:sz w:val="16"/>
                <w:szCs w:val="16"/>
              </w:rPr>
            </w:pPr>
            <w:r>
              <w:rPr>
                <w:rFonts w:ascii="Cambria" w:hAnsi="Cambria"/>
                <w:b/>
                <w:bCs/>
                <w:sz w:val="16"/>
                <w:szCs w:val="16"/>
              </w:rPr>
              <w:t>23 473,25</w:t>
            </w:r>
          </w:p>
        </w:tc>
      </w:tr>
      <w:tr w:rsidR="006568BA" w:rsidRPr="00490A76" w:rsidTr="00490A76">
        <w:trPr>
          <w:cantSplit/>
          <w:trHeight w:val="170"/>
        </w:trPr>
        <w:tc>
          <w:tcPr>
            <w:tcW w:w="5000" w:type="pct"/>
            <w:gridSpan w:val="6"/>
            <w:shd w:val="clear" w:color="auto" w:fill="auto"/>
            <w:vAlign w:val="center"/>
            <w:hideMark/>
          </w:tcPr>
          <w:p w:rsidR="006568BA" w:rsidRPr="00490A76" w:rsidRDefault="006568BA" w:rsidP="00490A76">
            <w:pPr>
              <w:jc w:val="center"/>
              <w:rPr>
                <w:rFonts w:ascii="Cambria" w:hAnsi="Cambria"/>
                <w:b/>
                <w:bCs/>
                <w:i/>
                <w:iCs/>
                <w:sz w:val="16"/>
                <w:szCs w:val="16"/>
              </w:rPr>
            </w:pPr>
            <w:r w:rsidRPr="00490A76">
              <w:rPr>
                <w:rFonts w:ascii="Cambria" w:hAnsi="Cambria"/>
                <w:b/>
                <w:bCs/>
                <w:i/>
                <w:iCs/>
                <w:sz w:val="16"/>
                <w:szCs w:val="16"/>
              </w:rPr>
              <w:t>Корректировка стоимости</w:t>
            </w:r>
          </w:p>
        </w:tc>
      </w:tr>
      <w:tr w:rsidR="006568BA" w:rsidRPr="00490A76" w:rsidTr="00490A76">
        <w:trPr>
          <w:cantSplit/>
          <w:trHeight w:val="170"/>
        </w:trPr>
        <w:tc>
          <w:tcPr>
            <w:tcW w:w="831" w:type="pct"/>
            <w:shd w:val="clear" w:color="auto" w:fill="auto"/>
            <w:vAlign w:val="center"/>
            <w:hideMark/>
          </w:tcPr>
          <w:p w:rsidR="006568BA" w:rsidRPr="00490A76" w:rsidRDefault="006568BA" w:rsidP="00490A76">
            <w:pPr>
              <w:rPr>
                <w:rFonts w:ascii="Cambria" w:hAnsi="Cambria"/>
                <w:i/>
                <w:iCs/>
                <w:sz w:val="16"/>
                <w:szCs w:val="16"/>
              </w:rPr>
            </w:pPr>
            <w:r w:rsidRPr="00490A76">
              <w:rPr>
                <w:rFonts w:ascii="Cambria" w:hAnsi="Cambria"/>
                <w:i/>
                <w:iCs/>
                <w:sz w:val="16"/>
                <w:szCs w:val="16"/>
              </w:rPr>
              <w:t>Передаваемые права</w:t>
            </w:r>
          </w:p>
        </w:tc>
        <w:tc>
          <w:tcPr>
            <w:tcW w:w="699" w:type="pct"/>
            <w:shd w:val="clear" w:color="auto" w:fill="auto"/>
            <w:vAlign w:val="center"/>
            <w:hideMark/>
          </w:tcPr>
          <w:p w:rsidR="006568BA" w:rsidRPr="00490A76" w:rsidRDefault="006568BA" w:rsidP="00490A76">
            <w:pPr>
              <w:jc w:val="center"/>
              <w:rPr>
                <w:rFonts w:ascii="Cambria" w:hAnsi="Cambria"/>
                <w:sz w:val="16"/>
                <w:szCs w:val="16"/>
              </w:rPr>
            </w:pPr>
            <w:r w:rsidRPr="00490A76">
              <w:rPr>
                <w:rFonts w:ascii="Cambria" w:hAnsi="Cambria"/>
                <w:sz w:val="16"/>
                <w:szCs w:val="16"/>
              </w:rPr>
              <w:t>-</w:t>
            </w:r>
          </w:p>
        </w:tc>
        <w:tc>
          <w:tcPr>
            <w:tcW w:w="842"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Право собственности</w:t>
            </w:r>
          </w:p>
        </w:tc>
        <w:tc>
          <w:tcPr>
            <w:tcW w:w="892"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Право собственности</w:t>
            </w:r>
          </w:p>
        </w:tc>
        <w:tc>
          <w:tcPr>
            <w:tcW w:w="943"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Право собственности</w:t>
            </w:r>
          </w:p>
        </w:tc>
        <w:tc>
          <w:tcPr>
            <w:tcW w:w="793"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Право собственности</w:t>
            </w:r>
          </w:p>
        </w:tc>
      </w:tr>
      <w:tr w:rsidR="006568BA" w:rsidRPr="00490A76" w:rsidTr="00490A76">
        <w:trPr>
          <w:cantSplit/>
          <w:trHeight w:val="170"/>
        </w:trPr>
        <w:tc>
          <w:tcPr>
            <w:tcW w:w="831" w:type="pct"/>
            <w:shd w:val="clear" w:color="auto" w:fill="auto"/>
            <w:vAlign w:val="center"/>
            <w:hideMark/>
          </w:tcPr>
          <w:p w:rsidR="006568BA" w:rsidRPr="00490A76" w:rsidRDefault="006568BA" w:rsidP="00490A76">
            <w:pPr>
              <w:rPr>
                <w:rFonts w:ascii="Cambria" w:hAnsi="Cambria"/>
                <w:sz w:val="16"/>
                <w:szCs w:val="16"/>
              </w:rPr>
            </w:pPr>
            <w:r w:rsidRPr="00490A76">
              <w:rPr>
                <w:rFonts w:ascii="Cambria" w:hAnsi="Cambria"/>
                <w:sz w:val="16"/>
                <w:szCs w:val="16"/>
              </w:rPr>
              <w:t>Корректировка</w:t>
            </w:r>
          </w:p>
        </w:tc>
        <w:tc>
          <w:tcPr>
            <w:tcW w:w="699" w:type="pct"/>
            <w:shd w:val="clear" w:color="auto" w:fill="auto"/>
            <w:vAlign w:val="center"/>
            <w:hideMark/>
          </w:tcPr>
          <w:p w:rsidR="006568BA" w:rsidRPr="00490A76" w:rsidRDefault="006568BA" w:rsidP="00490A76">
            <w:pPr>
              <w:jc w:val="center"/>
              <w:rPr>
                <w:rFonts w:ascii="Cambria" w:hAnsi="Cambria"/>
                <w:sz w:val="16"/>
                <w:szCs w:val="16"/>
              </w:rPr>
            </w:pPr>
            <w:r w:rsidRPr="00490A76">
              <w:rPr>
                <w:rFonts w:ascii="Cambria" w:hAnsi="Cambria"/>
                <w:sz w:val="16"/>
                <w:szCs w:val="16"/>
              </w:rPr>
              <w:t>-</w:t>
            </w:r>
          </w:p>
        </w:tc>
        <w:tc>
          <w:tcPr>
            <w:tcW w:w="842"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0,00%</w:t>
            </w:r>
          </w:p>
        </w:tc>
        <w:tc>
          <w:tcPr>
            <w:tcW w:w="892"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0,00%</w:t>
            </w:r>
          </w:p>
        </w:tc>
        <w:tc>
          <w:tcPr>
            <w:tcW w:w="943"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0,00%</w:t>
            </w:r>
          </w:p>
        </w:tc>
        <w:tc>
          <w:tcPr>
            <w:tcW w:w="793"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0,00%</w:t>
            </w:r>
          </w:p>
        </w:tc>
      </w:tr>
      <w:tr w:rsidR="006568BA" w:rsidRPr="00490A76" w:rsidTr="00490A76">
        <w:trPr>
          <w:cantSplit/>
          <w:trHeight w:val="170"/>
        </w:trPr>
        <w:tc>
          <w:tcPr>
            <w:tcW w:w="831" w:type="pct"/>
            <w:shd w:val="clear" w:color="auto" w:fill="auto"/>
            <w:vAlign w:val="center"/>
            <w:hideMark/>
          </w:tcPr>
          <w:p w:rsidR="006568BA" w:rsidRPr="00490A76" w:rsidRDefault="006568BA" w:rsidP="00490A76">
            <w:pPr>
              <w:rPr>
                <w:rFonts w:ascii="Cambria" w:hAnsi="Cambria"/>
                <w:b/>
                <w:bCs/>
                <w:sz w:val="16"/>
                <w:szCs w:val="16"/>
              </w:rPr>
            </w:pPr>
            <w:r w:rsidRPr="00490A76">
              <w:rPr>
                <w:rFonts w:ascii="Cambria" w:hAnsi="Cambria"/>
                <w:b/>
                <w:bCs/>
                <w:sz w:val="16"/>
                <w:szCs w:val="16"/>
              </w:rPr>
              <w:t>Скорректированная цена, руб. кв.м.</w:t>
            </w:r>
          </w:p>
        </w:tc>
        <w:tc>
          <w:tcPr>
            <w:tcW w:w="699" w:type="pct"/>
            <w:shd w:val="clear" w:color="auto" w:fill="auto"/>
            <w:vAlign w:val="center"/>
            <w:hideMark/>
          </w:tcPr>
          <w:p w:rsidR="006568BA" w:rsidRPr="00490A76" w:rsidRDefault="006568BA" w:rsidP="00490A76">
            <w:pPr>
              <w:jc w:val="center"/>
              <w:rPr>
                <w:rFonts w:ascii="Cambria" w:hAnsi="Cambria"/>
                <w:b/>
                <w:bCs/>
                <w:sz w:val="16"/>
                <w:szCs w:val="16"/>
              </w:rPr>
            </w:pPr>
            <w:r w:rsidRPr="00490A76">
              <w:rPr>
                <w:rFonts w:ascii="Cambria" w:hAnsi="Cambria"/>
                <w:b/>
                <w:bCs/>
                <w:sz w:val="16"/>
                <w:szCs w:val="16"/>
              </w:rPr>
              <w:t>-</w:t>
            </w:r>
          </w:p>
        </w:tc>
        <w:tc>
          <w:tcPr>
            <w:tcW w:w="842"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17 749,51</w:t>
            </w:r>
          </w:p>
        </w:tc>
        <w:tc>
          <w:tcPr>
            <w:tcW w:w="892"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25 216,18</w:t>
            </w:r>
          </w:p>
        </w:tc>
        <w:tc>
          <w:tcPr>
            <w:tcW w:w="943"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19 134,92</w:t>
            </w:r>
          </w:p>
        </w:tc>
        <w:tc>
          <w:tcPr>
            <w:tcW w:w="793"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23 473,25</w:t>
            </w:r>
          </w:p>
        </w:tc>
      </w:tr>
      <w:tr w:rsidR="006568BA" w:rsidRPr="00490A76" w:rsidTr="00490A76">
        <w:trPr>
          <w:cantSplit/>
          <w:trHeight w:val="170"/>
        </w:trPr>
        <w:tc>
          <w:tcPr>
            <w:tcW w:w="831" w:type="pct"/>
            <w:shd w:val="clear" w:color="auto" w:fill="auto"/>
            <w:vAlign w:val="center"/>
            <w:hideMark/>
          </w:tcPr>
          <w:p w:rsidR="006568BA" w:rsidRPr="00490A76" w:rsidRDefault="006568BA" w:rsidP="00490A76">
            <w:pPr>
              <w:rPr>
                <w:rFonts w:ascii="Cambria" w:hAnsi="Cambria"/>
                <w:i/>
                <w:iCs/>
                <w:sz w:val="16"/>
                <w:szCs w:val="16"/>
              </w:rPr>
            </w:pPr>
            <w:r w:rsidRPr="00490A76">
              <w:rPr>
                <w:rFonts w:ascii="Cambria" w:hAnsi="Cambria"/>
                <w:i/>
                <w:iCs/>
                <w:sz w:val="16"/>
                <w:szCs w:val="16"/>
              </w:rPr>
              <w:t>Условия рынка</w:t>
            </w:r>
          </w:p>
        </w:tc>
        <w:tc>
          <w:tcPr>
            <w:tcW w:w="699" w:type="pct"/>
            <w:shd w:val="clear" w:color="auto" w:fill="auto"/>
            <w:vAlign w:val="center"/>
            <w:hideMark/>
          </w:tcPr>
          <w:p w:rsidR="006568BA" w:rsidRPr="00490A76" w:rsidRDefault="006568BA" w:rsidP="00490A76">
            <w:pPr>
              <w:jc w:val="center"/>
              <w:rPr>
                <w:rFonts w:ascii="Cambria" w:hAnsi="Cambria"/>
                <w:sz w:val="16"/>
                <w:szCs w:val="16"/>
              </w:rPr>
            </w:pPr>
            <w:r w:rsidRPr="00490A76">
              <w:rPr>
                <w:rFonts w:ascii="Cambria" w:hAnsi="Cambria"/>
                <w:sz w:val="16"/>
                <w:szCs w:val="16"/>
              </w:rPr>
              <w:t>По состоянию август 2016</w:t>
            </w:r>
          </w:p>
        </w:tc>
        <w:tc>
          <w:tcPr>
            <w:tcW w:w="842"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По состоянию август 2016</w:t>
            </w:r>
          </w:p>
        </w:tc>
        <w:tc>
          <w:tcPr>
            <w:tcW w:w="892"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По состоянию август 2016</w:t>
            </w:r>
          </w:p>
        </w:tc>
        <w:tc>
          <w:tcPr>
            <w:tcW w:w="943"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По состоянию август 2016</w:t>
            </w:r>
          </w:p>
        </w:tc>
        <w:tc>
          <w:tcPr>
            <w:tcW w:w="793"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По состоянию август 2016</w:t>
            </w:r>
          </w:p>
        </w:tc>
      </w:tr>
      <w:tr w:rsidR="006568BA" w:rsidRPr="00490A76" w:rsidTr="00490A76">
        <w:trPr>
          <w:cantSplit/>
          <w:trHeight w:val="170"/>
        </w:trPr>
        <w:tc>
          <w:tcPr>
            <w:tcW w:w="831" w:type="pct"/>
            <w:shd w:val="clear" w:color="auto" w:fill="auto"/>
            <w:vAlign w:val="center"/>
            <w:hideMark/>
          </w:tcPr>
          <w:p w:rsidR="006568BA" w:rsidRPr="00490A76" w:rsidRDefault="006568BA" w:rsidP="00490A76">
            <w:pPr>
              <w:rPr>
                <w:rFonts w:ascii="Cambria" w:hAnsi="Cambria"/>
                <w:sz w:val="16"/>
                <w:szCs w:val="16"/>
              </w:rPr>
            </w:pPr>
            <w:r w:rsidRPr="00490A76">
              <w:rPr>
                <w:rFonts w:ascii="Cambria" w:hAnsi="Cambria"/>
                <w:sz w:val="16"/>
                <w:szCs w:val="16"/>
              </w:rPr>
              <w:t>Корректировка</w:t>
            </w:r>
          </w:p>
        </w:tc>
        <w:tc>
          <w:tcPr>
            <w:tcW w:w="699" w:type="pct"/>
            <w:shd w:val="clear" w:color="auto" w:fill="auto"/>
            <w:vAlign w:val="center"/>
            <w:hideMark/>
          </w:tcPr>
          <w:p w:rsidR="006568BA" w:rsidRPr="00490A76" w:rsidRDefault="006568BA" w:rsidP="00490A76">
            <w:pPr>
              <w:jc w:val="center"/>
              <w:rPr>
                <w:rFonts w:ascii="Cambria" w:hAnsi="Cambria"/>
                <w:sz w:val="16"/>
                <w:szCs w:val="16"/>
              </w:rPr>
            </w:pPr>
            <w:r w:rsidRPr="00490A76">
              <w:rPr>
                <w:rFonts w:ascii="Cambria" w:hAnsi="Cambria"/>
                <w:sz w:val="16"/>
                <w:szCs w:val="16"/>
              </w:rPr>
              <w:t>-</w:t>
            </w:r>
          </w:p>
        </w:tc>
        <w:tc>
          <w:tcPr>
            <w:tcW w:w="842"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0,00%</w:t>
            </w:r>
          </w:p>
        </w:tc>
        <w:tc>
          <w:tcPr>
            <w:tcW w:w="892"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0,00%</w:t>
            </w:r>
          </w:p>
        </w:tc>
        <w:tc>
          <w:tcPr>
            <w:tcW w:w="943"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0,00%</w:t>
            </w:r>
          </w:p>
        </w:tc>
        <w:tc>
          <w:tcPr>
            <w:tcW w:w="793"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0,00%</w:t>
            </w:r>
          </w:p>
        </w:tc>
      </w:tr>
      <w:tr w:rsidR="006568BA" w:rsidRPr="00490A76" w:rsidTr="00490A76">
        <w:trPr>
          <w:cantSplit/>
          <w:trHeight w:val="170"/>
        </w:trPr>
        <w:tc>
          <w:tcPr>
            <w:tcW w:w="831" w:type="pct"/>
            <w:shd w:val="clear" w:color="auto" w:fill="auto"/>
            <w:vAlign w:val="center"/>
            <w:hideMark/>
          </w:tcPr>
          <w:p w:rsidR="006568BA" w:rsidRPr="00490A76" w:rsidRDefault="006568BA" w:rsidP="00490A76">
            <w:pPr>
              <w:rPr>
                <w:rFonts w:ascii="Cambria" w:hAnsi="Cambria"/>
                <w:b/>
                <w:bCs/>
                <w:sz w:val="16"/>
                <w:szCs w:val="16"/>
              </w:rPr>
            </w:pPr>
            <w:r w:rsidRPr="00490A76">
              <w:rPr>
                <w:rFonts w:ascii="Cambria" w:hAnsi="Cambria"/>
                <w:b/>
                <w:bCs/>
                <w:sz w:val="16"/>
                <w:szCs w:val="16"/>
              </w:rPr>
              <w:t>Скорректированная цена, руб. кв.м.</w:t>
            </w:r>
          </w:p>
        </w:tc>
        <w:tc>
          <w:tcPr>
            <w:tcW w:w="699" w:type="pct"/>
            <w:shd w:val="clear" w:color="auto" w:fill="auto"/>
            <w:vAlign w:val="center"/>
            <w:hideMark/>
          </w:tcPr>
          <w:p w:rsidR="006568BA" w:rsidRPr="00490A76" w:rsidRDefault="006568BA" w:rsidP="00490A76">
            <w:pPr>
              <w:jc w:val="center"/>
              <w:rPr>
                <w:rFonts w:ascii="Cambria" w:hAnsi="Cambria"/>
                <w:b/>
                <w:bCs/>
                <w:sz w:val="16"/>
                <w:szCs w:val="16"/>
              </w:rPr>
            </w:pPr>
            <w:r w:rsidRPr="00490A76">
              <w:rPr>
                <w:rFonts w:ascii="Cambria" w:hAnsi="Cambria"/>
                <w:b/>
                <w:bCs/>
                <w:sz w:val="16"/>
                <w:szCs w:val="16"/>
              </w:rPr>
              <w:t>-</w:t>
            </w:r>
          </w:p>
        </w:tc>
        <w:tc>
          <w:tcPr>
            <w:tcW w:w="842"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17 749,51</w:t>
            </w:r>
          </w:p>
        </w:tc>
        <w:tc>
          <w:tcPr>
            <w:tcW w:w="892"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25 216,18</w:t>
            </w:r>
          </w:p>
        </w:tc>
        <w:tc>
          <w:tcPr>
            <w:tcW w:w="943"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19 134,92</w:t>
            </w:r>
          </w:p>
        </w:tc>
        <w:tc>
          <w:tcPr>
            <w:tcW w:w="793"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23 473,25</w:t>
            </w:r>
          </w:p>
        </w:tc>
      </w:tr>
      <w:tr w:rsidR="006568BA" w:rsidRPr="00490A76" w:rsidTr="00490A76">
        <w:trPr>
          <w:cantSplit/>
          <w:trHeight w:val="170"/>
        </w:trPr>
        <w:tc>
          <w:tcPr>
            <w:tcW w:w="831" w:type="pct"/>
            <w:shd w:val="clear" w:color="auto" w:fill="auto"/>
            <w:vAlign w:val="center"/>
            <w:hideMark/>
          </w:tcPr>
          <w:p w:rsidR="006568BA" w:rsidRPr="00490A76" w:rsidRDefault="006568BA" w:rsidP="00490A76">
            <w:pPr>
              <w:rPr>
                <w:rFonts w:ascii="Cambria" w:hAnsi="Cambria"/>
                <w:i/>
                <w:iCs/>
                <w:sz w:val="16"/>
                <w:szCs w:val="16"/>
              </w:rPr>
            </w:pPr>
            <w:r w:rsidRPr="00490A76">
              <w:rPr>
                <w:rFonts w:ascii="Cambria" w:hAnsi="Cambria"/>
                <w:i/>
                <w:iCs/>
                <w:sz w:val="16"/>
                <w:szCs w:val="16"/>
              </w:rPr>
              <w:t>Условия продажи</w:t>
            </w:r>
          </w:p>
        </w:tc>
        <w:tc>
          <w:tcPr>
            <w:tcW w:w="699" w:type="pct"/>
            <w:shd w:val="clear" w:color="auto" w:fill="auto"/>
            <w:vAlign w:val="center"/>
            <w:hideMark/>
          </w:tcPr>
          <w:p w:rsidR="006568BA" w:rsidRPr="00490A76" w:rsidRDefault="006568BA" w:rsidP="00490A76">
            <w:pPr>
              <w:jc w:val="center"/>
              <w:rPr>
                <w:rFonts w:ascii="Cambria" w:hAnsi="Cambria"/>
                <w:sz w:val="16"/>
                <w:szCs w:val="16"/>
              </w:rPr>
            </w:pPr>
            <w:r w:rsidRPr="00490A76">
              <w:rPr>
                <w:rFonts w:ascii="Cambria" w:hAnsi="Cambria"/>
                <w:sz w:val="16"/>
                <w:szCs w:val="16"/>
              </w:rPr>
              <w:t>Цена сделки</w:t>
            </w:r>
          </w:p>
        </w:tc>
        <w:tc>
          <w:tcPr>
            <w:tcW w:w="842"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Торг возможен</w:t>
            </w:r>
          </w:p>
        </w:tc>
        <w:tc>
          <w:tcPr>
            <w:tcW w:w="892"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Торг возможен</w:t>
            </w:r>
          </w:p>
        </w:tc>
        <w:tc>
          <w:tcPr>
            <w:tcW w:w="943"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Торг возможен</w:t>
            </w:r>
          </w:p>
        </w:tc>
        <w:tc>
          <w:tcPr>
            <w:tcW w:w="793"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Торг возможен</w:t>
            </w:r>
          </w:p>
        </w:tc>
      </w:tr>
      <w:tr w:rsidR="006568BA" w:rsidRPr="00490A76" w:rsidTr="00490A76">
        <w:trPr>
          <w:cantSplit/>
          <w:trHeight w:val="170"/>
        </w:trPr>
        <w:tc>
          <w:tcPr>
            <w:tcW w:w="831" w:type="pct"/>
            <w:shd w:val="clear" w:color="auto" w:fill="auto"/>
            <w:vAlign w:val="center"/>
            <w:hideMark/>
          </w:tcPr>
          <w:p w:rsidR="006568BA" w:rsidRPr="00490A76" w:rsidRDefault="006568BA" w:rsidP="00490A76">
            <w:pPr>
              <w:rPr>
                <w:rFonts w:ascii="Cambria" w:hAnsi="Cambria"/>
                <w:sz w:val="16"/>
                <w:szCs w:val="16"/>
              </w:rPr>
            </w:pPr>
            <w:r w:rsidRPr="00490A76">
              <w:rPr>
                <w:rFonts w:ascii="Cambria" w:hAnsi="Cambria"/>
                <w:sz w:val="16"/>
                <w:szCs w:val="16"/>
              </w:rPr>
              <w:t>Корректировка</w:t>
            </w:r>
          </w:p>
        </w:tc>
        <w:tc>
          <w:tcPr>
            <w:tcW w:w="699" w:type="pct"/>
            <w:shd w:val="clear" w:color="auto" w:fill="auto"/>
            <w:vAlign w:val="center"/>
            <w:hideMark/>
          </w:tcPr>
          <w:p w:rsidR="006568BA" w:rsidRPr="00490A76" w:rsidRDefault="006568BA" w:rsidP="00490A76">
            <w:pPr>
              <w:jc w:val="center"/>
              <w:rPr>
                <w:rFonts w:ascii="Cambria" w:hAnsi="Cambria"/>
                <w:sz w:val="16"/>
                <w:szCs w:val="16"/>
              </w:rPr>
            </w:pPr>
            <w:r w:rsidRPr="00490A76">
              <w:rPr>
                <w:rFonts w:ascii="Cambria" w:hAnsi="Cambria"/>
                <w:sz w:val="16"/>
                <w:szCs w:val="16"/>
              </w:rPr>
              <w:t>-</w:t>
            </w:r>
          </w:p>
        </w:tc>
        <w:tc>
          <w:tcPr>
            <w:tcW w:w="842"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-10,00%</w:t>
            </w:r>
          </w:p>
        </w:tc>
        <w:tc>
          <w:tcPr>
            <w:tcW w:w="892"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-10,00%</w:t>
            </w:r>
          </w:p>
        </w:tc>
        <w:tc>
          <w:tcPr>
            <w:tcW w:w="943"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-10,00%</w:t>
            </w:r>
          </w:p>
        </w:tc>
        <w:tc>
          <w:tcPr>
            <w:tcW w:w="793"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-10,00%</w:t>
            </w:r>
          </w:p>
        </w:tc>
      </w:tr>
      <w:tr w:rsidR="006568BA" w:rsidRPr="00490A76" w:rsidTr="00490A76">
        <w:trPr>
          <w:cantSplit/>
          <w:trHeight w:val="170"/>
        </w:trPr>
        <w:tc>
          <w:tcPr>
            <w:tcW w:w="831" w:type="pct"/>
            <w:shd w:val="clear" w:color="auto" w:fill="auto"/>
            <w:vAlign w:val="center"/>
            <w:hideMark/>
          </w:tcPr>
          <w:p w:rsidR="006568BA" w:rsidRPr="00490A76" w:rsidRDefault="006568BA" w:rsidP="00490A76">
            <w:pPr>
              <w:rPr>
                <w:rFonts w:ascii="Cambria" w:hAnsi="Cambria"/>
                <w:b/>
                <w:bCs/>
                <w:sz w:val="16"/>
                <w:szCs w:val="16"/>
              </w:rPr>
            </w:pPr>
            <w:r w:rsidRPr="00490A76">
              <w:rPr>
                <w:rFonts w:ascii="Cambria" w:hAnsi="Cambria"/>
                <w:b/>
                <w:bCs/>
                <w:sz w:val="16"/>
                <w:szCs w:val="16"/>
              </w:rPr>
              <w:t>Скорректированная цена, руб. кв.м.</w:t>
            </w:r>
          </w:p>
        </w:tc>
        <w:tc>
          <w:tcPr>
            <w:tcW w:w="699" w:type="pct"/>
            <w:shd w:val="clear" w:color="auto" w:fill="auto"/>
            <w:vAlign w:val="center"/>
            <w:hideMark/>
          </w:tcPr>
          <w:p w:rsidR="006568BA" w:rsidRPr="00490A76" w:rsidRDefault="006568BA" w:rsidP="00490A76">
            <w:pPr>
              <w:jc w:val="center"/>
              <w:rPr>
                <w:rFonts w:ascii="Cambria" w:hAnsi="Cambria"/>
                <w:b/>
                <w:bCs/>
                <w:sz w:val="16"/>
                <w:szCs w:val="16"/>
              </w:rPr>
            </w:pPr>
            <w:r w:rsidRPr="00490A76">
              <w:rPr>
                <w:rFonts w:ascii="Cambria" w:hAnsi="Cambria"/>
                <w:b/>
                <w:bCs/>
                <w:sz w:val="16"/>
                <w:szCs w:val="16"/>
              </w:rPr>
              <w:t>-</w:t>
            </w:r>
          </w:p>
        </w:tc>
        <w:tc>
          <w:tcPr>
            <w:tcW w:w="842"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15 974,56</w:t>
            </w:r>
          </w:p>
        </w:tc>
        <w:tc>
          <w:tcPr>
            <w:tcW w:w="892"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22 694,56</w:t>
            </w:r>
          </w:p>
        </w:tc>
        <w:tc>
          <w:tcPr>
            <w:tcW w:w="943"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17 221,43</w:t>
            </w:r>
          </w:p>
        </w:tc>
        <w:tc>
          <w:tcPr>
            <w:tcW w:w="793"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21 125,93</w:t>
            </w:r>
          </w:p>
        </w:tc>
      </w:tr>
      <w:tr w:rsidR="006568BA" w:rsidRPr="00490A76" w:rsidTr="00490A76">
        <w:trPr>
          <w:cantSplit/>
          <w:trHeight w:val="170"/>
        </w:trPr>
        <w:tc>
          <w:tcPr>
            <w:tcW w:w="831" w:type="pct"/>
            <w:shd w:val="clear" w:color="auto" w:fill="auto"/>
            <w:vAlign w:val="center"/>
            <w:hideMark/>
          </w:tcPr>
          <w:p w:rsidR="006568BA" w:rsidRPr="00490A76" w:rsidRDefault="006568BA" w:rsidP="00490A76">
            <w:pPr>
              <w:rPr>
                <w:rFonts w:ascii="Cambria" w:hAnsi="Cambria"/>
                <w:i/>
                <w:iCs/>
                <w:color w:val="000000"/>
                <w:sz w:val="16"/>
                <w:szCs w:val="16"/>
              </w:rPr>
            </w:pPr>
            <w:r w:rsidRPr="00490A76">
              <w:rPr>
                <w:rFonts w:ascii="Cambria" w:hAnsi="Cambria"/>
                <w:i/>
                <w:iCs/>
                <w:color w:val="000000"/>
                <w:sz w:val="16"/>
                <w:szCs w:val="16"/>
              </w:rPr>
              <w:t>Вид использования</w:t>
            </w:r>
          </w:p>
        </w:tc>
        <w:tc>
          <w:tcPr>
            <w:tcW w:w="699" w:type="pct"/>
            <w:shd w:val="clear" w:color="auto" w:fill="auto"/>
            <w:vAlign w:val="center"/>
            <w:hideMark/>
          </w:tcPr>
          <w:p w:rsidR="006568BA" w:rsidRPr="00490A76" w:rsidRDefault="006568BA" w:rsidP="00490A76">
            <w:pPr>
              <w:jc w:val="center"/>
              <w:rPr>
                <w:rFonts w:ascii="Cambria" w:hAnsi="Cambria"/>
                <w:color w:val="000000"/>
                <w:sz w:val="16"/>
                <w:szCs w:val="16"/>
              </w:rPr>
            </w:pPr>
            <w:r w:rsidRPr="00490A76">
              <w:rPr>
                <w:rFonts w:ascii="Cambria" w:hAnsi="Cambria"/>
                <w:color w:val="000000"/>
                <w:sz w:val="16"/>
                <w:szCs w:val="16"/>
              </w:rPr>
              <w:t>ПСН</w:t>
            </w:r>
          </w:p>
        </w:tc>
        <w:tc>
          <w:tcPr>
            <w:tcW w:w="842"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ПСН</w:t>
            </w:r>
          </w:p>
        </w:tc>
        <w:tc>
          <w:tcPr>
            <w:tcW w:w="892"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ПСН</w:t>
            </w:r>
          </w:p>
        </w:tc>
        <w:tc>
          <w:tcPr>
            <w:tcW w:w="943"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ПСН</w:t>
            </w:r>
          </w:p>
        </w:tc>
        <w:tc>
          <w:tcPr>
            <w:tcW w:w="793"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ПСН</w:t>
            </w:r>
          </w:p>
        </w:tc>
      </w:tr>
      <w:tr w:rsidR="006568BA" w:rsidRPr="00490A76" w:rsidTr="00490A76">
        <w:trPr>
          <w:cantSplit/>
          <w:trHeight w:val="170"/>
        </w:trPr>
        <w:tc>
          <w:tcPr>
            <w:tcW w:w="831" w:type="pct"/>
            <w:shd w:val="clear" w:color="auto" w:fill="auto"/>
            <w:vAlign w:val="center"/>
            <w:hideMark/>
          </w:tcPr>
          <w:p w:rsidR="006568BA" w:rsidRPr="00490A76" w:rsidRDefault="006568BA" w:rsidP="00490A76">
            <w:pPr>
              <w:rPr>
                <w:rFonts w:ascii="Cambria" w:hAnsi="Cambria"/>
                <w:sz w:val="16"/>
                <w:szCs w:val="16"/>
              </w:rPr>
            </w:pPr>
            <w:r w:rsidRPr="00490A76">
              <w:rPr>
                <w:rFonts w:ascii="Cambria" w:hAnsi="Cambria"/>
                <w:sz w:val="16"/>
                <w:szCs w:val="16"/>
              </w:rPr>
              <w:t>Корректировка</w:t>
            </w:r>
          </w:p>
        </w:tc>
        <w:tc>
          <w:tcPr>
            <w:tcW w:w="699" w:type="pct"/>
            <w:shd w:val="clear" w:color="auto" w:fill="auto"/>
            <w:vAlign w:val="center"/>
            <w:hideMark/>
          </w:tcPr>
          <w:p w:rsidR="006568BA" w:rsidRPr="00490A76" w:rsidRDefault="006568BA" w:rsidP="00490A76">
            <w:pPr>
              <w:jc w:val="center"/>
              <w:rPr>
                <w:rFonts w:ascii="Cambria" w:hAnsi="Cambria"/>
                <w:sz w:val="16"/>
                <w:szCs w:val="16"/>
              </w:rPr>
            </w:pPr>
            <w:r w:rsidRPr="00490A76">
              <w:rPr>
                <w:rFonts w:ascii="Cambria" w:hAnsi="Cambria"/>
                <w:sz w:val="16"/>
                <w:szCs w:val="16"/>
              </w:rPr>
              <w:t>-</w:t>
            </w:r>
          </w:p>
        </w:tc>
        <w:tc>
          <w:tcPr>
            <w:tcW w:w="842"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0,00%</w:t>
            </w:r>
          </w:p>
        </w:tc>
        <w:tc>
          <w:tcPr>
            <w:tcW w:w="892"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0,00%</w:t>
            </w:r>
          </w:p>
        </w:tc>
        <w:tc>
          <w:tcPr>
            <w:tcW w:w="943"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0,00%</w:t>
            </w:r>
          </w:p>
        </w:tc>
        <w:tc>
          <w:tcPr>
            <w:tcW w:w="793"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0,00%</w:t>
            </w:r>
          </w:p>
        </w:tc>
      </w:tr>
      <w:tr w:rsidR="006568BA" w:rsidRPr="00490A76" w:rsidTr="00490A76">
        <w:trPr>
          <w:cantSplit/>
          <w:trHeight w:val="170"/>
        </w:trPr>
        <w:tc>
          <w:tcPr>
            <w:tcW w:w="831" w:type="pct"/>
            <w:shd w:val="clear" w:color="auto" w:fill="auto"/>
            <w:vAlign w:val="center"/>
            <w:hideMark/>
          </w:tcPr>
          <w:p w:rsidR="006568BA" w:rsidRPr="00490A76" w:rsidRDefault="006568BA" w:rsidP="00490A76">
            <w:pPr>
              <w:rPr>
                <w:rFonts w:ascii="Cambria" w:hAnsi="Cambria"/>
                <w:b/>
                <w:bCs/>
                <w:sz w:val="16"/>
                <w:szCs w:val="16"/>
              </w:rPr>
            </w:pPr>
            <w:r w:rsidRPr="00490A76">
              <w:rPr>
                <w:rFonts w:ascii="Cambria" w:hAnsi="Cambria"/>
                <w:b/>
                <w:bCs/>
                <w:sz w:val="16"/>
                <w:szCs w:val="16"/>
              </w:rPr>
              <w:t>Скорректированная цена, руб. кв.м.</w:t>
            </w:r>
          </w:p>
        </w:tc>
        <w:tc>
          <w:tcPr>
            <w:tcW w:w="699" w:type="pct"/>
            <w:shd w:val="clear" w:color="auto" w:fill="auto"/>
            <w:vAlign w:val="center"/>
            <w:hideMark/>
          </w:tcPr>
          <w:p w:rsidR="006568BA" w:rsidRPr="00490A76" w:rsidRDefault="006568BA" w:rsidP="00490A76">
            <w:pPr>
              <w:jc w:val="center"/>
              <w:rPr>
                <w:rFonts w:ascii="Cambria" w:hAnsi="Cambria"/>
                <w:sz w:val="16"/>
                <w:szCs w:val="16"/>
              </w:rPr>
            </w:pPr>
            <w:r w:rsidRPr="00490A76">
              <w:rPr>
                <w:rFonts w:ascii="Cambria" w:hAnsi="Cambria"/>
                <w:sz w:val="16"/>
                <w:szCs w:val="16"/>
              </w:rPr>
              <w:t>-</w:t>
            </w:r>
          </w:p>
        </w:tc>
        <w:tc>
          <w:tcPr>
            <w:tcW w:w="842" w:type="pct"/>
            <w:shd w:val="clear" w:color="auto" w:fill="auto"/>
            <w:noWrap/>
            <w:vAlign w:val="center"/>
            <w:hideMark/>
          </w:tcPr>
          <w:p w:rsidR="006568BA" w:rsidRDefault="006568BA" w:rsidP="00D70166">
            <w:pPr>
              <w:jc w:val="center"/>
              <w:rPr>
                <w:rFonts w:ascii="Cambria" w:hAnsi="Cambria"/>
                <w:b/>
                <w:bCs/>
                <w:sz w:val="16"/>
                <w:szCs w:val="16"/>
              </w:rPr>
            </w:pPr>
            <w:r>
              <w:rPr>
                <w:rFonts w:ascii="Cambria" w:hAnsi="Cambria"/>
                <w:b/>
                <w:bCs/>
                <w:sz w:val="16"/>
                <w:szCs w:val="16"/>
              </w:rPr>
              <w:t>15 974,56</w:t>
            </w:r>
          </w:p>
        </w:tc>
        <w:tc>
          <w:tcPr>
            <w:tcW w:w="892" w:type="pct"/>
            <w:shd w:val="clear" w:color="auto" w:fill="auto"/>
            <w:noWrap/>
            <w:vAlign w:val="center"/>
            <w:hideMark/>
          </w:tcPr>
          <w:p w:rsidR="006568BA" w:rsidRDefault="006568BA" w:rsidP="00D70166">
            <w:pPr>
              <w:jc w:val="center"/>
              <w:rPr>
                <w:rFonts w:ascii="Cambria" w:hAnsi="Cambria"/>
                <w:b/>
                <w:bCs/>
                <w:sz w:val="16"/>
                <w:szCs w:val="16"/>
              </w:rPr>
            </w:pPr>
            <w:r>
              <w:rPr>
                <w:rFonts w:ascii="Cambria" w:hAnsi="Cambria"/>
                <w:b/>
                <w:bCs/>
                <w:sz w:val="16"/>
                <w:szCs w:val="16"/>
              </w:rPr>
              <w:t>22 694,56</w:t>
            </w:r>
          </w:p>
        </w:tc>
        <w:tc>
          <w:tcPr>
            <w:tcW w:w="943" w:type="pct"/>
            <w:shd w:val="clear" w:color="auto" w:fill="auto"/>
            <w:noWrap/>
            <w:vAlign w:val="center"/>
            <w:hideMark/>
          </w:tcPr>
          <w:p w:rsidR="006568BA" w:rsidRDefault="006568BA" w:rsidP="00D70166">
            <w:pPr>
              <w:jc w:val="center"/>
              <w:rPr>
                <w:rFonts w:ascii="Cambria" w:hAnsi="Cambria"/>
                <w:b/>
                <w:bCs/>
                <w:sz w:val="16"/>
                <w:szCs w:val="16"/>
              </w:rPr>
            </w:pPr>
            <w:r>
              <w:rPr>
                <w:rFonts w:ascii="Cambria" w:hAnsi="Cambria"/>
                <w:b/>
                <w:bCs/>
                <w:sz w:val="16"/>
                <w:szCs w:val="16"/>
              </w:rPr>
              <w:t>17 221,43</w:t>
            </w:r>
          </w:p>
        </w:tc>
        <w:tc>
          <w:tcPr>
            <w:tcW w:w="793" w:type="pct"/>
            <w:shd w:val="clear" w:color="auto" w:fill="auto"/>
            <w:noWrap/>
            <w:vAlign w:val="center"/>
            <w:hideMark/>
          </w:tcPr>
          <w:p w:rsidR="006568BA" w:rsidRDefault="006568BA" w:rsidP="00D70166">
            <w:pPr>
              <w:jc w:val="center"/>
              <w:rPr>
                <w:rFonts w:ascii="Cambria" w:hAnsi="Cambria"/>
                <w:b/>
                <w:bCs/>
                <w:sz w:val="16"/>
                <w:szCs w:val="16"/>
              </w:rPr>
            </w:pPr>
            <w:r>
              <w:rPr>
                <w:rFonts w:ascii="Cambria" w:hAnsi="Cambria"/>
                <w:b/>
                <w:bCs/>
                <w:sz w:val="16"/>
                <w:szCs w:val="16"/>
              </w:rPr>
              <w:t>21 125,93</w:t>
            </w:r>
          </w:p>
        </w:tc>
      </w:tr>
      <w:tr w:rsidR="006568BA" w:rsidRPr="00490A76" w:rsidTr="00490A76">
        <w:trPr>
          <w:cantSplit/>
          <w:trHeight w:val="170"/>
        </w:trPr>
        <w:tc>
          <w:tcPr>
            <w:tcW w:w="831" w:type="pct"/>
            <w:shd w:val="clear" w:color="auto" w:fill="auto"/>
            <w:vAlign w:val="center"/>
            <w:hideMark/>
          </w:tcPr>
          <w:p w:rsidR="006568BA" w:rsidRPr="00490A76" w:rsidRDefault="006568BA" w:rsidP="00490A76">
            <w:pPr>
              <w:rPr>
                <w:rFonts w:ascii="Cambria" w:hAnsi="Cambria"/>
                <w:i/>
                <w:iCs/>
                <w:sz w:val="16"/>
                <w:szCs w:val="16"/>
              </w:rPr>
            </w:pPr>
            <w:r w:rsidRPr="00490A76">
              <w:rPr>
                <w:rFonts w:ascii="Cambria" w:hAnsi="Cambria"/>
                <w:i/>
                <w:iCs/>
                <w:sz w:val="16"/>
                <w:szCs w:val="16"/>
              </w:rPr>
              <w:t>Местоположение</w:t>
            </w:r>
          </w:p>
        </w:tc>
        <w:tc>
          <w:tcPr>
            <w:tcW w:w="699" w:type="pct"/>
            <w:shd w:val="clear" w:color="auto" w:fill="auto"/>
            <w:vAlign w:val="center"/>
            <w:hideMark/>
          </w:tcPr>
          <w:p w:rsidR="006568BA" w:rsidRDefault="006568BA" w:rsidP="00D70166">
            <w:pPr>
              <w:jc w:val="center"/>
              <w:rPr>
                <w:rFonts w:ascii="Cambria" w:hAnsi="Cambria"/>
                <w:sz w:val="16"/>
                <w:szCs w:val="16"/>
              </w:rPr>
            </w:pPr>
            <w:r>
              <w:rPr>
                <w:rFonts w:ascii="Cambria" w:hAnsi="Cambria"/>
                <w:sz w:val="16"/>
                <w:szCs w:val="16"/>
              </w:rPr>
              <w:t>г. Красноярск, Ленинский район, ул. Айвазовского,37а</w:t>
            </w:r>
          </w:p>
        </w:tc>
        <w:tc>
          <w:tcPr>
            <w:tcW w:w="842" w:type="pct"/>
            <w:shd w:val="clear" w:color="auto" w:fill="auto"/>
            <w:vAlign w:val="center"/>
            <w:hideMark/>
          </w:tcPr>
          <w:p w:rsidR="006568BA" w:rsidRDefault="006568BA" w:rsidP="00D70166">
            <w:pPr>
              <w:jc w:val="center"/>
              <w:rPr>
                <w:rFonts w:ascii="Cambria" w:hAnsi="Cambria"/>
                <w:sz w:val="16"/>
                <w:szCs w:val="16"/>
              </w:rPr>
            </w:pPr>
            <w:r>
              <w:rPr>
                <w:rFonts w:ascii="Cambria" w:hAnsi="Cambria"/>
                <w:sz w:val="16"/>
                <w:szCs w:val="16"/>
              </w:rPr>
              <w:t>г. Красноярск, Ленинский район, ул Семена Давыдова, 60с2</w:t>
            </w:r>
          </w:p>
        </w:tc>
        <w:tc>
          <w:tcPr>
            <w:tcW w:w="892" w:type="pct"/>
            <w:shd w:val="clear" w:color="auto" w:fill="auto"/>
            <w:vAlign w:val="center"/>
            <w:hideMark/>
          </w:tcPr>
          <w:p w:rsidR="006568BA" w:rsidRDefault="006568BA" w:rsidP="00D70166">
            <w:pPr>
              <w:jc w:val="center"/>
              <w:rPr>
                <w:rFonts w:ascii="Cambria" w:hAnsi="Cambria"/>
                <w:sz w:val="16"/>
                <w:szCs w:val="16"/>
              </w:rPr>
            </w:pPr>
            <w:r>
              <w:rPr>
                <w:rFonts w:ascii="Cambria" w:hAnsi="Cambria"/>
                <w:sz w:val="16"/>
                <w:szCs w:val="16"/>
              </w:rPr>
              <w:t>г. Красноярск, Ленинский район, ул. Энергетиков</w:t>
            </w:r>
          </w:p>
        </w:tc>
        <w:tc>
          <w:tcPr>
            <w:tcW w:w="943" w:type="pct"/>
            <w:shd w:val="clear" w:color="auto" w:fill="auto"/>
            <w:vAlign w:val="center"/>
            <w:hideMark/>
          </w:tcPr>
          <w:p w:rsidR="006568BA" w:rsidRDefault="006568BA" w:rsidP="00D70166">
            <w:pPr>
              <w:jc w:val="center"/>
              <w:rPr>
                <w:rFonts w:ascii="Cambria" w:hAnsi="Cambria"/>
                <w:sz w:val="16"/>
                <w:szCs w:val="16"/>
              </w:rPr>
            </w:pPr>
            <w:r>
              <w:rPr>
                <w:rFonts w:ascii="Cambria" w:hAnsi="Cambria"/>
                <w:sz w:val="16"/>
                <w:szCs w:val="16"/>
              </w:rPr>
              <w:t>г. Красноярск, Ленинский район, ул. Айвазовского,16</w:t>
            </w:r>
          </w:p>
        </w:tc>
        <w:tc>
          <w:tcPr>
            <w:tcW w:w="793" w:type="pct"/>
            <w:shd w:val="clear" w:color="auto" w:fill="auto"/>
            <w:vAlign w:val="center"/>
            <w:hideMark/>
          </w:tcPr>
          <w:p w:rsidR="006568BA" w:rsidRDefault="006568BA" w:rsidP="00D70166">
            <w:pPr>
              <w:jc w:val="center"/>
              <w:rPr>
                <w:rFonts w:ascii="Cambria" w:hAnsi="Cambria"/>
                <w:sz w:val="16"/>
                <w:szCs w:val="16"/>
              </w:rPr>
            </w:pPr>
            <w:r>
              <w:rPr>
                <w:rFonts w:ascii="Cambria" w:hAnsi="Cambria"/>
                <w:sz w:val="16"/>
                <w:szCs w:val="16"/>
              </w:rPr>
              <w:t>г. Красноярск, Ленинский район, ул. Айвазовского</w:t>
            </w:r>
          </w:p>
        </w:tc>
      </w:tr>
      <w:tr w:rsidR="006568BA" w:rsidRPr="00490A76" w:rsidTr="00490A76">
        <w:trPr>
          <w:cantSplit/>
          <w:trHeight w:val="170"/>
        </w:trPr>
        <w:tc>
          <w:tcPr>
            <w:tcW w:w="831" w:type="pct"/>
            <w:shd w:val="clear" w:color="auto" w:fill="auto"/>
            <w:vAlign w:val="center"/>
            <w:hideMark/>
          </w:tcPr>
          <w:p w:rsidR="006568BA" w:rsidRPr="00490A76" w:rsidRDefault="006568BA" w:rsidP="00490A76">
            <w:pPr>
              <w:rPr>
                <w:rFonts w:ascii="Cambria" w:hAnsi="Cambria"/>
                <w:sz w:val="16"/>
                <w:szCs w:val="16"/>
              </w:rPr>
            </w:pPr>
            <w:r w:rsidRPr="00490A76">
              <w:rPr>
                <w:rFonts w:ascii="Cambria" w:hAnsi="Cambria"/>
                <w:sz w:val="16"/>
                <w:szCs w:val="16"/>
              </w:rPr>
              <w:t>Корректировка</w:t>
            </w:r>
          </w:p>
        </w:tc>
        <w:tc>
          <w:tcPr>
            <w:tcW w:w="699" w:type="pct"/>
            <w:shd w:val="clear" w:color="auto" w:fill="auto"/>
            <w:vAlign w:val="center"/>
            <w:hideMark/>
          </w:tcPr>
          <w:p w:rsidR="006568BA" w:rsidRPr="00490A76" w:rsidRDefault="006568BA" w:rsidP="00490A76">
            <w:pPr>
              <w:jc w:val="center"/>
              <w:rPr>
                <w:rFonts w:ascii="Cambria" w:hAnsi="Cambria"/>
                <w:sz w:val="16"/>
                <w:szCs w:val="16"/>
              </w:rPr>
            </w:pPr>
            <w:r w:rsidRPr="00490A76">
              <w:rPr>
                <w:rFonts w:ascii="Cambria" w:hAnsi="Cambria"/>
                <w:sz w:val="16"/>
                <w:szCs w:val="16"/>
              </w:rPr>
              <w:t>-</w:t>
            </w:r>
          </w:p>
        </w:tc>
        <w:tc>
          <w:tcPr>
            <w:tcW w:w="842"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0,00%</w:t>
            </w:r>
          </w:p>
        </w:tc>
        <w:tc>
          <w:tcPr>
            <w:tcW w:w="892"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0,00%</w:t>
            </w:r>
          </w:p>
        </w:tc>
        <w:tc>
          <w:tcPr>
            <w:tcW w:w="943"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0,00%</w:t>
            </w:r>
          </w:p>
        </w:tc>
        <w:tc>
          <w:tcPr>
            <w:tcW w:w="793"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0,00%</w:t>
            </w:r>
          </w:p>
        </w:tc>
      </w:tr>
      <w:tr w:rsidR="006568BA" w:rsidRPr="00490A76" w:rsidTr="00490A76">
        <w:trPr>
          <w:cantSplit/>
          <w:trHeight w:val="170"/>
        </w:trPr>
        <w:tc>
          <w:tcPr>
            <w:tcW w:w="831" w:type="pct"/>
            <w:shd w:val="clear" w:color="auto" w:fill="auto"/>
            <w:vAlign w:val="center"/>
            <w:hideMark/>
          </w:tcPr>
          <w:p w:rsidR="006568BA" w:rsidRPr="00490A76" w:rsidRDefault="006568BA" w:rsidP="00490A76">
            <w:pPr>
              <w:rPr>
                <w:rFonts w:ascii="Cambria" w:hAnsi="Cambria"/>
                <w:b/>
                <w:bCs/>
                <w:sz w:val="16"/>
                <w:szCs w:val="16"/>
              </w:rPr>
            </w:pPr>
            <w:r w:rsidRPr="00490A76">
              <w:rPr>
                <w:rFonts w:ascii="Cambria" w:hAnsi="Cambria"/>
                <w:b/>
                <w:bCs/>
                <w:sz w:val="16"/>
                <w:szCs w:val="16"/>
              </w:rPr>
              <w:t>Скорректированная цена, руб. кв.м.</w:t>
            </w:r>
          </w:p>
        </w:tc>
        <w:tc>
          <w:tcPr>
            <w:tcW w:w="699" w:type="pct"/>
            <w:shd w:val="clear" w:color="auto" w:fill="auto"/>
            <w:vAlign w:val="center"/>
            <w:hideMark/>
          </w:tcPr>
          <w:p w:rsidR="006568BA" w:rsidRPr="00490A76" w:rsidRDefault="006568BA" w:rsidP="00490A76">
            <w:pPr>
              <w:jc w:val="center"/>
              <w:rPr>
                <w:rFonts w:ascii="Cambria" w:hAnsi="Cambria"/>
                <w:sz w:val="16"/>
                <w:szCs w:val="16"/>
              </w:rPr>
            </w:pPr>
            <w:r w:rsidRPr="00490A76">
              <w:rPr>
                <w:rFonts w:ascii="Cambria" w:hAnsi="Cambria"/>
                <w:sz w:val="16"/>
                <w:szCs w:val="16"/>
              </w:rPr>
              <w:t> </w:t>
            </w:r>
          </w:p>
        </w:tc>
        <w:tc>
          <w:tcPr>
            <w:tcW w:w="842" w:type="pct"/>
            <w:shd w:val="clear" w:color="auto" w:fill="auto"/>
            <w:vAlign w:val="center"/>
            <w:hideMark/>
          </w:tcPr>
          <w:p w:rsidR="006568BA" w:rsidRDefault="006568BA" w:rsidP="00D70166">
            <w:pPr>
              <w:jc w:val="center"/>
              <w:rPr>
                <w:rFonts w:ascii="Cambria" w:hAnsi="Cambria"/>
                <w:b/>
                <w:bCs/>
                <w:sz w:val="16"/>
                <w:szCs w:val="16"/>
              </w:rPr>
            </w:pPr>
            <w:r>
              <w:rPr>
                <w:rFonts w:ascii="Cambria" w:hAnsi="Cambria"/>
                <w:b/>
                <w:bCs/>
                <w:sz w:val="16"/>
                <w:szCs w:val="16"/>
              </w:rPr>
              <w:t>15 974,56</w:t>
            </w:r>
          </w:p>
        </w:tc>
        <w:tc>
          <w:tcPr>
            <w:tcW w:w="892" w:type="pct"/>
            <w:shd w:val="clear" w:color="auto" w:fill="auto"/>
            <w:vAlign w:val="center"/>
            <w:hideMark/>
          </w:tcPr>
          <w:p w:rsidR="006568BA" w:rsidRDefault="006568BA" w:rsidP="00D70166">
            <w:pPr>
              <w:jc w:val="center"/>
              <w:rPr>
                <w:rFonts w:ascii="Cambria" w:hAnsi="Cambria"/>
                <w:b/>
                <w:bCs/>
                <w:sz w:val="16"/>
                <w:szCs w:val="16"/>
              </w:rPr>
            </w:pPr>
            <w:r>
              <w:rPr>
                <w:rFonts w:ascii="Cambria" w:hAnsi="Cambria"/>
                <w:b/>
                <w:bCs/>
                <w:sz w:val="16"/>
                <w:szCs w:val="16"/>
              </w:rPr>
              <w:t>22 694,56</w:t>
            </w:r>
          </w:p>
        </w:tc>
        <w:tc>
          <w:tcPr>
            <w:tcW w:w="943" w:type="pct"/>
            <w:shd w:val="clear" w:color="auto" w:fill="auto"/>
            <w:vAlign w:val="center"/>
            <w:hideMark/>
          </w:tcPr>
          <w:p w:rsidR="006568BA" w:rsidRDefault="006568BA" w:rsidP="00D70166">
            <w:pPr>
              <w:jc w:val="center"/>
              <w:rPr>
                <w:rFonts w:ascii="Cambria" w:hAnsi="Cambria"/>
                <w:b/>
                <w:bCs/>
                <w:sz w:val="16"/>
                <w:szCs w:val="16"/>
              </w:rPr>
            </w:pPr>
            <w:r>
              <w:rPr>
                <w:rFonts w:ascii="Cambria" w:hAnsi="Cambria"/>
                <w:b/>
                <w:bCs/>
                <w:sz w:val="16"/>
                <w:szCs w:val="16"/>
              </w:rPr>
              <w:t>17 221,43</w:t>
            </w:r>
          </w:p>
        </w:tc>
        <w:tc>
          <w:tcPr>
            <w:tcW w:w="793" w:type="pct"/>
            <w:shd w:val="clear" w:color="auto" w:fill="auto"/>
            <w:vAlign w:val="center"/>
            <w:hideMark/>
          </w:tcPr>
          <w:p w:rsidR="006568BA" w:rsidRDefault="006568BA" w:rsidP="00D70166">
            <w:pPr>
              <w:jc w:val="center"/>
              <w:rPr>
                <w:rFonts w:ascii="Cambria" w:hAnsi="Cambria"/>
                <w:b/>
                <w:bCs/>
                <w:sz w:val="16"/>
                <w:szCs w:val="16"/>
              </w:rPr>
            </w:pPr>
            <w:r>
              <w:rPr>
                <w:rFonts w:ascii="Cambria" w:hAnsi="Cambria"/>
                <w:b/>
                <w:bCs/>
                <w:sz w:val="16"/>
                <w:szCs w:val="16"/>
              </w:rPr>
              <w:t>21 125,93</w:t>
            </w:r>
          </w:p>
        </w:tc>
      </w:tr>
      <w:tr w:rsidR="006568BA" w:rsidRPr="00490A76" w:rsidTr="00490A76">
        <w:trPr>
          <w:cantSplit/>
          <w:trHeight w:val="170"/>
        </w:trPr>
        <w:tc>
          <w:tcPr>
            <w:tcW w:w="831" w:type="pct"/>
            <w:shd w:val="clear" w:color="auto" w:fill="auto"/>
            <w:vAlign w:val="center"/>
            <w:hideMark/>
          </w:tcPr>
          <w:p w:rsidR="006568BA" w:rsidRPr="00490A76" w:rsidRDefault="006568BA" w:rsidP="00490A76">
            <w:pPr>
              <w:rPr>
                <w:rFonts w:ascii="Cambria" w:hAnsi="Cambria"/>
                <w:sz w:val="16"/>
                <w:szCs w:val="16"/>
              </w:rPr>
            </w:pPr>
            <w:r w:rsidRPr="00490A76">
              <w:rPr>
                <w:rFonts w:ascii="Cambria" w:hAnsi="Cambria"/>
                <w:sz w:val="16"/>
                <w:szCs w:val="16"/>
              </w:rPr>
              <w:t>Значение сегмента рынка (по площади)</w:t>
            </w:r>
          </w:p>
        </w:tc>
        <w:tc>
          <w:tcPr>
            <w:tcW w:w="699" w:type="pct"/>
            <w:shd w:val="clear" w:color="auto" w:fill="auto"/>
            <w:noWrap/>
            <w:vAlign w:val="center"/>
            <w:hideMark/>
          </w:tcPr>
          <w:p w:rsidR="006568BA" w:rsidRPr="00490A76" w:rsidRDefault="006568BA" w:rsidP="00490A76">
            <w:pPr>
              <w:jc w:val="center"/>
              <w:rPr>
                <w:rFonts w:ascii="Cambria" w:hAnsi="Cambria"/>
                <w:sz w:val="16"/>
                <w:szCs w:val="16"/>
              </w:rPr>
            </w:pPr>
            <w:r w:rsidRPr="00490A76">
              <w:rPr>
                <w:rFonts w:ascii="Cambria" w:hAnsi="Cambria"/>
                <w:sz w:val="16"/>
                <w:szCs w:val="16"/>
              </w:rPr>
              <w:t>&gt;1000 кв.м</w:t>
            </w:r>
          </w:p>
        </w:tc>
        <w:tc>
          <w:tcPr>
            <w:tcW w:w="842"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300-1000 кв.м.</w:t>
            </w:r>
          </w:p>
        </w:tc>
        <w:tc>
          <w:tcPr>
            <w:tcW w:w="892"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&gt;1000 кв.м</w:t>
            </w:r>
          </w:p>
        </w:tc>
        <w:tc>
          <w:tcPr>
            <w:tcW w:w="943"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300-1000 кв.м</w:t>
            </w:r>
          </w:p>
        </w:tc>
        <w:tc>
          <w:tcPr>
            <w:tcW w:w="793"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300-1000 кв.м</w:t>
            </w:r>
          </w:p>
        </w:tc>
      </w:tr>
      <w:tr w:rsidR="006568BA" w:rsidRPr="00490A76" w:rsidTr="00490A76">
        <w:trPr>
          <w:cantSplit/>
          <w:trHeight w:val="170"/>
        </w:trPr>
        <w:tc>
          <w:tcPr>
            <w:tcW w:w="831" w:type="pct"/>
            <w:shd w:val="clear" w:color="auto" w:fill="auto"/>
            <w:vAlign w:val="center"/>
            <w:hideMark/>
          </w:tcPr>
          <w:p w:rsidR="006568BA" w:rsidRPr="00490A76" w:rsidRDefault="006568BA" w:rsidP="00490A76">
            <w:pPr>
              <w:rPr>
                <w:rFonts w:ascii="Cambria" w:hAnsi="Cambria"/>
                <w:sz w:val="16"/>
                <w:szCs w:val="16"/>
              </w:rPr>
            </w:pPr>
            <w:r w:rsidRPr="00490A76">
              <w:rPr>
                <w:rFonts w:ascii="Cambria" w:hAnsi="Cambria"/>
                <w:sz w:val="16"/>
                <w:szCs w:val="16"/>
              </w:rPr>
              <w:t>Корректировка</w:t>
            </w:r>
          </w:p>
        </w:tc>
        <w:tc>
          <w:tcPr>
            <w:tcW w:w="699" w:type="pct"/>
            <w:shd w:val="clear" w:color="auto" w:fill="auto"/>
            <w:noWrap/>
            <w:vAlign w:val="center"/>
            <w:hideMark/>
          </w:tcPr>
          <w:p w:rsidR="006568BA" w:rsidRPr="00490A76" w:rsidRDefault="006568BA" w:rsidP="00490A76">
            <w:pPr>
              <w:jc w:val="center"/>
              <w:rPr>
                <w:rFonts w:ascii="Cambria" w:hAnsi="Cambria"/>
                <w:sz w:val="16"/>
                <w:szCs w:val="16"/>
              </w:rPr>
            </w:pPr>
            <w:r w:rsidRPr="00490A76">
              <w:rPr>
                <w:rFonts w:ascii="Cambria" w:hAnsi="Cambria"/>
                <w:sz w:val="16"/>
                <w:szCs w:val="16"/>
              </w:rPr>
              <w:t> </w:t>
            </w:r>
          </w:p>
        </w:tc>
        <w:tc>
          <w:tcPr>
            <w:tcW w:w="842"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-9,00%</w:t>
            </w:r>
          </w:p>
        </w:tc>
        <w:tc>
          <w:tcPr>
            <w:tcW w:w="892"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0,00%</w:t>
            </w:r>
          </w:p>
        </w:tc>
        <w:tc>
          <w:tcPr>
            <w:tcW w:w="943"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-9,00%</w:t>
            </w:r>
          </w:p>
        </w:tc>
        <w:tc>
          <w:tcPr>
            <w:tcW w:w="793"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-9,00%</w:t>
            </w:r>
          </w:p>
        </w:tc>
      </w:tr>
      <w:tr w:rsidR="006568BA" w:rsidRPr="00490A76" w:rsidTr="00490A76">
        <w:trPr>
          <w:cantSplit/>
          <w:trHeight w:val="170"/>
        </w:trPr>
        <w:tc>
          <w:tcPr>
            <w:tcW w:w="831" w:type="pct"/>
            <w:shd w:val="clear" w:color="auto" w:fill="auto"/>
            <w:vAlign w:val="center"/>
            <w:hideMark/>
          </w:tcPr>
          <w:p w:rsidR="006568BA" w:rsidRPr="00490A76" w:rsidRDefault="006568BA" w:rsidP="00490A76">
            <w:pPr>
              <w:rPr>
                <w:rFonts w:ascii="Cambria" w:hAnsi="Cambria"/>
                <w:b/>
                <w:bCs/>
                <w:sz w:val="16"/>
                <w:szCs w:val="16"/>
              </w:rPr>
            </w:pPr>
            <w:r w:rsidRPr="00490A76">
              <w:rPr>
                <w:rFonts w:ascii="Cambria" w:hAnsi="Cambria"/>
                <w:b/>
                <w:bCs/>
                <w:sz w:val="16"/>
                <w:szCs w:val="16"/>
              </w:rPr>
              <w:t>Скорректированная цена, руб. кв.м.</w:t>
            </w:r>
          </w:p>
        </w:tc>
        <w:tc>
          <w:tcPr>
            <w:tcW w:w="699" w:type="pct"/>
            <w:shd w:val="clear" w:color="auto" w:fill="auto"/>
            <w:noWrap/>
            <w:vAlign w:val="center"/>
            <w:hideMark/>
          </w:tcPr>
          <w:p w:rsidR="006568BA" w:rsidRPr="00490A76" w:rsidRDefault="006568BA" w:rsidP="00490A76">
            <w:pPr>
              <w:jc w:val="center"/>
              <w:rPr>
                <w:rFonts w:ascii="Cambria" w:hAnsi="Cambria"/>
                <w:sz w:val="16"/>
                <w:szCs w:val="16"/>
              </w:rPr>
            </w:pPr>
            <w:r w:rsidRPr="00490A76">
              <w:rPr>
                <w:rFonts w:ascii="Cambria" w:hAnsi="Cambria"/>
                <w:sz w:val="16"/>
                <w:szCs w:val="16"/>
              </w:rPr>
              <w:t> </w:t>
            </w:r>
          </w:p>
        </w:tc>
        <w:tc>
          <w:tcPr>
            <w:tcW w:w="842"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14 536,85</w:t>
            </w:r>
          </w:p>
        </w:tc>
        <w:tc>
          <w:tcPr>
            <w:tcW w:w="892"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22 676,31</w:t>
            </w:r>
          </w:p>
        </w:tc>
        <w:tc>
          <w:tcPr>
            <w:tcW w:w="943"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15 654,42</w:t>
            </w:r>
          </w:p>
        </w:tc>
        <w:tc>
          <w:tcPr>
            <w:tcW w:w="793"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19 214,33</w:t>
            </w:r>
          </w:p>
        </w:tc>
      </w:tr>
      <w:tr w:rsidR="006568BA" w:rsidRPr="00490A76" w:rsidTr="00490A76">
        <w:trPr>
          <w:cantSplit/>
          <w:trHeight w:val="170"/>
        </w:trPr>
        <w:tc>
          <w:tcPr>
            <w:tcW w:w="831" w:type="pct"/>
            <w:shd w:val="clear" w:color="auto" w:fill="auto"/>
            <w:vAlign w:val="center"/>
            <w:hideMark/>
          </w:tcPr>
          <w:p w:rsidR="006568BA" w:rsidRPr="00490A76" w:rsidRDefault="006568BA" w:rsidP="00490A76">
            <w:pPr>
              <w:rPr>
                <w:rFonts w:ascii="Cambria" w:hAnsi="Cambria"/>
                <w:color w:val="000000"/>
                <w:sz w:val="16"/>
                <w:szCs w:val="16"/>
              </w:rPr>
            </w:pPr>
            <w:r w:rsidRPr="00490A76">
              <w:rPr>
                <w:rFonts w:ascii="Cambria" w:hAnsi="Cambria"/>
                <w:color w:val="000000"/>
                <w:sz w:val="16"/>
                <w:szCs w:val="16"/>
              </w:rPr>
              <w:t>Отопление</w:t>
            </w:r>
          </w:p>
        </w:tc>
        <w:tc>
          <w:tcPr>
            <w:tcW w:w="699" w:type="pct"/>
            <w:shd w:val="clear" w:color="auto" w:fill="auto"/>
            <w:vAlign w:val="center"/>
            <w:hideMark/>
          </w:tcPr>
          <w:p w:rsidR="006568BA" w:rsidRPr="00490A76" w:rsidRDefault="006568BA" w:rsidP="00490A76">
            <w:pPr>
              <w:jc w:val="center"/>
              <w:rPr>
                <w:rFonts w:ascii="Cambria" w:hAnsi="Cambria"/>
                <w:color w:val="000000"/>
                <w:sz w:val="16"/>
                <w:szCs w:val="16"/>
              </w:rPr>
            </w:pPr>
            <w:r w:rsidRPr="00490A76">
              <w:rPr>
                <w:rFonts w:ascii="Cambria" w:hAnsi="Cambria"/>
                <w:color w:val="000000"/>
                <w:sz w:val="16"/>
                <w:szCs w:val="16"/>
              </w:rPr>
              <w:t>Имеется</w:t>
            </w:r>
          </w:p>
        </w:tc>
        <w:tc>
          <w:tcPr>
            <w:tcW w:w="842"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Имеется</w:t>
            </w:r>
          </w:p>
        </w:tc>
        <w:tc>
          <w:tcPr>
            <w:tcW w:w="892"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Имеется</w:t>
            </w:r>
          </w:p>
        </w:tc>
        <w:tc>
          <w:tcPr>
            <w:tcW w:w="943"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Имеется</w:t>
            </w:r>
          </w:p>
        </w:tc>
        <w:tc>
          <w:tcPr>
            <w:tcW w:w="793"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Имеется</w:t>
            </w:r>
          </w:p>
        </w:tc>
      </w:tr>
      <w:tr w:rsidR="006568BA" w:rsidRPr="00490A76" w:rsidTr="00490A76">
        <w:trPr>
          <w:cantSplit/>
          <w:trHeight w:val="170"/>
        </w:trPr>
        <w:tc>
          <w:tcPr>
            <w:tcW w:w="831" w:type="pct"/>
            <w:shd w:val="clear" w:color="auto" w:fill="auto"/>
            <w:vAlign w:val="center"/>
            <w:hideMark/>
          </w:tcPr>
          <w:p w:rsidR="006568BA" w:rsidRPr="00490A76" w:rsidRDefault="006568BA" w:rsidP="00490A76">
            <w:pPr>
              <w:rPr>
                <w:rFonts w:ascii="Cambria" w:hAnsi="Cambria"/>
                <w:color w:val="000000"/>
                <w:sz w:val="16"/>
                <w:szCs w:val="16"/>
              </w:rPr>
            </w:pPr>
            <w:r w:rsidRPr="00490A76">
              <w:rPr>
                <w:rFonts w:ascii="Cambria" w:hAnsi="Cambria"/>
                <w:color w:val="000000"/>
                <w:sz w:val="16"/>
                <w:szCs w:val="16"/>
              </w:rPr>
              <w:t>Корректировка</w:t>
            </w:r>
          </w:p>
        </w:tc>
        <w:tc>
          <w:tcPr>
            <w:tcW w:w="699" w:type="pct"/>
            <w:shd w:val="clear" w:color="auto" w:fill="auto"/>
            <w:noWrap/>
            <w:vAlign w:val="center"/>
            <w:hideMark/>
          </w:tcPr>
          <w:p w:rsidR="006568BA" w:rsidRPr="00490A76" w:rsidRDefault="006568BA" w:rsidP="00490A76">
            <w:pPr>
              <w:rPr>
                <w:rFonts w:ascii="Cambria" w:hAnsi="Cambria"/>
                <w:color w:val="000000"/>
                <w:sz w:val="16"/>
                <w:szCs w:val="16"/>
              </w:rPr>
            </w:pPr>
            <w:r w:rsidRPr="00490A76">
              <w:rPr>
                <w:rFonts w:ascii="Cambria" w:hAnsi="Cambria"/>
                <w:color w:val="000000"/>
                <w:sz w:val="16"/>
                <w:szCs w:val="16"/>
              </w:rPr>
              <w:t> </w:t>
            </w:r>
          </w:p>
        </w:tc>
        <w:tc>
          <w:tcPr>
            <w:tcW w:w="842"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0,00%</w:t>
            </w:r>
          </w:p>
        </w:tc>
        <w:tc>
          <w:tcPr>
            <w:tcW w:w="892"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0,00%</w:t>
            </w:r>
          </w:p>
        </w:tc>
        <w:tc>
          <w:tcPr>
            <w:tcW w:w="943"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0,00%</w:t>
            </w:r>
          </w:p>
        </w:tc>
        <w:tc>
          <w:tcPr>
            <w:tcW w:w="793"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0,00%</w:t>
            </w:r>
          </w:p>
        </w:tc>
      </w:tr>
      <w:tr w:rsidR="006568BA" w:rsidRPr="00490A76" w:rsidTr="00490A76">
        <w:trPr>
          <w:cantSplit/>
          <w:trHeight w:val="170"/>
        </w:trPr>
        <w:tc>
          <w:tcPr>
            <w:tcW w:w="831" w:type="pct"/>
            <w:shd w:val="clear" w:color="auto" w:fill="auto"/>
            <w:vAlign w:val="center"/>
            <w:hideMark/>
          </w:tcPr>
          <w:p w:rsidR="006568BA" w:rsidRPr="00490A76" w:rsidRDefault="006568BA" w:rsidP="00490A76">
            <w:pPr>
              <w:rPr>
                <w:rFonts w:ascii="Cambria" w:hAnsi="Cambria"/>
                <w:color w:val="000000"/>
                <w:sz w:val="16"/>
                <w:szCs w:val="16"/>
              </w:rPr>
            </w:pPr>
            <w:r w:rsidRPr="00490A76">
              <w:rPr>
                <w:rFonts w:ascii="Cambria" w:hAnsi="Cambria"/>
                <w:color w:val="000000"/>
                <w:sz w:val="16"/>
                <w:szCs w:val="16"/>
              </w:rPr>
              <w:t>Скорректированная цена, руб/кв. м</w:t>
            </w:r>
          </w:p>
        </w:tc>
        <w:tc>
          <w:tcPr>
            <w:tcW w:w="699" w:type="pct"/>
            <w:shd w:val="clear" w:color="auto" w:fill="auto"/>
            <w:noWrap/>
            <w:vAlign w:val="center"/>
            <w:hideMark/>
          </w:tcPr>
          <w:p w:rsidR="006568BA" w:rsidRPr="00490A76" w:rsidRDefault="006568BA" w:rsidP="00490A76">
            <w:pPr>
              <w:rPr>
                <w:rFonts w:ascii="Cambria" w:hAnsi="Cambria"/>
                <w:color w:val="000000"/>
                <w:sz w:val="16"/>
                <w:szCs w:val="16"/>
              </w:rPr>
            </w:pPr>
            <w:r w:rsidRPr="00490A76">
              <w:rPr>
                <w:rFonts w:ascii="Cambria" w:hAnsi="Cambria"/>
                <w:color w:val="000000"/>
                <w:sz w:val="16"/>
                <w:szCs w:val="16"/>
              </w:rPr>
              <w:t> </w:t>
            </w:r>
          </w:p>
        </w:tc>
        <w:tc>
          <w:tcPr>
            <w:tcW w:w="842"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14536,85</w:t>
            </w:r>
          </w:p>
        </w:tc>
        <w:tc>
          <w:tcPr>
            <w:tcW w:w="892"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22676,31</w:t>
            </w:r>
          </w:p>
        </w:tc>
        <w:tc>
          <w:tcPr>
            <w:tcW w:w="943"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15654,42</w:t>
            </w:r>
          </w:p>
        </w:tc>
        <w:tc>
          <w:tcPr>
            <w:tcW w:w="793"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19214,33</w:t>
            </w:r>
          </w:p>
        </w:tc>
      </w:tr>
      <w:tr w:rsidR="006568BA" w:rsidRPr="00490A76" w:rsidTr="00490A76">
        <w:trPr>
          <w:cantSplit/>
          <w:trHeight w:val="170"/>
        </w:trPr>
        <w:tc>
          <w:tcPr>
            <w:tcW w:w="831" w:type="pct"/>
            <w:shd w:val="clear" w:color="auto" w:fill="auto"/>
            <w:vAlign w:val="center"/>
            <w:hideMark/>
          </w:tcPr>
          <w:p w:rsidR="006568BA" w:rsidRPr="00490A76" w:rsidRDefault="006568BA" w:rsidP="00490A76">
            <w:pPr>
              <w:rPr>
                <w:rFonts w:ascii="Cambria" w:hAnsi="Cambria"/>
                <w:i/>
                <w:iCs/>
                <w:color w:val="000000"/>
                <w:sz w:val="16"/>
                <w:szCs w:val="16"/>
              </w:rPr>
            </w:pPr>
            <w:r w:rsidRPr="00490A76">
              <w:rPr>
                <w:rFonts w:ascii="Cambria" w:hAnsi="Cambria"/>
                <w:i/>
                <w:iCs/>
                <w:color w:val="000000"/>
                <w:sz w:val="16"/>
                <w:szCs w:val="16"/>
              </w:rPr>
              <w:t>Состояние объекта капитального строительства</w:t>
            </w:r>
          </w:p>
        </w:tc>
        <w:tc>
          <w:tcPr>
            <w:tcW w:w="699" w:type="pct"/>
            <w:shd w:val="clear" w:color="auto" w:fill="auto"/>
            <w:vAlign w:val="center"/>
            <w:hideMark/>
          </w:tcPr>
          <w:p w:rsidR="006568BA" w:rsidRPr="00490A76" w:rsidRDefault="006568BA" w:rsidP="00490A76">
            <w:pPr>
              <w:jc w:val="center"/>
              <w:rPr>
                <w:rFonts w:ascii="Cambria" w:hAnsi="Cambria"/>
                <w:color w:val="000000"/>
                <w:sz w:val="16"/>
                <w:szCs w:val="16"/>
              </w:rPr>
            </w:pPr>
            <w:r w:rsidRPr="00490A76">
              <w:rPr>
                <w:rFonts w:ascii="Cambria" w:hAnsi="Cambria"/>
                <w:color w:val="000000"/>
                <w:sz w:val="16"/>
                <w:szCs w:val="16"/>
              </w:rPr>
              <w:t>Удовл</w:t>
            </w:r>
          </w:p>
        </w:tc>
        <w:tc>
          <w:tcPr>
            <w:tcW w:w="842"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Неудовл</w:t>
            </w:r>
          </w:p>
        </w:tc>
        <w:tc>
          <w:tcPr>
            <w:tcW w:w="892"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Удовл</w:t>
            </w:r>
          </w:p>
        </w:tc>
        <w:tc>
          <w:tcPr>
            <w:tcW w:w="943"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Неудовл</w:t>
            </w:r>
          </w:p>
        </w:tc>
        <w:tc>
          <w:tcPr>
            <w:tcW w:w="793"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Удовл</w:t>
            </w:r>
          </w:p>
        </w:tc>
      </w:tr>
      <w:tr w:rsidR="006568BA" w:rsidRPr="00490A76" w:rsidTr="00490A76">
        <w:trPr>
          <w:cantSplit/>
          <w:trHeight w:val="170"/>
        </w:trPr>
        <w:tc>
          <w:tcPr>
            <w:tcW w:w="831" w:type="pct"/>
            <w:shd w:val="clear" w:color="auto" w:fill="auto"/>
            <w:vAlign w:val="center"/>
            <w:hideMark/>
          </w:tcPr>
          <w:p w:rsidR="006568BA" w:rsidRPr="00490A76" w:rsidRDefault="006568BA" w:rsidP="00490A76">
            <w:pPr>
              <w:rPr>
                <w:rFonts w:ascii="Cambria" w:hAnsi="Cambria"/>
                <w:sz w:val="16"/>
                <w:szCs w:val="16"/>
              </w:rPr>
            </w:pPr>
            <w:r w:rsidRPr="00490A76">
              <w:rPr>
                <w:rFonts w:ascii="Cambria" w:hAnsi="Cambria"/>
                <w:sz w:val="16"/>
                <w:szCs w:val="16"/>
              </w:rPr>
              <w:t>Корректировка</w:t>
            </w:r>
          </w:p>
        </w:tc>
        <w:tc>
          <w:tcPr>
            <w:tcW w:w="699" w:type="pct"/>
            <w:shd w:val="clear" w:color="auto" w:fill="auto"/>
            <w:vAlign w:val="center"/>
            <w:hideMark/>
          </w:tcPr>
          <w:p w:rsidR="006568BA" w:rsidRPr="00490A76" w:rsidRDefault="006568BA" w:rsidP="00490A76">
            <w:pPr>
              <w:jc w:val="center"/>
              <w:rPr>
                <w:rFonts w:ascii="Cambria" w:hAnsi="Cambria"/>
                <w:sz w:val="16"/>
                <w:szCs w:val="16"/>
              </w:rPr>
            </w:pPr>
            <w:r w:rsidRPr="00490A76">
              <w:rPr>
                <w:rFonts w:ascii="Cambria" w:hAnsi="Cambria"/>
                <w:sz w:val="16"/>
                <w:szCs w:val="16"/>
              </w:rPr>
              <w:t>-</w:t>
            </w:r>
          </w:p>
        </w:tc>
        <w:tc>
          <w:tcPr>
            <w:tcW w:w="842"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26,00%</w:t>
            </w:r>
          </w:p>
        </w:tc>
        <w:tc>
          <w:tcPr>
            <w:tcW w:w="892"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0,00%</w:t>
            </w:r>
          </w:p>
        </w:tc>
        <w:tc>
          <w:tcPr>
            <w:tcW w:w="943"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26,00%</w:t>
            </w:r>
          </w:p>
        </w:tc>
        <w:tc>
          <w:tcPr>
            <w:tcW w:w="793"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0,00%</w:t>
            </w:r>
          </w:p>
        </w:tc>
      </w:tr>
      <w:tr w:rsidR="006568BA" w:rsidRPr="00490A76" w:rsidTr="00490A76">
        <w:trPr>
          <w:cantSplit/>
          <w:trHeight w:val="170"/>
        </w:trPr>
        <w:tc>
          <w:tcPr>
            <w:tcW w:w="831" w:type="pct"/>
            <w:shd w:val="clear" w:color="auto" w:fill="auto"/>
            <w:vAlign w:val="center"/>
            <w:hideMark/>
          </w:tcPr>
          <w:p w:rsidR="006568BA" w:rsidRPr="00490A76" w:rsidRDefault="006568BA" w:rsidP="00490A76">
            <w:pPr>
              <w:rPr>
                <w:rFonts w:ascii="Cambria" w:hAnsi="Cambria"/>
                <w:b/>
                <w:bCs/>
                <w:sz w:val="16"/>
                <w:szCs w:val="16"/>
              </w:rPr>
            </w:pPr>
            <w:r w:rsidRPr="00490A76">
              <w:rPr>
                <w:rFonts w:ascii="Cambria" w:hAnsi="Cambria"/>
                <w:b/>
                <w:bCs/>
                <w:sz w:val="16"/>
                <w:szCs w:val="16"/>
              </w:rPr>
              <w:t>Скорректированная цена, руб. кв.м.</w:t>
            </w:r>
          </w:p>
        </w:tc>
        <w:tc>
          <w:tcPr>
            <w:tcW w:w="699" w:type="pct"/>
            <w:shd w:val="clear" w:color="auto" w:fill="auto"/>
            <w:vAlign w:val="center"/>
            <w:hideMark/>
          </w:tcPr>
          <w:p w:rsidR="006568BA" w:rsidRPr="00490A76" w:rsidRDefault="006568BA" w:rsidP="00490A76">
            <w:pPr>
              <w:jc w:val="center"/>
              <w:rPr>
                <w:rFonts w:ascii="Cambria" w:hAnsi="Cambria"/>
                <w:b/>
                <w:bCs/>
                <w:sz w:val="16"/>
                <w:szCs w:val="16"/>
              </w:rPr>
            </w:pPr>
            <w:r w:rsidRPr="00490A76">
              <w:rPr>
                <w:rFonts w:ascii="Cambria" w:hAnsi="Cambria"/>
                <w:b/>
                <w:bCs/>
                <w:sz w:val="16"/>
                <w:szCs w:val="16"/>
              </w:rPr>
              <w:t>-</w:t>
            </w:r>
          </w:p>
        </w:tc>
        <w:tc>
          <w:tcPr>
            <w:tcW w:w="842"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18 316,43</w:t>
            </w:r>
          </w:p>
        </w:tc>
        <w:tc>
          <w:tcPr>
            <w:tcW w:w="892"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22 676,31</w:t>
            </w:r>
          </w:p>
        </w:tc>
        <w:tc>
          <w:tcPr>
            <w:tcW w:w="943"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21 675,34</w:t>
            </w:r>
          </w:p>
        </w:tc>
        <w:tc>
          <w:tcPr>
            <w:tcW w:w="793"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21 114,64</w:t>
            </w:r>
          </w:p>
        </w:tc>
      </w:tr>
      <w:tr w:rsidR="006568BA" w:rsidRPr="00490A76" w:rsidTr="00490A76">
        <w:trPr>
          <w:cantSplit/>
          <w:trHeight w:val="170"/>
        </w:trPr>
        <w:tc>
          <w:tcPr>
            <w:tcW w:w="831" w:type="pct"/>
            <w:shd w:val="clear" w:color="auto" w:fill="auto"/>
            <w:vAlign w:val="center"/>
            <w:hideMark/>
          </w:tcPr>
          <w:p w:rsidR="006568BA" w:rsidRPr="00490A76" w:rsidRDefault="006568BA" w:rsidP="00490A76">
            <w:pPr>
              <w:rPr>
                <w:rFonts w:ascii="Cambria" w:hAnsi="Cambria"/>
                <w:i/>
                <w:iCs/>
                <w:sz w:val="16"/>
                <w:szCs w:val="16"/>
              </w:rPr>
            </w:pPr>
            <w:r w:rsidRPr="00490A76">
              <w:rPr>
                <w:rFonts w:ascii="Cambria" w:hAnsi="Cambria"/>
                <w:i/>
                <w:iCs/>
                <w:sz w:val="16"/>
                <w:szCs w:val="16"/>
              </w:rPr>
              <w:t>Материал стен</w:t>
            </w:r>
          </w:p>
        </w:tc>
        <w:tc>
          <w:tcPr>
            <w:tcW w:w="699" w:type="pct"/>
            <w:shd w:val="clear" w:color="auto" w:fill="auto"/>
            <w:noWrap/>
            <w:vAlign w:val="center"/>
            <w:hideMark/>
          </w:tcPr>
          <w:p w:rsidR="006568BA" w:rsidRPr="00490A76" w:rsidRDefault="006568BA" w:rsidP="00490A76">
            <w:pPr>
              <w:jc w:val="center"/>
              <w:rPr>
                <w:rFonts w:ascii="Cambria" w:hAnsi="Cambria"/>
                <w:sz w:val="16"/>
                <w:szCs w:val="16"/>
              </w:rPr>
            </w:pPr>
            <w:r w:rsidRPr="00490A76">
              <w:rPr>
                <w:rFonts w:ascii="Cambria" w:hAnsi="Cambria"/>
                <w:sz w:val="16"/>
                <w:szCs w:val="16"/>
              </w:rPr>
              <w:t>Каменные</w:t>
            </w:r>
          </w:p>
        </w:tc>
        <w:tc>
          <w:tcPr>
            <w:tcW w:w="842"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Каменные</w:t>
            </w:r>
          </w:p>
        </w:tc>
        <w:tc>
          <w:tcPr>
            <w:tcW w:w="892"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Каменные</w:t>
            </w:r>
          </w:p>
        </w:tc>
        <w:tc>
          <w:tcPr>
            <w:tcW w:w="943"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Каменные</w:t>
            </w:r>
          </w:p>
        </w:tc>
        <w:tc>
          <w:tcPr>
            <w:tcW w:w="793"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Каменные</w:t>
            </w:r>
          </w:p>
        </w:tc>
      </w:tr>
      <w:tr w:rsidR="006568BA" w:rsidRPr="00490A76" w:rsidTr="00490A76">
        <w:trPr>
          <w:cantSplit/>
          <w:trHeight w:val="170"/>
        </w:trPr>
        <w:tc>
          <w:tcPr>
            <w:tcW w:w="831" w:type="pct"/>
            <w:shd w:val="clear" w:color="auto" w:fill="auto"/>
            <w:vAlign w:val="center"/>
            <w:hideMark/>
          </w:tcPr>
          <w:p w:rsidR="006568BA" w:rsidRPr="00490A76" w:rsidRDefault="006568BA" w:rsidP="00490A76">
            <w:pPr>
              <w:rPr>
                <w:rFonts w:ascii="Cambria" w:hAnsi="Cambria"/>
                <w:sz w:val="16"/>
                <w:szCs w:val="16"/>
              </w:rPr>
            </w:pPr>
            <w:r w:rsidRPr="00490A76">
              <w:rPr>
                <w:rFonts w:ascii="Cambria" w:hAnsi="Cambria"/>
                <w:sz w:val="16"/>
                <w:szCs w:val="16"/>
              </w:rPr>
              <w:lastRenderedPageBreak/>
              <w:t>Корректировка</w:t>
            </w:r>
          </w:p>
        </w:tc>
        <w:tc>
          <w:tcPr>
            <w:tcW w:w="699" w:type="pct"/>
            <w:shd w:val="clear" w:color="auto" w:fill="auto"/>
            <w:vAlign w:val="center"/>
            <w:hideMark/>
          </w:tcPr>
          <w:p w:rsidR="006568BA" w:rsidRPr="00490A76" w:rsidRDefault="006568BA" w:rsidP="00490A76">
            <w:pPr>
              <w:jc w:val="center"/>
              <w:rPr>
                <w:rFonts w:ascii="Cambria" w:hAnsi="Cambria"/>
                <w:b/>
                <w:bCs/>
                <w:sz w:val="16"/>
                <w:szCs w:val="16"/>
              </w:rPr>
            </w:pPr>
            <w:r w:rsidRPr="00490A76">
              <w:rPr>
                <w:rFonts w:ascii="Cambria" w:hAnsi="Cambria"/>
                <w:b/>
                <w:bCs/>
                <w:sz w:val="16"/>
                <w:szCs w:val="16"/>
              </w:rPr>
              <w:t> </w:t>
            </w:r>
          </w:p>
        </w:tc>
        <w:tc>
          <w:tcPr>
            <w:tcW w:w="842"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0,0%</w:t>
            </w:r>
          </w:p>
        </w:tc>
        <w:tc>
          <w:tcPr>
            <w:tcW w:w="892"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0,0%</w:t>
            </w:r>
          </w:p>
        </w:tc>
        <w:tc>
          <w:tcPr>
            <w:tcW w:w="943"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0,0%</w:t>
            </w:r>
          </w:p>
        </w:tc>
        <w:tc>
          <w:tcPr>
            <w:tcW w:w="793"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0,0%</w:t>
            </w:r>
          </w:p>
        </w:tc>
      </w:tr>
      <w:tr w:rsidR="006568BA" w:rsidRPr="00490A76" w:rsidTr="00490A76">
        <w:trPr>
          <w:cantSplit/>
          <w:trHeight w:val="170"/>
        </w:trPr>
        <w:tc>
          <w:tcPr>
            <w:tcW w:w="831" w:type="pct"/>
            <w:shd w:val="clear" w:color="auto" w:fill="auto"/>
            <w:vAlign w:val="center"/>
            <w:hideMark/>
          </w:tcPr>
          <w:p w:rsidR="006568BA" w:rsidRPr="00490A76" w:rsidRDefault="006568BA" w:rsidP="00490A76">
            <w:pPr>
              <w:rPr>
                <w:rFonts w:ascii="Cambria" w:hAnsi="Cambria"/>
                <w:b/>
                <w:bCs/>
                <w:sz w:val="16"/>
                <w:szCs w:val="16"/>
              </w:rPr>
            </w:pPr>
            <w:r w:rsidRPr="00490A76">
              <w:rPr>
                <w:rFonts w:ascii="Cambria" w:hAnsi="Cambria"/>
                <w:b/>
                <w:bCs/>
                <w:sz w:val="16"/>
                <w:szCs w:val="16"/>
              </w:rPr>
              <w:t>Скорректированная цена, руб. кв.м.</w:t>
            </w:r>
          </w:p>
        </w:tc>
        <w:tc>
          <w:tcPr>
            <w:tcW w:w="699" w:type="pct"/>
            <w:shd w:val="clear" w:color="auto" w:fill="auto"/>
            <w:vAlign w:val="center"/>
            <w:hideMark/>
          </w:tcPr>
          <w:p w:rsidR="006568BA" w:rsidRPr="00490A76" w:rsidRDefault="006568BA" w:rsidP="00490A76">
            <w:pPr>
              <w:jc w:val="center"/>
              <w:rPr>
                <w:rFonts w:ascii="Cambria" w:hAnsi="Cambria"/>
                <w:b/>
                <w:bCs/>
                <w:sz w:val="16"/>
                <w:szCs w:val="16"/>
              </w:rPr>
            </w:pPr>
            <w:r w:rsidRPr="00490A76">
              <w:rPr>
                <w:rFonts w:ascii="Cambria" w:hAnsi="Cambria"/>
                <w:b/>
                <w:bCs/>
                <w:sz w:val="16"/>
                <w:szCs w:val="16"/>
              </w:rPr>
              <w:t> </w:t>
            </w:r>
          </w:p>
        </w:tc>
        <w:tc>
          <w:tcPr>
            <w:tcW w:w="842"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18 316,43</w:t>
            </w:r>
          </w:p>
        </w:tc>
        <w:tc>
          <w:tcPr>
            <w:tcW w:w="892"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22 676,31</w:t>
            </w:r>
          </w:p>
        </w:tc>
        <w:tc>
          <w:tcPr>
            <w:tcW w:w="943"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21 675,34</w:t>
            </w:r>
          </w:p>
        </w:tc>
        <w:tc>
          <w:tcPr>
            <w:tcW w:w="793"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21 114,64</w:t>
            </w:r>
          </w:p>
        </w:tc>
      </w:tr>
      <w:tr w:rsidR="006568BA" w:rsidRPr="00490A76" w:rsidTr="00490A76">
        <w:trPr>
          <w:cantSplit/>
          <w:trHeight w:val="170"/>
        </w:trPr>
        <w:tc>
          <w:tcPr>
            <w:tcW w:w="831" w:type="pct"/>
            <w:shd w:val="clear" w:color="auto" w:fill="auto"/>
            <w:vAlign w:val="center"/>
            <w:hideMark/>
          </w:tcPr>
          <w:p w:rsidR="006568BA" w:rsidRPr="00490A76" w:rsidRDefault="006568BA" w:rsidP="00490A76">
            <w:pPr>
              <w:rPr>
                <w:rFonts w:ascii="Cambria" w:hAnsi="Cambria"/>
                <w:i/>
                <w:iCs/>
                <w:color w:val="000000"/>
                <w:sz w:val="16"/>
                <w:szCs w:val="16"/>
              </w:rPr>
            </w:pPr>
            <w:r w:rsidRPr="00490A76">
              <w:rPr>
                <w:rFonts w:ascii="Cambria" w:hAnsi="Cambria"/>
                <w:i/>
                <w:iCs/>
                <w:color w:val="000000"/>
                <w:sz w:val="16"/>
                <w:szCs w:val="16"/>
              </w:rPr>
              <w:t>Наличие жд путей</w:t>
            </w:r>
          </w:p>
        </w:tc>
        <w:tc>
          <w:tcPr>
            <w:tcW w:w="699" w:type="pct"/>
            <w:shd w:val="clear" w:color="auto" w:fill="auto"/>
            <w:noWrap/>
            <w:vAlign w:val="center"/>
            <w:hideMark/>
          </w:tcPr>
          <w:p w:rsidR="006568BA" w:rsidRPr="00490A76" w:rsidRDefault="006568BA" w:rsidP="00490A76">
            <w:pPr>
              <w:jc w:val="center"/>
              <w:rPr>
                <w:rFonts w:ascii="Cambria" w:hAnsi="Cambria"/>
                <w:color w:val="000000"/>
                <w:sz w:val="16"/>
                <w:szCs w:val="16"/>
              </w:rPr>
            </w:pPr>
            <w:r w:rsidRPr="00490A76">
              <w:rPr>
                <w:rFonts w:ascii="Cambria" w:hAnsi="Cambria"/>
                <w:color w:val="000000"/>
                <w:sz w:val="16"/>
                <w:szCs w:val="16"/>
              </w:rPr>
              <w:t>Отсутствуют</w:t>
            </w:r>
          </w:p>
        </w:tc>
        <w:tc>
          <w:tcPr>
            <w:tcW w:w="842"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Отсутствуют</w:t>
            </w:r>
          </w:p>
        </w:tc>
        <w:tc>
          <w:tcPr>
            <w:tcW w:w="892"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Отсутствуют</w:t>
            </w:r>
          </w:p>
        </w:tc>
        <w:tc>
          <w:tcPr>
            <w:tcW w:w="943"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Имеются</w:t>
            </w:r>
          </w:p>
        </w:tc>
        <w:tc>
          <w:tcPr>
            <w:tcW w:w="793"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Отсутствуют</w:t>
            </w:r>
          </w:p>
        </w:tc>
      </w:tr>
      <w:tr w:rsidR="006568BA" w:rsidRPr="00490A76" w:rsidTr="00490A76">
        <w:trPr>
          <w:cantSplit/>
          <w:trHeight w:val="170"/>
        </w:trPr>
        <w:tc>
          <w:tcPr>
            <w:tcW w:w="831" w:type="pct"/>
            <w:shd w:val="clear" w:color="auto" w:fill="auto"/>
            <w:vAlign w:val="center"/>
            <w:hideMark/>
          </w:tcPr>
          <w:p w:rsidR="006568BA" w:rsidRPr="00490A76" w:rsidRDefault="006568BA" w:rsidP="00490A76">
            <w:pPr>
              <w:rPr>
                <w:rFonts w:ascii="Cambria" w:hAnsi="Cambria"/>
                <w:sz w:val="16"/>
                <w:szCs w:val="16"/>
              </w:rPr>
            </w:pPr>
            <w:r w:rsidRPr="00490A76">
              <w:rPr>
                <w:rFonts w:ascii="Cambria" w:hAnsi="Cambria"/>
                <w:sz w:val="16"/>
                <w:szCs w:val="16"/>
              </w:rPr>
              <w:t>Корректировка</w:t>
            </w:r>
          </w:p>
        </w:tc>
        <w:tc>
          <w:tcPr>
            <w:tcW w:w="699" w:type="pct"/>
            <w:shd w:val="clear" w:color="auto" w:fill="auto"/>
            <w:noWrap/>
            <w:vAlign w:val="center"/>
            <w:hideMark/>
          </w:tcPr>
          <w:p w:rsidR="006568BA" w:rsidRPr="00490A76" w:rsidRDefault="006568BA" w:rsidP="00490A76">
            <w:pPr>
              <w:jc w:val="center"/>
              <w:rPr>
                <w:rFonts w:ascii="Cambria" w:hAnsi="Cambria"/>
                <w:color w:val="000000"/>
                <w:sz w:val="16"/>
                <w:szCs w:val="16"/>
              </w:rPr>
            </w:pPr>
            <w:r w:rsidRPr="00490A76">
              <w:rPr>
                <w:rFonts w:ascii="Cambria" w:hAnsi="Cambria"/>
                <w:color w:val="000000"/>
                <w:sz w:val="16"/>
                <w:szCs w:val="16"/>
              </w:rPr>
              <w:t> </w:t>
            </w:r>
          </w:p>
        </w:tc>
        <w:tc>
          <w:tcPr>
            <w:tcW w:w="842"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0,00%</w:t>
            </w:r>
          </w:p>
        </w:tc>
        <w:tc>
          <w:tcPr>
            <w:tcW w:w="892"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0,00%</w:t>
            </w:r>
          </w:p>
        </w:tc>
        <w:tc>
          <w:tcPr>
            <w:tcW w:w="943"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-14,00%</w:t>
            </w:r>
          </w:p>
        </w:tc>
        <w:tc>
          <w:tcPr>
            <w:tcW w:w="793"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0,00%</w:t>
            </w:r>
          </w:p>
        </w:tc>
      </w:tr>
      <w:tr w:rsidR="006568BA" w:rsidRPr="00490A76" w:rsidTr="00490A76">
        <w:trPr>
          <w:cantSplit/>
          <w:trHeight w:val="170"/>
        </w:trPr>
        <w:tc>
          <w:tcPr>
            <w:tcW w:w="831" w:type="pct"/>
            <w:shd w:val="clear" w:color="auto" w:fill="auto"/>
            <w:vAlign w:val="center"/>
            <w:hideMark/>
          </w:tcPr>
          <w:p w:rsidR="006568BA" w:rsidRPr="00490A76" w:rsidRDefault="006568BA" w:rsidP="00490A76">
            <w:pPr>
              <w:rPr>
                <w:rFonts w:ascii="Cambria" w:hAnsi="Cambria"/>
                <w:b/>
                <w:bCs/>
                <w:sz w:val="16"/>
                <w:szCs w:val="16"/>
              </w:rPr>
            </w:pPr>
            <w:r w:rsidRPr="00490A76">
              <w:rPr>
                <w:rFonts w:ascii="Cambria" w:hAnsi="Cambria"/>
                <w:b/>
                <w:bCs/>
                <w:sz w:val="16"/>
                <w:szCs w:val="16"/>
              </w:rPr>
              <w:t>Скорректированная цена, руб. кв.м.</w:t>
            </w:r>
          </w:p>
        </w:tc>
        <w:tc>
          <w:tcPr>
            <w:tcW w:w="699" w:type="pct"/>
            <w:shd w:val="clear" w:color="auto" w:fill="auto"/>
            <w:noWrap/>
            <w:vAlign w:val="center"/>
            <w:hideMark/>
          </w:tcPr>
          <w:p w:rsidR="006568BA" w:rsidRPr="00490A76" w:rsidRDefault="006568BA" w:rsidP="00490A76">
            <w:pPr>
              <w:jc w:val="center"/>
              <w:rPr>
                <w:rFonts w:ascii="Cambria" w:hAnsi="Cambria"/>
                <w:color w:val="000000"/>
                <w:sz w:val="16"/>
                <w:szCs w:val="16"/>
              </w:rPr>
            </w:pPr>
            <w:r w:rsidRPr="00490A76">
              <w:rPr>
                <w:rFonts w:ascii="Cambria" w:hAnsi="Cambria"/>
                <w:color w:val="000000"/>
                <w:sz w:val="16"/>
                <w:szCs w:val="16"/>
              </w:rPr>
              <w:t> </w:t>
            </w:r>
          </w:p>
        </w:tc>
        <w:tc>
          <w:tcPr>
            <w:tcW w:w="842"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18 316,43</w:t>
            </w:r>
          </w:p>
        </w:tc>
        <w:tc>
          <w:tcPr>
            <w:tcW w:w="892"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22 676,31</w:t>
            </w:r>
          </w:p>
        </w:tc>
        <w:tc>
          <w:tcPr>
            <w:tcW w:w="943"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18 640,80</w:t>
            </w:r>
          </w:p>
        </w:tc>
        <w:tc>
          <w:tcPr>
            <w:tcW w:w="793"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21 114,64</w:t>
            </w:r>
          </w:p>
        </w:tc>
      </w:tr>
      <w:tr w:rsidR="006568BA" w:rsidRPr="00490A76" w:rsidTr="00490A76">
        <w:trPr>
          <w:cantSplit/>
          <w:trHeight w:val="170"/>
        </w:trPr>
        <w:tc>
          <w:tcPr>
            <w:tcW w:w="831" w:type="pct"/>
            <w:shd w:val="clear" w:color="auto" w:fill="auto"/>
            <w:vAlign w:val="center"/>
            <w:hideMark/>
          </w:tcPr>
          <w:p w:rsidR="006568BA" w:rsidRPr="00490A76" w:rsidRDefault="006568BA" w:rsidP="00490A76">
            <w:pPr>
              <w:rPr>
                <w:rFonts w:ascii="Cambria" w:hAnsi="Cambria"/>
                <w:sz w:val="16"/>
                <w:szCs w:val="16"/>
              </w:rPr>
            </w:pPr>
            <w:r w:rsidRPr="00490A76">
              <w:rPr>
                <w:rFonts w:ascii="Cambria" w:hAnsi="Cambria"/>
                <w:sz w:val="16"/>
                <w:szCs w:val="16"/>
              </w:rPr>
              <w:t>Валовая корректировка</w:t>
            </w:r>
          </w:p>
        </w:tc>
        <w:tc>
          <w:tcPr>
            <w:tcW w:w="699" w:type="pct"/>
            <w:shd w:val="clear" w:color="auto" w:fill="auto"/>
            <w:noWrap/>
            <w:vAlign w:val="center"/>
            <w:hideMark/>
          </w:tcPr>
          <w:p w:rsidR="006568BA" w:rsidRPr="00490A76" w:rsidRDefault="006568BA" w:rsidP="00490A76">
            <w:pPr>
              <w:jc w:val="center"/>
              <w:rPr>
                <w:rFonts w:ascii="Cambria" w:hAnsi="Cambria"/>
                <w:sz w:val="16"/>
                <w:szCs w:val="16"/>
              </w:rPr>
            </w:pPr>
            <w:r w:rsidRPr="00490A76">
              <w:rPr>
                <w:rFonts w:ascii="Cambria" w:hAnsi="Cambria"/>
                <w:sz w:val="16"/>
                <w:szCs w:val="16"/>
              </w:rPr>
              <w:t>-</w:t>
            </w:r>
          </w:p>
        </w:tc>
        <w:tc>
          <w:tcPr>
            <w:tcW w:w="842"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45,00%</w:t>
            </w:r>
          </w:p>
        </w:tc>
        <w:tc>
          <w:tcPr>
            <w:tcW w:w="892"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10,00%</w:t>
            </w:r>
          </w:p>
        </w:tc>
        <w:tc>
          <w:tcPr>
            <w:tcW w:w="943"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50,00%</w:t>
            </w:r>
          </w:p>
        </w:tc>
        <w:tc>
          <w:tcPr>
            <w:tcW w:w="793"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10,00%</w:t>
            </w:r>
          </w:p>
        </w:tc>
      </w:tr>
      <w:tr w:rsidR="006568BA" w:rsidRPr="00490A76" w:rsidTr="00490A76">
        <w:trPr>
          <w:cantSplit/>
          <w:trHeight w:val="170"/>
        </w:trPr>
        <w:tc>
          <w:tcPr>
            <w:tcW w:w="831" w:type="pct"/>
            <w:shd w:val="clear" w:color="auto" w:fill="auto"/>
            <w:vAlign w:val="center"/>
            <w:hideMark/>
          </w:tcPr>
          <w:p w:rsidR="006568BA" w:rsidRPr="00490A76" w:rsidRDefault="006568BA" w:rsidP="00490A76">
            <w:pPr>
              <w:rPr>
                <w:rFonts w:ascii="Cambria" w:hAnsi="Cambria"/>
                <w:sz w:val="16"/>
                <w:szCs w:val="16"/>
              </w:rPr>
            </w:pPr>
            <w:r w:rsidRPr="00490A76">
              <w:rPr>
                <w:rFonts w:ascii="Cambria" w:hAnsi="Cambria"/>
                <w:sz w:val="16"/>
                <w:szCs w:val="16"/>
              </w:rPr>
              <w:t>Вес аналога</w:t>
            </w:r>
          </w:p>
        </w:tc>
        <w:tc>
          <w:tcPr>
            <w:tcW w:w="699" w:type="pct"/>
            <w:shd w:val="clear" w:color="auto" w:fill="auto"/>
            <w:noWrap/>
            <w:vAlign w:val="center"/>
            <w:hideMark/>
          </w:tcPr>
          <w:p w:rsidR="006568BA" w:rsidRPr="00490A76" w:rsidRDefault="006568BA" w:rsidP="00490A76">
            <w:pPr>
              <w:jc w:val="center"/>
              <w:rPr>
                <w:rFonts w:ascii="Cambria" w:hAnsi="Cambria"/>
                <w:sz w:val="16"/>
                <w:szCs w:val="16"/>
              </w:rPr>
            </w:pPr>
            <w:r w:rsidRPr="00490A76">
              <w:rPr>
                <w:rFonts w:ascii="Cambria" w:hAnsi="Cambria"/>
                <w:sz w:val="16"/>
                <w:szCs w:val="16"/>
              </w:rPr>
              <w:t>-</w:t>
            </w:r>
          </w:p>
        </w:tc>
        <w:tc>
          <w:tcPr>
            <w:tcW w:w="842"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20,3%</w:t>
            </w:r>
          </w:p>
        </w:tc>
        <w:tc>
          <w:tcPr>
            <w:tcW w:w="892"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30,4%</w:t>
            </w:r>
          </w:p>
        </w:tc>
        <w:tc>
          <w:tcPr>
            <w:tcW w:w="943"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18,8%</w:t>
            </w:r>
          </w:p>
        </w:tc>
        <w:tc>
          <w:tcPr>
            <w:tcW w:w="793"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30,4%</w:t>
            </w:r>
          </w:p>
        </w:tc>
      </w:tr>
      <w:tr w:rsidR="006568BA" w:rsidRPr="00490A76" w:rsidTr="00490A76">
        <w:trPr>
          <w:cantSplit/>
          <w:trHeight w:val="170"/>
        </w:trPr>
        <w:tc>
          <w:tcPr>
            <w:tcW w:w="831" w:type="pct"/>
            <w:shd w:val="clear" w:color="auto" w:fill="auto"/>
            <w:vAlign w:val="center"/>
            <w:hideMark/>
          </w:tcPr>
          <w:p w:rsidR="006568BA" w:rsidRPr="00490A76" w:rsidRDefault="006568BA" w:rsidP="00490A76">
            <w:pPr>
              <w:rPr>
                <w:rFonts w:ascii="Cambria" w:hAnsi="Cambria"/>
                <w:sz w:val="16"/>
                <w:szCs w:val="16"/>
              </w:rPr>
            </w:pPr>
            <w:r w:rsidRPr="00490A76">
              <w:rPr>
                <w:rFonts w:ascii="Cambria" w:hAnsi="Cambria"/>
                <w:sz w:val="16"/>
                <w:szCs w:val="16"/>
              </w:rPr>
              <w:t>Величина коэффициента вариации</w:t>
            </w:r>
          </w:p>
        </w:tc>
        <w:tc>
          <w:tcPr>
            <w:tcW w:w="4169" w:type="pct"/>
            <w:gridSpan w:val="5"/>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10,3%</w:t>
            </w:r>
          </w:p>
        </w:tc>
      </w:tr>
      <w:tr w:rsidR="006568BA" w:rsidRPr="00490A76" w:rsidTr="00490A76">
        <w:trPr>
          <w:cantSplit/>
          <w:trHeight w:val="170"/>
        </w:trPr>
        <w:tc>
          <w:tcPr>
            <w:tcW w:w="831" w:type="pct"/>
            <w:shd w:val="clear" w:color="auto" w:fill="auto"/>
            <w:vAlign w:val="center"/>
            <w:hideMark/>
          </w:tcPr>
          <w:p w:rsidR="006568BA" w:rsidRPr="00490A76" w:rsidRDefault="006568BA" w:rsidP="00490A76">
            <w:pPr>
              <w:rPr>
                <w:rFonts w:ascii="Cambria" w:hAnsi="Cambria"/>
                <w:sz w:val="16"/>
                <w:szCs w:val="16"/>
              </w:rPr>
            </w:pPr>
            <w:r w:rsidRPr="00490A76">
              <w:rPr>
                <w:rFonts w:ascii="Cambria" w:hAnsi="Cambria"/>
                <w:sz w:val="16"/>
                <w:szCs w:val="16"/>
              </w:rPr>
              <w:t>Стандартное отклонение</w:t>
            </w:r>
          </w:p>
        </w:tc>
        <w:tc>
          <w:tcPr>
            <w:tcW w:w="4169" w:type="pct"/>
            <w:gridSpan w:val="5"/>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2 077,42</w:t>
            </w:r>
          </w:p>
        </w:tc>
      </w:tr>
      <w:tr w:rsidR="006568BA" w:rsidRPr="00490A76" w:rsidTr="00490A76">
        <w:trPr>
          <w:cantSplit/>
          <w:trHeight w:val="170"/>
        </w:trPr>
        <w:tc>
          <w:tcPr>
            <w:tcW w:w="831" w:type="pct"/>
            <w:shd w:val="clear" w:color="auto" w:fill="auto"/>
            <w:vAlign w:val="center"/>
            <w:hideMark/>
          </w:tcPr>
          <w:p w:rsidR="006568BA" w:rsidRPr="00490A76" w:rsidRDefault="006568BA" w:rsidP="00490A76">
            <w:pPr>
              <w:rPr>
                <w:rFonts w:ascii="Cambria" w:hAnsi="Cambria"/>
                <w:sz w:val="16"/>
                <w:szCs w:val="16"/>
              </w:rPr>
            </w:pPr>
            <w:r w:rsidRPr="00490A76">
              <w:rPr>
                <w:rFonts w:ascii="Cambria" w:hAnsi="Cambria"/>
                <w:sz w:val="16"/>
                <w:szCs w:val="16"/>
              </w:rPr>
              <w:t>Стандартная ошибка</w:t>
            </w:r>
          </w:p>
        </w:tc>
        <w:tc>
          <w:tcPr>
            <w:tcW w:w="4169" w:type="pct"/>
            <w:gridSpan w:val="5"/>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1 038,71</w:t>
            </w:r>
          </w:p>
        </w:tc>
      </w:tr>
      <w:tr w:rsidR="006568BA" w:rsidRPr="00490A76" w:rsidTr="00490A76">
        <w:trPr>
          <w:cantSplit/>
          <w:trHeight w:val="170"/>
        </w:trPr>
        <w:tc>
          <w:tcPr>
            <w:tcW w:w="831" w:type="pct"/>
            <w:shd w:val="clear" w:color="auto" w:fill="auto"/>
            <w:vAlign w:val="center"/>
            <w:hideMark/>
          </w:tcPr>
          <w:p w:rsidR="006568BA" w:rsidRPr="00490A76" w:rsidRDefault="006568BA" w:rsidP="00490A76">
            <w:pPr>
              <w:rPr>
                <w:rFonts w:ascii="Cambria" w:hAnsi="Cambria"/>
                <w:sz w:val="16"/>
                <w:szCs w:val="16"/>
              </w:rPr>
            </w:pPr>
            <w:r w:rsidRPr="00490A76">
              <w:rPr>
                <w:rFonts w:ascii="Cambria" w:hAnsi="Cambria"/>
                <w:sz w:val="16"/>
                <w:szCs w:val="16"/>
              </w:rPr>
              <w:t>Доверительная вероятность</w:t>
            </w:r>
          </w:p>
        </w:tc>
        <w:tc>
          <w:tcPr>
            <w:tcW w:w="4169" w:type="pct"/>
            <w:gridSpan w:val="5"/>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90,00%</w:t>
            </w:r>
          </w:p>
        </w:tc>
      </w:tr>
      <w:tr w:rsidR="006568BA" w:rsidRPr="00490A76" w:rsidTr="00490A76">
        <w:trPr>
          <w:cantSplit/>
          <w:trHeight w:val="170"/>
        </w:trPr>
        <w:tc>
          <w:tcPr>
            <w:tcW w:w="831" w:type="pct"/>
            <w:shd w:val="clear" w:color="auto" w:fill="auto"/>
            <w:vAlign w:val="center"/>
            <w:hideMark/>
          </w:tcPr>
          <w:p w:rsidR="006568BA" w:rsidRPr="00490A76" w:rsidRDefault="006568BA" w:rsidP="00490A76">
            <w:pPr>
              <w:rPr>
                <w:rFonts w:ascii="Cambria" w:hAnsi="Cambria"/>
                <w:sz w:val="16"/>
                <w:szCs w:val="16"/>
              </w:rPr>
            </w:pPr>
            <w:r w:rsidRPr="00490A76">
              <w:rPr>
                <w:rFonts w:ascii="Cambria" w:hAnsi="Cambria"/>
                <w:sz w:val="16"/>
                <w:szCs w:val="16"/>
              </w:rPr>
              <w:t>Критерий Стьюдента для выборки 3 объекта и заданной доверительной вероятностью</w:t>
            </w:r>
          </w:p>
        </w:tc>
        <w:tc>
          <w:tcPr>
            <w:tcW w:w="4169" w:type="pct"/>
            <w:gridSpan w:val="5"/>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2,13</w:t>
            </w:r>
          </w:p>
        </w:tc>
      </w:tr>
      <w:tr w:rsidR="006568BA" w:rsidRPr="00490A76" w:rsidTr="00490A76">
        <w:trPr>
          <w:cantSplit/>
          <w:trHeight w:val="170"/>
        </w:trPr>
        <w:tc>
          <w:tcPr>
            <w:tcW w:w="831" w:type="pct"/>
            <w:shd w:val="clear" w:color="auto" w:fill="auto"/>
            <w:vAlign w:val="center"/>
            <w:hideMark/>
          </w:tcPr>
          <w:p w:rsidR="006568BA" w:rsidRPr="00490A76" w:rsidRDefault="006568BA" w:rsidP="00490A76">
            <w:pPr>
              <w:rPr>
                <w:rFonts w:ascii="Cambria" w:hAnsi="Cambria"/>
                <w:sz w:val="16"/>
                <w:szCs w:val="16"/>
              </w:rPr>
            </w:pPr>
            <w:r w:rsidRPr="00490A76">
              <w:rPr>
                <w:rFonts w:ascii="Cambria" w:hAnsi="Cambria"/>
                <w:sz w:val="16"/>
                <w:szCs w:val="16"/>
              </w:rPr>
              <w:t>Предельная ошибка</w:t>
            </w:r>
          </w:p>
        </w:tc>
        <w:tc>
          <w:tcPr>
            <w:tcW w:w="4169" w:type="pct"/>
            <w:gridSpan w:val="5"/>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15,66%</w:t>
            </w:r>
          </w:p>
        </w:tc>
      </w:tr>
      <w:tr w:rsidR="006568BA" w:rsidRPr="00490A76" w:rsidTr="00490A76">
        <w:trPr>
          <w:cantSplit/>
          <w:trHeight w:val="170"/>
        </w:trPr>
        <w:tc>
          <w:tcPr>
            <w:tcW w:w="831" w:type="pct"/>
            <w:shd w:val="clear" w:color="auto" w:fill="auto"/>
            <w:vAlign w:val="center"/>
            <w:hideMark/>
          </w:tcPr>
          <w:p w:rsidR="006568BA" w:rsidRPr="00490A76" w:rsidRDefault="006568BA" w:rsidP="00490A76">
            <w:pPr>
              <w:rPr>
                <w:rFonts w:ascii="Cambria" w:hAnsi="Cambria"/>
                <w:b/>
                <w:bCs/>
                <w:sz w:val="16"/>
                <w:szCs w:val="16"/>
              </w:rPr>
            </w:pPr>
            <w:r w:rsidRPr="00490A76">
              <w:rPr>
                <w:rFonts w:ascii="Cambria" w:hAnsi="Cambria"/>
                <w:b/>
                <w:bCs/>
                <w:sz w:val="16"/>
                <w:szCs w:val="16"/>
              </w:rPr>
              <w:t xml:space="preserve">Средневзвешенное значение, руб./кв. м </w:t>
            </w:r>
          </w:p>
        </w:tc>
        <w:tc>
          <w:tcPr>
            <w:tcW w:w="4169" w:type="pct"/>
            <w:gridSpan w:val="5"/>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14 130</w:t>
            </w:r>
          </w:p>
        </w:tc>
      </w:tr>
    </w:tbl>
    <w:p w:rsidR="006A199E" w:rsidRDefault="006A199E" w:rsidP="006A199E">
      <w:pPr>
        <w:pStyle w:val="3"/>
        <w:rPr>
          <w:rFonts w:ascii="Bookman Old Style" w:hAnsi="Bookman Old Style"/>
          <w:sz w:val="20"/>
          <w:szCs w:val="20"/>
        </w:rPr>
      </w:pPr>
      <w:bookmarkStart w:id="275" w:name="_Toc461206407"/>
      <w:r>
        <w:rPr>
          <w:rFonts w:ascii="Bookman Old Style" w:hAnsi="Bookman Old Style"/>
          <w:sz w:val="20"/>
          <w:szCs w:val="20"/>
        </w:rPr>
        <w:t>5.4</w:t>
      </w:r>
      <w:r w:rsidRPr="00B32FC8">
        <w:rPr>
          <w:rFonts w:ascii="Bookman Old Style" w:hAnsi="Bookman Old Style"/>
          <w:sz w:val="20"/>
          <w:szCs w:val="20"/>
        </w:rPr>
        <w:t>.</w:t>
      </w:r>
      <w:r w:rsidR="00A21E6E">
        <w:rPr>
          <w:rFonts w:ascii="Bookman Old Style" w:hAnsi="Bookman Old Style"/>
          <w:sz w:val="20"/>
          <w:szCs w:val="20"/>
        </w:rPr>
        <w:t>4</w:t>
      </w:r>
      <w:r w:rsidRPr="00B32FC8">
        <w:rPr>
          <w:rFonts w:ascii="Bookman Old Style" w:hAnsi="Bookman Old Style"/>
          <w:sz w:val="20"/>
          <w:szCs w:val="20"/>
        </w:rPr>
        <w:t>.</w:t>
      </w:r>
      <w:r>
        <w:rPr>
          <w:rFonts w:ascii="Bookman Old Style" w:hAnsi="Bookman Old Style"/>
          <w:sz w:val="20"/>
          <w:szCs w:val="20"/>
        </w:rPr>
        <w:t>2</w:t>
      </w:r>
      <w:r w:rsidRPr="00B32FC8">
        <w:rPr>
          <w:rFonts w:ascii="Bookman Old Style" w:hAnsi="Bookman Old Style"/>
          <w:sz w:val="20"/>
          <w:szCs w:val="20"/>
        </w:rPr>
        <w:t xml:space="preserve">. </w:t>
      </w:r>
      <w:r w:rsidR="00490A76" w:rsidRPr="00490A76">
        <w:rPr>
          <w:rFonts w:ascii="Bookman Old Style" w:hAnsi="Bookman Old Style"/>
          <w:sz w:val="20"/>
          <w:szCs w:val="20"/>
        </w:rPr>
        <w:t xml:space="preserve">Расчет стоимости 1 кв.м. нежилого помещения </w:t>
      </w:r>
      <w:r w:rsidR="006568BA">
        <w:rPr>
          <w:rFonts w:ascii="Bookman Old Style" w:hAnsi="Bookman Old Style"/>
          <w:sz w:val="20"/>
          <w:szCs w:val="20"/>
        </w:rPr>
        <w:t>административно-</w:t>
      </w:r>
      <w:r w:rsidR="00490A76">
        <w:rPr>
          <w:rFonts w:ascii="Bookman Old Style" w:hAnsi="Bookman Old Style"/>
          <w:sz w:val="20"/>
          <w:szCs w:val="20"/>
        </w:rPr>
        <w:t>офисного</w:t>
      </w:r>
      <w:r w:rsidR="00490A76" w:rsidRPr="00490A76">
        <w:rPr>
          <w:rFonts w:ascii="Bookman Old Style" w:hAnsi="Bookman Old Style"/>
          <w:sz w:val="20"/>
          <w:szCs w:val="20"/>
        </w:rPr>
        <w:t xml:space="preserve"> назначения </w:t>
      </w:r>
      <w:r w:rsidR="00CE17F5">
        <w:rPr>
          <w:rFonts w:ascii="Bookman Old Style" w:hAnsi="Bookman Old Style"/>
          <w:sz w:val="20"/>
          <w:szCs w:val="20"/>
          <w:lang w:val="en-US"/>
        </w:rPr>
        <w:t>c</w:t>
      </w:r>
      <w:r w:rsidR="00CE17F5" w:rsidRPr="00CE17F5">
        <w:rPr>
          <w:rFonts w:ascii="Bookman Old Style" w:hAnsi="Bookman Old Style"/>
          <w:sz w:val="20"/>
          <w:szCs w:val="20"/>
        </w:rPr>
        <w:t xml:space="preserve"> </w:t>
      </w:r>
      <w:r w:rsidR="00CE17F5">
        <w:rPr>
          <w:rFonts w:ascii="Bookman Old Style" w:hAnsi="Bookman Old Style"/>
          <w:sz w:val="20"/>
          <w:szCs w:val="20"/>
        </w:rPr>
        <w:t>диапазоном площади 300-1000</w:t>
      </w:r>
      <w:r w:rsidR="00490A76" w:rsidRPr="00490A76">
        <w:rPr>
          <w:rFonts w:ascii="Bookman Old Style" w:hAnsi="Bookman Old Style"/>
          <w:sz w:val="20"/>
          <w:szCs w:val="20"/>
        </w:rPr>
        <w:t xml:space="preserve"> кв.м.</w:t>
      </w:r>
      <w:bookmarkEnd w:id="275"/>
    </w:p>
    <w:tbl>
      <w:tblPr>
        <w:tblW w:w="51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85"/>
        <w:gridCol w:w="1502"/>
        <w:gridCol w:w="1809"/>
        <w:gridCol w:w="1916"/>
        <w:gridCol w:w="2026"/>
        <w:gridCol w:w="1704"/>
      </w:tblGrid>
      <w:tr w:rsidR="00CE17F5" w:rsidRPr="00490A76" w:rsidTr="00D70166">
        <w:trPr>
          <w:cantSplit/>
          <w:trHeight w:val="170"/>
        </w:trPr>
        <w:tc>
          <w:tcPr>
            <w:tcW w:w="831" w:type="pct"/>
            <w:shd w:val="clear" w:color="auto" w:fill="auto"/>
            <w:vAlign w:val="center"/>
            <w:hideMark/>
          </w:tcPr>
          <w:p w:rsidR="00CE17F5" w:rsidRPr="00490A76" w:rsidRDefault="00CE17F5" w:rsidP="00D70166">
            <w:pPr>
              <w:jc w:val="center"/>
              <w:rPr>
                <w:rFonts w:ascii="Cambria" w:hAnsi="Cambria"/>
                <w:b/>
                <w:bCs/>
                <w:sz w:val="16"/>
                <w:szCs w:val="16"/>
              </w:rPr>
            </w:pPr>
            <w:r w:rsidRPr="00490A76">
              <w:rPr>
                <w:rFonts w:ascii="Cambria" w:hAnsi="Cambria"/>
                <w:b/>
                <w:bCs/>
                <w:sz w:val="16"/>
                <w:szCs w:val="16"/>
              </w:rPr>
              <w:t>Показатель</w:t>
            </w:r>
          </w:p>
        </w:tc>
        <w:tc>
          <w:tcPr>
            <w:tcW w:w="699" w:type="pct"/>
            <w:shd w:val="clear" w:color="auto" w:fill="auto"/>
            <w:vAlign w:val="center"/>
            <w:hideMark/>
          </w:tcPr>
          <w:p w:rsidR="00CE17F5" w:rsidRPr="00490A76" w:rsidRDefault="00CE17F5" w:rsidP="00D70166">
            <w:pPr>
              <w:jc w:val="center"/>
              <w:rPr>
                <w:rFonts w:ascii="Cambria" w:hAnsi="Cambria"/>
                <w:b/>
                <w:bCs/>
                <w:sz w:val="16"/>
                <w:szCs w:val="16"/>
              </w:rPr>
            </w:pPr>
            <w:r w:rsidRPr="00490A76">
              <w:rPr>
                <w:rFonts w:ascii="Cambria" w:hAnsi="Cambria"/>
                <w:b/>
                <w:bCs/>
                <w:sz w:val="16"/>
                <w:szCs w:val="16"/>
              </w:rPr>
              <w:t>Объект оценки</w:t>
            </w:r>
          </w:p>
        </w:tc>
        <w:tc>
          <w:tcPr>
            <w:tcW w:w="842" w:type="pct"/>
            <w:shd w:val="clear" w:color="auto" w:fill="auto"/>
            <w:vAlign w:val="center"/>
            <w:hideMark/>
          </w:tcPr>
          <w:p w:rsidR="00CE17F5" w:rsidRPr="00490A76" w:rsidRDefault="00CE17F5" w:rsidP="00D70166">
            <w:pPr>
              <w:jc w:val="center"/>
              <w:rPr>
                <w:rFonts w:ascii="Cambria" w:hAnsi="Cambria"/>
                <w:b/>
                <w:bCs/>
                <w:sz w:val="16"/>
                <w:szCs w:val="16"/>
              </w:rPr>
            </w:pPr>
            <w:r w:rsidRPr="00490A76">
              <w:rPr>
                <w:rFonts w:ascii="Cambria" w:hAnsi="Cambria"/>
                <w:b/>
                <w:bCs/>
                <w:sz w:val="16"/>
                <w:szCs w:val="16"/>
              </w:rPr>
              <w:t>Аналог 1</w:t>
            </w:r>
          </w:p>
        </w:tc>
        <w:tc>
          <w:tcPr>
            <w:tcW w:w="892" w:type="pct"/>
            <w:shd w:val="clear" w:color="auto" w:fill="auto"/>
            <w:vAlign w:val="center"/>
            <w:hideMark/>
          </w:tcPr>
          <w:p w:rsidR="00CE17F5" w:rsidRPr="00490A76" w:rsidRDefault="00CE17F5" w:rsidP="00D70166">
            <w:pPr>
              <w:jc w:val="center"/>
              <w:rPr>
                <w:rFonts w:ascii="Cambria" w:hAnsi="Cambria"/>
                <w:b/>
                <w:bCs/>
                <w:sz w:val="16"/>
                <w:szCs w:val="16"/>
              </w:rPr>
            </w:pPr>
            <w:r w:rsidRPr="00490A76">
              <w:rPr>
                <w:rFonts w:ascii="Cambria" w:hAnsi="Cambria"/>
                <w:b/>
                <w:bCs/>
                <w:sz w:val="16"/>
                <w:szCs w:val="16"/>
              </w:rPr>
              <w:t>Аналог 2</w:t>
            </w:r>
          </w:p>
        </w:tc>
        <w:tc>
          <w:tcPr>
            <w:tcW w:w="943" w:type="pct"/>
            <w:shd w:val="clear" w:color="auto" w:fill="auto"/>
            <w:vAlign w:val="center"/>
            <w:hideMark/>
          </w:tcPr>
          <w:p w:rsidR="00CE17F5" w:rsidRPr="00490A76" w:rsidRDefault="00CE17F5" w:rsidP="00D70166">
            <w:pPr>
              <w:jc w:val="center"/>
              <w:rPr>
                <w:rFonts w:ascii="Cambria" w:hAnsi="Cambria"/>
                <w:b/>
                <w:bCs/>
                <w:sz w:val="16"/>
                <w:szCs w:val="16"/>
              </w:rPr>
            </w:pPr>
            <w:r w:rsidRPr="00490A76">
              <w:rPr>
                <w:rFonts w:ascii="Cambria" w:hAnsi="Cambria"/>
                <w:b/>
                <w:bCs/>
                <w:sz w:val="16"/>
                <w:szCs w:val="16"/>
              </w:rPr>
              <w:t>Аналог 3</w:t>
            </w:r>
          </w:p>
        </w:tc>
        <w:tc>
          <w:tcPr>
            <w:tcW w:w="793" w:type="pct"/>
            <w:shd w:val="clear" w:color="auto" w:fill="auto"/>
            <w:vAlign w:val="center"/>
            <w:hideMark/>
          </w:tcPr>
          <w:p w:rsidR="00CE17F5" w:rsidRPr="00490A76" w:rsidRDefault="00CE17F5" w:rsidP="00D70166">
            <w:pPr>
              <w:jc w:val="center"/>
              <w:rPr>
                <w:rFonts w:ascii="Cambria" w:hAnsi="Cambria"/>
                <w:b/>
                <w:bCs/>
                <w:sz w:val="16"/>
                <w:szCs w:val="16"/>
              </w:rPr>
            </w:pPr>
            <w:r w:rsidRPr="00490A76">
              <w:rPr>
                <w:rFonts w:ascii="Cambria" w:hAnsi="Cambria"/>
                <w:b/>
                <w:bCs/>
                <w:sz w:val="16"/>
                <w:szCs w:val="16"/>
              </w:rPr>
              <w:t>Аналог 4</w:t>
            </w:r>
          </w:p>
        </w:tc>
      </w:tr>
      <w:tr w:rsidR="00CE17F5" w:rsidRPr="00490A76" w:rsidTr="00D70166">
        <w:trPr>
          <w:cantSplit/>
          <w:trHeight w:val="170"/>
        </w:trPr>
        <w:tc>
          <w:tcPr>
            <w:tcW w:w="831" w:type="pct"/>
            <w:shd w:val="clear" w:color="auto" w:fill="auto"/>
            <w:vAlign w:val="center"/>
            <w:hideMark/>
          </w:tcPr>
          <w:p w:rsidR="00CE17F5" w:rsidRPr="00490A76" w:rsidRDefault="00CE17F5" w:rsidP="00D70166">
            <w:pPr>
              <w:rPr>
                <w:rFonts w:ascii="Cambria" w:hAnsi="Cambria"/>
                <w:sz w:val="16"/>
                <w:szCs w:val="16"/>
              </w:rPr>
            </w:pPr>
            <w:r w:rsidRPr="00490A76">
              <w:rPr>
                <w:rFonts w:ascii="Cambria" w:hAnsi="Cambria"/>
                <w:sz w:val="16"/>
                <w:szCs w:val="16"/>
              </w:rPr>
              <w:t>Источник информации</w:t>
            </w:r>
          </w:p>
        </w:tc>
        <w:tc>
          <w:tcPr>
            <w:tcW w:w="699" w:type="pct"/>
            <w:shd w:val="clear" w:color="auto" w:fill="auto"/>
            <w:vAlign w:val="center"/>
            <w:hideMark/>
          </w:tcPr>
          <w:p w:rsidR="00CE17F5" w:rsidRPr="00490A76" w:rsidRDefault="00CE17F5" w:rsidP="00D70166">
            <w:pPr>
              <w:jc w:val="center"/>
              <w:rPr>
                <w:rFonts w:ascii="Cambria" w:hAnsi="Cambria"/>
                <w:sz w:val="16"/>
                <w:szCs w:val="16"/>
              </w:rPr>
            </w:pPr>
            <w:r w:rsidRPr="00490A76">
              <w:rPr>
                <w:rFonts w:ascii="Cambria" w:hAnsi="Cambria"/>
                <w:sz w:val="16"/>
                <w:szCs w:val="16"/>
              </w:rPr>
              <w:t>-</w:t>
            </w:r>
          </w:p>
        </w:tc>
        <w:tc>
          <w:tcPr>
            <w:tcW w:w="842" w:type="pct"/>
            <w:shd w:val="clear" w:color="auto" w:fill="auto"/>
            <w:vAlign w:val="center"/>
            <w:hideMark/>
          </w:tcPr>
          <w:p w:rsidR="00CE17F5" w:rsidRPr="00490A76" w:rsidRDefault="006C4CCF" w:rsidP="00D70166">
            <w:pPr>
              <w:jc w:val="center"/>
              <w:rPr>
                <w:rFonts w:ascii="Cambria" w:hAnsi="Cambria"/>
                <w:sz w:val="16"/>
                <w:szCs w:val="16"/>
                <w:u w:val="single"/>
              </w:rPr>
            </w:pPr>
            <w:hyperlink r:id="rId56" w:history="1">
              <w:r w:rsidR="00CE17F5" w:rsidRPr="00490A76">
                <w:rPr>
                  <w:rFonts w:ascii="Cambria" w:hAnsi="Cambria"/>
                  <w:sz w:val="16"/>
                  <w:szCs w:val="16"/>
                  <w:u w:val="single"/>
                </w:rPr>
                <w:t>https://www.avito.ru</w:t>
              </w:r>
            </w:hyperlink>
          </w:p>
        </w:tc>
        <w:tc>
          <w:tcPr>
            <w:tcW w:w="892" w:type="pct"/>
            <w:shd w:val="clear" w:color="auto" w:fill="auto"/>
            <w:vAlign w:val="center"/>
            <w:hideMark/>
          </w:tcPr>
          <w:p w:rsidR="00CE17F5" w:rsidRPr="00490A76" w:rsidRDefault="006C4CCF" w:rsidP="00D70166">
            <w:pPr>
              <w:jc w:val="center"/>
              <w:rPr>
                <w:rFonts w:ascii="Cambria" w:hAnsi="Cambria"/>
                <w:sz w:val="16"/>
                <w:szCs w:val="16"/>
                <w:u w:val="single"/>
              </w:rPr>
            </w:pPr>
            <w:hyperlink r:id="rId57" w:history="1">
              <w:r w:rsidR="00CE17F5" w:rsidRPr="00490A76">
                <w:rPr>
                  <w:rFonts w:ascii="Cambria" w:hAnsi="Cambria"/>
                  <w:sz w:val="16"/>
                  <w:szCs w:val="16"/>
                  <w:u w:val="single"/>
                </w:rPr>
                <w:t>http://kn.gilcom.ru</w:t>
              </w:r>
            </w:hyperlink>
          </w:p>
        </w:tc>
        <w:tc>
          <w:tcPr>
            <w:tcW w:w="943" w:type="pct"/>
            <w:shd w:val="clear" w:color="auto" w:fill="auto"/>
            <w:vAlign w:val="center"/>
            <w:hideMark/>
          </w:tcPr>
          <w:p w:rsidR="00CE17F5" w:rsidRPr="00490A76" w:rsidRDefault="006C4CCF" w:rsidP="00D70166">
            <w:pPr>
              <w:jc w:val="center"/>
              <w:rPr>
                <w:rFonts w:ascii="Cambria" w:hAnsi="Cambria"/>
                <w:sz w:val="16"/>
                <w:szCs w:val="16"/>
                <w:u w:val="single"/>
              </w:rPr>
            </w:pPr>
            <w:hyperlink r:id="rId58" w:history="1">
              <w:r w:rsidR="00CE17F5" w:rsidRPr="00490A76">
                <w:rPr>
                  <w:rFonts w:ascii="Cambria" w:hAnsi="Cambria"/>
                  <w:sz w:val="16"/>
                  <w:szCs w:val="16"/>
                  <w:u w:val="single"/>
                </w:rPr>
                <w:t>https://www.avito.ru</w:t>
              </w:r>
            </w:hyperlink>
          </w:p>
        </w:tc>
        <w:tc>
          <w:tcPr>
            <w:tcW w:w="793" w:type="pct"/>
            <w:shd w:val="clear" w:color="auto" w:fill="auto"/>
            <w:vAlign w:val="center"/>
            <w:hideMark/>
          </w:tcPr>
          <w:p w:rsidR="00CE17F5" w:rsidRPr="00490A76" w:rsidRDefault="006C4CCF" w:rsidP="00D70166">
            <w:pPr>
              <w:jc w:val="center"/>
              <w:rPr>
                <w:rFonts w:ascii="Cambria" w:hAnsi="Cambria"/>
                <w:sz w:val="16"/>
                <w:szCs w:val="16"/>
                <w:u w:val="single"/>
              </w:rPr>
            </w:pPr>
            <w:hyperlink r:id="rId59" w:history="1">
              <w:r w:rsidR="00CE17F5" w:rsidRPr="00490A76">
                <w:rPr>
                  <w:rFonts w:ascii="Cambria" w:hAnsi="Cambria"/>
                  <w:sz w:val="16"/>
                  <w:szCs w:val="16"/>
                  <w:u w:val="single"/>
                </w:rPr>
                <w:t>https://www.avito.ru</w:t>
              </w:r>
            </w:hyperlink>
          </w:p>
        </w:tc>
      </w:tr>
      <w:tr w:rsidR="00CE17F5" w:rsidRPr="00490A76" w:rsidTr="00D70166">
        <w:trPr>
          <w:cantSplit/>
          <w:trHeight w:val="170"/>
        </w:trPr>
        <w:tc>
          <w:tcPr>
            <w:tcW w:w="831" w:type="pct"/>
            <w:shd w:val="clear" w:color="auto" w:fill="auto"/>
            <w:vAlign w:val="center"/>
            <w:hideMark/>
          </w:tcPr>
          <w:p w:rsidR="00CE17F5" w:rsidRPr="00490A76" w:rsidRDefault="00CE17F5" w:rsidP="00D70166">
            <w:pPr>
              <w:rPr>
                <w:rFonts w:ascii="Cambria" w:hAnsi="Cambria"/>
                <w:sz w:val="16"/>
                <w:szCs w:val="16"/>
              </w:rPr>
            </w:pPr>
            <w:r w:rsidRPr="00490A76">
              <w:rPr>
                <w:rFonts w:ascii="Cambria" w:hAnsi="Cambria"/>
                <w:sz w:val="16"/>
                <w:szCs w:val="16"/>
              </w:rPr>
              <w:t>Сегмент рынка</w:t>
            </w:r>
          </w:p>
        </w:tc>
        <w:tc>
          <w:tcPr>
            <w:tcW w:w="699" w:type="pct"/>
            <w:shd w:val="clear" w:color="auto" w:fill="auto"/>
            <w:vAlign w:val="center"/>
            <w:hideMark/>
          </w:tcPr>
          <w:p w:rsidR="00CE17F5" w:rsidRPr="00490A76" w:rsidRDefault="006568BA" w:rsidP="00D70166">
            <w:pPr>
              <w:jc w:val="center"/>
              <w:rPr>
                <w:rFonts w:ascii="Cambria" w:hAnsi="Cambria"/>
                <w:sz w:val="16"/>
                <w:szCs w:val="16"/>
              </w:rPr>
            </w:pPr>
            <w:r>
              <w:rPr>
                <w:rFonts w:ascii="Cambria" w:hAnsi="Cambria"/>
                <w:sz w:val="16"/>
                <w:szCs w:val="16"/>
              </w:rPr>
              <w:t>АДМ</w:t>
            </w:r>
          </w:p>
        </w:tc>
        <w:tc>
          <w:tcPr>
            <w:tcW w:w="842" w:type="pct"/>
            <w:shd w:val="clear" w:color="auto" w:fill="auto"/>
            <w:vAlign w:val="center"/>
            <w:hideMark/>
          </w:tcPr>
          <w:p w:rsidR="00CE17F5" w:rsidRPr="00490A76" w:rsidRDefault="00CE17F5" w:rsidP="00D70166">
            <w:pPr>
              <w:jc w:val="center"/>
              <w:rPr>
                <w:rFonts w:ascii="Cambria" w:hAnsi="Cambria"/>
                <w:sz w:val="16"/>
                <w:szCs w:val="16"/>
              </w:rPr>
            </w:pPr>
            <w:r w:rsidRPr="00490A76">
              <w:rPr>
                <w:rFonts w:ascii="Cambria" w:hAnsi="Cambria"/>
                <w:sz w:val="16"/>
                <w:szCs w:val="16"/>
              </w:rPr>
              <w:t>ПСН</w:t>
            </w:r>
          </w:p>
        </w:tc>
        <w:tc>
          <w:tcPr>
            <w:tcW w:w="892" w:type="pct"/>
            <w:shd w:val="clear" w:color="auto" w:fill="auto"/>
            <w:vAlign w:val="center"/>
            <w:hideMark/>
          </w:tcPr>
          <w:p w:rsidR="00CE17F5" w:rsidRPr="00490A76" w:rsidRDefault="00CE17F5" w:rsidP="00D70166">
            <w:pPr>
              <w:jc w:val="center"/>
              <w:rPr>
                <w:rFonts w:ascii="Cambria" w:hAnsi="Cambria"/>
                <w:sz w:val="16"/>
                <w:szCs w:val="16"/>
              </w:rPr>
            </w:pPr>
            <w:r w:rsidRPr="00490A76">
              <w:rPr>
                <w:rFonts w:ascii="Cambria" w:hAnsi="Cambria"/>
                <w:sz w:val="16"/>
                <w:szCs w:val="16"/>
              </w:rPr>
              <w:t>ПСН</w:t>
            </w:r>
          </w:p>
        </w:tc>
        <w:tc>
          <w:tcPr>
            <w:tcW w:w="943" w:type="pct"/>
            <w:shd w:val="clear" w:color="auto" w:fill="auto"/>
            <w:vAlign w:val="center"/>
            <w:hideMark/>
          </w:tcPr>
          <w:p w:rsidR="00CE17F5" w:rsidRPr="00490A76" w:rsidRDefault="00CE17F5" w:rsidP="00D70166">
            <w:pPr>
              <w:jc w:val="center"/>
              <w:rPr>
                <w:rFonts w:ascii="Cambria" w:hAnsi="Cambria"/>
                <w:sz w:val="16"/>
                <w:szCs w:val="16"/>
              </w:rPr>
            </w:pPr>
            <w:r w:rsidRPr="00490A76">
              <w:rPr>
                <w:rFonts w:ascii="Cambria" w:hAnsi="Cambria"/>
                <w:sz w:val="16"/>
                <w:szCs w:val="16"/>
              </w:rPr>
              <w:t>ПСН</w:t>
            </w:r>
          </w:p>
        </w:tc>
        <w:tc>
          <w:tcPr>
            <w:tcW w:w="793" w:type="pct"/>
            <w:shd w:val="clear" w:color="auto" w:fill="auto"/>
            <w:vAlign w:val="center"/>
            <w:hideMark/>
          </w:tcPr>
          <w:p w:rsidR="00CE17F5" w:rsidRPr="00490A76" w:rsidRDefault="00CE17F5" w:rsidP="00D70166">
            <w:pPr>
              <w:jc w:val="center"/>
              <w:rPr>
                <w:rFonts w:ascii="Cambria" w:hAnsi="Cambria"/>
                <w:sz w:val="16"/>
                <w:szCs w:val="16"/>
              </w:rPr>
            </w:pPr>
            <w:r w:rsidRPr="00490A76">
              <w:rPr>
                <w:rFonts w:ascii="Cambria" w:hAnsi="Cambria"/>
                <w:sz w:val="16"/>
                <w:szCs w:val="16"/>
              </w:rPr>
              <w:t>ПСН</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sz w:val="16"/>
                <w:szCs w:val="16"/>
              </w:rPr>
            </w:pPr>
            <w:r w:rsidRPr="00490A76">
              <w:rPr>
                <w:rFonts w:ascii="Cambria" w:hAnsi="Cambria"/>
                <w:sz w:val="16"/>
                <w:szCs w:val="16"/>
              </w:rPr>
              <w:t>Местоположение</w:t>
            </w:r>
          </w:p>
        </w:tc>
        <w:tc>
          <w:tcPr>
            <w:tcW w:w="699"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г. Красноярск, Ленинский район, ул. Айвазовского,37а</w:t>
            </w:r>
          </w:p>
        </w:tc>
        <w:tc>
          <w:tcPr>
            <w:tcW w:w="842"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г. Красноярск, Ленинский район, ул Семена Давыдова, 60с2</w:t>
            </w:r>
          </w:p>
        </w:tc>
        <w:tc>
          <w:tcPr>
            <w:tcW w:w="892"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г. Красноярск, Ленинский район, ул. Энергетиков</w:t>
            </w:r>
          </w:p>
        </w:tc>
        <w:tc>
          <w:tcPr>
            <w:tcW w:w="943"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г. Красноярск, Ленинский район, ул. Айвазовского,16</w:t>
            </w:r>
          </w:p>
        </w:tc>
        <w:tc>
          <w:tcPr>
            <w:tcW w:w="793"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г. Красноярск, Ленинский район, ул. Айвазовского</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b/>
                <w:bCs/>
                <w:sz w:val="16"/>
                <w:szCs w:val="16"/>
              </w:rPr>
            </w:pPr>
            <w:r w:rsidRPr="00490A76">
              <w:rPr>
                <w:rFonts w:ascii="Cambria" w:hAnsi="Cambria"/>
                <w:b/>
                <w:bCs/>
                <w:sz w:val="16"/>
                <w:szCs w:val="16"/>
              </w:rPr>
              <w:t>Стоимость, руб.</w:t>
            </w:r>
          </w:p>
        </w:tc>
        <w:tc>
          <w:tcPr>
            <w:tcW w:w="699" w:type="pct"/>
            <w:shd w:val="clear" w:color="auto" w:fill="auto"/>
            <w:vAlign w:val="center"/>
            <w:hideMark/>
          </w:tcPr>
          <w:p w:rsidR="006568BA" w:rsidRDefault="006568BA">
            <w:pPr>
              <w:jc w:val="center"/>
              <w:rPr>
                <w:rFonts w:ascii="Cambria" w:hAnsi="Cambria"/>
                <w:b/>
                <w:bCs/>
                <w:sz w:val="16"/>
                <w:szCs w:val="16"/>
              </w:rPr>
            </w:pPr>
            <w:r>
              <w:rPr>
                <w:rFonts w:ascii="Cambria" w:hAnsi="Cambria"/>
                <w:b/>
                <w:bCs/>
                <w:sz w:val="16"/>
                <w:szCs w:val="16"/>
              </w:rPr>
              <w:t>-</w:t>
            </w:r>
          </w:p>
        </w:tc>
        <w:tc>
          <w:tcPr>
            <w:tcW w:w="842"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17 495 660</w:t>
            </w:r>
          </w:p>
        </w:tc>
        <w:tc>
          <w:tcPr>
            <w:tcW w:w="892"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41 000 000</w:t>
            </w:r>
          </w:p>
        </w:tc>
        <w:tc>
          <w:tcPr>
            <w:tcW w:w="943"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12 300 000</w:t>
            </w:r>
          </w:p>
        </w:tc>
        <w:tc>
          <w:tcPr>
            <w:tcW w:w="793"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21 000 000</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sz w:val="16"/>
                <w:szCs w:val="16"/>
              </w:rPr>
            </w:pPr>
            <w:r w:rsidRPr="00490A76">
              <w:rPr>
                <w:rFonts w:ascii="Cambria" w:hAnsi="Cambria"/>
                <w:sz w:val="16"/>
                <w:szCs w:val="16"/>
              </w:rPr>
              <w:t>Площадь здания, кв.м.</w:t>
            </w:r>
          </w:p>
        </w:tc>
        <w:tc>
          <w:tcPr>
            <w:tcW w:w="699" w:type="pct"/>
            <w:shd w:val="clear" w:color="auto" w:fill="auto"/>
            <w:vAlign w:val="center"/>
            <w:hideMark/>
          </w:tcPr>
          <w:p w:rsidR="006568BA" w:rsidRDefault="006568BA">
            <w:pPr>
              <w:jc w:val="center"/>
              <w:rPr>
                <w:rFonts w:ascii="Cambria" w:hAnsi="Cambria"/>
                <w:b/>
                <w:bCs/>
                <w:sz w:val="16"/>
                <w:szCs w:val="16"/>
              </w:rPr>
            </w:pPr>
            <w:r>
              <w:rPr>
                <w:rFonts w:ascii="Cambria" w:hAnsi="Cambria"/>
                <w:b/>
                <w:bCs/>
                <w:sz w:val="16"/>
                <w:szCs w:val="16"/>
              </w:rPr>
              <w:t>445,40</w:t>
            </w:r>
          </w:p>
        </w:tc>
        <w:tc>
          <w:tcPr>
            <w:tcW w:w="842"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961,3</w:t>
            </w:r>
          </w:p>
        </w:tc>
        <w:tc>
          <w:tcPr>
            <w:tcW w:w="892"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1 583,0</w:t>
            </w:r>
          </w:p>
        </w:tc>
        <w:tc>
          <w:tcPr>
            <w:tcW w:w="943" w:type="pct"/>
            <w:shd w:val="clear" w:color="auto" w:fill="auto"/>
            <w:vAlign w:val="center"/>
            <w:hideMark/>
          </w:tcPr>
          <w:p w:rsidR="006568BA" w:rsidRDefault="006568BA">
            <w:pPr>
              <w:jc w:val="center"/>
              <w:rPr>
                <w:rFonts w:ascii="Cambria" w:hAnsi="Cambria"/>
                <w:b/>
                <w:bCs/>
                <w:sz w:val="16"/>
                <w:szCs w:val="16"/>
              </w:rPr>
            </w:pPr>
            <w:r>
              <w:rPr>
                <w:rFonts w:ascii="Cambria" w:hAnsi="Cambria"/>
                <w:b/>
                <w:bCs/>
                <w:sz w:val="16"/>
                <w:szCs w:val="16"/>
              </w:rPr>
              <w:t>620,00</w:t>
            </w:r>
          </w:p>
        </w:tc>
        <w:tc>
          <w:tcPr>
            <w:tcW w:w="793" w:type="pct"/>
            <w:shd w:val="clear" w:color="auto" w:fill="auto"/>
            <w:vAlign w:val="center"/>
            <w:hideMark/>
          </w:tcPr>
          <w:p w:rsidR="006568BA" w:rsidRDefault="006568BA">
            <w:pPr>
              <w:jc w:val="center"/>
              <w:rPr>
                <w:rFonts w:ascii="Cambria" w:hAnsi="Cambria"/>
                <w:b/>
                <w:bCs/>
                <w:sz w:val="16"/>
                <w:szCs w:val="16"/>
              </w:rPr>
            </w:pPr>
            <w:r>
              <w:rPr>
                <w:rFonts w:ascii="Cambria" w:hAnsi="Cambria"/>
                <w:b/>
                <w:bCs/>
                <w:sz w:val="16"/>
                <w:szCs w:val="16"/>
              </w:rPr>
              <w:t>878,80</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sz w:val="16"/>
                <w:szCs w:val="16"/>
              </w:rPr>
            </w:pPr>
            <w:r w:rsidRPr="00490A76">
              <w:rPr>
                <w:rFonts w:ascii="Cambria" w:hAnsi="Cambria"/>
                <w:sz w:val="16"/>
                <w:szCs w:val="16"/>
              </w:rPr>
              <w:t>Площадь ЗУ, кв.м.</w:t>
            </w:r>
          </w:p>
        </w:tc>
        <w:tc>
          <w:tcPr>
            <w:tcW w:w="699"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 </w:t>
            </w:r>
          </w:p>
        </w:tc>
        <w:tc>
          <w:tcPr>
            <w:tcW w:w="842"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2 763,0</w:t>
            </w:r>
          </w:p>
        </w:tc>
        <w:tc>
          <w:tcPr>
            <w:tcW w:w="892"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6 700,0</w:t>
            </w:r>
          </w:p>
        </w:tc>
        <w:tc>
          <w:tcPr>
            <w:tcW w:w="943"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2 700,00</w:t>
            </w:r>
          </w:p>
        </w:tc>
        <w:tc>
          <w:tcPr>
            <w:tcW w:w="793"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2 300,0</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sz w:val="16"/>
                <w:szCs w:val="16"/>
              </w:rPr>
            </w:pPr>
            <w:r w:rsidRPr="00490A76">
              <w:rPr>
                <w:rFonts w:ascii="Cambria" w:hAnsi="Cambria"/>
                <w:sz w:val="16"/>
                <w:szCs w:val="16"/>
              </w:rPr>
              <w:t>Стоимость ЗУ</w:t>
            </w:r>
          </w:p>
        </w:tc>
        <w:tc>
          <w:tcPr>
            <w:tcW w:w="699"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 </w:t>
            </w:r>
          </w:p>
        </w:tc>
        <w:tc>
          <w:tcPr>
            <w:tcW w:w="842"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446 529,88</w:t>
            </w:r>
          </w:p>
        </w:tc>
        <w:tc>
          <w:tcPr>
            <w:tcW w:w="892"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1 082 790,53</w:t>
            </w:r>
          </w:p>
        </w:tc>
        <w:tc>
          <w:tcPr>
            <w:tcW w:w="943"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436 348,42</w:t>
            </w:r>
          </w:p>
        </w:tc>
        <w:tc>
          <w:tcPr>
            <w:tcW w:w="793"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371 704,21</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b/>
                <w:bCs/>
                <w:sz w:val="16"/>
                <w:szCs w:val="16"/>
              </w:rPr>
            </w:pPr>
            <w:r w:rsidRPr="00490A76">
              <w:rPr>
                <w:rFonts w:ascii="Cambria" w:hAnsi="Cambria"/>
                <w:b/>
                <w:bCs/>
                <w:sz w:val="16"/>
                <w:szCs w:val="16"/>
              </w:rPr>
              <w:t xml:space="preserve">Стоимость здания без ЗУ, руб. </w:t>
            </w:r>
          </w:p>
        </w:tc>
        <w:tc>
          <w:tcPr>
            <w:tcW w:w="699" w:type="pct"/>
            <w:shd w:val="clear" w:color="auto" w:fill="auto"/>
            <w:vAlign w:val="center"/>
            <w:hideMark/>
          </w:tcPr>
          <w:p w:rsidR="006568BA" w:rsidRDefault="006568BA">
            <w:pPr>
              <w:jc w:val="center"/>
              <w:rPr>
                <w:rFonts w:ascii="Cambria" w:hAnsi="Cambria"/>
                <w:b/>
                <w:bCs/>
                <w:sz w:val="16"/>
                <w:szCs w:val="16"/>
              </w:rPr>
            </w:pPr>
            <w:r>
              <w:rPr>
                <w:rFonts w:ascii="Cambria" w:hAnsi="Cambria"/>
                <w:b/>
                <w:bCs/>
                <w:sz w:val="16"/>
                <w:szCs w:val="16"/>
              </w:rPr>
              <w:t>?</w:t>
            </w:r>
          </w:p>
        </w:tc>
        <w:tc>
          <w:tcPr>
            <w:tcW w:w="842" w:type="pct"/>
            <w:shd w:val="clear" w:color="auto" w:fill="auto"/>
            <w:vAlign w:val="center"/>
            <w:hideMark/>
          </w:tcPr>
          <w:p w:rsidR="006568BA" w:rsidRDefault="006568BA">
            <w:pPr>
              <w:jc w:val="center"/>
              <w:rPr>
                <w:rFonts w:ascii="Cambria" w:hAnsi="Cambria"/>
                <w:b/>
                <w:bCs/>
                <w:sz w:val="16"/>
                <w:szCs w:val="16"/>
              </w:rPr>
            </w:pPr>
            <w:r>
              <w:rPr>
                <w:rFonts w:ascii="Cambria" w:hAnsi="Cambria"/>
                <w:b/>
                <w:bCs/>
                <w:sz w:val="16"/>
                <w:szCs w:val="16"/>
              </w:rPr>
              <w:t>17 049 130,12</w:t>
            </w:r>
          </w:p>
        </w:tc>
        <w:tc>
          <w:tcPr>
            <w:tcW w:w="892" w:type="pct"/>
            <w:shd w:val="clear" w:color="auto" w:fill="auto"/>
            <w:vAlign w:val="center"/>
            <w:hideMark/>
          </w:tcPr>
          <w:p w:rsidR="006568BA" w:rsidRDefault="006568BA">
            <w:pPr>
              <w:jc w:val="center"/>
              <w:rPr>
                <w:rFonts w:ascii="Cambria" w:hAnsi="Cambria"/>
                <w:b/>
                <w:bCs/>
                <w:sz w:val="16"/>
                <w:szCs w:val="16"/>
              </w:rPr>
            </w:pPr>
            <w:r>
              <w:rPr>
                <w:rFonts w:ascii="Cambria" w:hAnsi="Cambria"/>
                <w:b/>
                <w:bCs/>
                <w:sz w:val="16"/>
                <w:szCs w:val="16"/>
              </w:rPr>
              <w:t>39 917 209,47</w:t>
            </w:r>
          </w:p>
        </w:tc>
        <w:tc>
          <w:tcPr>
            <w:tcW w:w="943" w:type="pct"/>
            <w:shd w:val="clear" w:color="auto" w:fill="auto"/>
            <w:vAlign w:val="center"/>
            <w:hideMark/>
          </w:tcPr>
          <w:p w:rsidR="006568BA" w:rsidRDefault="006568BA">
            <w:pPr>
              <w:jc w:val="center"/>
              <w:rPr>
                <w:rFonts w:ascii="Cambria" w:hAnsi="Cambria"/>
                <w:b/>
                <w:bCs/>
                <w:sz w:val="16"/>
                <w:szCs w:val="16"/>
              </w:rPr>
            </w:pPr>
            <w:r>
              <w:rPr>
                <w:rFonts w:ascii="Cambria" w:hAnsi="Cambria"/>
                <w:b/>
                <w:bCs/>
                <w:sz w:val="16"/>
                <w:szCs w:val="16"/>
              </w:rPr>
              <w:t>11 863 651,58</w:t>
            </w:r>
          </w:p>
        </w:tc>
        <w:tc>
          <w:tcPr>
            <w:tcW w:w="793" w:type="pct"/>
            <w:shd w:val="clear" w:color="auto" w:fill="auto"/>
            <w:vAlign w:val="center"/>
            <w:hideMark/>
          </w:tcPr>
          <w:p w:rsidR="006568BA" w:rsidRDefault="006568BA">
            <w:pPr>
              <w:jc w:val="center"/>
              <w:rPr>
                <w:rFonts w:ascii="Cambria" w:hAnsi="Cambria"/>
                <w:b/>
                <w:bCs/>
                <w:sz w:val="16"/>
                <w:szCs w:val="16"/>
              </w:rPr>
            </w:pPr>
            <w:r>
              <w:rPr>
                <w:rFonts w:ascii="Cambria" w:hAnsi="Cambria"/>
                <w:b/>
                <w:bCs/>
                <w:sz w:val="16"/>
                <w:szCs w:val="16"/>
              </w:rPr>
              <w:t>20 628 295,79</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b/>
                <w:bCs/>
                <w:sz w:val="16"/>
                <w:szCs w:val="16"/>
              </w:rPr>
            </w:pPr>
            <w:r w:rsidRPr="00490A76">
              <w:rPr>
                <w:rFonts w:ascii="Cambria" w:hAnsi="Cambria"/>
                <w:b/>
                <w:bCs/>
                <w:sz w:val="16"/>
                <w:szCs w:val="16"/>
              </w:rPr>
              <w:t>Стоимость здания, руб. кв.м.</w:t>
            </w:r>
          </w:p>
        </w:tc>
        <w:tc>
          <w:tcPr>
            <w:tcW w:w="699" w:type="pct"/>
            <w:shd w:val="clear" w:color="auto" w:fill="auto"/>
            <w:vAlign w:val="center"/>
            <w:hideMark/>
          </w:tcPr>
          <w:p w:rsidR="006568BA" w:rsidRDefault="006568BA">
            <w:pPr>
              <w:jc w:val="center"/>
              <w:rPr>
                <w:rFonts w:ascii="Cambria" w:hAnsi="Cambria"/>
                <w:b/>
                <w:bCs/>
                <w:sz w:val="16"/>
                <w:szCs w:val="16"/>
              </w:rPr>
            </w:pPr>
            <w:r>
              <w:rPr>
                <w:rFonts w:ascii="Cambria" w:hAnsi="Cambria"/>
                <w:b/>
                <w:bCs/>
                <w:sz w:val="16"/>
                <w:szCs w:val="16"/>
              </w:rPr>
              <w:t> </w:t>
            </w:r>
          </w:p>
        </w:tc>
        <w:tc>
          <w:tcPr>
            <w:tcW w:w="842" w:type="pct"/>
            <w:shd w:val="clear" w:color="auto" w:fill="auto"/>
            <w:vAlign w:val="center"/>
            <w:hideMark/>
          </w:tcPr>
          <w:p w:rsidR="006568BA" w:rsidRDefault="006568BA">
            <w:pPr>
              <w:jc w:val="center"/>
              <w:rPr>
                <w:rFonts w:ascii="Cambria" w:hAnsi="Cambria"/>
                <w:b/>
                <w:bCs/>
                <w:sz w:val="16"/>
                <w:szCs w:val="16"/>
              </w:rPr>
            </w:pPr>
            <w:r>
              <w:rPr>
                <w:rFonts w:ascii="Cambria" w:hAnsi="Cambria"/>
                <w:b/>
                <w:bCs/>
                <w:sz w:val="16"/>
                <w:szCs w:val="16"/>
              </w:rPr>
              <w:t>17 749,51</w:t>
            </w:r>
          </w:p>
        </w:tc>
        <w:tc>
          <w:tcPr>
            <w:tcW w:w="892" w:type="pct"/>
            <w:shd w:val="clear" w:color="auto" w:fill="auto"/>
            <w:vAlign w:val="center"/>
            <w:hideMark/>
          </w:tcPr>
          <w:p w:rsidR="006568BA" w:rsidRDefault="006568BA">
            <w:pPr>
              <w:jc w:val="center"/>
              <w:rPr>
                <w:rFonts w:ascii="Cambria" w:hAnsi="Cambria"/>
                <w:b/>
                <w:bCs/>
                <w:sz w:val="16"/>
                <w:szCs w:val="16"/>
              </w:rPr>
            </w:pPr>
            <w:r>
              <w:rPr>
                <w:rFonts w:ascii="Cambria" w:hAnsi="Cambria"/>
                <w:b/>
                <w:bCs/>
                <w:sz w:val="16"/>
                <w:szCs w:val="16"/>
              </w:rPr>
              <w:t>25 216,18</w:t>
            </w:r>
          </w:p>
        </w:tc>
        <w:tc>
          <w:tcPr>
            <w:tcW w:w="943" w:type="pct"/>
            <w:shd w:val="clear" w:color="auto" w:fill="auto"/>
            <w:vAlign w:val="center"/>
            <w:hideMark/>
          </w:tcPr>
          <w:p w:rsidR="006568BA" w:rsidRDefault="006568BA">
            <w:pPr>
              <w:jc w:val="center"/>
              <w:rPr>
                <w:rFonts w:ascii="Cambria" w:hAnsi="Cambria"/>
                <w:b/>
                <w:bCs/>
                <w:sz w:val="16"/>
                <w:szCs w:val="16"/>
              </w:rPr>
            </w:pPr>
            <w:r>
              <w:rPr>
                <w:rFonts w:ascii="Cambria" w:hAnsi="Cambria"/>
                <w:b/>
                <w:bCs/>
                <w:sz w:val="16"/>
                <w:szCs w:val="16"/>
              </w:rPr>
              <w:t>19 134,92</w:t>
            </w:r>
          </w:p>
        </w:tc>
        <w:tc>
          <w:tcPr>
            <w:tcW w:w="793" w:type="pct"/>
            <w:shd w:val="clear" w:color="auto" w:fill="auto"/>
            <w:vAlign w:val="center"/>
            <w:hideMark/>
          </w:tcPr>
          <w:p w:rsidR="006568BA" w:rsidRDefault="006568BA">
            <w:pPr>
              <w:jc w:val="center"/>
              <w:rPr>
                <w:rFonts w:ascii="Cambria" w:hAnsi="Cambria"/>
                <w:b/>
                <w:bCs/>
                <w:sz w:val="16"/>
                <w:szCs w:val="16"/>
              </w:rPr>
            </w:pPr>
            <w:r>
              <w:rPr>
                <w:rFonts w:ascii="Cambria" w:hAnsi="Cambria"/>
                <w:b/>
                <w:bCs/>
                <w:sz w:val="16"/>
                <w:szCs w:val="16"/>
              </w:rPr>
              <w:t>23 473,25</w:t>
            </w:r>
          </w:p>
        </w:tc>
      </w:tr>
      <w:tr w:rsidR="006568BA" w:rsidRPr="00490A76" w:rsidTr="00D70166">
        <w:trPr>
          <w:cantSplit/>
          <w:trHeight w:val="170"/>
        </w:trPr>
        <w:tc>
          <w:tcPr>
            <w:tcW w:w="5000" w:type="pct"/>
            <w:gridSpan w:val="6"/>
            <w:shd w:val="clear" w:color="auto" w:fill="auto"/>
            <w:vAlign w:val="center"/>
            <w:hideMark/>
          </w:tcPr>
          <w:p w:rsidR="006568BA" w:rsidRPr="00490A76" w:rsidRDefault="006568BA" w:rsidP="00D70166">
            <w:pPr>
              <w:jc w:val="center"/>
              <w:rPr>
                <w:rFonts w:ascii="Cambria" w:hAnsi="Cambria"/>
                <w:b/>
                <w:bCs/>
                <w:i/>
                <w:iCs/>
                <w:sz w:val="16"/>
                <w:szCs w:val="16"/>
              </w:rPr>
            </w:pPr>
            <w:r w:rsidRPr="00490A76">
              <w:rPr>
                <w:rFonts w:ascii="Cambria" w:hAnsi="Cambria"/>
                <w:b/>
                <w:bCs/>
                <w:i/>
                <w:iCs/>
                <w:sz w:val="16"/>
                <w:szCs w:val="16"/>
              </w:rPr>
              <w:t>Корректировка стоимости</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i/>
                <w:iCs/>
                <w:sz w:val="16"/>
                <w:szCs w:val="16"/>
              </w:rPr>
            </w:pPr>
            <w:r w:rsidRPr="00490A76">
              <w:rPr>
                <w:rFonts w:ascii="Cambria" w:hAnsi="Cambria"/>
                <w:i/>
                <w:iCs/>
                <w:sz w:val="16"/>
                <w:szCs w:val="16"/>
              </w:rPr>
              <w:t>Передаваемые права</w:t>
            </w:r>
          </w:p>
        </w:tc>
        <w:tc>
          <w:tcPr>
            <w:tcW w:w="699" w:type="pct"/>
            <w:shd w:val="clear" w:color="auto" w:fill="auto"/>
            <w:vAlign w:val="center"/>
            <w:hideMark/>
          </w:tcPr>
          <w:p w:rsidR="006568BA" w:rsidRPr="00490A76" w:rsidRDefault="006568BA" w:rsidP="00D70166">
            <w:pPr>
              <w:jc w:val="center"/>
              <w:rPr>
                <w:rFonts w:ascii="Cambria" w:hAnsi="Cambria"/>
                <w:sz w:val="16"/>
                <w:szCs w:val="16"/>
              </w:rPr>
            </w:pPr>
            <w:r w:rsidRPr="00490A76">
              <w:rPr>
                <w:rFonts w:ascii="Cambria" w:hAnsi="Cambria"/>
                <w:sz w:val="16"/>
                <w:szCs w:val="16"/>
              </w:rPr>
              <w:t>-</w:t>
            </w:r>
          </w:p>
        </w:tc>
        <w:tc>
          <w:tcPr>
            <w:tcW w:w="842"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Право собственности</w:t>
            </w:r>
          </w:p>
        </w:tc>
        <w:tc>
          <w:tcPr>
            <w:tcW w:w="892"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Право собственности</w:t>
            </w:r>
          </w:p>
        </w:tc>
        <w:tc>
          <w:tcPr>
            <w:tcW w:w="943"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Право собственности</w:t>
            </w:r>
          </w:p>
        </w:tc>
        <w:tc>
          <w:tcPr>
            <w:tcW w:w="793"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Право собственности</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sz w:val="16"/>
                <w:szCs w:val="16"/>
              </w:rPr>
            </w:pPr>
            <w:r w:rsidRPr="00490A76">
              <w:rPr>
                <w:rFonts w:ascii="Cambria" w:hAnsi="Cambria"/>
                <w:sz w:val="16"/>
                <w:szCs w:val="16"/>
              </w:rPr>
              <w:t>Корректировка</w:t>
            </w:r>
          </w:p>
        </w:tc>
        <w:tc>
          <w:tcPr>
            <w:tcW w:w="699" w:type="pct"/>
            <w:shd w:val="clear" w:color="auto" w:fill="auto"/>
            <w:vAlign w:val="center"/>
            <w:hideMark/>
          </w:tcPr>
          <w:p w:rsidR="006568BA" w:rsidRPr="00490A76" w:rsidRDefault="006568BA" w:rsidP="00D70166">
            <w:pPr>
              <w:jc w:val="center"/>
              <w:rPr>
                <w:rFonts w:ascii="Cambria" w:hAnsi="Cambria"/>
                <w:sz w:val="16"/>
                <w:szCs w:val="16"/>
              </w:rPr>
            </w:pPr>
            <w:r w:rsidRPr="00490A76">
              <w:rPr>
                <w:rFonts w:ascii="Cambria" w:hAnsi="Cambria"/>
                <w:sz w:val="16"/>
                <w:szCs w:val="16"/>
              </w:rPr>
              <w:t>-</w:t>
            </w:r>
          </w:p>
        </w:tc>
        <w:tc>
          <w:tcPr>
            <w:tcW w:w="842"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0,00%</w:t>
            </w:r>
          </w:p>
        </w:tc>
        <w:tc>
          <w:tcPr>
            <w:tcW w:w="892"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0,00%</w:t>
            </w:r>
          </w:p>
        </w:tc>
        <w:tc>
          <w:tcPr>
            <w:tcW w:w="943"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0,00%</w:t>
            </w:r>
          </w:p>
        </w:tc>
        <w:tc>
          <w:tcPr>
            <w:tcW w:w="793"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0,00%</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b/>
                <w:bCs/>
                <w:sz w:val="16"/>
                <w:szCs w:val="16"/>
              </w:rPr>
            </w:pPr>
            <w:r w:rsidRPr="00490A76">
              <w:rPr>
                <w:rFonts w:ascii="Cambria" w:hAnsi="Cambria"/>
                <w:b/>
                <w:bCs/>
                <w:sz w:val="16"/>
                <w:szCs w:val="16"/>
              </w:rPr>
              <w:t>Скорректированная цена, руб. кв.м.</w:t>
            </w:r>
          </w:p>
        </w:tc>
        <w:tc>
          <w:tcPr>
            <w:tcW w:w="699" w:type="pct"/>
            <w:shd w:val="clear" w:color="auto" w:fill="auto"/>
            <w:vAlign w:val="center"/>
            <w:hideMark/>
          </w:tcPr>
          <w:p w:rsidR="006568BA" w:rsidRPr="00490A76" w:rsidRDefault="006568BA" w:rsidP="00D70166">
            <w:pPr>
              <w:jc w:val="center"/>
              <w:rPr>
                <w:rFonts w:ascii="Cambria" w:hAnsi="Cambria"/>
                <w:b/>
                <w:bCs/>
                <w:sz w:val="16"/>
                <w:szCs w:val="16"/>
              </w:rPr>
            </w:pPr>
            <w:r w:rsidRPr="00490A76">
              <w:rPr>
                <w:rFonts w:ascii="Cambria" w:hAnsi="Cambria"/>
                <w:b/>
                <w:bCs/>
                <w:sz w:val="16"/>
                <w:szCs w:val="16"/>
              </w:rPr>
              <w:t>-</w:t>
            </w:r>
          </w:p>
        </w:tc>
        <w:tc>
          <w:tcPr>
            <w:tcW w:w="842"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17 749,51</w:t>
            </w:r>
          </w:p>
        </w:tc>
        <w:tc>
          <w:tcPr>
            <w:tcW w:w="892"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25 216,18</w:t>
            </w:r>
          </w:p>
        </w:tc>
        <w:tc>
          <w:tcPr>
            <w:tcW w:w="943"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19 134,92</w:t>
            </w:r>
          </w:p>
        </w:tc>
        <w:tc>
          <w:tcPr>
            <w:tcW w:w="793"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23 473,25</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i/>
                <w:iCs/>
                <w:sz w:val="16"/>
                <w:szCs w:val="16"/>
              </w:rPr>
            </w:pPr>
            <w:r w:rsidRPr="00490A76">
              <w:rPr>
                <w:rFonts w:ascii="Cambria" w:hAnsi="Cambria"/>
                <w:i/>
                <w:iCs/>
                <w:sz w:val="16"/>
                <w:szCs w:val="16"/>
              </w:rPr>
              <w:t>Условия рынка</w:t>
            </w:r>
          </w:p>
        </w:tc>
        <w:tc>
          <w:tcPr>
            <w:tcW w:w="699" w:type="pct"/>
            <w:shd w:val="clear" w:color="auto" w:fill="auto"/>
            <w:vAlign w:val="center"/>
            <w:hideMark/>
          </w:tcPr>
          <w:p w:rsidR="006568BA" w:rsidRPr="00490A76" w:rsidRDefault="006568BA" w:rsidP="00D70166">
            <w:pPr>
              <w:jc w:val="center"/>
              <w:rPr>
                <w:rFonts w:ascii="Cambria" w:hAnsi="Cambria"/>
                <w:sz w:val="16"/>
                <w:szCs w:val="16"/>
              </w:rPr>
            </w:pPr>
            <w:r w:rsidRPr="00490A76">
              <w:rPr>
                <w:rFonts w:ascii="Cambria" w:hAnsi="Cambria"/>
                <w:sz w:val="16"/>
                <w:szCs w:val="16"/>
              </w:rPr>
              <w:t>По состоянию август 2016</w:t>
            </w:r>
          </w:p>
        </w:tc>
        <w:tc>
          <w:tcPr>
            <w:tcW w:w="842"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По состоянию август 2016</w:t>
            </w:r>
          </w:p>
        </w:tc>
        <w:tc>
          <w:tcPr>
            <w:tcW w:w="892"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По состоянию август 2016</w:t>
            </w:r>
          </w:p>
        </w:tc>
        <w:tc>
          <w:tcPr>
            <w:tcW w:w="943"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По состоянию август 2016</w:t>
            </w:r>
          </w:p>
        </w:tc>
        <w:tc>
          <w:tcPr>
            <w:tcW w:w="793"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По состоянию август 2016</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sz w:val="16"/>
                <w:szCs w:val="16"/>
              </w:rPr>
            </w:pPr>
            <w:r w:rsidRPr="00490A76">
              <w:rPr>
                <w:rFonts w:ascii="Cambria" w:hAnsi="Cambria"/>
                <w:sz w:val="16"/>
                <w:szCs w:val="16"/>
              </w:rPr>
              <w:t>Корректировка</w:t>
            </w:r>
          </w:p>
        </w:tc>
        <w:tc>
          <w:tcPr>
            <w:tcW w:w="699" w:type="pct"/>
            <w:shd w:val="clear" w:color="auto" w:fill="auto"/>
            <w:vAlign w:val="center"/>
            <w:hideMark/>
          </w:tcPr>
          <w:p w:rsidR="006568BA" w:rsidRPr="00490A76" w:rsidRDefault="006568BA" w:rsidP="00D70166">
            <w:pPr>
              <w:jc w:val="center"/>
              <w:rPr>
                <w:rFonts w:ascii="Cambria" w:hAnsi="Cambria"/>
                <w:sz w:val="16"/>
                <w:szCs w:val="16"/>
              </w:rPr>
            </w:pPr>
            <w:r w:rsidRPr="00490A76">
              <w:rPr>
                <w:rFonts w:ascii="Cambria" w:hAnsi="Cambria"/>
                <w:sz w:val="16"/>
                <w:szCs w:val="16"/>
              </w:rPr>
              <w:t>-</w:t>
            </w:r>
          </w:p>
        </w:tc>
        <w:tc>
          <w:tcPr>
            <w:tcW w:w="842"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0,00%</w:t>
            </w:r>
          </w:p>
        </w:tc>
        <w:tc>
          <w:tcPr>
            <w:tcW w:w="892"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0,00%</w:t>
            </w:r>
          </w:p>
        </w:tc>
        <w:tc>
          <w:tcPr>
            <w:tcW w:w="943"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0,00%</w:t>
            </w:r>
          </w:p>
        </w:tc>
        <w:tc>
          <w:tcPr>
            <w:tcW w:w="793"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0,00%</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b/>
                <w:bCs/>
                <w:sz w:val="16"/>
                <w:szCs w:val="16"/>
              </w:rPr>
            </w:pPr>
            <w:r w:rsidRPr="00490A76">
              <w:rPr>
                <w:rFonts w:ascii="Cambria" w:hAnsi="Cambria"/>
                <w:b/>
                <w:bCs/>
                <w:sz w:val="16"/>
                <w:szCs w:val="16"/>
              </w:rPr>
              <w:t>Скорректированная цена, руб. кв.м.</w:t>
            </w:r>
          </w:p>
        </w:tc>
        <w:tc>
          <w:tcPr>
            <w:tcW w:w="699" w:type="pct"/>
            <w:shd w:val="clear" w:color="auto" w:fill="auto"/>
            <w:vAlign w:val="center"/>
            <w:hideMark/>
          </w:tcPr>
          <w:p w:rsidR="006568BA" w:rsidRPr="00490A76" w:rsidRDefault="006568BA" w:rsidP="00D70166">
            <w:pPr>
              <w:jc w:val="center"/>
              <w:rPr>
                <w:rFonts w:ascii="Cambria" w:hAnsi="Cambria"/>
                <w:b/>
                <w:bCs/>
                <w:sz w:val="16"/>
                <w:szCs w:val="16"/>
              </w:rPr>
            </w:pPr>
            <w:r w:rsidRPr="00490A76">
              <w:rPr>
                <w:rFonts w:ascii="Cambria" w:hAnsi="Cambria"/>
                <w:b/>
                <w:bCs/>
                <w:sz w:val="16"/>
                <w:szCs w:val="16"/>
              </w:rPr>
              <w:t>-</w:t>
            </w:r>
          </w:p>
        </w:tc>
        <w:tc>
          <w:tcPr>
            <w:tcW w:w="842"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17 749,51</w:t>
            </w:r>
          </w:p>
        </w:tc>
        <w:tc>
          <w:tcPr>
            <w:tcW w:w="892"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25 216,18</w:t>
            </w:r>
          </w:p>
        </w:tc>
        <w:tc>
          <w:tcPr>
            <w:tcW w:w="943"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19 134,92</w:t>
            </w:r>
          </w:p>
        </w:tc>
        <w:tc>
          <w:tcPr>
            <w:tcW w:w="793"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23 473,25</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i/>
                <w:iCs/>
                <w:sz w:val="16"/>
                <w:szCs w:val="16"/>
              </w:rPr>
            </w:pPr>
            <w:r w:rsidRPr="00490A76">
              <w:rPr>
                <w:rFonts w:ascii="Cambria" w:hAnsi="Cambria"/>
                <w:i/>
                <w:iCs/>
                <w:sz w:val="16"/>
                <w:szCs w:val="16"/>
              </w:rPr>
              <w:t>Условия продажи</w:t>
            </w:r>
          </w:p>
        </w:tc>
        <w:tc>
          <w:tcPr>
            <w:tcW w:w="699" w:type="pct"/>
            <w:shd w:val="clear" w:color="auto" w:fill="auto"/>
            <w:vAlign w:val="center"/>
            <w:hideMark/>
          </w:tcPr>
          <w:p w:rsidR="006568BA" w:rsidRPr="00490A76" w:rsidRDefault="006568BA" w:rsidP="00D70166">
            <w:pPr>
              <w:jc w:val="center"/>
              <w:rPr>
                <w:rFonts w:ascii="Cambria" w:hAnsi="Cambria"/>
                <w:sz w:val="16"/>
                <w:szCs w:val="16"/>
              </w:rPr>
            </w:pPr>
            <w:r w:rsidRPr="00490A76">
              <w:rPr>
                <w:rFonts w:ascii="Cambria" w:hAnsi="Cambria"/>
                <w:sz w:val="16"/>
                <w:szCs w:val="16"/>
              </w:rPr>
              <w:t>Цена сделки</w:t>
            </w:r>
          </w:p>
        </w:tc>
        <w:tc>
          <w:tcPr>
            <w:tcW w:w="842"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Торг возможен</w:t>
            </w:r>
          </w:p>
        </w:tc>
        <w:tc>
          <w:tcPr>
            <w:tcW w:w="892"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Торг возможен</w:t>
            </w:r>
          </w:p>
        </w:tc>
        <w:tc>
          <w:tcPr>
            <w:tcW w:w="943"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Торг возможен</w:t>
            </w:r>
          </w:p>
        </w:tc>
        <w:tc>
          <w:tcPr>
            <w:tcW w:w="793"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Торг возможен</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sz w:val="16"/>
                <w:szCs w:val="16"/>
              </w:rPr>
            </w:pPr>
            <w:r w:rsidRPr="00490A76">
              <w:rPr>
                <w:rFonts w:ascii="Cambria" w:hAnsi="Cambria"/>
                <w:sz w:val="16"/>
                <w:szCs w:val="16"/>
              </w:rPr>
              <w:t>Корректировка</w:t>
            </w:r>
          </w:p>
        </w:tc>
        <w:tc>
          <w:tcPr>
            <w:tcW w:w="699" w:type="pct"/>
            <w:shd w:val="clear" w:color="auto" w:fill="auto"/>
            <w:vAlign w:val="center"/>
            <w:hideMark/>
          </w:tcPr>
          <w:p w:rsidR="006568BA" w:rsidRPr="00490A76" w:rsidRDefault="006568BA" w:rsidP="00D70166">
            <w:pPr>
              <w:jc w:val="center"/>
              <w:rPr>
                <w:rFonts w:ascii="Cambria" w:hAnsi="Cambria"/>
                <w:sz w:val="16"/>
                <w:szCs w:val="16"/>
              </w:rPr>
            </w:pPr>
            <w:r w:rsidRPr="00490A76">
              <w:rPr>
                <w:rFonts w:ascii="Cambria" w:hAnsi="Cambria"/>
                <w:sz w:val="16"/>
                <w:szCs w:val="16"/>
              </w:rPr>
              <w:t>-</w:t>
            </w:r>
          </w:p>
        </w:tc>
        <w:tc>
          <w:tcPr>
            <w:tcW w:w="842"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-10,00%</w:t>
            </w:r>
          </w:p>
        </w:tc>
        <w:tc>
          <w:tcPr>
            <w:tcW w:w="892"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-10,00%</w:t>
            </w:r>
          </w:p>
        </w:tc>
        <w:tc>
          <w:tcPr>
            <w:tcW w:w="943"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-10,00%</w:t>
            </w:r>
          </w:p>
        </w:tc>
        <w:tc>
          <w:tcPr>
            <w:tcW w:w="793"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-10,00%</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b/>
                <w:bCs/>
                <w:sz w:val="16"/>
                <w:szCs w:val="16"/>
              </w:rPr>
            </w:pPr>
            <w:r w:rsidRPr="00490A76">
              <w:rPr>
                <w:rFonts w:ascii="Cambria" w:hAnsi="Cambria"/>
                <w:b/>
                <w:bCs/>
                <w:sz w:val="16"/>
                <w:szCs w:val="16"/>
              </w:rPr>
              <w:t>Скорректированная цена, руб. кв.м.</w:t>
            </w:r>
          </w:p>
        </w:tc>
        <w:tc>
          <w:tcPr>
            <w:tcW w:w="699" w:type="pct"/>
            <w:shd w:val="clear" w:color="auto" w:fill="auto"/>
            <w:vAlign w:val="center"/>
            <w:hideMark/>
          </w:tcPr>
          <w:p w:rsidR="006568BA" w:rsidRPr="00490A76" w:rsidRDefault="006568BA" w:rsidP="00D70166">
            <w:pPr>
              <w:jc w:val="center"/>
              <w:rPr>
                <w:rFonts w:ascii="Cambria" w:hAnsi="Cambria"/>
                <w:b/>
                <w:bCs/>
                <w:sz w:val="16"/>
                <w:szCs w:val="16"/>
              </w:rPr>
            </w:pPr>
            <w:r w:rsidRPr="00490A76">
              <w:rPr>
                <w:rFonts w:ascii="Cambria" w:hAnsi="Cambria"/>
                <w:b/>
                <w:bCs/>
                <w:sz w:val="16"/>
                <w:szCs w:val="16"/>
              </w:rPr>
              <w:t>-</w:t>
            </w:r>
          </w:p>
        </w:tc>
        <w:tc>
          <w:tcPr>
            <w:tcW w:w="842"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15 974,56</w:t>
            </w:r>
          </w:p>
        </w:tc>
        <w:tc>
          <w:tcPr>
            <w:tcW w:w="892"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22 694,56</w:t>
            </w:r>
          </w:p>
        </w:tc>
        <w:tc>
          <w:tcPr>
            <w:tcW w:w="943"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17 221,43</w:t>
            </w:r>
          </w:p>
        </w:tc>
        <w:tc>
          <w:tcPr>
            <w:tcW w:w="793"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21 125,93</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i/>
                <w:iCs/>
                <w:color w:val="000000"/>
                <w:sz w:val="16"/>
                <w:szCs w:val="16"/>
              </w:rPr>
            </w:pPr>
            <w:r w:rsidRPr="00490A76">
              <w:rPr>
                <w:rFonts w:ascii="Cambria" w:hAnsi="Cambria"/>
                <w:i/>
                <w:iCs/>
                <w:color w:val="000000"/>
                <w:sz w:val="16"/>
                <w:szCs w:val="16"/>
              </w:rPr>
              <w:t>Вид использования</w:t>
            </w:r>
          </w:p>
        </w:tc>
        <w:tc>
          <w:tcPr>
            <w:tcW w:w="699"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АДМ</w:t>
            </w:r>
          </w:p>
        </w:tc>
        <w:tc>
          <w:tcPr>
            <w:tcW w:w="842"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ПСН</w:t>
            </w:r>
          </w:p>
        </w:tc>
        <w:tc>
          <w:tcPr>
            <w:tcW w:w="892"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ПСН</w:t>
            </w:r>
          </w:p>
        </w:tc>
        <w:tc>
          <w:tcPr>
            <w:tcW w:w="943"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ПСН</w:t>
            </w:r>
          </w:p>
        </w:tc>
        <w:tc>
          <w:tcPr>
            <w:tcW w:w="793"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ПСН</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sz w:val="16"/>
                <w:szCs w:val="16"/>
              </w:rPr>
            </w:pPr>
            <w:r w:rsidRPr="00490A76">
              <w:rPr>
                <w:rFonts w:ascii="Cambria" w:hAnsi="Cambria"/>
                <w:sz w:val="16"/>
                <w:szCs w:val="16"/>
              </w:rPr>
              <w:t>Корректировка</w:t>
            </w:r>
          </w:p>
        </w:tc>
        <w:tc>
          <w:tcPr>
            <w:tcW w:w="699"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w:t>
            </w:r>
          </w:p>
        </w:tc>
        <w:tc>
          <w:tcPr>
            <w:tcW w:w="842"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1,66</w:t>
            </w:r>
          </w:p>
        </w:tc>
        <w:tc>
          <w:tcPr>
            <w:tcW w:w="892" w:type="pct"/>
            <w:shd w:val="clear" w:color="auto" w:fill="auto"/>
            <w:vAlign w:val="center"/>
            <w:hideMark/>
          </w:tcPr>
          <w:p w:rsidR="006568BA" w:rsidRDefault="006568BA" w:rsidP="00D70166">
            <w:pPr>
              <w:jc w:val="center"/>
              <w:rPr>
                <w:rFonts w:ascii="Cambria" w:hAnsi="Cambria"/>
                <w:sz w:val="16"/>
                <w:szCs w:val="16"/>
              </w:rPr>
            </w:pPr>
            <w:r>
              <w:rPr>
                <w:rFonts w:ascii="Cambria" w:hAnsi="Cambria"/>
                <w:sz w:val="16"/>
                <w:szCs w:val="16"/>
              </w:rPr>
              <w:t>1,66</w:t>
            </w:r>
          </w:p>
        </w:tc>
        <w:tc>
          <w:tcPr>
            <w:tcW w:w="943" w:type="pct"/>
            <w:shd w:val="clear" w:color="auto" w:fill="auto"/>
            <w:vAlign w:val="center"/>
            <w:hideMark/>
          </w:tcPr>
          <w:p w:rsidR="006568BA" w:rsidRDefault="006568BA" w:rsidP="00D70166">
            <w:pPr>
              <w:jc w:val="center"/>
              <w:rPr>
                <w:rFonts w:ascii="Cambria" w:hAnsi="Cambria"/>
                <w:sz w:val="16"/>
                <w:szCs w:val="16"/>
              </w:rPr>
            </w:pPr>
            <w:r>
              <w:rPr>
                <w:rFonts w:ascii="Cambria" w:hAnsi="Cambria"/>
                <w:sz w:val="16"/>
                <w:szCs w:val="16"/>
              </w:rPr>
              <w:t>1,66</w:t>
            </w:r>
          </w:p>
        </w:tc>
        <w:tc>
          <w:tcPr>
            <w:tcW w:w="793" w:type="pct"/>
            <w:shd w:val="clear" w:color="auto" w:fill="auto"/>
            <w:vAlign w:val="center"/>
            <w:hideMark/>
          </w:tcPr>
          <w:p w:rsidR="006568BA" w:rsidRDefault="006568BA" w:rsidP="00D70166">
            <w:pPr>
              <w:jc w:val="center"/>
              <w:rPr>
                <w:rFonts w:ascii="Cambria" w:hAnsi="Cambria"/>
                <w:sz w:val="16"/>
                <w:szCs w:val="16"/>
              </w:rPr>
            </w:pPr>
            <w:r>
              <w:rPr>
                <w:rFonts w:ascii="Cambria" w:hAnsi="Cambria"/>
                <w:sz w:val="16"/>
                <w:szCs w:val="16"/>
              </w:rPr>
              <w:t>1,66</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b/>
                <w:bCs/>
                <w:sz w:val="16"/>
                <w:szCs w:val="16"/>
              </w:rPr>
            </w:pPr>
            <w:r w:rsidRPr="00490A76">
              <w:rPr>
                <w:rFonts w:ascii="Cambria" w:hAnsi="Cambria"/>
                <w:b/>
                <w:bCs/>
                <w:sz w:val="16"/>
                <w:szCs w:val="16"/>
              </w:rPr>
              <w:t>Скорректированная цена, руб. кв.м.</w:t>
            </w:r>
          </w:p>
        </w:tc>
        <w:tc>
          <w:tcPr>
            <w:tcW w:w="699"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w:t>
            </w:r>
          </w:p>
        </w:tc>
        <w:tc>
          <w:tcPr>
            <w:tcW w:w="842"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26 517,77</w:t>
            </w:r>
          </w:p>
        </w:tc>
        <w:tc>
          <w:tcPr>
            <w:tcW w:w="892"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37 672,97</w:t>
            </w:r>
          </w:p>
        </w:tc>
        <w:tc>
          <w:tcPr>
            <w:tcW w:w="943"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28 587,57</w:t>
            </w:r>
          </w:p>
        </w:tc>
        <w:tc>
          <w:tcPr>
            <w:tcW w:w="793"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35 069,04</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i/>
                <w:iCs/>
                <w:sz w:val="16"/>
                <w:szCs w:val="16"/>
              </w:rPr>
            </w:pPr>
            <w:r w:rsidRPr="00490A76">
              <w:rPr>
                <w:rFonts w:ascii="Cambria" w:hAnsi="Cambria"/>
                <w:i/>
                <w:iCs/>
                <w:sz w:val="16"/>
                <w:szCs w:val="16"/>
              </w:rPr>
              <w:t>Местоположение</w:t>
            </w:r>
          </w:p>
        </w:tc>
        <w:tc>
          <w:tcPr>
            <w:tcW w:w="699"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г. Красноярск, Ленинский район, ул. Айвазовского,37а</w:t>
            </w:r>
          </w:p>
        </w:tc>
        <w:tc>
          <w:tcPr>
            <w:tcW w:w="842"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г. Красноярск, Ленинский район, ул Семена Давыдова, 60с2</w:t>
            </w:r>
          </w:p>
        </w:tc>
        <w:tc>
          <w:tcPr>
            <w:tcW w:w="892"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г. Красноярск, Ленинский район, ул. Энергетиков</w:t>
            </w:r>
          </w:p>
        </w:tc>
        <w:tc>
          <w:tcPr>
            <w:tcW w:w="943"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г. Красноярск, Ленинский район, ул. Айвазовского,16</w:t>
            </w:r>
          </w:p>
        </w:tc>
        <w:tc>
          <w:tcPr>
            <w:tcW w:w="793"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г. Красноярск, Ленинский район, ул. Айвазовского</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sz w:val="16"/>
                <w:szCs w:val="16"/>
              </w:rPr>
            </w:pPr>
            <w:r w:rsidRPr="00490A76">
              <w:rPr>
                <w:rFonts w:ascii="Cambria" w:hAnsi="Cambria"/>
                <w:sz w:val="16"/>
                <w:szCs w:val="16"/>
              </w:rPr>
              <w:t>Корректировка</w:t>
            </w:r>
          </w:p>
        </w:tc>
        <w:tc>
          <w:tcPr>
            <w:tcW w:w="699"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w:t>
            </w:r>
          </w:p>
        </w:tc>
        <w:tc>
          <w:tcPr>
            <w:tcW w:w="842"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0,00%</w:t>
            </w:r>
          </w:p>
        </w:tc>
        <w:tc>
          <w:tcPr>
            <w:tcW w:w="892"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0,00%</w:t>
            </w:r>
          </w:p>
        </w:tc>
        <w:tc>
          <w:tcPr>
            <w:tcW w:w="943"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0,00%</w:t>
            </w:r>
          </w:p>
        </w:tc>
        <w:tc>
          <w:tcPr>
            <w:tcW w:w="793"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0,00%</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b/>
                <w:bCs/>
                <w:sz w:val="16"/>
                <w:szCs w:val="16"/>
              </w:rPr>
            </w:pPr>
            <w:r w:rsidRPr="00490A76">
              <w:rPr>
                <w:rFonts w:ascii="Cambria" w:hAnsi="Cambria"/>
                <w:b/>
                <w:bCs/>
                <w:sz w:val="16"/>
                <w:szCs w:val="16"/>
              </w:rPr>
              <w:t>Скоррект</w:t>
            </w:r>
            <w:r w:rsidRPr="00CE17F5">
              <w:rPr>
                <w:rFonts w:ascii="Cambria" w:hAnsi="Cambria"/>
                <w:b/>
                <w:bCs/>
                <w:sz w:val="16"/>
                <w:szCs w:val="16"/>
              </w:rPr>
              <w:t>-</w:t>
            </w:r>
            <w:r w:rsidRPr="00490A76">
              <w:rPr>
                <w:rFonts w:ascii="Cambria" w:hAnsi="Cambria"/>
                <w:b/>
                <w:bCs/>
                <w:sz w:val="16"/>
                <w:szCs w:val="16"/>
              </w:rPr>
              <w:t>ированная цена, руб. кв.м.</w:t>
            </w:r>
          </w:p>
        </w:tc>
        <w:tc>
          <w:tcPr>
            <w:tcW w:w="699"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 </w:t>
            </w:r>
          </w:p>
        </w:tc>
        <w:tc>
          <w:tcPr>
            <w:tcW w:w="842" w:type="pct"/>
            <w:shd w:val="clear" w:color="auto" w:fill="auto"/>
            <w:vAlign w:val="center"/>
            <w:hideMark/>
          </w:tcPr>
          <w:p w:rsidR="006568BA" w:rsidRDefault="006568BA">
            <w:pPr>
              <w:jc w:val="center"/>
              <w:rPr>
                <w:rFonts w:ascii="Cambria" w:hAnsi="Cambria"/>
                <w:b/>
                <w:bCs/>
                <w:sz w:val="16"/>
                <w:szCs w:val="16"/>
              </w:rPr>
            </w:pPr>
            <w:r>
              <w:rPr>
                <w:rFonts w:ascii="Cambria" w:hAnsi="Cambria"/>
                <w:b/>
                <w:bCs/>
                <w:sz w:val="16"/>
                <w:szCs w:val="16"/>
              </w:rPr>
              <w:t>26 517,77</w:t>
            </w:r>
          </w:p>
        </w:tc>
        <w:tc>
          <w:tcPr>
            <w:tcW w:w="892" w:type="pct"/>
            <w:shd w:val="clear" w:color="auto" w:fill="auto"/>
            <w:vAlign w:val="center"/>
            <w:hideMark/>
          </w:tcPr>
          <w:p w:rsidR="006568BA" w:rsidRDefault="006568BA">
            <w:pPr>
              <w:jc w:val="center"/>
              <w:rPr>
                <w:rFonts w:ascii="Cambria" w:hAnsi="Cambria"/>
                <w:b/>
                <w:bCs/>
                <w:sz w:val="16"/>
                <w:szCs w:val="16"/>
              </w:rPr>
            </w:pPr>
            <w:r>
              <w:rPr>
                <w:rFonts w:ascii="Cambria" w:hAnsi="Cambria"/>
                <w:b/>
                <w:bCs/>
                <w:sz w:val="16"/>
                <w:szCs w:val="16"/>
              </w:rPr>
              <w:t>37 672,97</w:t>
            </w:r>
          </w:p>
        </w:tc>
        <w:tc>
          <w:tcPr>
            <w:tcW w:w="943" w:type="pct"/>
            <w:shd w:val="clear" w:color="auto" w:fill="auto"/>
            <w:vAlign w:val="center"/>
            <w:hideMark/>
          </w:tcPr>
          <w:p w:rsidR="006568BA" w:rsidRDefault="006568BA">
            <w:pPr>
              <w:jc w:val="center"/>
              <w:rPr>
                <w:rFonts w:ascii="Cambria" w:hAnsi="Cambria"/>
                <w:b/>
                <w:bCs/>
                <w:sz w:val="16"/>
                <w:szCs w:val="16"/>
              </w:rPr>
            </w:pPr>
            <w:r>
              <w:rPr>
                <w:rFonts w:ascii="Cambria" w:hAnsi="Cambria"/>
                <w:b/>
                <w:bCs/>
                <w:sz w:val="16"/>
                <w:szCs w:val="16"/>
              </w:rPr>
              <w:t>28 587,57</w:t>
            </w:r>
          </w:p>
        </w:tc>
        <w:tc>
          <w:tcPr>
            <w:tcW w:w="793" w:type="pct"/>
            <w:shd w:val="clear" w:color="auto" w:fill="auto"/>
            <w:vAlign w:val="center"/>
            <w:hideMark/>
          </w:tcPr>
          <w:p w:rsidR="006568BA" w:rsidRDefault="006568BA">
            <w:pPr>
              <w:jc w:val="center"/>
              <w:rPr>
                <w:rFonts w:ascii="Cambria" w:hAnsi="Cambria"/>
                <w:b/>
                <w:bCs/>
                <w:sz w:val="16"/>
                <w:szCs w:val="16"/>
              </w:rPr>
            </w:pPr>
            <w:r>
              <w:rPr>
                <w:rFonts w:ascii="Cambria" w:hAnsi="Cambria"/>
                <w:b/>
                <w:bCs/>
                <w:sz w:val="16"/>
                <w:szCs w:val="16"/>
              </w:rPr>
              <w:t>35 069,04</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sz w:val="16"/>
                <w:szCs w:val="16"/>
              </w:rPr>
            </w:pPr>
            <w:r w:rsidRPr="00490A76">
              <w:rPr>
                <w:rFonts w:ascii="Cambria" w:hAnsi="Cambria"/>
                <w:sz w:val="16"/>
                <w:szCs w:val="16"/>
              </w:rPr>
              <w:t>Значение сегмента рынка (по площади)</w:t>
            </w:r>
          </w:p>
        </w:tc>
        <w:tc>
          <w:tcPr>
            <w:tcW w:w="699"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300-1000 кв.м.</w:t>
            </w:r>
          </w:p>
        </w:tc>
        <w:tc>
          <w:tcPr>
            <w:tcW w:w="842"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300-1000 кв.м.</w:t>
            </w:r>
          </w:p>
        </w:tc>
        <w:tc>
          <w:tcPr>
            <w:tcW w:w="892"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&gt;1000 кв.м</w:t>
            </w:r>
          </w:p>
        </w:tc>
        <w:tc>
          <w:tcPr>
            <w:tcW w:w="943"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300-1000 кв.м</w:t>
            </w:r>
          </w:p>
        </w:tc>
        <w:tc>
          <w:tcPr>
            <w:tcW w:w="793"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300-1000 кв.м</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sz w:val="16"/>
                <w:szCs w:val="16"/>
              </w:rPr>
            </w:pPr>
            <w:r w:rsidRPr="00490A76">
              <w:rPr>
                <w:rFonts w:ascii="Cambria" w:hAnsi="Cambria"/>
                <w:sz w:val="16"/>
                <w:szCs w:val="16"/>
              </w:rPr>
              <w:lastRenderedPageBreak/>
              <w:t>Корректировка</w:t>
            </w:r>
          </w:p>
        </w:tc>
        <w:tc>
          <w:tcPr>
            <w:tcW w:w="699"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 </w:t>
            </w:r>
          </w:p>
        </w:tc>
        <w:tc>
          <w:tcPr>
            <w:tcW w:w="842"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0,00%</w:t>
            </w:r>
          </w:p>
        </w:tc>
        <w:tc>
          <w:tcPr>
            <w:tcW w:w="892"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6,00%</w:t>
            </w:r>
          </w:p>
        </w:tc>
        <w:tc>
          <w:tcPr>
            <w:tcW w:w="943"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0,00%</w:t>
            </w:r>
          </w:p>
        </w:tc>
        <w:tc>
          <w:tcPr>
            <w:tcW w:w="793"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0,00%</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b/>
                <w:bCs/>
                <w:sz w:val="16"/>
                <w:szCs w:val="16"/>
              </w:rPr>
            </w:pPr>
            <w:r w:rsidRPr="00490A76">
              <w:rPr>
                <w:rFonts w:ascii="Cambria" w:hAnsi="Cambria"/>
                <w:b/>
                <w:bCs/>
                <w:sz w:val="16"/>
                <w:szCs w:val="16"/>
              </w:rPr>
              <w:t>Скорректированная цена, руб. кв.м.</w:t>
            </w:r>
          </w:p>
        </w:tc>
        <w:tc>
          <w:tcPr>
            <w:tcW w:w="699"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 </w:t>
            </w:r>
          </w:p>
        </w:tc>
        <w:tc>
          <w:tcPr>
            <w:tcW w:w="842"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26 517,77</w:t>
            </w:r>
          </w:p>
        </w:tc>
        <w:tc>
          <w:tcPr>
            <w:tcW w:w="892"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39 933,35</w:t>
            </w:r>
          </w:p>
        </w:tc>
        <w:tc>
          <w:tcPr>
            <w:tcW w:w="943"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28 587,57</w:t>
            </w:r>
          </w:p>
        </w:tc>
        <w:tc>
          <w:tcPr>
            <w:tcW w:w="793"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35 069,04</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color w:val="000000"/>
                <w:sz w:val="16"/>
                <w:szCs w:val="16"/>
              </w:rPr>
            </w:pPr>
            <w:r w:rsidRPr="00490A76">
              <w:rPr>
                <w:rFonts w:ascii="Cambria" w:hAnsi="Cambria"/>
                <w:color w:val="000000"/>
                <w:sz w:val="16"/>
                <w:szCs w:val="16"/>
              </w:rPr>
              <w:t>Отопление</w:t>
            </w:r>
          </w:p>
        </w:tc>
        <w:tc>
          <w:tcPr>
            <w:tcW w:w="699"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Имеется</w:t>
            </w:r>
          </w:p>
        </w:tc>
        <w:tc>
          <w:tcPr>
            <w:tcW w:w="842"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Имеется</w:t>
            </w:r>
          </w:p>
        </w:tc>
        <w:tc>
          <w:tcPr>
            <w:tcW w:w="892"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Имеется</w:t>
            </w:r>
          </w:p>
        </w:tc>
        <w:tc>
          <w:tcPr>
            <w:tcW w:w="943"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Имеется</w:t>
            </w:r>
          </w:p>
        </w:tc>
        <w:tc>
          <w:tcPr>
            <w:tcW w:w="793"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Имеется</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color w:val="000000"/>
                <w:sz w:val="16"/>
                <w:szCs w:val="16"/>
              </w:rPr>
            </w:pPr>
            <w:r w:rsidRPr="00490A76">
              <w:rPr>
                <w:rFonts w:ascii="Cambria" w:hAnsi="Cambria"/>
                <w:color w:val="000000"/>
                <w:sz w:val="16"/>
                <w:szCs w:val="16"/>
              </w:rPr>
              <w:t>Корректировка</w:t>
            </w:r>
          </w:p>
        </w:tc>
        <w:tc>
          <w:tcPr>
            <w:tcW w:w="699" w:type="pct"/>
            <w:shd w:val="clear" w:color="auto" w:fill="auto"/>
            <w:noWrap/>
            <w:vAlign w:val="center"/>
            <w:hideMark/>
          </w:tcPr>
          <w:p w:rsidR="006568BA" w:rsidRDefault="006568BA">
            <w:pPr>
              <w:rPr>
                <w:rFonts w:ascii="Cambria" w:hAnsi="Cambria"/>
                <w:color w:val="000000"/>
                <w:sz w:val="16"/>
                <w:szCs w:val="16"/>
              </w:rPr>
            </w:pPr>
            <w:r>
              <w:rPr>
                <w:rFonts w:ascii="Cambria" w:hAnsi="Cambria"/>
                <w:color w:val="000000"/>
                <w:sz w:val="16"/>
                <w:szCs w:val="16"/>
              </w:rPr>
              <w:t> </w:t>
            </w:r>
          </w:p>
        </w:tc>
        <w:tc>
          <w:tcPr>
            <w:tcW w:w="842"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0,00%</w:t>
            </w:r>
          </w:p>
        </w:tc>
        <w:tc>
          <w:tcPr>
            <w:tcW w:w="892"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0,00%</w:t>
            </w:r>
          </w:p>
        </w:tc>
        <w:tc>
          <w:tcPr>
            <w:tcW w:w="943"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0,00%</w:t>
            </w:r>
          </w:p>
        </w:tc>
        <w:tc>
          <w:tcPr>
            <w:tcW w:w="793"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0,00%</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color w:val="000000"/>
                <w:sz w:val="16"/>
                <w:szCs w:val="16"/>
              </w:rPr>
            </w:pPr>
            <w:r w:rsidRPr="00490A76">
              <w:rPr>
                <w:rFonts w:ascii="Cambria" w:hAnsi="Cambria"/>
                <w:color w:val="000000"/>
                <w:sz w:val="16"/>
                <w:szCs w:val="16"/>
              </w:rPr>
              <w:t>Скорректированная цена, руб/кв. м</w:t>
            </w:r>
          </w:p>
        </w:tc>
        <w:tc>
          <w:tcPr>
            <w:tcW w:w="699" w:type="pct"/>
            <w:shd w:val="clear" w:color="auto" w:fill="auto"/>
            <w:noWrap/>
            <w:vAlign w:val="center"/>
            <w:hideMark/>
          </w:tcPr>
          <w:p w:rsidR="006568BA" w:rsidRDefault="006568BA">
            <w:pPr>
              <w:rPr>
                <w:rFonts w:ascii="Cambria" w:hAnsi="Cambria"/>
                <w:color w:val="000000"/>
                <w:sz w:val="16"/>
                <w:szCs w:val="16"/>
              </w:rPr>
            </w:pPr>
            <w:r>
              <w:rPr>
                <w:rFonts w:ascii="Cambria" w:hAnsi="Cambria"/>
                <w:color w:val="000000"/>
                <w:sz w:val="16"/>
                <w:szCs w:val="16"/>
              </w:rPr>
              <w:t> </w:t>
            </w:r>
          </w:p>
        </w:tc>
        <w:tc>
          <w:tcPr>
            <w:tcW w:w="842"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26517,77</w:t>
            </w:r>
          </w:p>
        </w:tc>
        <w:tc>
          <w:tcPr>
            <w:tcW w:w="892"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39933,35</w:t>
            </w:r>
          </w:p>
        </w:tc>
        <w:tc>
          <w:tcPr>
            <w:tcW w:w="943"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28587,57</w:t>
            </w:r>
          </w:p>
        </w:tc>
        <w:tc>
          <w:tcPr>
            <w:tcW w:w="793"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35069,04</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i/>
                <w:iCs/>
                <w:color w:val="000000"/>
                <w:sz w:val="16"/>
                <w:szCs w:val="16"/>
              </w:rPr>
            </w:pPr>
            <w:r w:rsidRPr="00490A76">
              <w:rPr>
                <w:rFonts w:ascii="Cambria" w:hAnsi="Cambria"/>
                <w:i/>
                <w:iCs/>
                <w:color w:val="000000"/>
                <w:sz w:val="16"/>
                <w:szCs w:val="16"/>
              </w:rPr>
              <w:t>Состояние объекта капитального строительства</w:t>
            </w:r>
          </w:p>
        </w:tc>
        <w:tc>
          <w:tcPr>
            <w:tcW w:w="699"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Удовл</w:t>
            </w:r>
          </w:p>
        </w:tc>
        <w:tc>
          <w:tcPr>
            <w:tcW w:w="842"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Неудовл</w:t>
            </w:r>
          </w:p>
        </w:tc>
        <w:tc>
          <w:tcPr>
            <w:tcW w:w="892"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Удовл</w:t>
            </w:r>
          </w:p>
        </w:tc>
        <w:tc>
          <w:tcPr>
            <w:tcW w:w="943"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Неудовл</w:t>
            </w:r>
          </w:p>
        </w:tc>
        <w:tc>
          <w:tcPr>
            <w:tcW w:w="793"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Удовл</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sz w:val="16"/>
                <w:szCs w:val="16"/>
              </w:rPr>
            </w:pPr>
            <w:r w:rsidRPr="00490A76">
              <w:rPr>
                <w:rFonts w:ascii="Cambria" w:hAnsi="Cambria"/>
                <w:sz w:val="16"/>
                <w:szCs w:val="16"/>
              </w:rPr>
              <w:t>Корректировка</w:t>
            </w:r>
          </w:p>
        </w:tc>
        <w:tc>
          <w:tcPr>
            <w:tcW w:w="699"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w:t>
            </w:r>
          </w:p>
        </w:tc>
        <w:tc>
          <w:tcPr>
            <w:tcW w:w="842"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26,00%</w:t>
            </w:r>
          </w:p>
        </w:tc>
        <w:tc>
          <w:tcPr>
            <w:tcW w:w="892"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0,00%</w:t>
            </w:r>
          </w:p>
        </w:tc>
        <w:tc>
          <w:tcPr>
            <w:tcW w:w="943"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26,00%</w:t>
            </w:r>
          </w:p>
        </w:tc>
        <w:tc>
          <w:tcPr>
            <w:tcW w:w="793"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0,00%</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b/>
                <w:bCs/>
                <w:sz w:val="16"/>
                <w:szCs w:val="16"/>
              </w:rPr>
            </w:pPr>
            <w:r w:rsidRPr="00490A76">
              <w:rPr>
                <w:rFonts w:ascii="Cambria" w:hAnsi="Cambria"/>
                <w:b/>
                <w:bCs/>
                <w:sz w:val="16"/>
                <w:szCs w:val="16"/>
              </w:rPr>
              <w:t>Скорректированная цена, руб. кв.м.</w:t>
            </w:r>
          </w:p>
        </w:tc>
        <w:tc>
          <w:tcPr>
            <w:tcW w:w="699" w:type="pct"/>
            <w:shd w:val="clear" w:color="auto" w:fill="auto"/>
            <w:vAlign w:val="center"/>
            <w:hideMark/>
          </w:tcPr>
          <w:p w:rsidR="006568BA" w:rsidRDefault="006568BA">
            <w:pPr>
              <w:jc w:val="center"/>
              <w:rPr>
                <w:rFonts w:ascii="Cambria" w:hAnsi="Cambria"/>
                <w:b/>
                <w:bCs/>
                <w:sz w:val="16"/>
                <w:szCs w:val="16"/>
              </w:rPr>
            </w:pPr>
            <w:r>
              <w:rPr>
                <w:rFonts w:ascii="Cambria" w:hAnsi="Cambria"/>
                <w:b/>
                <w:bCs/>
                <w:sz w:val="16"/>
                <w:szCs w:val="16"/>
              </w:rPr>
              <w:t>-</w:t>
            </w:r>
          </w:p>
        </w:tc>
        <w:tc>
          <w:tcPr>
            <w:tcW w:w="842"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33 412,39</w:t>
            </w:r>
          </w:p>
        </w:tc>
        <w:tc>
          <w:tcPr>
            <w:tcW w:w="892"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39 933,35</w:t>
            </w:r>
          </w:p>
        </w:tc>
        <w:tc>
          <w:tcPr>
            <w:tcW w:w="943"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36 020,34</w:t>
            </w:r>
          </w:p>
        </w:tc>
        <w:tc>
          <w:tcPr>
            <w:tcW w:w="793"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35 069,04</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i/>
                <w:iCs/>
                <w:sz w:val="16"/>
                <w:szCs w:val="16"/>
              </w:rPr>
            </w:pPr>
            <w:r w:rsidRPr="00490A76">
              <w:rPr>
                <w:rFonts w:ascii="Cambria" w:hAnsi="Cambria"/>
                <w:i/>
                <w:iCs/>
                <w:sz w:val="16"/>
                <w:szCs w:val="16"/>
              </w:rPr>
              <w:t>Материал стен</w:t>
            </w:r>
          </w:p>
        </w:tc>
        <w:tc>
          <w:tcPr>
            <w:tcW w:w="699"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Каменные</w:t>
            </w:r>
          </w:p>
        </w:tc>
        <w:tc>
          <w:tcPr>
            <w:tcW w:w="842"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Каменные</w:t>
            </w:r>
          </w:p>
        </w:tc>
        <w:tc>
          <w:tcPr>
            <w:tcW w:w="892"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Каменные</w:t>
            </w:r>
          </w:p>
        </w:tc>
        <w:tc>
          <w:tcPr>
            <w:tcW w:w="943"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Каменные</w:t>
            </w:r>
          </w:p>
        </w:tc>
        <w:tc>
          <w:tcPr>
            <w:tcW w:w="793"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Каменные</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sz w:val="16"/>
                <w:szCs w:val="16"/>
              </w:rPr>
            </w:pPr>
            <w:r w:rsidRPr="00490A76">
              <w:rPr>
                <w:rFonts w:ascii="Cambria" w:hAnsi="Cambria"/>
                <w:sz w:val="16"/>
                <w:szCs w:val="16"/>
              </w:rPr>
              <w:t>Корректировка</w:t>
            </w:r>
          </w:p>
        </w:tc>
        <w:tc>
          <w:tcPr>
            <w:tcW w:w="699" w:type="pct"/>
            <w:shd w:val="clear" w:color="auto" w:fill="auto"/>
            <w:vAlign w:val="center"/>
            <w:hideMark/>
          </w:tcPr>
          <w:p w:rsidR="006568BA" w:rsidRDefault="006568BA">
            <w:pPr>
              <w:jc w:val="center"/>
              <w:rPr>
                <w:rFonts w:ascii="Cambria" w:hAnsi="Cambria"/>
                <w:b/>
                <w:bCs/>
                <w:sz w:val="16"/>
                <w:szCs w:val="16"/>
              </w:rPr>
            </w:pPr>
            <w:r>
              <w:rPr>
                <w:rFonts w:ascii="Cambria" w:hAnsi="Cambria"/>
                <w:b/>
                <w:bCs/>
                <w:sz w:val="16"/>
                <w:szCs w:val="16"/>
              </w:rPr>
              <w:t> </w:t>
            </w:r>
          </w:p>
        </w:tc>
        <w:tc>
          <w:tcPr>
            <w:tcW w:w="842"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0,0%</w:t>
            </w:r>
          </w:p>
        </w:tc>
        <w:tc>
          <w:tcPr>
            <w:tcW w:w="892"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0,0%</w:t>
            </w:r>
          </w:p>
        </w:tc>
        <w:tc>
          <w:tcPr>
            <w:tcW w:w="943"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0,0%</w:t>
            </w:r>
          </w:p>
        </w:tc>
        <w:tc>
          <w:tcPr>
            <w:tcW w:w="793"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0,0%</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b/>
                <w:bCs/>
                <w:sz w:val="16"/>
                <w:szCs w:val="16"/>
              </w:rPr>
            </w:pPr>
            <w:r w:rsidRPr="00490A76">
              <w:rPr>
                <w:rFonts w:ascii="Cambria" w:hAnsi="Cambria"/>
                <w:b/>
                <w:bCs/>
                <w:sz w:val="16"/>
                <w:szCs w:val="16"/>
              </w:rPr>
              <w:t>Скорректированная цена, руб. кв.м.</w:t>
            </w:r>
          </w:p>
        </w:tc>
        <w:tc>
          <w:tcPr>
            <w:tcW w:w="699" w:type="pct"/>
            <w:shd w:val="clear" w:color="auto" w:fill="auto"/>
            <w:vAlign w:val="center"/>
            <w:hideMark/>
          </w:tcPr>
          <w:p w:rsidR="006568BA" w:rsidRDefault="006568BA">
            <w:pPr>
              <w:jc w:val="center"/>
              <w:rPr>
                <w:rFonts w:ascii="Cambria" w:hAnsi="Cambria"/>
                <w:b/>
                <w:bCs/>
                <w:sz w:val="16"/>
                <w:szCs w:val="16"/>
              </w:rPr>
            </w:pPr>
            <w:r>
              <w:rPr>
                <w:rFonts w:ascii="Cambria" w:hAnsi="Cambria"/>
                <w:b/>
                <w:bCs/>
                <w:sz w:val="16"/>
                <w:szCs w:val="16"/>
              </w:rPr>
              <w:t> </w:t>
            </w:r>
          </w:p>
        </w:tc>
        <w:tc>
          <w:tcPr>
            <w:tcW w:w="842"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33 412,39</w:t>
            </w:r>
          </w:p>
        </w:tc>
        <w:tc>
          <w:tcPr>
            <w:tcW w:w="892"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39 933,35</w:t>
            </w:r>
          </w:p>
        </w:tc>
        <w:tc>
          <w:tcPr>
            <w:tcW w:w="943"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36 020,34</w:t>
            </w:r>
          </w:p>
        </w:tc>
        <w:tc>
          <w:tcPr>
            <w:tcW w:w="793"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35 069,04</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i/>
                <w:iCs/>
                <w:color w:val="000000"/>
                <w:sz w:val="16"/>
                <w:szCs w:val="16"/>
              </w:rPr>
            </w:pPr>
            <w:r w:rsidRPr="006568BA">
              <w:rPr>
                <w:rFonts w:ascii="Cambria" w:hAnsi="Cambria"/>
                <w:i/>
                <w:iCs/>
                <w:color w:val="000000"/>
                <w:sz w:val="16"/>
                <w:szCs w:val="16"/>
              </w:rPr>
              <w:t>Расположение относительно красной линии</w:t>
            </w:r>
          </w:p>
        </w:tc>
        <w:tc>
          <w:tcPr>
            <w:tcW w:w="699"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Отсутствуют</w:t>
            </w:r>
          </w:p>
        </w:tc>
        <w:tc>
          <w:tcPr>
            <w:tcW w:w="842"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На красной линии</w:t>
            </w:r>
          </w:p>
        </w:tc>
        <w:tc>
          <w:tcPr>
            <w:tcW w:w="892"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Внутри квартала</w:t>
            </w:r>
          </w:p>
        </w:tc>
        <w:tc>
          <w:tcPr>
            <w:tcW w:w="943"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Внутри квартала</w:t>
            </w:r>
          </w:p>
        </w:tc>
        <w:tc>
          <w:tcPr>
            <w:tcW w:w="793"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Внутри квартала</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sz w:val="16"/>
                <w:szCs w:val="16"/>
              </w:rPr>
            </w:pPr>
            <w:r w:rsidRPr="00490A76">
              <w:rPr>
                <w:rFonts w:ascii="Cambria" w:hAnsi="Cambria"/>
                <w:sz w:val="16"/>
                <w:szCs w:val="16"/>
              </w:rPr>
              <w:t>Корректировка</w:t>
            </w:r>
          </w:p>
        </w:tc>
        <w:tc>
          <w:tcPr>
            <w:tcW w:w="699"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 </w:t>
            </w:r>
          </w:p>
        </w:tc>
        <w:tc>
          <w:tcPr>
            <w:tcW w:w="842"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0,00%</w:t>
            </w:r>
          </w:p>
        </w:tc>
        <w:tc>
          <w:tcPr>
            <w:tcW w:w="892"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26,60%</w:t>
            </w:r>
          </w:p>
        </w:tc>
        <w:tc>
          <w:tcPr>
            <w:tcW w:w="943"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26,60%</w:t>
            </w:r>
          </w:p>
        </w:tc>
        <w:tc>
          <w:tcPr>
            <w:tcW w:w="793"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26,60%</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b/>
                <w:bCs/>
                <w:sz w:val="16"/>
                <w:szCs w:val="16"/>
              </w:rPr>
            </w:pPr>
            <w:r w:rsidRPr="00490A76">
              <w:rPr>
                <w:rFonts w:ascii="Cambria" w:hAnsi="Cambria"/>
                <w:b/>
                <w:bCs/>
                <w:sz w:val="16"/>
                <w:szCs w:val="16"/>
              </w:rPr>
              <w:t>Скорректированная цена, руб. кв.м.</w:t>
            </w:r>
          </w:p>
        </w:tc>
        <w:tc>
          <w:tcPr>
            <w:tcW w:w="699"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 </w:t>
            </w:r>
          </w:p>
        </w:tc>
        <w:tc>
          <w:tcPr>
            <w:tcW w:w="842"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33 412,39</w:t>
            </w:r>
          </w:p>
        </w:tc>
        <w:tc>
          <w:tcPr>
            <w:tcW w:w="892"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50 555,62</w:t>
            </w:r>
          </w:p>
        </w:tc>
        <w:tc>
          <w:tcPr>
            <w:tcW w:w="943"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45 601,75</w:t>
            </w:r>
          </w:p>
        </w:tc>
        <w:tc>
          <w:tcPr>
            <w:tcW w:w="793"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44 397,41</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sz w:val="16"/>
                <w:szCs w:val="16"/>
              </w:rPr>
            </w:pPr>
            <w:r w:rsidRPr="00490A76">
              <w:rPr>
                <w:rFonts w:ascii="Cambria" w:hAnsi="Cambria"/>
                <w:sz w:val="16"/>
                <w:szCs w:val="16"/>
              </w:rPr>
              <w:t>Валовая корректировка</w:t>
            </w:r>
          </w:p>
        </w:tc>
        <w:tc>
          <w:tcPr>
            <w:tcW w:w="699"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w:t>
            </w:r>
          </w:p>
        </w:tc>
        <w:tc>
          <w:tcPr>
            <w:tcW w:w="842"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102,00%</w:t>
            </w:r>
          </w:p>
        </w:tc>
        <w:tc>
          <w:tcPr>
            <w:tcW w:w="892"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108,60%</w:t>
            </w:r>
          </w:p>
        </w:tc>
        <w:tc>
          <w:tcPr>
            <w:tcW w:w="943"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128,60%</w:t>
            </w:r>
          </w:p>
        </w:tc>
        <w:tc>
          <w:tcPr>
            <w:tcW w:w="793"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102,60%</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sz w:val="16"/>
                <w:szCs w:val="16"/>
              </w:rPr>
            </w:pPr>
            <w:r w:rsidRPr="00490A76">
              <w:rPr>
                <w:rFonts w:ascii="Cambria" w:hAnsi="Cambria"/>
                <w:sz w:val="16"/>
                <w:szCs w:val="16"/>
              </w:rPr>
              <w:t>Вес аналога</w:t>
            </w:r>
          </w:p>
        </w:tc>
        <w:tc>
          <w:tcPr>
            <w:tcW w:w="699"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w:t>
            </w:r>
          </w:p>
        </w:tc>
        <w:tc>
          <w:tcPr>
            <w:tcW w:w="842"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25,6%</w:t>
            </w:r>
          </w:p>
        </w:tc>
        <w:tc>
          <w:tcPr>
            <w:tcW w:w="892"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25,1%</w:t>
            </w:r>
          </w:p>
        </w:tc>
        <w:tc>
          <w:tcPr>
            <w:tcW w:w="943"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23,6%</w:t>
            </w:r>
          </w:p>
        </w:tc>
        <w:tc>
          <w:tcPr>
            <w:tcW w:w="793"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25,6%</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sz w:val="16"/>
                <w:szCs w:val="16"/>
              </w:rPr>
            </w:pPr>
            <w:r w:rsidRPr="00490A76">
              <w:rPr>
                <w:rFonts w:ascii="Cambria" w:hAnsi="Cambria"/>
                <w:sz w:val="16"/>
                <w:szCs w:val="16"/>
              </w:rPr>
              <w:t>Величина коэффициента вариации</w:t>
            </w:r>
          </w:p>
        </w:tc>
        <w:tc>
          <w:tcPr>
            <w:tcW w:w="4169" w:type="pct"/>
            <w:gridSpan w:val="5"/>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16,6%</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sz w:val="16"/>
                <w:szCs w:val="16"/>
              </w:rPr>
            </w:pPr>
            <w:r w:rsidRPr="00490A76">
              <w:rPr>
                <w:rFonts w:ascii="Cambria" w:hAnsi="Cambria"/>
                <w:sz w:val="16"/>
                <w:szCs w:val="16"/>
              </w:rPr>
              <w:t>Стандартное отклонение</w:t>
            </w:r>
          </w:p>
        </w:tc>
        <w:tc>
          <w:tcPr>
            <w:tcW w:w="4169" w:type="pct"/>
            <w:gridSpan w:val="5"/>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7 228,74</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sz w:val="16"/>
                <w:szCs w:val="16"/>
              </w:rPr>
            </w:pPr>
            <w:r w:rsidRPr="00490A76">
              <w:rPr>
                <w:rFonts w:ascii="Cambria" w:hAnsi="Cambria"/>
                <w:sz w:val="16"/>
                <w:szCs w:val="16"/>
              </w:rPr>
              <w:t>Стандартная ошибка</w:t>
            </w:r>
          </w:p>
        </w:tc>
        <w:tc>
          <w:tcPr>
            <w:tcW w:w="4169" w:type="pct"/>
            <w:gridSpan w:val="5"/>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3 614,37</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sz w:val="16"/>
                <w:szCs w:val="16"/>
              </w:rPr>
            </w:pPr>
            <w:r w:rsidRPr="00490A76">
              <w:rPr>
                <w:rFonts w:ascii="Cambria" w:hAnsi="Cambria"/>
                <w:sz w:val="16"/>
                <w:szCs w:val="16"/>
              </w:rPr>
              <w:t>Доверительная вероятность</w:t>
            </w:r>
          </w:p>
        </w:tc>
        <w:tc>
          <w:tcPr>
            <w:tcW w:w="4169" w:type="pct"/>
            <w:gridSpan w:val="5"/>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90,00%</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sz w:val="16"/>
                <w:szCs w:val="16"/>
              </w:rPr>
            </w:pPr>
            <w:r w:rsidRPr="00490A76">
              <w:rPr>
                <w:rFonts w:ascii="Cambria" w:hAnsi="Cambria"/>
                <w:sz w:val="16"/>
                <w:szCs w:val="16"/>
              </w:rPr>
              <w:t>Критерий Стьюдента для выборки 3 объекта и заданной доверительной вероятностью</w:t>
            </w:r>
          </w:p>
        </w:tc>
        <w:tc>
          <w:tcPr>
            <w:tcW w:w="4169" w:type="pct"/>
            <w:gridSpan w:val="5"/>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2,13</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sz w:val="16"/>
                <w:szCs w:val="16"/>
              </w:rPr>
            </w:pPr>
            <w:r w:rsidRPr="00490A76">
              <w:rPr>
                <w:rFonts w:ascii="Cambria" w:hAnsi="Cambria"/>
                <w:sz w:val="16"/>
                <w:szCs w:val="16"/>
              </w:rPr>
              <w:t>Предельная ошибка</w:t>
            </w:r>
          </w:p>
        </w:tc>
        <w:tc>
          <w:tcPr>
            <w:tcW w:w="4169" w:type="pct"/>
            <w:gridSpan w:val="5"/>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24,02%</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b/>
                <w:bCs/>
                <w:sz w:val="16"/>
                <w:szCs w:val="16"/>
              </w:rPr>
            </w:pPr>
            <w:r w:rsidRPr="00490A76">
              <w:rPr>
                <w:rFonts w:ascii="Cambria" w:hAnsi="Cambria"/>
                <w:b/>
                <w:bCs/>
                <w:sz w:val="16"/>
                <w:szCs w:val="16"/>
              </w:rPr>
              <w:t xml:space="preserve">Средневзвешенное значение, руб./кв. м </w:t>
            </w:r>
          </w:p>
        </w:tc>
        <w:tc>
          <w:tcPr>
            <w:tcW w:w="4169" w:type="pct"/>
            <w:gridSpan w:val="5"/>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32 052</w:t>
            </w:r>
          </w:p>
        </w:tc>
      </w:tr>
    </w:tbl>
    <w:p w:rsidR="00CE17F5" w:rsidRDefault="00CE17F5" w:rsidP="00CE17F5">
      <w:pPr>
        <w:pStyle w:val="3"/>
        <w:rPr>
          <w:rFonts w:ascii="Bookman Old Style" w:hAnsi="Bookman Old Style"/>
          <w:sz w:val="20"/>
          <w:szCs w:val="20"/>
        </w:rPr>
      </w:pPr>
      <w:bookmarkStart w:id="276" w:name="_Toc461206408"/>
      <w:r>
        <w:rPr>
          <w:rFonts w:ascii="Bookman Old Style" w:hAnsi="Bookman Old Style"/>
          <w:sz w:val="20"/>
          <w:szCs w:val="20"/>
        </w:rPr>
        <w:t>5.4</w:t>
      </w:r>
      <w:r w:rsidRPr="00B32FC8">
        <w:rPr>
          <w:rFonts w:ascii="Bookman Old Style" w:hAnsi="Bookman Old Style"/>
          <w:sz w:val="20"/>
          <w:szCs w:val="20"/>
        </w:rPr>
        <w:t>.</w:t>
      </w:r>
      <w:r>
        <w:rPr>
          <w:rFonts w:ascii="Bookman Old Style" w:hAnsi="Bookman Old Style"/>
          <w:sz w:val="20"/>
          <w:szCs w:val="20"/>
        </w:rPr>
        <w:t>4</w:t>
      </w:r>
      <w:r w:rsidRPr="00B32FC8">
        <w:rPr>
          <w:rFonts w:ascii="Bookman Old Style" w:hAnsi="Bookman Old Style"/>
          <w:sz w:val="20"/>
          <w:szCs w:val="20"/>
        </w:rPr>
        <w:t>.</w:t>
      </w:r>
      <w:r>
        <w:rPr>
          <w:rFonts w:ascii="Bookman Old Style" w:hAnsi="Bookman Old Style"/>
          <w:sz w:val="20"/>
          <w:szCs w:val="20"/>
        </w:rPr>
        <w:t>3</w:t>
      </w:r>
      <w:r w:rsidRPr="00B32FC8">
        <w:rPr>
          <w:rFonts w:ascii="Bookman Old Style" w:hAnsi="Bookman Old Style"/>
          <w:sz w:val="20"/>
          <w:szCs w:val="20"/>
        </w:rPr>
        <w:t xml:space="preserve">. </w:t>
      </w:r>
      <w:r w:rsidRPr="00490A76">
        <w:rPr>
          <w:rFonts w:ascii="Bookman Old Style" w:hAnsi="Bookman Old Style"/>
          <w:sz w:val="20"/>
          <w:szCs w:val="20"/>
        </w:rPr>
        <w:t xml:space="preserve">Расчет стоимости 1 кв.м. </w:t>
      </w:r>
      <w:r>
        <w:rPr>
          <w:rFonts w:ascii="Bookman Old Style" w:hAnsi="Bookman Old Style"/>
          <w:sz w:val="20"/>
          <w:szCs w:val="20"/>
        </w:rPr>
        <w:t xml:space="preserve">холодного склада площадью </w:t>
      </w:r>
      <w:r>
        <w:rPr>
          <w:rFonts w:ascii="Bookman Old Style" w:hAnsi="Bookman Old Style"/>
          <w:sz w:val="20"/>
          <w:szCs w:val="20"/>
          <w:lang w:val="en-US"/>
        </w:rPr>
        <w:t>&gt;1000</w:t>
      </w:r>
      <w:r>
        <w:rPr>
          <w:rFonts w:ascii="Bookman Old Style" w:hAnsi="Bookman Old Style"/>
          <w:sz w:val="20"/>
          <w:szCs w:val="20"/>
        </w:rPr>
        <w:t xml:space="preserve"> кв.м</w:t>
      </w:r>
      <w:r w:rsidRPr="00490A76">
        <w:rPr>
          <w:rFonts w:ascii="Bookman Old Style" w:hAnsi="Bookman Old Style"/>
          <w:sz w:val="20"/>
          <w:szCs w:val="20"/>
        </w:rPr>
        <w:t>.</w:t>
      </w:r>
      <w:bookmarkEnd w:id="276"/>
    </w:p>
    <w:tbl>
      <w:tblPr>
        <w:tblW w:w="51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85"/>
        <w:gridCol w:w="1502"/>
        <w:gridCol w:w="1809"/>
        <w:gridCol w:w="1916"/>
        <w:gridCol w:w="2026"/>
        <w:gridCol w:w="1704"/>
      </w:tblGrid>
      <w:tr w:rsidR="006568BA" w:rsidRPr="00490A76" w:rsidTr="00D70166">
        <w:trPr>
          <w:cantSplit/>
          <w:trHeight w:val="170"/>
        </w:trPr>
        <w:tc>
          <w:tcPr>
            <w:tcW w:w="831" w:type="pct"/>
            <w:shd w:val="clear" w:color="auto" w:fill="auto"/>
            <w:vAlign w:val="center"/>
            <w:hideMark/>
          </w:tcPr>
          <w:p w:rsidR="006568BA" w:rsidRPr="00490A76" w:rsidRDefault="006568BA" w:rsidP="00D70166">
            <w:pPr>
              <w:jc w:val="center"/>
              <w:rPr>
                <w:rFonts w:ascii="Cambria" w:hAnsi="Cambria"/>
                <w:b/>
                <w:bCs/>
                <w:sz w:val="16"/>
                <w:szCs w:val="16"/>
              </w:rPr>
            </w:pPr>
            <w:r w:rsidRPr="00490A76">
              <w:rPr>
                <w:rFonts w:ascii="Cambria" w:hAnsi="Cambria"/>
                <w:b/>
                <w:bCs/>
                <w:sz w:val="16"/>
                <w:szCs w:val="16"/>
              </w:rPr>
              <w:t>Показатель</w:t>
            </w:r>
          </w:p>
        </w:tc>
        <w:tc>
          <w:tcPr>
            <w:tcW w:w="699" w:type="pct"/>
            <w:shd w:val="clear" w:color="auto" w:fill="auto"/>
            <w:vAlign w:val="center"/>
            <w:hideMark/>
          </w:tcPr>
          <w:p w:rsidR="006568BA" w:rsidRPr="00490A76" w:rsidRDefault="006568BA" w:rsidP="00D70166">
            <w:pPr>
              <w:jc w:val="center"/>
              <w:rPr>
                <w:rFonts w:ascii="Cambria" w:hAnsi="Cambria"/>
                <w:b/>
                <w:bCs/>
                <w:sz w:val="16"/>
                <w:szCs w:val="16"/>
              </w:rPr>
            </w:pPr>
            <w:r w:rsidRPr="00490A76">
              <w:rPr>
                <w:rFonts w:ascii="Cambria" w:hAnsi="Cambria"/>
                <w:b/>
                <w:bCs/>
                <w:sz w:val="16"/>
                <w:szCs w:val="16"/>
              </w:rPr>
              <w:t>Объект оценки</w:t>
            </w:r>
          </w:p>
        </w:tc>
        <w:tc>
          <w:tcPr>
            <w:tcW w:w="842" w:type="pct"/>
            <w:shd w:val="clear" w:color="auto" w:fill="auto"/>
            <w:vAlign w:val="center"/>
            <w:hideMark/>
          </w:tcPr>
          <w:p w:rsidR="006568BA" w:rsidRPr="00490A76" w:rsidRDefault="006568BA" w:rsidP="00D70166">
            <w:pPr>
              <w:jc w:val="center"/>
              <w:rPr>
                <w:rFonts w:ascii="Cambria" w:hAnsi="Cambria"/>
                <w:b/>
                <w:bCs/>
                <w:sz w:val="16"/>
                <w:szCs w:val="16"/>
              </w:rPr>
            </w:pPr>
            <w:r w:rsidRPr="00490A76">
              <w:rPr>
                <w:rFonts w:ascii="Cambria" w:hAnsi="Cambria"/>
                <w:b/>
                <w:bCs/>
                <w:sz w:val="16"/>
                <w:szCs w:val="16"/>
              </w:rPr>
              <w:t>Аналог 1</w:t>
            </w:r>
          </w:p>
        </w:tc>
        <w:tc>
          <w:tcPr>
            <w:tcW w:w="892" w:type="pct"/>
            <w:shd w:val="clear" w:color="auto" w:fill="auto"/>
            <w:vAlign w:val="center"/>
            <w:hideMark/>
          </w:tcPr>
          <w:p w:rsidR="006568BA" w:rsidRPr="00490A76" w:rsidRDefault="006568BA" w:rsidP="00D70166">
            <w:pPr>
              <w:jc w:val="center"/>
              <w:rPr>
                <w:rFonts w:ascii="Cambria" w:hAnsi="Cambria"/>
                <w:b/>
                <w:bCs/>
                <w:sz w:val="16"/>
                <w:szCs w:val="16"/>
              </w:rPr>
            </w:pPr>
            <w:r w:rsidRPr="00490A76">
              <w:rPr>
                <w:rFonts w:ascii="Cambria" w:hAnsi="Cambria"/>
                <w:b/>
                <w:bCs/>
                <w:sz w:val="16"/>
                <w:szCs w:val="16"/>
              </w:rPr>
              <w:t>Аналог 2</w:t>
            </w:r>
          </w:p>
        </w:tc>
        <w:tc>
          <w:tcPr>
            <w:tcW w:w="943" w:type="pct"/>
            <w:shd w:val="clear" w:color="auto" w:fill="auto"/>
            <w:vAlign w:val="center"/>
            <w:hideMark/>
          </w:tcPr>
          <w:p w:rsidR="006568BA" w:rsidRPr="00490A76" w:rsidRDefault="006568BA" w:rsidP="00D70166">
            <w:pPr>
              <w:jc w:val="center"/>
              <w:rPr>
                <w:rFonts w:ascii="Cambria" w:hAnsi="Cambria"/>
                <w:b/>
                <w:bCs/>
                <w:sz w:val="16"/>
                <w:szCs w:val="16"/>
              </w:rPr>
            </w:pPr>
            <w:r w:rsidRPr="00490A76">
              <w:rPr>
                <w:rFonts w:ascii="Cambria" w:hAnsi="Cambria"/>
                <w:b/>
                <w:bCs/>
                <w:sz w:val="16"/>
                <w:szCs w:val="16"/>
              </w:rPr>
              <w:t>Аналог 3</w:t>
            </w:r>
          </w:p>
        </w:tc>
        <w:tc>
          <w:tcPr>
            <w:tcW w:w="793" w:type="pct"/>
            <w:shd w:val="clear" w:color="auto" w:fill="auto"/>
            <w:vAlign w:val="center"/>
            <w:hideMark/>
          </w:tcPr>
          <w:p w:rsidR="006568BA" w:rsidRPr="00490A76" w:rsidRDefault="006568BA" w:rsidP="00D70166">
            <w:pPr>
              <w:jc w:val="center"/>
              <w:rPr>
                <w:rFonts w:ascii="Cambria" w:hAnsi="Cambria"/>
                <w:b/>
                <w:bCs/>
                <w:sz w:val="16"/>
                <w:szCs w:val="16"/>
              </w:rPr>
            </w:pPr>
            <w:r w:rsidRPr="00490A76">
              <w:rPr>
                <w:rFonts w:ascii="Cambria" w:hAnsi="Cambria"/>
                <w:b/>
                <w:bCs/>
                <w:sz w:val="16"/>
                <w:szCs w:val="16"/>
              </w:rPr>
              <w:t>Аналог 4</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sz w:val="16"/>
                <w:szCs w:val="16"/>
              </w:rPr>
            </w:pPr>
            <w:r w:rsidRPr="00490A76">
              <w:rPr>
                <w:rFonts w:ascii="Cambria" w:hAnsi="Cambria"/>
                <w:sz w:val="16"/>
                <w:szCs w:val="16"/>
              </w:rPr>
              <w:t>Источник информации</w:t>
            </w:r>
          </w:p>
        </w:tc>
        <w:tc>
          <w:tcPr>
            <w:tcW w:w="699" w:type="pct"/>
            <w:shd w:val="clear" w:color="auto" w:fill="auto"/>
            <w:vAlign w:val="center"/>
            <w:hideMark/>
          </w:tcPr>
          <w:p w:rsidR="006568BA" w:rsidRPr="00490A76" w:rsidRDefault="006568BA" w:rsidP="00D70166">
            <w:pPr>
              <w:jc w:val="center"/>
              <w:rPr>
                <w:rFonts w:ascii="Cambria" w:hAnsi="Cambria"/>
                <w:sz w:val="16"/>
                <w:szCs w:val="16"/>
              </w:rPr>
            </w:pPr>
            <w:r w:rsidRPr="00490A76">
              <w:rPr>
                <w:rFonts w:ascii="Cambria" w:hAnsi="Cambria"/>
                <w:sz w:val="16"/>
                <w:szCs w:val="16"/>
              </w:rPr>
              <w:t>-</w:t>
            </w:r>
          </w:p>
        </w:tc>
        <w:tc>
          <w:tcPr>
            <w:tcW w:w="842" w:type="pct"/>
            <w:shd w:val="clear" w:color="auto" w:fill="auto"/>
            <w:vAlign w:val="center"/>
            <w:hideMark/>
          </w:tcPr>
          <w:p w:rsidR="006568BA" w:rsidRPr="00490A76" w:rsidRDefault="006C4CCF" w:rsidP="00D70166">
            <w:pPr>
              <w:jc w:val="center"/>
              <w:rPr>
                <w:rFonts w:ascii="Cambria" w:hAnsi="Cambria"/>
                <w:sz w:val="16"/>
                <w:szCs w:val="16"/>
                <w:u w:val="single"/>
              </w:rPr>
            </w:pPr>
            <w:hyperlink r:id="rId60" w:history="1">
              <w:r w:rsidR="006568BA" w:rsidRPr="00490A76">
                <w:rPr>
                  <w:rFonts w:ascii="Cambria" w:hAnsi="Cambria"/>
                  <w:sz w:val="16"/>
                  <w:szCs w:val="16"/>
                  <w:u w:val="single"/>
                </w:rPr>
                <w:t>https://www.avito.ru</w:t>
              </w:r>
            </w:hyperlink>
          </w:p>
        </w:tc>
        <w:tc>
          <w:tcPr>
            <w:tcW w:w="892" w:type="pct"/>
            <w:shd w:val="clear" w:color="auto" w:fill="auto"/>
            <w:vAlign w:val="center"/>
            <w:hideMark/>
          </w:tcPr>
          <w:p w:rsidR="006568BA" w:rsidRPr="00490A76" w:rsidRDefault="006C4CCF" w:rsidP="00D70166">
            <w:pPr>
              <w:jc w:val="center"/>
              <w:rPr>
                <w:rFonts w:ascii="Cambria" w:hAnsi="Cambria"/>
                <w:sz w:val="16"/>
                <w:szCs w:val="16"/>
                <w:u w:val="single"/>
              </w:rPr>
            </w:pPr>
            <w:hyperlink r:id="rId61" w:history="1">
              <w:r w:rsidR="006568BA" w:rsidRPr="00490A76">
                <w:rPr>
                  <w:rFonts w:ascii="Cambria" w:hAnsi="Cambria"/>
                  <w:sz w:val="16"/>
                  <w:szCs w:val="16"/>
                  <w:u w:val="single"/>
                </w:rPr>
                <w:t>http://kn.gilcom.ru</w:t>
              </w:r>
            </w:hyperlink>
          </w:p>
        </w:tc>
        <w:tc>
          <w:tcPr>
            <w:tcW w:w="943" w:type="pct"/>
            <w:shd w:val="clear" w:color="auto" w:fill="auto"/>
            <w:vAlign w:val="center"/>
            <w:hideMark/>
          </w:tcPr>
          <w:p w:rsidR="006568BA" w:rsidRPr="00490A76" w:rsidRDefault="006C4CCF" w:rsidP="00D70166">
            <w:pPr>
              <w:jc w:val="center"/>
              <w:rPr>
                <w:rFonts w:ascii="Cambria" w:hAnsi="Cambria"/>
                <w:sz w:val="16"/>
                <w:szCs w:val="16"/>
                <w:u w:val="single"/>
              </w:rPr>
            </w:pPr>
            <w:hyperlink r:id="rId62" w:history="1">
              <w:r w:rsidR="006568BA" w:rsidRPr="00490A76">
                <w:rPr>
                  <w:rFonts w:ascii="Cambria" w:hAnsi="Cambria"/>
                  <w:sz w:val="16"/>
                  <w:szCs w:val="16"/>
                  <w:u w:val="single"/>
                </w:rPr>
                <w:t>https://www.avito.ru</w:t>
              </w:r>
            </w:hyperlink>
          </w:p>
        </w:tc>
        <w:tc>
          <w:tcPr>
            <w:tcW w:w="793" w:type="pct"/>
            <w:shd w:val="clear" w:color="auto" w:fill="auto"/>
            <w:vAlign w:val="center"/>
            <w:hideMark/>
          </w:tcPr>
          <w:p w:rsidR="006568BA" w:rsidRPr="00490A76" w:rsidRDefault="006C4CCF" w:rsidP="00D70166">
            <w:pPr>
              <w:jc w:val="center"/>
              <w:rPr>
                <w:rFonts w:ascii="Cambria" w:hAnsi="Cambria"/>
                <w:sz w:val="16"/>
                <w:szCs w:val="16"/>
                <w:u w:val="single"/>
              </w:rPr>
            </w:pPr>
            <w:hyperlink r:id="rId63" w:history="1">
              <w:r w:rsidR="006568BA" w:rsidRPr="00490A76">
                <w:rPr>
                  <w:rFonts w:ascii="Cambria" w:hAnsi="Cambria"/>
                  <w:sz w:val="16"/>
                  <w:szCs w:val="16"/>
                  <w:u w:val="single"/>
                </w:rPr>
                <w:t>https://www.avito.ru</w:t>
              </w:r>
            </w:hyperlink>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sz w:val="16"/>
                <w:szCs w:val="16"/>
              </w:rPr>
            </w:pPr>
            <w:r w:rsidRPr="00490A76">
              <w:rPr>
                <w:rFonts w:ascii="Cambria" w:hAnsi="Cambria"/>
                <w:sz w:val="16"/>
                <w:szCs w:val="16"/>
              </w:rPr>
              <w:t>Сегмент рынка</w:t>
            </w:r>
          </w:p>
        </w:tc>
        <w:tc>
          <w:tcPr>
            <w:tcW w:w="699" w:type="pct"/>
            <w:shd w:val="clear" w:color="auto" w:fill="auto"/>
            <w:vAlign w:val="center"/>
            <w:hideMark/>
          </w:tcPr>
          <w:p w:rsidR="006568BA" w:rsidRPr="00490A76" w:rsidRDefault="006568BA" w:rsidP="00D70166">
            <w:pPr>
              <w:jc w:val="center"/>
              <w:rPr>
                <w:rFonts w:ascii="Cambria" w:hAnsi="Cambria"/>
                <w:sz w:val="16"/>
                <w:szCs w:val="16"/>
              </w:rPr>
            </w:pPr>
            <w:r w:rsidRPr="00490A76">
              <w:rPr>
                <w:rFonts w:ascii="Cambria" w:hAnsi="Cambria"/>
                <w:sz w:val="16"/>
                <w:szCs w:val="16"/>
              </w:rPr>
              <w:t>ПСН</w:t>
            </w:r>
          </w:p>
        </w:tc>
        <w:tc>
          <w:tcPr>
            <w:tcW w:w="842" w:type="pct"/>
            <w:shd w:val="clear" w:color="auto" w:fill="auto"/>
            <w:vAlign w:val="center"/>
            <w:hideMark/>
          </w:tcPr>
          <w:p w:rsidR="006568BA" w:rsidRPr="00490A76" w:rsidRDefault="006568BA" w:rsidP="00D70166">
            <w:pPr>
              <w:jc w:val="center"/>
              <w:rPr>
                <w:rFonts w:ascii="Cambria" w:hAnsi="Cambria"/>
                <w:sz w:val="16"/>
                <w:szCs w:val="16"/>
              </w:rPr>
            </w:pPr>
            <w:r w:rsidRPr="00490A76">
              <w:rPr>
                <w:rFonts w:ascii="Cambria" w:hAnsi="Cambria"/>
                <w:sz w:val="16"/>
                <w:szCs w:val="16"/>
              </w:rPr>
              <w:t>ПСН</w:t>
            </w:r>
          </w:p>
        </w:tc>
        <w:tc>
          <w:tcPr>
            <w:tcW w:w="892" w:type="pct"/>
            <w:shd w:val="clear" w:color="auto" w:fill="auto"/>
            <w:vAlign w:val="center"/>
            <w:hideMark/>
          </w:tcPr>
          <w:p w:rsidR="006568BA" w:rsidRPr="00490A76" w:rsidRDefault="006568BA" w:rsidP="00D70166">
            <w:pPr>
              <w:jc w:val="center"/>
              <w:rPr>
                <w:rFonts w:ascii="Cambria" w:hAnsi="Cambria"/>
                <w:sz w:val="16"/>
                <w:szCs w:val="16"/>
              </w:rPr>
            </w:pPr>
            <w:r w:rsidRPr="00490A76">
              <w:rPr>
                <w:rFonts w:ascii="Cambria" w:hAnsi="Cambria"/>
                <w:sz w:val="16"/>
                <w:szCs w:val="16"/>
              </w:rPr>
              <w:t>ПСН</w:t>
            </w:r>
          </w:p>
        </w:tc>
        <w:tc>
          <w:tcPr>
            <w:tcW w:w="943" w:type="pct"/>
            <w:shd w:val="clear" w:color="auto" w:fill="auto"/>
            <w:vAlign w:val="center"/>
            <w:hideMark/>
          </w:tcPr>
          <w:p w:rsidR="006568BA" w:rsidRPr="00490A76" w:rsidRDefault="006568BA" w:rsidP="00D70166">
            <w:pPr>
              <w:jc w:val="center"/>
              <w:rPr>
                <w:rFonts w:ascii="Cambria" w:hAnsi="Cambria"/>
                <w:sz w:val="16"/>
                <w:szCs w:val="16"/>
              </w:rPr>
            </w:pPr>
            <w:r w:rsidRPr="00490A76">
              <w:rPr>
                <w:rFonts w:ascii="Cambria" w:hAnsi="Cambria"/>
                <w:sz w:val="16"/>
                <w:szCs w:val="16"/>
              </w:rPr>
              <w:t>ПСН</w:t>
            </w:r>
          </w:p>
        </w:tc>
        <w:tc>
          <w:tcPr>
            <w:tcW w:w="793" w:type="pct"/>
            <w:shd w:val="clear" w:color="auto" w:fill="auto"/>
            <w:vAlign w:val="center"/>
            <w:hideMark/>
          </w:tcPr>
          <w:p w:rsidR="006568BA" w:rsidRPr="00490A76" w:rsidRDefault="006568BA" w:rsidP="00D70166">
            <w:pPr>
              <w:jc w:val="center"/>
              <w:rPr>
                <w:rFonts w:ascii="Cambria" w:hAnsi="Cambria"/>
                <w:sz w:val="16"/>
                <w:szCs w:val="16"/>
              </w:rPr>
            </w:pPr>
            <w:r w:rsidRPr="00490A76">
              <w:rPr>
                <w:rFonts w:ascii="Cambria" w:hAnsi="Cambria"/>
                <w:sz w:val="16"/>
                <w:szCs w:val="16"/>
              </w:rPr>
              <w:t>ПСН</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sz w:val="16"/>
                <w:szCs w:val="16"/>
              </w:rPr>
            </w:pPr>
            <w:r w:rsidRPr="00490A76">
              <w:rPr>
                <w:rFonts w:ascii="Cambria" w:hAnsi="Cambria"/>
                <w:sz w:val="16"/>
                <w:szCs w:val="16"/>
              </w:rPr>
              <w:t>Местоположение</w:t>
            </w:r>
          </w:p>
        </w:tc>
        <w:tc>
          <w:tcPr>
            <w:tcW w:w="699" w:type="pct"/>
            <w:shd w:val="clear" w:color="auto" w:fill="auto"/>
            <w:vAlign w:val="center"/>
            <w:hideMark/>
          </w:tcPr>
          <w:p w:rsidR="006568BA" w:rsidRDefault="006568BA" w:rsidP="00D70166">
            <w:pPr>
              <w:jc w:val="center"/>
              <w:rPr>
                <w:rFonts w:ascii="Cambria" w:hAnsi="Cambria"/>
                <w:sz w:val="16"/>
                <w:szCs w:val="16"/>
              </w:rPr>
            </w:pPr>
            <w:r>
              <w:rPr>
                <w:rFonts w:ascii="Cambria" w:hAnsi="Cambria"/>
                <w:sz w:val="16"/>
                <w:szCs w:val="16"/>
              </w:rPr>
              <w:t>г. Красноярск, Ленинский район, ул. Айвазовского,37а</w:t>
            </w:r>
          </w:p>
        </w:tc>
        <w:tc>
          <w:tcPr>
            <w:tcW w:w="842" w:type="pct"/>
            <w:shd w:val="clear" w:color="auto" w:fill="auto"/>
            <w:vAlign w:val="center"/>
            <w:hideMark/>
          </w:tcPr>
          <w:p w:rsidR="006568BA" w:rsidRDefault="006568BA" w:rsidP="00D70166">
            <w:pPr>
              <w:jc w:val="center"/>
              <w:rPr>
                <w:rFonts w:ascii="Cambria" w:hAnsi="Cambria"/>
                <w:sz w:val="16"/>
                <w:szCs w:val="16"/>
              </w:rPr>
            </w:pPr>
            <w:r>
              <w:rPr>
                <w:rFonts w:ascii="Cambria" w:hAnsi="Cambria"/>
                <w:sz w:val="16"/>
                <w:szCs w:val="16"/>
              </w:rPr>
              <w:t>г. Красноярск, Ленинский район, ул Семена Давыдова, 60с2</w:t>
            </w:r>
          </w:p>
        </w:tc>
        <w:tc>
          <w:tcPr>
            <w:tcW w:w="892" w:type="pct"/>
            <w:shd w:val="clear" w:color="auto" w:fill="auto"/>
            <w:vAlign w:val="center"/>
            <w:hideMark/>
          </w:tcPr>
          <w:p w:rsidR="006568BA" w:rsidRDefault="006568BA" w:rsidP="00D70166">
            <w:pPr>
              <w:jc w:val="center"/>
              <w:rPr>
                <w:rFonts w:ascii="Cambria" w:hAnsi="Cambria"/>
                <w:sz w:val="16"/>
                <w:szCs w:val="16"/>
              </w:rPr>
            </w:pPr>
            <w:r>
              <w:rPr>
                <w:rFonts w:ascii="Cambria" w:hAnsi="Cambria"/>
                <w:sz w:val="16"/>
                <w:szCs w:val="16"/>
              </w:rPr>
              <w:t>г. Красноярск, Ленинский район, ул. Энергетиков</w:t>
            </w:r>
          </w:p>
        </w:tc>
        <w:tc>
          <w:tcPr>
            <w:tcW w:w="943" w:type="pct"/>
            <w:shd w:val="clear" w:color="auto" w:fill="auto"/>
            <w:vAlign w:val="center"/>
            <w:hideMark/>
          </w:tcPr>
          <w:p w:rsidR="006568BA" w:rsidRDefault="006568BA" w:rsidP="00D70166">
            <w:pPr>
              <w:jc w:val="center"/>
              <w:rPr>
                <w:rFonts w:ascii="Cambria" w:hAnsi="Cambria"/>
                <w:sz w:val="16"/>
                <w:szCs w:val="16"/>
              </w:rPr>
            </w:pPr>
            <w:r>
              <w:rPr>
                <w:rFonts w:ascii="Cambria" w:hAnsi="Cambria"/>
                <w:sz w:val="16"/>
                <w:szCs w:val="16"/>
              </w:rPr>
              <w:t>г. Красноярск, Ленинский район, ул. Айвазовского,16</w:t>
            </w:r>
          </w:p>
        </w:tc>
        <w:tc>
          <w:tcPr>
            <w:tcW w:w="793" w:type="pct"/>
            <w:shd w:val="clear" w:color="auto" w:fill="auto"/>
            <w:vAlign w:val="center"/>
            <w:hideMark/>
          </w:tcPr>
          <w:p w:rsidR="006568BA" w:rsidRDefault="006568BA" w:rsidP="00D70166">
            <w:pPr>
              <w:jc w:val="center"/>
              <w:rPr>
                <w:rFonts w:ascii="Cambria" w:hAnsi="Cambria"/>
                <w:sz w:val="16"/>
                <w:szCs w:val="16"/>
              </w:rPr>
            </w:pPr>
            <w:r>
              <w:rPr>
                <w:rFonts w:ascii="Cambria" w:hAnsi="Cambria"/>
                <w:sz w:val="16"/>
                <w:szCs w:val="16"/>
              </w:rPr>
              <w:t>г. Красноярск, Ленинский район, ул. Айвазовского</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b/>
                <w:bCs/>
                <w:sz w:val="16"/>
                <w:szCs w:val="16"/>
              </w:rPr>
            </w:pPr>
            <w:r w:rsidRPr="00490A76">
              <w:rPr>
                <w:rFonts w:ascii="Cambria" w:hAnsi="Cambria"/>
                <w:b/>
                <w:bCs/>
                <w:sz w:val="16"/>
                <w:szCs w:val="16"/>
              </w:rPr>
              <w:t>Стоимость, руб.</w:t>
            </w:r>
          </w:p>
        </w:tc>
        <w:tc>
          <w:tcPr>
            <w:tcW w:w="699" w:type="pct"/>
            <w:shd w:val="clear" w:color="auto" w:fill="auto"/>
            <w:vAlign w:val="center"/>
            <w:hideMark/>
          </w:tcPr>
          <w:p w:rsidR="006568BA" w:rsidRDefault="006568BA" w:rsidP="00D70166">
            <w:pPr>
              <w:jc w:val="center"/>
              <w:rPr>
                <w:rFonts w:ascii="Cambria" w:hAnsi="Cambria"/>
                <w:b/>
                <w:bCs/>
                <w:sz w:val="16"/>
                <w:szCs w:val="16"/>
              </w:rPr>
            </w:pPr>
            <w:r>
              <w:rPr>
                <w:rFonts w:ascii="Cambria" w:hAnsi="Cambria"/>
                <w:b/>
                <w:bCs/>
                <w:sz w:val="16"/>
                <w:szCs w:val="16"/>
              </w:rPr>
              <w:t>-</w:t>
            </w:r>
          </w:p>
        </w:tc>
        <w:tc>
          <w:tcPr>
            <w:tcW w:w="842" w:type="pct"/>
            <w:shd w:val="clear" w:color="auto" w:fill="auto"/>
            <w:noWrap/>
            <w:vAlign w:val="center"/>
            <w:hideMark/>
          </w:tcPr>
          <w:p w:rsidR="006568BA" w:rsidRDefault="006568BA" w:rsidP="00D70166">
            <w:pPr>
              <w:jc w:val="center"/>
              <w:rPr>
                <w:rFonts w:ascii="Cambria" w:hAnsi="Cambria"/>
                <w:color w:val="000000"/>
                <w:sz w:val="16"/>
                <w:szCs w:val="16"/>
              </w:rPr>
            </w:pPr>
            <w:r>
              <w:rPr>
                <w:rFonts w:ascii="Cambria" w:hAnsi="Cambria"/>
                <w:color w:val="000000"/>
                <w:sz w:val="16"/>
                <w:szCs w:val="16"/>
              </w:rPr>
              <w:t>17 495 660</w:t>
            </w:r>
          </w:p>
        </w:tc>
        <w:tc>
          <w:tcPr>
            <w:tcW w:w="892" w:type="pct"/>
            <w:shd w:val="clear" w:color="auto" w:fill="auto"/>
            <w:noWrap/>
            <w:vAlign w:val="center"/>
            <w:hideMark/>
          </w:tcPr>
          <w:p w:rsidR="006568BA" w:rsidRDefault="006568BA" w:rsidP="00D70166">
            <w:pPr>
              <w:jc w:val="center"/>
              <w:rPr>
                <w:rFonts w:ascii="Cambria" w:hAnsi="Cambria"/>
                <w:color w:val="000000"/>
                <w:sz w:val="16"/>
                <w:szCs w:val="16"/>
              </w:rPr>
            </w:pPr>
            <w:r>
              <w:rPr>
                <w:rFonts w:ascii="Cambria" w:hAnsi="Cambria"/>
                <w:color w:val="000000"/>
                <w:sz w:val="16"/>
                <w:szCs w:val="16"/>
              </w:rPr>
              <w:t>41 000 000</w:t>
            </w:r>
          </w:p>
        </w:tc>
        <w:tc>
          <w:tcPr>
            <w:tcW w:w="943" w:type="pct"/>
            <w:shd w:val="clear" w:color="auto" w:fill="auto"/>
            <w:noWrap/>
            <w:vAlign w:val="center"/>
            <w:hideMark/>
          </w:tcPr>
          <w:p w:rsidR="006568BA" w:rsidRDefault="006568BA" w:rsidP="00D70166">
            <w:pPr>
              <w:jc w:val="center"/>
              <w:rPr>
                <w:rFonts w:ascii="Cambria" w:hAnsi="Cambria"/>
                <w:color w:val="000000"/>
                <w:sz w:val="16"/>
                <w:szCs w:val="16"/>
              </w:rPr>
            </w:pPr>
            <w:r>
              <w:rPr>
                <w:rFonts w:ascii="Cambria" w:hAnsi="Cambria"/>
                <w:color w:val="000000"/>
                <w:sz w:val="16"/>
                <w:szCs w:val="16"/>
              </w:rPr>
              <w:t>12 300 000</w:t>
            </w:r>
          </w:p>
        </w:tc>
        <w:tc>
          <w:tcPr>
            <w:tcW w:w="793" w:type="pct"/>
            <w:shd w:val="clear" w:color="auto" w:fill="auto"/>
            <w:noWrap/>
            <w:vAlign w:val="center"/>
            <w:hideMark/>
          </w:tcPr>
          <w:p w:rsidR="006568BA" w:rsidRDefault="006568BA" w:rsidP="00D70166">
            <w:pPr>
              <w:jc w:val="center"/>
              <w:rPr>
                <w:rFonts w:ascii="Cambria" w:hAnsi="Cambria"/>
                <w:color w:val="000000"/>
                <w:sz w:val="16"/>
                <w:szCs w:val="16"/>
              </w:rPr>
            </w:pPr>
            <w:r>
              <w:rPr>
                <w:rFonts w:ascii="Cambria" w:hAnsi="Cambria"/>
                <w:color w:val="000000"/>
                <w:sz w:val="16"/>
                <w:szCs w:val="16"/>
              </w:rPr>
              <w:t>21 000 000</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sz w:val="16"/>
                <w:szCs w:val="16"/>
              </w:rPr>
            </w:pPr>
            <w:r w:rsidRPr="00490A76">
              <w:rPr>
                <w:rFonts w:ascii="Cambria" w:hAnsi="Cambria"/>
                <w:sz w:val="16"/>
                <w:szCs w:val="16"/>
              </w:rPr>
              <w:t>Площадь здания, кв.м.</w:t>
            </w:r>
          </w:p>
        </w:tc>
        <w:tc>
          <w:tcPr>
            <w:tcW w:w="699" w:type="pct"/>
            <w:shd w:val="clear" w:color="auto" w:fill="auto"/>
            <w:vAlign w:val="center"/>
            <w:hideMark/>
          </w:tcPr>
          <w:p w:rsidR="006568BA" w:rsidRDefault="00DB0AEE" w:rsidP="00D70166">
            <w:pPr>
              <w:jc w:val="center"/>
              <w:rPr>
                <w:rFonts w:ascii="Cambria" w:hAnsi="Cambria"/>
                <w:b/>
                <w:bCs/>
                <w:sz w:val="16"/>
                <w:szCs w:val="16"/>
              </w:rPr>
            </w:pPr>
            <w:r w:rsidRPr="00DB0AEE">
              <w:rPr>
                <w:rFonts w:ascii="Cambria" w:hAnsi="Cambria"/>
                <w:b/>
                <w:bCs/>
                <w:sz w:val="16"/>
                <w:szCs w:val="16"/>
              </w:rPr>
              <w:t>1 002,20</w:t>
            </w:r>
          </w:p>
        </w:tc>
        <w:tc>
          <w:tcPr>
            <w:tcW w:w="842" w:type="pct"/>
            <w:shd w:val="clear" w:color="auto" w:fill="auto"/>
            <w:noWrap/>
            <w:vAlign w:val="center"/>
            <w:hideMark/>
          </w:tcPr>
          <w:p w:rsidR="006568BA" w:rsidRDefault="006568BA" w:rsidP="00D70166">
            <w:pPr>
              <w:jc w:val="center"/>
              <w:rPr>
                <w:rFonts w:ascii="Cambria" w:hAnsi="Cambria"/>
                <w:b/>
                <w:bCs/>
                <w:color w:val="000000"/>
                <w:sz w:val="16"/>
                <w:szCs w:val="16"/>
              </w:rPr>
            </w:pPr>
            <w:r>
              <w:rPr>
                <w:rFonts w:ascii="Cambria" w:hAnsi="Cambria"/>
                <w:b/>
                <w:bCs/>
                <w:color w:val="000000"/>
                <w:sz w:val="16"/>
                <w:szCs w:val="16"/>
              </w:rPr>
              <w:t>961,3</w:t>
            </w:r>
          </w:p>
        </w:tc>
        <w:tc>
          <w:tcPr>
            <w:tcW w:w="892" w:type="pct"/>
            <w:shd w:val="clear" w:color="auto" w:fill="auto"/>
            <w:noWrap/>
            <w:vAlign w:val="center"/>
            <w:hideMark/>
          </w:tcPr>
          <w:p w:rsidR="006568BA" w:rsidRDefault="006568BA" w:rsidP="00D70166">
            <w:pPr>
              <w:jc w:val="center"/>
              <w:rPr>
                <w:rFonts w:ascii="Cambria" w:hAnsi="Cambria"/>
                <w:b/>
                <w:bCs/>
                <w:color w:val="000000"/>
                <w:sz w:val="16"/>
                <w:szCs w:val="16"/>
              </w:rPr>
            </w:pPr>
            <w:r>
              <w:rPr>
                <w:rFonts w:ascii="Cambria" w:hAnsi="Cambria"/>
                <w:b/>
                <w:bCs/>
                <w:color w:val="000000"/>
                <w:sz w:val="16"/>
                <w:szCs w:val="16"/>
              </w:rPr>
              <w:t>1 583,0</w:t>
            </w:r>
          </w:p>
        </w:tc>
        <w:tc>
          <w:tcPr>
            <w:tcW w:w="943" w:type="pct"/>
            <w:shd w:val="clear" w:color="auto" w:fill="auto"/>
            <w:vAlign w:val="center"/>
            <w:hideMark/>
          </w:tcPr>
          <w:p w:rsidR="006568BA" w:rsidRDefault="006568BA" w:rsidP="00D70166">
            <w:pPr>
              <w:jc w:val="center"/>
              <w:rPr>
                <w:rFonts w:ascii="Cambria" w:hAnsi="Cambria"/>
                <w:b/>
                <w:bCs/>
                <w:sz w:val="16"/>
                <w:szCs w:val="16"/>
              </w:rPr>
            </w:pPr>
            <w:r>
              <w:rPr>
                <w:rFonts w:ascii="Cambria" w:hAnsi="Cambria"/>
                <w:b/>
                <w:bCs/>
                <w:sz w:val="16"/>
                <w:szCs w:val="16"/>
              </w:rPr>
              <w:t>620,00</w:t>
            </w:r>
          </w:p>
        </w:tc>
        <w:tc>
          <w:tcPr>
            <w:tcW w:w="793" w:type="pct"/>
            <w:shd w:val="clear" w:color="auto" w:fill="auto"/>
            <w:vAlign w:val="center"/>
            <w:hideMark/>
          </w:tcPr>
          <w:p w:rsidR="006568BA" w:rsidRDefault="006568BA" w:rsidP="00D70166">
            <w:pPr>
              <w:jc w:val="center"/>
              <w:rPr>
                <w:rFonts w:ascii="Cambria" w:hAnsi="Cambria"/>
                <w:b/>
                <w:bCs/>
                <w:sz w:val="16"/>
                <w:szCs w:val="16"/>
              </w:rPr>
            </w:pPr>
            <w:r>
              <w:rPr>
                <w:rFonts w:ascii="Cambria" w:hAnsi="Cambria"/>
                <w:b/>
                <w:bCs/>
                <w:sz w:val="16"/>
                <w:szCs w:val="16"/>
              </w:rPr>
              <w:t>878,80</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sz w:val="16"/>
                <w:szCs w:val="16"/>
              </w:rPr>
            </w:pPr>
            <w:r w:rsidRPr="00490A76">
              <w:rPr>
                <w:rFonts w:ascii="Cambria" w:hAnsi="Cambria"/>
                <w:sz w:val="16"/>
                <w:szCs w:val="16"/>
              </w:rPr>
              <w:t>Площадь ЗУ, кв.м.</w:t>
            </w:r>
          </w:p>
        </w:tc>
        <w:tc>
          <w:tcPr>
            <w:tcW w:w="699" w:type="pct"/>
            <w:shd w:val="clear" w:color="auto" w:fill="auto"/>
            <w:vAlign w:val="center"/>
            <w:hideMark/>
          </w:tcPr>
          <w:p w:rsidR="006568BA" w:rsidRDefault="006568BA" w:rsidP="00D70166">
            <w:pPr>
              <w:jc w:val="center"/>
              <w:rPr>
                <w:rFonts w:ascii="Cambria" w:hAnsi="Cambria"/>
                <w:sz w:val="16"/>
                <w:szCs w:val="16"/>
              </w:rPr>
            </w:pPr>
            <w:r>
              <w:rPr>
                <w:rFonts w:ascii="Cambria" w:hAnsi="Cambria"/>
                <w:sz w:val="16"/>
                <w:szCs w:val="16"/>
              </w:rPr>
              <w:t> </w:t>
            </w:r>
          </w:p>
        </w:tc>
        <w:tc>
          <w:tcPr>
            <w:tcW w:w="842" w:type="pct"/>
            <w:shd w:val="clear" w:color="auto" w:fill="auto"/>
            <w:noWrap/>
            <w:vAlign w:val="center"/>
            <w:hideMark/>
          </w:tcPr>
          <w:p w:rsidR="006568BA" w:rsidRDefault="006568BA" w:rsidP="00D70166">
            <w:pPr>
              <w:jc w:val="center"/>
              <w:rPr>
                <w:rFonts w:ascii="Cambria" w:hAnsi="Cambria"/>
                <w:color w:val="000000"/>
                <w:sz w:val="16"/>
                <w:szCs w:val="16"/>
              </w:rPr>
            </w:pPr>
            <w:r>
              <w:rPr>
                <w:rFonts w:ascii="Cambria" w:hAnsi="Cambria"/>
                <w:color w:val="000000"/>
                <w:sz w:val="16"/>
                <w:szCs w:val="16"/>
              </w:rPr>
              <w:t>2 763,0</w:t>
            </w:r>
          </w:p>
        </w:tc>
        <w:tc>
          <w:tcPr>
            <w:tcW w:w="892" w:type="pct"/>
            <w:shd w:val="clear" w:color="auto" w:fill="auto"/>
            <w:noWrap/>
            <w:vAlign w:val="center"/>
            <w:hideMark/>
          </w:tcPr>
          <w:p w:rsidR="006568BA" w:rsidRDefault="006568BA" w:rsidP="00D70166">
            <w:pPr>
              <w:jc w:val="center"/>
              <w:rPr>
                <w:rFonts w:ascii="Cambria" w:hAnsi="Cambria"/>
                <w:color w:val="000000"/>
                <w:sz w:val="16"/>
                <w:szCs w:val="16"/>
              </w:rPr>
            </w:pPr>
            <w:r>
              <w:rPr>
                <w:rFonts w:ascii="Cambria" w:hAnsi="Cambria"/>
                <w:color w:val="000000"/>
                <w:sz w:val="16"/>
                <w:szCs w:val="16"/>
              </w:rPr>
              <w:t>6 700,0</w:t>
            </w:r>
          </w:p>
        </w:tc>
        <w:tc>
          <w:tcPr>
            <w:tcW w:w="943" w:type="pct"/>
            <w:shd w:val="clear" w:color="auto" w:fill="auto"/>
            <w:noWrap/>
            <w:vAlign w:val="center"/>
            <w:hideMark/>
          </w:tcPr>
          <w:p w:rsidR="006568BA" w:rsidRDefault="006568BA" w:rsidP="00D70166">
            <w:pPr>
              <w:jc w:val="center"/>
              <w:rPr>
                <w:rFonts w:ascii="Cambria" w:hAnsi="Cambria"/>
                <w:color w:val="000000"/>
                <w:sz w:val="16"/>
                <w:szCs w:val="16"/>
              </w:rPr>
            </w:pPr>
            <w:r>
              <w:rPr>
                <w:rFonts w:ascii="Cambria" w:hAnsi="Cambria"/>
                <w:color w:val="000000"/>
                <w:sz w:val="16"/>
                <w:szCs w:val="16"/>
              </w:rPr>
              <w:t>2 700,00</w:t>
            </w:r>
          </w:p>
        </w:tc>
        <w:tc>
          <w:tcPr>
            <w:tcW w:w="793" w:type="pct"/>
            <w:shd w:val="clear" w:color="auto" w:fill="auto"/>
            <w:noWrap/>
            <w:vAlign w:val="center"/>
            <w:hideMark/>
          </w:tcPr>
          <w:p w:rsidR="006568BA" w:rsidRDefault="006568BA" w:rsidP="00D70166">
            <w:pPr>
              <w:jc w:val="center"/>
              <w:rPr>
                <w:rFonts w:ascii="Cambria" w:hAnsi="Cambria"/>
                <w:color w:val="000000"/>
                <w:sz w:val="16"/>
                <w:szCs w:val="16"/>
              </w:rPr>
            </w:pPr>
            <w:r>
              <w:rPr>
                <w:rFonts w:ascii="Cambria" w:hAnsi="Cambria"/>
                <w:color w:val="000000"/>
                <w:sz w:val="16"/>
                <w:szCs w:val="16"/>
              </w:rPr>
              <w:t>2 300,0</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sz w:val="16"/>
                <w:szCs w:val="16"/>
              </w:rPr>
            </w:pPr>
            <w:r w:rsidRPr="00490A76">
              <w:rPr>
                <w:rFonts w:ascii="Cambria" w:hAnsi="Cambria"/>
                <w:sz w:val="16"/>
                <w:szCs w:val="16"/>
              </w:rPr>
              <w:t>Стоимость ЗУ</w:t>
            </w:r>
          </w:p>
        </w:tc>
        <w:tc>
          <w:tcPr>
            <w:tcW w:w="699" w:type="pct"/>
            <w:shd w:val="clear" w:color="auto" w:fill="auto"/>
            <w:vAlign w:val="center"/>
            <w:hideMark/>
          </w:tcPr>
          <w:p w:rsidR="006568BA" w:rsidRDefault="006568BA" w:rsidP="00D70166">
            <w:pPr>
              <w:jc w:val="center"/>
              <w:rPr>
                <w:rFonts w:ascii="Cambria" w:hAnsi="Cambria"/>
                <w:sz w:val="16"/>
                <w:szCs w:val="16"/>
              </w:rPr>
            </w:pPr>
            <w:r>
              <w:rPr>
                <w:rFonts w:ascii="Cambria" w:hAnsi="Cambria"/>
                <w:sz w:val="16"/>
                <w:szCs w:val="16"/>
              </w:rPr>
              <w:t> </w:t>
            </w:r>
          </w:p>
        </w:tc>
        <w:tc>
          <w:tcPr>
            <w:tcW w:w="842" w:type="pct"/>
            <w:shd w:val="clear" w:color="auto" w:fill="auto"/>
            <w:vAlign w:val="center"/>
            <w:hideMark/>
          </w:tcPr>
          <w:p w:rsidR="006568BA" w:rsidRDefault="006568BA" w:rsidP="00D70166">
            <w:pPr>
              <w:jc w:val="center"/>
              <w:rPr>
                <w:rFonts w:ascii="Cambria" w:hAnsi="Cambria"/>
                <w:color w:val="000000"/>
                <w:sz w:val="16"/>
                <w:szCs w:val="16"/>
              </w:rPr>
            </w:pPr>
            <w:r>
              <w:rPr>
                <w:rFonts w:ascii="Cambria" w:hAnsi="Cambria"/>
                <w:color w:val="000000"/>
                <w:sz w:val="16"/>
                <w:szCs w:val="16"/>
              </w:rPr>
              <w:t>446 529,88</w:t>
            </w:r>
          </w:p>
        </w:tc>
        <w:tc>
          <w:tcPr>
            <w:tcW w:w="892" w:type="pct"/>
            <w:shd w:val="clear" w:color="auto" w:fill="auto"/>
            <w:vAlign w:val="center"/>
            <w:hideMark/>
          </w:tcPr>
          <w:p w:rsidR="006568BA" w:rsidRDefault="006568BA" w:rsidP="00D70166">
            <w:pPr>
              <w:jc w:val="center"/>
              <w:rPr>
                <w:rFonts w:ascii="Cambria" w:hAnsi="Cambria"/>
                <w:color w:val="000000"/>
                <w:sz w:val="16"/>
                <w:szCs w:val="16"/>
              </w:rPr>
            </w:pPr>
            <w:r>
              <w:rPr>
                <w:rFonts w:ascii="Cambria" w:hAnsi="Cambria"/>
                <w:color w:val="000000"/>
                <w:sz w:val="16"/>
                <w:szCs w:val="16"/>
              </w:rPr>
              <w:t>1 082 790,53</w:t>
            </w:r>
          </w:p>
        </w:tc>
        <w:tc>
          <w:tcPr>
            <w:tcW w:w="943" w:type="pct"/>
            <w:shd w:val="clear" w:color="auto" w:fill="auto"/>
            <w:vAlign w:val="center"/>
            <w:hideMark/>
          </w:tcPr>
          <w:p w:rsidR="006568BA" w:rsidRDefault="006568BA" w:rsidP="00D70166">
            <w:pPr>
              <w:jc w:val="center"/>
              <w:rPr>
                <w:rFonts w:ascii="Cambria" w:hAnsi="Cambria"/>
                <w:sz w:val="16"/>
                <w:szCs w:val="16"/>
              </w:rPr>
            </w:pPr>
            <w:r>
              <w:rPr>
                <w:rFonts w:ascii="Cambria" w:hAnsi="Cambria"/>
                <w:sz w:val="16"/>
                <w:szCs w:val="16"/>
              </w:rPr>
              <w:t>436 348,42</w:t>
            </w:r>
          </w:p>
        </w:tc>
        <w:tc>
          <w:tcPr>
            <w:tcW w:w="793" w:type="pct"/>
            <w:shd w:val="clear" w:color="auto" w:fill="auto"/>
            <w:vAlign w:val="center"/>
            <w:hideMark/>
          </w:tcPr>
          <w:p w:rsidR="006568BA" w:rsidRDefault="006568BA" w:rsidP="00D70166">
            <w:pPr>
              <w:jc w:val="center"/>
              <w:rPr>
                <w:rFonts w:ascii="Cambria" w:hAnsi="Cambria"/>
                <w:sz w:val="16"/>
                <w:szCs w:val="16"/>
              </w:rPr>
            </w:pPr>
            <w:r>
              <w:rPr>
                <w:rFonts w:ascii="Cambria" w:hAnsi="Cambria"/>
                <w:sz w:val="16"/>
                <w:szCs w:val="16"/>
              </w:rPr>
              <w:t>371 704,21</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b/>
                <w:bCs/>
                <w:sz w:val="16"/>
                <w:szCs w:val="16"/>
              </w:rPr>
            </w:pPr>
            <w:r w:rsidRPr="00490A76">
              <w:rPr>
                <w:rFonts w:ascii="Cambria" w:hAnsi="Cambria"/>
                <w:b/>
                <w:bCs/>
                <w:sz w:val="16"/>
                <w:szCs w:val="16"/>
              </w:rPr>
              <w:t xml:space="preserve">Стоимость здания без ЗУ, руб. </w:t>
            </w:r>
          </w:p>
        </w:tc>
        <w:tc>
          <w:tcPr>
            <w:tcW w:w="699" w:type="pct"/>
            <w:shd w:val="clear" w:color="auto" w:fill="auto"/>
            <w:vAlign w:val="center"/>
            <w:hideMark/>
          </w:tcPr>
          <w:p w:rsidR="006568BA" w:rsidRDefault="006568BA" w:rsidP="00D70166">
            <w:pPr>
              <w:jc w:val="center"/>
              <w:rPr>
                <w:rFonts w:ascii="Cambria" w:hAnsi="Cambria"/>
                <w:b/>
                <w:bCs/>
                <w:sz w:val="16"/>
                <w:szCs w:val="16"/>
              </w:rPr>
            </w:pPr>
            <w:r>
              <w:rPr>
                <w:rFonts w:ascii="Cambria" w:hAnsi="Cambria"/>
                <w:b/>
                <w:bCs/>
                <w:sz w:val="16"/>
                <w:szCs w:val="16"/>
              </w:rPr>
              <w:t>?</w:t>
            </w:r>
          </w:p>
        </w:tc>
        <w:tc>
          <w:tcPr>
            <w:tcW w:w="842" w:type="pct"/>
            <w:shd w:val="clear" w:color="auto" w:fill="auto"/>
            <w:vAlign w:val="center"/>
            <w:hideMark/>
          </w:tcPr>
          <w:p w:rsidR="006568BA" w:rsidRDefault="006568BA" w:rsidP="00D70166">
            <w:pPr>
              <w:jc w:val="center"/>
              <w:rPr>
                <w:rFonts w:ascii="Cambria" w:hAnsi="Cambria"/>
                <w:b/>
                <w:bCs/>
                <w:sz w:val="16"/>
                <w:szCs w:val="16"/>
              </w:rPr>
            </w:pPr>
            <w:r>
              <w:rPr>
                <w:rFonts w:ascii="Cambria" w:hAnsi="Cambria"/>
                <w:b/>
                <w:bCs/>
                <w:sz w:val="16"/>
                <w:szCs w:val="16"/>
              </w:rPr>
              <w:t>17 049 130,12</w:t>
            </w:r>
          </w:p>
        </w:tc>
        <w:tc>
          <w:tcPr>
            <w:tcW w:w="892" w:type="pct"/>
            <w:shd w:val="clear" w:color="auto" w:fill="auto"/>
            <w:vAlign w:val="center"/>
            <w:hideMark/>
          </w:tcPr>
          <w:p w:rsidR="006568BA" w:rsidRDefault="006568BA" w:rsidP="00D70166">
            <w:pPr>
              <w:jc w:val="center"/>
              <w:rPr>
                <w:rFonts w:ascii="Cambria" w:hAnsi="Cambria"/>
                <w:b/>
                <w:bCs/>
                <w:sz w:val="16"/>
                <w:szCs w:val="16"/>
              </w:rPr>
            </w:pPr>
            <w:r>
              <w:rPr>
                <w:rFonts w:ascii="Cambria" w:hAnsi="Cambria"/>
                <w:b/>
                <w:bCs/>
                <w:sz w:val="16"/>
                <w:szCs w:val="16"/>
              </w:rPr>
              <w:t>39 917 209,47</w:t>
            </w:r>
          </w:p>
        </w:tc>
        <w:tc>
          <w:tcPr>
            <w:tcW w:w="943" w:type="pct"/>
            <w:shd w:val="clear" w:color="auto" w:fill="auto"/>
            <w:vAlign w:val="center"/>
            <w:hideMark/>
          </w:tcPr>
          <w:p w:rsidR="006568BA" w:rsidRDefault="006568BA" w:rsidP="00D70166">
            <w:pPr>
              <w:jc w:val="center"/>
              <w:rPr>
                <w:rFonts w:ascii="Cambria" w:hAnsi="Cambria"/>
                <w:b/>
                <w:bCs/>
                <w:sz w:val="16"/>
                <w:szCs w:val="16"/>
              </w:rPr>
            </w:pPr>
            <w:r>
              <w:rPr>
                <w:rFonts w:ascii="Cambria" w:hAnsi="Cambria"/>
                <w:b/>
                <w:bCs/>
                <w:sz w:val="16"/>
                <w:szCs w:val="16"/>
              </w:rPr>
              <w:t>11 863 651,58</w:t>
            </w:r>
          </w:p>
        </w:tc>
        <w:tc>
          <w:tcPr>
            <w:tcW w:w="793" w:type="pct"/>
            <w:shd w:val="clear" w:color="auto" w:fill="auto"/>
            <w:vAlign w:val="center"/>
            <w:hideMark/>
          </w:tcPr>
          <w:p w:rsidR="006568BA" w:rsidRDefault="006568BA" w:rsidP="00D70166">
            <w:pPr>
              <w:jc w:val="center"/>
              <w:rPr>
                <w:rFonts w:ascii="Cambria" w:hAnsi="Cambria"/>
                <w:b/>
                <w:bCs/>
                <w:sz w:val="16"/>
                <w:szCs w:val="16"/>
              </w:rPr>
            </w:pPr>
            <w:r>
              <w:rPr>
                <w:rFonts w:ascii="Cambria" w:hAnsi="Cambria"/>
                <w:b/>
                <w:bCs/>
                <w:sz w:val="16"/>
                <w:szCs w:val="16"/>
              </w:rPr>
              <w:t>20 628 295,79</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b/>
                <w:bCs/>
                <w:sz w:val="16"/>
                <w:szCs w:val="16"/>
              </w:rPr>
            </w:pPr>
            <w:r w:rsidRPr="00490A76">
              <w:rPr>
                <w:rFonts w:ascii="Cambria" w:hAnsi="Cambria"/>
                <w:b/>
                <w:bCs/>
                <w:sz w:val="16"/>
                <w:szCs w:val="16"/>
              </w:rPr>
              <w:t>Стоимость здания, руб. кв.м.</w:t>
            </w:r>
          </w:p>
        </w:tc>
        <w:tc>
          <w:tcPr>
            <w:tcW w:w="699" w:type="pct"/>
            <w:shd w:val="clear" w:color="auto" w:fill="auto"/>
            <w:vAlign w:val="center"/>
            <w:hideMark/>
          </w:tcPr>
          <w:p w:rsidR="006568BA" w:rsidRDefault="006568BA" w:rsidP="00D70166">
            <w:pPr>
              <w:jc w:val="center"/>
              <w:rPr>
                <w:rFonts w:ascii="Cambria" w:hAnsi="Cambria"/>
                <w:b/>
                <w:bCs/>
                <w:sz w:val="16"/>
                <w:szCs w:val="16"/>
              </w:rPr>
            </w:pPr>
            <w:r>
              <w:rPr>
                <w:rFonts w:ascii="Cambria" w:hAnsi="Cambria"/>
                <w:b/>
                <w:bCs/>
                <w:sz w:val="16"/>
                <w:szCs w:val="16"/>
              </w:rPr>
              <w:t> </w:t>
            </w:r>
          </w:p>
        </w:tc>
        <w:tc>
          <w:tcPr>
            <w:tcW w:w="842" w:type="pct"/>
            <w:shd w:val="clear" w:color="auto" w:fill="auto"/>
            <w:vAlign w:val="center"/>
            <w:hideMark/>
          </w:tcPr>
          <w:p w:rsidR="006568BA" w:rsidRDefault="006568BA" w:rsidP="00D70166">
            <w:pPr>
              <w:jc w:val="center"/>
              <w:rPr>
                <w:rFonts w:ascii="Cambria" w:hAnsi="Cambria"/>
                <w:b/>
                <w:bCs/>
                <w:sz w:val="16"/>
                <w:szCs w:val="16"/>
              </w:rPr>
            </w:pPr>
            <w:r>
              <w:rPr>
                <w:rFonts w:ascii="Cambria" w:hAnsi="Cambria"/>
                <w:b/>
                <w:bCs/>
                <w:sz w:val="16"/>
                <w:szCs w:val="16"/>
              </w:rPr>
              <w:t>17 749,51</w:t>
            </w:r>
          </w:p>
        </w:tc>
        <w:tc>
          <w:tcPr>
            <w:tcW w:w="892" w:type="pct"/>
            <w:shd w:val="clear" w:color="auto" w:fill="auto"/>
            <w:vAlign w:val="center"/>
            <w:hideMark/>
          </w:tcPr>
          <w:p w:rsidR="006568BA" w:rsidRDefault="006568BA" w:rsidP="00D70166">
            <w:pPr>
              <w:jc w:val="center"/>
              <w:rPr>
                <w:rFonts w:ascii="Cambria" w:hAnsi="Cambria"/>
                <w:b/>
                <w:bCs/>
                <w:sz w:val="16"/>
                <w:szCs w:val="16"/>
              </w:rPr>
            </w:pPr>
            <w:r>
              <w:rPr>
                <w:rFonts w:ascii="Cambria" w:hAnsi="Cambria"/>
                <w:b/>
                <w:bCs/>
                <w:sz w:val="16"/>
                <w:szCs w:val="16"/>
              </w:rPr>
              <w:t>25 216,18</w:t>
            </w:r>
          </w:p>
        </w:tc>
        <w:tc>
          <w:tcPr>
            <w:tcW w:w="943" w:type="pct"/>
            <w:shd w:val="clear" w:color="auto" w:fill="auto"/>
            <w:vAlign w:val="center"/>
            <w:hideMark/>
          </w:tcPr>
          <w:p w:rsidR="006568BA" w:rsidRDefault="006568BA" w:rsidP="00D70166">
            <w:pPr>
              <w:jc w:val="center"/>
              <w:rPr>
                <w:rFonts w:ascii="Cambria" w:hAnsi="Cambria"/>
                <w:b/>
                <w:bCs/>
                <w:sz w:val="16"/>
                <w:szCs w:val="16"/>
              </w:rPr>
            </w:pPr>
            <w:r>
              <w:rPr>
                <w:rFonts w:ascii="Cambria" w:hAnsi="Cambria"/>
                <w:b/>
                <w:bCs/>
                <w:sz w:val="16"/>
                <w:szCs w:val="16"/>
              </w:rPr>
              <w:t>19 134,92</w:t>
            </w:r>
          </w:p>
        </w:tc>
        <w:tc>
          <w:tcPr>
            <w:tcW w:w="793" w:type="pct"/>
            <w:shd w:val="clear" w:color="auto" w:fill="auto"/>
            <w:vAlign w:val="center"/>
            <w:hideMark/>
          </w:tcPr>
          <w:p w:rsidR="006568BA" w:rsidRDefault="006568BA" w:rsidP="00D70166">
            <w:pPr>
              <w:jc w:val="center"/>
              <w:rPr>
                <w:rFonts w:ascii="Cambria" w:hAnsi="Cambria"/>
                <w:b/>
                <w:bCs/>
                <w:sz w:val="16"/>
                <w:szCs w:val="16"/>
              </w:rPr>
            </w:pPr>
            <w:r>
              <w:rPr>
                <w:rFonts w:ascii="Cambria" w:hAnsi="Cambria"/>
                <w:b/>
                <w:bCs/>
                <w:sz w:val="16"/>
                <w:szCs w:val="16"/>
              </w:rPr>
              <w:t>23 473,25</w:t>
            </w:r>
          </w:p>
        </w:tc>
      </w:tr>
      <w:tr w:rsidR="006568BA" w:rsidRPr="00490A76" w:rsidTr="00D70166">
        <w:trPr>
          <w:cantSplit/>
          <w:trHeight w:val="170"/>
        </w:trPr>
        <w:tc>
          <w:tcPr>
            <w:tcW w:w="5000" w:type="pct"/>
            <w:gridSpan w:val="6"/>
            <w:shd w:val="clear" w:color="auto" w:fill="auto"/>
            <w:vAlign w:val="center"/>
            <w:hideMark/>
          </w:tcPr>
          <w:p w:rsidR="006568BA" w:rsidRPr="00490A76" w:rsidRDefault="006568BA" w:rsidP="00D70166">
            <w:pPr>
              <w:jc w:val="center"/>
              <w:rPr>
                <w:rFonts w:ascii="Cambria" w:hAnsi="Cambria"/>
                <w:b/>
                <w:bCs/>
                <w:i/>
                <w:iCs/>
                <w:sz w:val="16"/>
                <w:szCs w:val="16"/>
              </w:rPr>
            </w:pPr>
            <w:r w:rsidRPr="00490A76">
              <w:rPr>
                <w:rFonts w:ascii="Cambria" w:hAnsi="Cambria"/>
                <w:b/>
                <w:bCs/>
                <w:i/>
                <w:iCs/>
                <w:sz w:val="16"/>
                <w:szCs w:val="16"/>
              </w:rPr>
              <w:t>Корректировка стоимости</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i/>
                <w:iCs/>
                <w:sz w:val="16"/>
                <w:szCs w:val="16"/>
              </w:rPr>
            </w:pPr>
            <w:r w:rsidRPr="00490A76">
              <w:rPr>
                <w:rFonts w:ascii="Cambria" w:hAnsi="Cambria"/>
                <w:i/>
                <w:iCs/>
                <w:sz w:val="16"/>
                <w:szCs w:val="16"/>
              </w:rPr>
              <w:t>Передаваемые права</w:t>
            </w:r>
          </w:p>
        </w:tc>
        <w:tc>
          <w:tcPr>
            <w:tcW w:w="699" w:type="pct"/>
            <w:shd w:val="clear" w:color="auto" w:fill="auto"/>
            <w:vAlign w:val="center"/>
            <w:hideMark/>
          </w:tcPr>
          <w:p w:rsidR="006568BA" w:rsidRPr="00490A76" w:rsidRDefault="006568BA" w:rsidP="00D70166">
            <w:pPr>
              <w:jc w:val="center"/>
              <w:rPr>
                <w:rFonts w:ascii="Cambria" w:hAnsi="Cambria"/>
                <w:sz w:val="16"/>
                <w:szCs w:val="16"/>
              </w:rPr>
            </w:pPr>
            <w:r w:rsidRPr="00490A76">
              <w:rPr>
                <w:rFonts w:ascii="Cambria" w:hAnsi="Cambria"/>
                <w:sz w:val="16"/>
                <w:szCs w:val="16"/>
              </w:rPr>
              <w:t>-</w:t>
            </w:r>
          </w:p>
        </w:tc>
        <w:tc>
          <w:tcPr>
            <w:tcW w:w="842" w:type="pct"/>
            <w:shd w:val="clear" w:color="auto" w:fill="auto"/>
            <w:vAlign w:val="center"/>
            <w:hideMark/>
          </w:tcPr>
          <w:p w:rsidR="006568BA" w:rsidRDefault="006568BA" w:rsidP="00D70166">
            <w:pPr>
              <w:jc w:val="center"/>
              <w:rPr>
                <w:rFonts w:ascii="Cambria" w:hAnsi="Cambria"/>
                <w:sz w:val="16"/>
                <w:szCs w:val="16"/>
              </w:rPr>
            </w:pPr>
            <w:r>
              <w:rPr>
                <w:rFonts w:ascii="Cambria" w:hAnsi="Cambria"/>
                <w:sz w:val="16"/>
                <w:szCs w:val="16"/>
              </w:rPr>
              <w:t>Право собственности</w:t>
            </w:r>
          </w:p>
        </w:tc>
        <w:tc>
          <w:tcPr>
            <w:tcW w:w="892" w:type="pct"/>
            <w:shd w:val="clear" w:color="auto" w:fill="auto"/>
            <w:vAlign w:val="center"/>
            <w:hideMark/>
          </w:tcPr>
          <w:p w:rsidR="006568BA" w:rsidRDefault="006568BA" w:rsidP="00D70166">
            <w:pPr>
              <w:jc w:val="center"/>
              <w:rPr>
                <w:rFonts w:ascii="Cambria" w:hAnsi="Cambria"/>
                <w:sz w:val="16"/>
                <w:szCs w:val="16"/>
              </w:rPr>
            </w:pPr>
            <w:r>
              <w:rPr>
                <w:rFonts w:ascii="Cambria" w:hAnsi="Cambria"/>
                <w:sz w:val="16"/>
                <w:szCs w:val="16"/>
              </w:rPr>
              <w:t>Право собственности</w:t>
            </w:r>
          </w:p>
        </w:tc>
        <w:tc>
          <w:tcPr>
            <w:tcW w:w="943" w:type="pct"/>
            <w:shd w:val="clear" w:color="auto" w:fill="auto"/>
            <w:vAlign w:val="center"/>
            <w:hideMark/>
          </w:tcPr>
          <w:p w:rsidR="006568BA" w:rsidRDefault="006568BA" w:rsidP="00D70166">
            <w:pPr>
              <w:jc w:val="center"/>
              <w:rPr>
                <w:rFonts w:ascii="Cambria" w:hAnsi="Cambria"/>
                <w:sz w:val="16"/>
                <w:szCs w:val="16"/>
              </w:rPr>
            </w:pPr>
            <w:r>
              <w:rPr>
                <w:rFonts w:ascii="Cambria" w:hAnsi="Cambria"/>
                <w:sz w:val="16"/>
                <w:szCs w:val="16"/>
              </w:rPr>
              <w:t>Право собственности</w:t>
            </w:r>
          </w:p>
        </w:tc>
        <w:tc>
          <w:tcPr>
            <w:tcW w:w="793" w:type="pct"/>
            <w:shd w:val="clear" w:color="auto" w:fill="auto"/>
            <w:vAlign w:val="center"/>
            <w:hideMark/>
          </w:tcPr>
          <w:p w:rsidR="006568BA" w:rsidRDefault="006568BA" w:rsidP="00D70166">
            <w:pPr>
              <w:jc w:val="center"/>
              <w:rPr>
                <w:rFonts w:ascii="Cambria" w:hAnsi="Cambria"/>
                <w:sz w:val="16"/>
                <w:szCs w:val="16"/>
              </w:rPr>
            </w:pPr>
            <w:r>
              <w:rPr>
                <w:rFonts w:ascii="Cambria" w:hAnsi="Cambria"/>
                <w:sz w:val="16"/>
                <w:szCs w:val="16"/>
              </w:rPr>
              <w:t>Право собственности</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sz w:val="16"/>
                <w:szCs w:val="16"/>
              </w:rPr>
            </w:pPr>
            <w:r w:rsidRPr="00490A76">
              <w:rPr>
                <w:rFonts w:ascii="Cambria" w:hAnsi="Cambria"/>
                <w:sz w:val="16"/>
                <w:szCs w:val="16"/>
              </w:rPr>
              <w:t>Корректировка</w:t>
            </w:r>
          </w:p>
        </w:tc>
        <w:tc>
          <w:tcPr>
            <w:tcW w:w="699" w:type="pct"/>
            <w:shd w:val="clear" w:color="auto" w:fill="auto"/>
            <w:vAlign w:val="center"/>
            <w:hideMark/>
          </w:tcPr>
          <w:p w:rsidR="006568BA" w:rsidRPr="00490A76" w:rsidRDefault="006568BA" w:rsidP="00D70166">
            <w:pPr>
              <w:jc w:val="center"/>
              <w:rPr>
                <w:rFonts w:ascii="Cambria" w:hAnsi="Cambria"/>
                <w:sz w:val="16"/>
                <w:szCs w:val="16"/>
              </w:rPr>
            </w:pPr>
            <w:r w:rsidRPr="00490A76">
              <w:rPr>
                <w:rFonts w:ascii="Cambria" w:hAnsi="Cambria"/>
                <w:sz w:val="16"/>
                <w:szCs w:val="16"/>
              </w:rPr>
              <w:t>-</w:t>
            </w:r>
          </w:p>
        </w:tc>
        <w:tc>
          <w:tcPr>
            <w:tcW w:w="842" w:type="pct"/>
            <w:shd w:val="clear" w:color="auto" w:fill="auto"/>
            <w:noWrap/>
            <w:vAlign w:val="center"/>
            <w:hideMark/>
          </w:tcPr>
          <w:p w:rsidR="006568BA" w:rsidRDefault="006568BA" w:rsidP="00D70166">
            <w:pPr>
              <w:jc w:val="center"/>
              <w:rPr>
                <w:rFonts w:ascii="Cambria" w:hAnsi="Cambria"/>
                <w:sz w:val="16"/>
                <w:szCs w:val="16"/>
              </w:rPr>
            </w:pPr>
            <w:r>
              <w:rPr>
                <w:rFonts w:ascii="Cambria" w:hAnsi="Cambria"/>
                <w:sz w:val="16"/>
                <w:szCs w:val="16"/>
              </w:rPr>
              <w:t>0,00%</w:t>
            </w:r>
          </w:p>
        </w:tc>
        <w:tc>
          <w:tcPr>
            <w:tcW w:w="892" w:type="pct"/>
            <w:shd w:val="clear" w:color="auto" w:fill="auto"/>
            <w:noWrap/>
            <w:vAlign w:val="center"/>
            <w:hideMark/>
          </w:tcPr>
          <w:p w:rsidR="006568BA" w:rsidRDefault="006568BA" w:rsidP="00D70166">
            <w:pPr>
              <w:jc w:val="center"/>
              <w:rPr>
                <w:rFonts w:ascii="Cambria" w:hAnsi="Cambria"/>
                <w:sz w:val="16"/>
                <w:szCs w:val="16"/>
              </w:rPr>
            </w:pPr>
            <w:r>
              <w:rPr>
                <w:rFonts w:ascii="Cambria" w:hAnsi="Cambria"/>
                <w:sz w:val="16"/>
                <w:szCs w:val="16"/>
              </w:rPr>
              <w:t>0,00%</w:t>
            </w:r>
          </w:p>
        </w:tc>
        <w:tc>
          <w:tcPr>
            <w:tcW w:w="943" w:type="pct"/>
            <w:shd w:val="clear" w:color="auto" w:fill="auto"/>
            <w:noWrap/>
            <w:vAlign w:val="center"/>
            <w:hideMark/>
          </w:tcPr>
          <w:p w:rsidR="006568BA" w:rsidRDefault="006568BA" w:rsidP="00D70166">
            <w:pPr>
              <w:jc w:val="center"/>
              <w:rPr>
                <w:rFonts w:ascii="Cambria" w:hAnsi="Cambria"/>
                <w:sz w:val="16"/>
                <w:szCs w:val="16"/>
              </w:rPr>
            </w:pPr>
            <w:r>
              <w:rPr>
                <w:rFonts w:ascii="Cambria" w:hAnsi="Cambria"/>
                <w:sz w:val="16"/>
                <w:szCs w:val="16"/>
              </w:rPr>
              <w:t>0,00%</w:t>
            </w:r>
          </w:p>
        </w:tc>
        <w:tc>
          <w:tcPr>
            <w:tcW w:w="793" w:type="pct"/>
            <w:shd w:val="clear" w:color="auto" w:fill="auto"/>
            <w:noWrap/>
            <w:vAlign w:val="center"/>
            <w:hideMark/>
          </w:tcPr>
          <w:p w:rsidR="006568BA" w:rsidRDefault="006568BA" w:rsidP="00D70166">
            <w:pPr>
              <w:jc w:val="center"/>
              <w:rPr>
                <w:rFonts w:ascii="Cambria" w:hAnsi="Cambria"/>
                <w:sz w:val="16"/>
                <w:szCs w:val="16"/>
              </w:rPr>
            </w:pPr>
            <w:r>
              <w:rPr>
                <w:rFonts w:ascii="Cambria" w:hAnsi="Cambria"/>
                <w:sz w:val="16"/>
                <w:szCs w:val="16"/>
              </w:rPr>
              <w:t>0,00%</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b/>
                <w:bCs/>
                <w:sz w:val="16"/>
                <w:szCs w:val="16"/>
              </w:rPr>
            </w:pPr>
            <w:r w:rsidRPr="00490A76">
              <w:rPr>
                <w:rFonts w:ascii="Cambria" w:hAnsi="Cambria"/>
                <w:b/>
                <w:bCs/>
                <w:sz w:val="16"/>
                <w:szCs w:val="16"/>
              </w:rPr>
              <w:t>Скорректированная цена, руб. кв.м.</w:t>
            </w:r>
          </w:p>
        </w:tc>
        <w:tc>
          <w:tcPr>
            <w:tcW w:w="699" w:type="pct"/>
            <w:shd w:val="clear" w:color="auto" w:fill="auto"/>
            <w:vAlign w:val="center"/>
            <w:hideMark/>
          </w:tcPr>
          <w:p w:rsidR="006568BA" w:rsidRPr="00490A76" w:rsidRDefault="006568BA" w:rsidP="00D70166">
            <w:pPr>
              <w:jc w:val="center"/>
              <w:rPr>
                <w:rFonts w:ascii="Cambria" w:hAnsi="Cambria"/>
                <w:b/>
                <w:bCs/>
                <w:sz w:val="16"/>
                <w:szCs w:val="16"/>
              </w:rPr>
            </w:pPr>
            <w:r w:rsidRPr="00490A76">
              <w:rPr>
                <w:rFonts w:ascii="Cambria" w:hAnsi="Cambria"/>
                <w:b/>
                <w:bCs/>
                <w:sz w:val="16"/>
                <w:szCs w:val="16"/>
              </w:rPr>
              <w:t>-</w:t>
            </w:r>
          </w:p>
        </w:tc>
        <w:tc>
          <w:tcPr>
            <w:tcW w:w="842" w:type="pct"/>
            <w:shd w:val="clear" w:color="auto" w:fill="auto"/>
            <w:noWrap/>
            <w:vAlign w:val="center"/>
            <w:hideMark/>
          </w:tcPr>
          <w:p w:rsidR="006568BA" w:rsidRDefault="006568BA" w:rsidP="00D70166">
            <w:pPr>
              <w:jc w:val="center"/>
              <w:rPr>
                <w:rFonts w:ascii="Cambria" w:hAnsi="Cambria"/>
                <w:b/>
                <w:bCs/>
                <w:sz w:val="16"/>
                <w:szCs w:val="16"/>
              </w:rPr>
            </w:pPr>
            <w:r>
              <w:rPr>
                <w:rFonts w:ascii="Cambria" w:hAnsi="Cambria"/>
                <w:b/>
                <w:bCs/>
                <w:sz w:val="16"/>
                <w:szCs w:val="16"/>
              </w:rPr>
              <w:t>17 749,51</w:t>
            </w:r>
          </w:p>
        </w:tc>
        <w:tc>
          <w:tcPr>
            <w:tcW w:w="892" w:type="pct"/>
            <w:shd w:val="clear" w:color="auto" w:fill="auto"/>
            <w:noWrap/>
            <w:vAlign w:val="center"/>
            <w:hideMark/>
          </w:tcPr>
          <w:p w:rsidR="006568BA" w:rsidRDefault="006568BA" w:rsidP="00D70166">
            <w:pPr>
              <w:jc w:val="center"/>
              <w:rPr>
                <w:rFonts w:ascii="Cambria" w:hAnsi="Cambria"/>
                <w:b/>
                <w:bCs/>
                <w:sz w:val="16"/>
                <w:szCs w:val="16"/>
              </w:rPr>
            </w:pPr>
            <w:r>
              <w:rPr>
                <w:rFonts w:ascii="Cambria" w:hAnsi="Cambria"/>
                <w:b/>
                <w:bCs/>
                <w:sz w:val="16"/>
                <w:szCs w:val="16"/>
              </w:rPr>
              <w:t>25 216,18</w:t>
            </w:r>
          </w:p>
        </w:tc>
        <w:tc>
          <w:tcPr>
            <w:tcW w:w="943" w:type="pct"/>
            <w:shd w:val="clear" w:color="auto" w:fill="auto"/>
            <w:noWrap/>
            <w:vAlign w:val="center"/>
            <w:hideMark/>
          </w:tcPr>
          <w:p w:rsidR="006568BA" w:rsidRDefault="006568BA" w:rsidP="00D70166">
            <w:pPr>
              <w:jc w:val="center"/>
              <w:rPr>
                <w:rFonts w:ascii="Cambria" w:hAnsi="Cambria"/>
                <w:b/>
                <w:bCs/>
                <w:sz w:val="16"/>
                <w:szCs w:val="16"/>
              </w:rPr>
            </w:pPr>
            <w:r>
              <w:rPr>
                <w:rFonts w:ascii="Cambria" w:hAnsi="Cambria"/>
                <w:b/>
                <w:bCs/>
                <w:sz w:val="16"/>
                <w:szCs w:val="16"/>
              </w:rPr>
              <w:t>19 134,92</w:t>
            </w:r>
          </w:p>
        </w:tc>
        <w:tc>
          <w:tcPr>
            <w:tcW w:w="793" w:type="pct"/>
            <w:shd w:val="clear" w:color="auto" w:fill="auto"/>
            <w:noWrap/>
            <w:vAlign w:val="center"/>
            <w:hideMark/>
          </w:tcPr>
          <w:p w:rsidR="006568BA" w:rsidRDefault="006568BA" w:rsidP="00D70166">
            <w:pPr>
              <w:jc w:val="center"/>
              <w:rPr>
                <w:rFonts w:ascii="Cambria" w:hAnsi="Cambria"/>
                <w:b/>
                <w:bCs/>
                <w:sz w:val="16"/>
                <w:szCs w:val="16"/>
              </w:rPr>
            </w:pPr>
            <w:r>
              <w:rPr>
                <w:rFonts w:ascii="Cambria" w:hAnsi="Cambria"/>
                <w:b/>
                <w:bCs/>
                <w:sz w:val="16"/>
                <w:szCs w:val="16"/>
              </w:rPr>
              <w:t>23 473,25</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i/>
                <w:iCs/>
                <w:sz w:val="16"/>
                <w:szCs w:val="16"/>
              </w:rPr>
            </w:pPr>
            <w:r w:rsidRPr="00490A76">
              <w:rPr>
                <w:rFonts w:ascii="Cambria" w:hAnsi="Cambria"/>
                <w:i/>
                <w:iCs/>
                <w:sz w:val="16"/>
                <w:szCs w:val="16"/>
              </w:rPr>
              <w:t>Условия рынка</w:t>
            </w:r>
          </w:p>
        </w:tc>
        <w:tc>
          <w:tcPr>
            <w:tcW w:w="699" w:type="pct"/>
            <w:shd w:val="clear" w:color="auto" w:fill="auto"/>
            <w:vAlign w:val="center"/>
            <w:hideMark/>
          </w:tcPr>
          <w:p w:rsidR="006568BA" w:rsidRPr="00490A76" w:rsidRDefault="006568BA" w:rsidP="00D70166">
            <w:pPr>
              <w:jc w:val="center"/>
              <w:rPr>
                <w:rFonts w:ascii="Cambria" w:hAnsi="Cambria"/>
                <w:sz w:val="16"/>
                <w:szCs w:val="16"/>
              </w:rPr>
            </w:pPr>
            <w:r w:rsidRPr="00490A76">
              <w:rPr>
                <w:rFonts w:ascii="Cambria" w:hAnsi="Cambria"/>
                <w:sz w:val="16"/>
                <w:szCs w:val="16"/>
              </w:rPr>
              <w:t>По состоянию август 2016</w:t>
            </w:r>
          </w:p>
        </w:tc>
        <w:tc>
          <w:tcPr>
            <w:tcW w:w="842" w:type="pct"/>
            <w:shd w:val="clear" w:color="auto" w:fill="auto"/>
            <w:vAlign w:val="center"/>
            <w:hideMark/>
          </w:tcPr>
          <w:p w:rsidR="006568BA" w:rsidRDefault="006568BA" w:rsidP="00D70166">
            <w:pPr>
              <w:jc w:val="center"/>
              <w:rPr>
                <w:rFonts w:ascii="Cambria" w:hAnsi="Cambria"/>
                <w:sz w:val="16"/>
                <w:szCs w:val="16"/>
              </w:rPr>
            </w:pPr>
            <w:r>
              <w:rPr>
                <w:rFonts w:ascii="Cambria" w:hAnsi="Cambria"/>
                <w:sz w:val="16"/>
                <w:szCs w:val="16"/>
              </w:rPr>
              <w:t>По состоянию август 2016</w:t>
            </w:r>
          </w:p>
        </w:tc>
        <w:tc>
          <w:tcPr>
            <w:tcW w:w="892" w:type="pct"/>
            <w:shd w:val="clear" w:color="auto" w:fill="auto"/>
            <w:vAlign w:val="center"/>
            <w:hideMark/>
          </w:tcPr>
          <w:p w:rsidR="006568BA" w:rsidRDefault="006568BA" w:rsidP="00D70166">
            <w:pPr>
              <w:jc w:val="center"/>
              <w:rPr>
                <w:rFonts w:ascii="Cambria" w:hAnsi="Cambria"/>
                <w:sz w:val="16"/>
                <w:szCs w:val="16"/>
              </w:rPr>
            </w:pPr>
            <w:r>
              <w:rPr>
                <w:rFonts w:ascii="Cambria" w:hAnsi="Cambria"/>
                <w:sz w:val="16"/>
                <w:szCs w:val="16"/>
              </w:rPr>
              <w:t>По состоянию август 2016</w:t>
            </w:r>
          </w:p>
        </w:tc>
        <w:tc>
          <w:tcPr>
            <w:tcW w:w="943" w:type="pct"/>
            <w:shd w:val="clear" w:color="auto" w:fill="auto"/>
            <w:vAlign w:val="center"/>
            <w:hideMark/>
          </w:tcPr>
          <w:p w:rsidR="006568BA" w:rsidRDefault="006568BA" w:rsidP="00D70166">
            <w:pPr>
              <w:jc w:val="center"/>
              <w:rPr>
                <w:rFonts w:ascii="Cambria" w:hAnsi="Cambria"/>
                <w:sz w:val="16"/>
                <w:szCs w:val="16"/>
              </w:rPr>
            </w:pPr>
            <w:r>
              <w:rPr>
                <w:rFonts w:ascii="Cambria" w:hAnsi="Cambria"/>
                <w:sz w:val="16"/>
                <w:szCs w:val="16"/>
              </w:rPr>
              <w:t>По состоянию август 2016</w:t>
            </w:r>
          </w:p>
        </w:tc>
        <w:tc>
          <w:tcPr>
            <w:tcW w:w="793" w:type="pct"/>
            <w:shd w:val="clear" w:color="auto" w:fill="auto"/>
            <w:vAlign w:val="center"/>
            <w:hideMark/>
          </w:tcPr>
          <w:p w:rsidR="006568BA" w:rsidRDefault="006568BA" w:rsidP="00D70166">
            <w:pPr>
              <w:jc w:val="center"/>
              <w:rPr>
                <w:rFonts w:ascii="Cambria" w:hAnsi="Cambria"/>
                <w:sz w:val="16"/>
                <w:szCs w:val="16"/>
              </w:rPr>
            </w:pPr>
            <w:r>
              <w:rPr>
                <w:rFonts w:ascii="Cambria" w:hAnsi="Cambria"/>
                <w:sz w:val="16"/>
                <w:szCs w:val="16"/>
              </w:rPr>
              <w:t>По состоянию август 2016</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sz w:val="16"/>
                <w:szCs w:val="16"/>
              </w:rPr>
            </w:pPr>
            <w:r w:rsidRPr="00490A76">
              <w:rPr>
                <w:rFonts w:ascii="Cambria" w:hAnsi="Cambria"/>
                <w:sz w:val="16"/>
                <w:szCs w:val="16"/>
              </w:rPr>
              <w:t>Корректировка</w:t>
            </w:r>
          </w:p>
        </w:tc>
        <w:tc>
          <w:tcPr>
            <w:tcW w:w="699" w:type="pct"/>
            <w:shd w:val="clear" w:color="auto" w:fill="auto"/>
            <w:vAlign w:val="center"/>
            <w:hideMark/>
          </w:tcPr>
          <w:p w:rsidR="006568BA" w:rsidRPr="00490A76" w:rsidRDefault="006568BA" w:rsidP="00D70166">
            <w:pPr>
              <w:jc w:val="center"/>
              <w:rPr>
                <w:rFonts w:ascii="Cambria" w:hAnsi="Cambria"/>
                <w:sz w:val="16"/>
                <w:szCs w:val="16"/>
              </w:rPr>
            </w:pPr>
            <w:r w:rsidRPr="00490A76">
              <w:rPr>
                <w:rFonts w:ascii="Cambria" w:hAnsi="Cambria"/>
                <w:sz w:val="16"/>
                <w:szCs w:val="16"/>
              </w:rPr>
              <w:t>-</w:t>
            </w:r>
          </w:p>
        </w:tc>
        <w:tc>
          <w:tcPr>
            <w:tcW w:w="842" w:type="pct"/>
            <w:shd w:val="clear" w:color="auto" w:fill="auto"/>
            <w:noWrap/>
            <w:vAlign w:val="center"/>
            <w:hideMark/>
          </w:tcPr>
          <w:p w:rsidR="006568BA" w:rsidRDefault="006568BA" w:rsidP="00D70166">
            <w:pPr>
              <w:jc w:val="center"/>
              <w:rPr>
                <w:rFonts w:ascii="Cambria" w:hAnsi="Cambria"/>
                <w:sz w:val="16"/>
                <w:szCs w:val="16"/>
              </w:rPr>
            </w:pPr>
            <w:r>
              <w:rPr>
                <w:rFonts w:ascii="Cambria" w:hAnsi="Cambria"/>
                <w:sz w:val="16"/>
                <w:szCs w:val="16"/>
              </w:rPr>
              <w:t>0,00%</w:t>
            </w:r>
          </w:p>
        </w:tc>
        <w:tc>
          <w:tcPr>
            <w:tcW w:w="892" w:type="pct"/>
            <w:shd w:val="clear" w:color="auto" w:fill="auto"/>
            <w:noWrap/>
            <w:vAlign w:val="center"/>
            <w:hideMark/>
          </w:tcPr>
          <w:p w:rsidR="006568BA" w:rsidRDefault="006568BA" w:rsidP="00D70166">
            <w:pPr>
              <w:jc w:val="center"/>
              <w:rPr>
                <w:rFonts w:ascii="Cambria" w:hAnsi="Cambria"/>
                <w:sz w:val="16"/>
                <w:szCs w:val="16"/>
              </w:rPr>
            </w:pPr>
            <w:r>
              <w:rPr>
                <w:rFonts w:ascii="Cambria" w:hAnsi="Cambria"/>
                <w:sz w:val="16"/>
                <w:szCs w:val="16"/>
              </w:rPr>
              <w:t>0,00%</w:t>
            </w:r>
          </w:p>
        </w:tc>
        <w:tc>
          <w:tcPr>
            <w:tcW w:w="943" w:type="pct"/>
            <w:shd w:val="clear" w:color="auto" w:fill="auto"/>
            <w:noWrap/>
            <w:vAlign w:val="center"/>
            <w:hideMark/>
          </w:tcPr>
          <w:p w:rsidR="006568BA" w:rsidRDefault="006568BA" w:rsidP="00D70166">
            <w:pPr>
              <w:jc w:val="center"/>
              <w:rPr>
                <w:rFonts w:ascii="Cambria" w:hAnsi="Cambria"/>
                <w:sz w:val="16"/>
                <w:szCs w:val="16"/>
              </w:rPr>
            </w:pPr>
            <w:r>
              <w:rPr>
                <w:rFonts w:ascii="Cambria" w:hAnsi="Cambria"/>
                <w:sz w:val="16"/>
                <w:szCs w:val="16"/>
              </w:rPr>
              <w:t>0,00%</w:t>
            </w:r>
          </w:p>
        </w:tc>
        <w:tc>
          <w:tcPr>
            <w:tcW w:w="793" w:type="pct"/>
            <w:shd w:val="clear" w:color="auto" w:fill="auto"/>
            <w:noWrap/>
            <w:vAlign w:val="center"/>
            <w:hideMark/>
          </w:tcPr>
          <w:p w:rsidR="006568BA" w:rsidRDefault="006568BA" w:rsidP="00D70166">
            <w:pPr>
              <w:jc w:val="center"/>
              <w:rPr>
                <w:rFonts w:ascii="Cambria" w:hAnsi="Cambria"/>
                <w:sz w:val="16"/>
                <w:szCs w:val="16"/>
              </w:rPr>
            </w:pPr>
            <w:r>
              <w:rPr>
                <w:rFonts w:ascii="Cambria" w:hAnsi="Cambria"/>
                <w:sz w:val="16"/>
                <w:szCs w:val="16"/>
              </w:rPr>
              <w:t>0,00%</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b/>
                <w:bCs/>
                <w:sz w:val="16"/>
                <w:szCs w:val="16"/>
              </w:rPr>
            </w:pPr>
            <w:r w:rsidRPr="00490A76">
              <w:rPr>
                <w:rFonts w:ascii="Cambria" w:hAnsi="Cambria"/>
                <w:b/>
                <w:bCs/>
                <w:sz w:val="16"/>
                <w:szCs w:val="16"/>
              </w:rPr>
              <w:t>Скорректированная цена, руб. кв.м.</w:t>
            </w:r>
          </w:p>
        </w:tc>
        <w:tc>
          <w:tcPr>
            <w:tcW w:w="699" w:type="pct"/>
            <w:shd w:val="clear" w:color="auto" w:fill="auto"/>
            <w:vAlign w:val="center"/>
            <w:hideMark/>
          </w:tcPr>
          <w:p w:rsidR="006568BA" w:rsidRPr="00490A76" w:rsidRDefault="006568BA" w:rsidP="00D70166">
            <w:pPr>
              <w:jc w:val="center"/>
              <w:rPr>
                <w:rFonts w:ascii="Cambria" w:hAnsi="Cambria"/>
                <w:b/>
                <w:bCs/>
                <w:sz w:val="16"/>
                <w:szCs w:val="16"/>
              </w:rPr>
            </w:pPr>
            <w:r w:rsidRPr="00490A76">
              <w:rPr>
                <w:rFonts w:ascii="Cambria" w:hAnsi="Cambria"/>
                <w:b/>
                <w:bCs/>
                <w:sz w:val="16"/>
                <w:szCs w:val="16"/>
              </w:rPr>
              <w:t>-</w:t>
            </w:r>
          </w:p>
        </w:tc>
        <w:tc>
          <w:tcPr>
            <w:tcW w:w="842" w:type="pct"/>
            <w:shd w:val="clear" w:color="auto" w:fill="auto"/>
            <w:noWrap/>
            <w:vAlign w:val="center"/>
            <w:hideMark/>
          </w:tcPr>
          <w:p w:rsidR="006568BA" w:rsidRDefault="006568BA" w:rsidP="00D70166">
            <w:pPr>
              <w:jc w:val="center"/>
              <w:rPr>
                <w:rFonts w:ascii="Cambria" w:hAnsi="Cambria"/>
                <w:b/>
                <w:bCs/>
                <w:sz w:val="16"/>
                <w:szCs w:val="16"/>
              </w:rPr>
            </w:pPr>
            <w:r>
              <w:rPr>
                <w:rFonts w:ascii="Cambria" w:hAnsi="Cambria"/>
                <w:b/>
                <w:bCs/>
                <w:sz w:val="16"/>
                <w:szCs w:val="16"/>
              </w:rPr>
              <w:t>17 749,51</w:t>
            </w:r>
          </w:p>
        </w:tc>
        <w:tc>
          <w:tcPr>
            <w:tcW w:w="892" w:type="pct"/>
            <w:shd w:val="clear" w:color="auto" w:fill="auto"/>
            <w:noWrap/>
            <w:vAlign w:val="center"/>
            <w:hideMark/>
          </w:tcPr>
          <w:p w:rsidR="006568BA" w:rsidRDefault="006568BA" w:rsidP="00D70166">
            <w:pPr>
              <w:jc w:val="center"/>
              <w:rPr>
                <w:rFonts w:ascii="Cambria" w:hAnsi="Cambria"/>
                <w:b/>
                <w:bCs/>
                <w:sz w:val="16"/>
                <w:szCs w:val="16"/>
              </w:rPr>
            </w:pPr>
            <w:r>
              <w:rPr>
                <w:rFonts w:ascii="Cambria" w:hAnsi="Cambria"/>
                <w:b/>
                <w:bCs/>
                <w:sz w:val="16"/>
                <w:szCs w:val="16"/>
              </w:rPr>
              <w:t>25 216,18</w:t>
            </w:r>
          </w:p>
        </w:tc>
        <w:tc>
          <w:tcPr>
            <w:tcW w:w="943" w:type="pct"/>
            <w:shd w:val="clear" w:color="auto" w:fill="auto"/>
            <w:noWrap/>
            <w:vAlign w:val="center"/>
            <w:hideMark/>
          </w:tcPr>
          <w:p w:rsidR="006568BA" w:rsidRDefault="006568BA" w:rsidP="00D70166">
            <w:pPr>
              <w:jc w:val="center"/>
              <w:rPr>
                <w:rFonts w:ascii="Cambria" w:hAnsi="Cambria"/>
                <w:b/>
                <w:bCs/>
                <w:sz w:val="16"/>
                <w:szCs w:val="16"/>
              </w:rPr>
            </w:pPr>
            <w:r>
              <w:rPr>
                <w:rFonts w:ascii="Cambria" w:hAnsi="Cambria"/>
                <w:b/>
                <w:bCs/>
                <w:sz w:val="16"/>
                <w:szCs w:val="16"/>
              </w:rPr>
              <w:t>19 134,92</w:t>
            </w:r>
          </w:p>
        </w:tc>
        <w:tc>
          <w:tcPr>
            <w:tcW w:w="793" w:type="pct"/>
            <w:shd w:val="clear" w:color="auto" w:fill="auto"/>
            <w:noWrap/>
            <w:vAlign w:val="center"/>
            <w:hideMark/>
          </w:tcPr>
          <w:p w:rsidR="006568BA" w:rsidRDefault="006568BA" w:rsidP="00D70166">
            <w:pPr>
              <w:jc w:val="center"/>
              <w:rPr>
                <w:rFonts w:ascii="Cambria" w:hAnsi="Cambria"/>
                <w:b/>
                <w:bCs/>
                <w:sz w:val="16"/>
                <w:szCs w:val="16"/>
              </w:rPr>
            </w:pPr>
            <w:r>
              <w:rPr>
                <w:rFonts w:ascii="Cambria" w:hAnsi="Cambria"/>
                <w:b/>
                <w:bCs/>
                <w:sz w:val="16"/>
                <w:szCs w:val="16"/>
              </w:rPr>
              <w:t>23 473,25</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i/>
                <w:iCs/>
                <w:sz w:val="16"/>
                <w:szCs w:val="16"/>
              </w:rPr>
            </w:pPr>
            <w:r w:rsidRPr="00490A76">
              <w:rPr>
                <w:rFonts w:ascii="Cambria" w:hAnsi="Cambria"/>
                <w:i/>
                <w:iCs/>
                <w:sz w:val="16"/>
                <w:szCs w:val="16"/>
              </w:rPr>
              <w:t>Условия продажи</w:t>
            </w:r>
          </w:p>
        </w:tc>
        <w:tc>
          <w:tcPr>
            <w:tcW w:w="699" w:type="pct"/>
            <w:shd w:val="clear" w:color="auto" w:fill="auto"/>
            <w:vAlign w:val="center"/>
            <w:hideMark/>
          </w:tcPr>
          <w:p w:rsidR="006568BA" w:rsidRPr="00490A76" w:rsidRDefault="006568BA" w:rsidP="00D70166">
            <w:pPr>
              <w:jc w:val="center"/>
              <w:rPr>
                <w:rFonts w:ascii="Cambria" w:hAnsi="Cambria"/>
                <w:sz w:val="16"/>
                <w:szCs w:val="16"/>
              </w:rPr>
            </w:pPr>
            <w:r w:rsidRPr="00490A76">
              <w:rPr>
                <w:rFonts w:ascii="Cambria" w:hAnsi="Cambria"/>
                <w:sz w:val="16"/>
                <w:szCs w:val="16"/>
              </w:rPr>
              <w:t>Цена сделки</w:t>
            </w:r>
          </w:p>
        </w:tc>
        <w:tc>
          <w:tcPr>
            <w:tcW w:w="842" w:type="pct"/>
            <w:shd w:val="clear" w:color="auto" w:fill="auto"/>
            <w:vAlign w:val="center"/>
            <w:hideMark/>
          </w:tcPr>
          <w:p w:rsidR="006568BA" w:rsidRDefault="006568BA" w:rsidP="00D70166">
            <w:pPr>
              <w:jc w:val="center"/>
              <w:rPr>
                <w:rFonts w:ascii="Cambria" w:hAnsi="Cambria"/>
                <w:sz w:val="16"/>
                <w:szCs w:val="16"/>
              </w:rPr>
            </w:pPr>
            <w:r>
              <w:rPr>
                <w:rFonts w:ascii="Cambria" w:hAnsi="Cambria"/>
                <w:sz w:val="16"/>
                <w:szCs w:val="16"/>
              </w:rPr>
              <w:t>Торг возможен</w:t>
            </w:r>
          </w:p>
        </w:tc>
        <w:tc>
          <w:tcPr>
            <w:tcW w:w="892" w:type="pct"/>
            <w:shd w:val="clear" w:color="auto" w:fill="auto"/>
            <w:vAlign w:val="center"/>
            <w:hideMark/>
          </w:tcPr>
          <w:p w:rsidR="006568BA" w:rsidRDefault="006568BA" w:rsidP="00D70166">
            <w:pPr>
              <w:jc w:val="center"/>
              <w:rPr>
                <w:rFonts w:ascii="Cambria" w:hAnsi="Cambria"/>
                <w:sz w:val="16"/>
                <w:szCs w:val="16"/>
              </w:rPr>
            </w:pPr>
            <w:r>
              <w:rPr>
                <w:rFonts w:ascii="Cambria" w:hAnsi="Cambria"/>
                <w:sz w:val="16"/>
                <w:szCs w:val="16"/>
              </w:rPr>
              <w:t>Торг возможен</w:t>
            </w:r>
          </w:p>
        </w:tc>
        <w:tc>
          <w:tcPr>
            <w:tcW w:w="943" w:type="pct"/>
            <w:shd w:val="clear" w:color="auto" w:fill="auto"/>
            <w:vAlign w:val="center"/>
            <w:hideMark/>
          </w:tcPr>
          <w:p w:rsidR="006568BA" w:rsidRDefault="006568BA" w:rsidP="00D70166">
            <w:pPr>
              <w:jc w:val="center"/>
              <w:rPr>
                <w:rFonts w:ascii="Cambria" w:hAnsi="Cambria"/>
                <w:sz w:val="16"/>
                <w:szCs w:val="16"/>
              </w:rPr>
            </w:pPr>
            <w:r>
              <w:rPr>
                <w:rFonts w:ascii="Cambria" w:hAnsi="Cambria"/>
                <w:sz w:val="16"/>
                <w:szCs w:val="16"/>
              </w:rPr>
              <w:t>Торг возможен</w:t>
            </w:r>
          </w:p>
        </w:tc>
        <w:tc>
          <w:tcPr>
            <w:tcW w:w="793" w:type="pct"/>
            <w:shd w:val="clear" w:color="auto" w:fill="auto"/>
            <w:vAlign w:val="center"/>
            <w:hideMark/>
          </w:tcPr>
          <w:p w:rsidR="006568BA" w:rsidRDefault="006568BA" w:rsidP="00D70166">
            <w:pPr>
              <w:jc w:val="center"/>
              <w:rPr>
                <w:rFonts w:ascii="Cambria" w:hAnsi="Cambria"/>
                <w:sz w:val="16"/>
                <w:szCs w:val="16"/>
              </w:rPr>
            </w:pPr>
            <w:r>
              <w:rPr>
                <w:rFonts w:ascii="Cambria" w:hAnsi="Cambria"/>
                <w:sz w:val="16"/>
                <w:szCs w:val="16"/>
              </w:rPr>
              <w:t>Торг возможен</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sz w:val="16"/>
                <w:szCs w:val="16"/>
              </w:rPr>
            </w:pPr>
            <w:r w:rsidRPr="00490A76">
              <w:rPr>
                <w:rFonts w:ascii="Cambria" w:hAnsi="Cambria"/>
                <w:sz w:val="16"/>
                <w:szCs w:val="16"/>
              </w:rPr>
              <w:t>Корректировка</w:t>
            </w:r>
          </w:p>
        </w:tc>
        <w:tc>
          <w:tcPr>
            <w:tcW w:w="699" w:type="pct"/>
            <w:shd w:val="clear" w:color="auto" w:fill="auto"/>
            <w:vAlign w:val="center"/>
            <w:hideMark/>
          </w:tcPr>
          <w:p w:rsidR="006568BA" w:rsidRPr="00490A76" w:rsidRDefault="006568BA" w:rsidP="00D70166">
            <w:pPr>
              <w:jc w:val="center"/>
              <w:rPr>
                <w:rFonts w:ascii="Cambria" w:hAnsi="Cambria"/>
                <w:sz w:val="16"/>
                <w:szCs w:val="16"/>
              </w:rPr>
            </w:pPr>
            <w:r w:rsidRPr="00490A76">
              <w:rPr>
                <w:rFonts w:ascii="Cambria" w:hAnsi="Cambria"/>
                <w:sz w:val="16"/>
                <w:szCs w:val="16"/>
              </w:rPr>
              <w:t>-</w:t>
            </w:r>
          </w:p>
        </w:tc>
        <w:tc>
          <w:tcPr>
            <w:tcW w:w="842" w:type="pct"/>
            <w:shd w:val="clear" w:color="auto" w:fill="auto"/>
            <w:noWrap/>
            <w:vAlign w:val="center"/>
            <w:hideMark/>
          </w:tcPr>
          <w:p w:rsidR="006568BA" w:rsidRDefault="006568BA" w:rsidP="00D70166">
            <w:pPr>
              <w:jc w:val="center"/>
              <w:rPr>
                <w:rFonts w:ascii="Cambria" w:hAnsi="Cambria"/>
                <w:sz w:val="16"/>
                <w:szCs w:val="16"/>
              </w:rPr>
            </w:pPr>
            <w:r>
              <w:rPr>
                <w:rFonts w:ascii="Cambria" w:hAnsi="Cambria"/>
                <w:sz w:val="16"/>
                <w:szCs w:val="16"/>
              </w:rPr>
              <w:t>-10,00%</w:t>
            </w:r>
          </w:p>
        </w:tc>
        <w:tc>
          <w:tcPr>
            <w:tcW w:w="892" w:type="pct"/>
            <w:shd w:val="clear" w:color="auto" w:fill="auto"/>
            <w:noWrap/>
            <w:vAlign w:val="center"/>
            <w:hideMark/>
          </w:tcPr>
          <w:p w:rsidR="006568BA" w:rsidRDefault="006568BA" w:rsidP="00D70166">
            <w:pPr>
              <w:jc w:val="center"/>
              <w:rPr>
                <w:rFonts w:ascii="Cambria" w:hAnsi="Cambria"/>
                <w:sz w:val="16"/>
                <w:szCs w:val="16"/>
              </w:rPr>
            </w:pPr>
            <w:r>
              <w:rPr>
                <w:rFonts w:ascii="Cambria" w:hAnsi="Cambria"/>
                <w:sz w:val="16"/>
                <w:szCs w:val="16"/>
              </w:rPr>
              <w:t>-10,00%</w:t>
            </w:r>
          </w:p>
        </w:tc>
        <w:tc>
          <w:tcPr>
            <w:tcW w:w="943" w:type="pct"/>
            <w:shd w:val="clear" w:color="auto" w:fill="auto"/>
            <w:noWrap/>
            <w:vAlign w:val="center"/>
            <w:hideMark/>
          </w:tcPr>
          <w:p w:rsidR="006568BA" w:rsidRDefault="006568BA" w:rsidP="00D70166">
            <w:pPr>
              <w:jc w:val="center"/>
              <w:rPr>
                <w:rFonts w:ascii="Cambria" w:hAnsi="Cambria"/>
                <w:sz w:val="16"/>
                <w:szCs w:val="16"/>
              </w:rPr>
            </w:pPr>
            <w:r>
              <w:rPr>
                <w:rFonts w:ascii="Cambria" w:hAnsi="Cambria"/>
                <w:sz w:val="16"/>
                <w:szCs w:val="16"/>
              </w:rPr>
              <w:t>-10,00%</w:t>
            </w:r>
          </w:p>
        </w:tc>
        <w:tc>
          <w:tcPr>
            <w:tcW w:w="793" w:type="pct"/>
            <w:shd w:val="clear" w:color="auto" w:fill="auto"/>
            <w:noWrap/>
            <w:vAlign w:val="center"/>
            <w:hideMark/>
          </w:tcPr>
          <w:p w:rsidR="006568BA" w:rsidRDefault="006568BA" w:rsidP="00D70166">
            <w:pPr>
              <w:jc w:val="center"/>
              <w:rPr>
                <w:rFonts w:ascii="Cambria" w:hAnsi="Cambria"/>
                <w:sz w:val="16"/>
                <w:szCs w:val="16"/>
              </w:rPr>
            </w:pPr>
            <w:r>
              <w:rPr>
                <w:rFonts w:ascii="Cambria" w:hAnsi="Cambria"/>
                <w:sz w:val="16"/>
                <w:szCs w:val="16"/>
              </w:rPr>
              <w:t>-10,00%</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b/>
                <w:bCs/>
                <w:sz w:val="16"/>
                <w:szCs w:val="16"/>
              </w:rPr>
            </w:pPr>
            <w:r w:rsidRPr="00490A76">
              <w:rPr>
                <w:rFonts w:ascii="Cambria" w:hAnsi="Cambria"/>
                <w:b/>
                <w:bCs/>
                <w:sz w:val="16"/>
                <w:szCs w:val="16"/>
              </w:rPr>
              <w:t>Скорректированная цена, руб. кв.м.</w:t>
            </w:r>
          </w:p>
        </w:tc>
        <w:tc>
          <w:tcPr>
            <w:tcW w:w="699" w:type="pct"/>
            <w:shd w:val="clear" w:color="auto" w:fill="auto"/>
            <w:vAlign w:val="center"/>
            <w:hideMark/>
          </w:tcPr>
          <w:p w:rsidR="006568BA" w:rsidRPr="00490A76" w:rsidRDefault="006568BA" w:rsidP="00D70166">
            <w:pPr>
              <w:jc w:val="center"/>
              <w:rPr>
                <w:rFonts w:ascii="Cambria" w:hAnsi="Cambria"/>
                <w:b/>
                <w:bCs/>
                <w:sz w:val="16"/>
                <w:szCs w:val="16"/>
              </w:rPr>
            </w:pPr>
            <w:r w:rsidRPr="00490A76">
              <w:rPr>
                <w:rFonts w:ascii="Cambria" w:hAnsi="Cambria"/>
                <w:b/>
                <w:bCs/>
                <w:sz w:val="16"/>
                <w:szCs w:val="16"/>
              </w:rPr>
              <w:t>-</w:t>
            </w:r>
          </w:p>
        </w:tc>
        <w:tc>
          <w:tcPr>
            <w:tcW w:w="842" w:type="pct"/>
            <w:shd w:val="clear" w:color="auto" w:fill="auto"/>
            <w:noWrap/>
            <w:vAlign w:val="center"/>
            <w:hideMark/>
          </w:tcPr>
          <w:p w:rsidR="006568BA" w:rsidRDefault="006568BA" w:rsidP="00D70166">
            <w:pPr>
              <w:jc w:val="center"/>
              <w:rPr>
                <w:rFonts w:ascii="Cambria" w:hAnsi="Cambria"/>
                <w:b/>
                <w:bCs/>
                <w:sz w:val="16"/>
                <w:szCs w:val="16"/>
              </w:rPr>
            </w:pPr>
            <w:r>
              <w:rPr>
                <w:rFonts w:ascii="Cambria" w:hAnsi="Cambria"/>
                <w:b/>
                <w:bCs/>
                <w:sz w:val="16"/>
                <w:szCs w:val="16"/>
              </w:rPr>
              <w:t>15 974,56</w:t>
            </w:r>
          </w:p>
        </w:tc>
        <w:tc>
          <w:tcPr>
            <w:tcW w:w="892" w:type="pct"/>
            <w:shd w:val="clear" w:color="auto" w:fill="auto"/>
            <w:noWrap/>
            <w:vAlign w:val="center"/>
            <w:hideMark/>
          </w:tcPr>
          <w:p w:rsidR="006568BA" w:rsidRDefault="006568BA" w:rsidP="00D70166">
            <w:pPr>
              <w:jc w:val="center"/>
              <w:rPr>
                <w:rFonts w:ascii="Cambria" w:hAnsi="Cambria"/>
                <w:b/>
                <w:bCs/>
                <w:sz w:val="16"/>
                <w:szCs w:val="16"/>
              </w:rPr>
            </w:pPr>
            <w:r>
              <w:rPr>
                <w:rFonts w:ascii="Cambria" w:hAnsi="Cambria"/>
                <w:b/>
                <w:bCs/>
                <w:sz w:val="16"/>
                <w:szCs w:val="16"/>
              </w:rPr>
              <w:t>22 694,56</w:t>
            </w:r>
          </w:p>
        </w:tc>
        <w:tc>
          <w:tcPr>
            <w:tcW w:w="943" w:type="pct"/>
            <w:shd w:val="clear" w:color="auto" w:fill="auto"/>
            <w:noWrap/>
            <w:vAlign w:val="center"/>
            <w:hideMark/>
          </w:tcPr>
          <w:p w:rsidR="006568BA" w:rsidRDefault="006568BA" w:rsidP="00D70166">
            <w:pPr>
              <w:jc w:val="center"/>
              <w:rPr>
                <w:rFonts w:ascii="Cambria" w:hAnsi="Cambria"/>
                <w:b/>
                <w:bCs/>
                <w:sz w:val="16"/>
                <w:szCs w:val="16"/>
              </w:rPr>
            </w:pPr>
            <w:r>
              <w:rPr>
                <w:rFonts w:ascii="Cambria" w:hAnsi="Cambria"/>
                <w:b/>
                <w:bCs/>
                <w:sz w:val="16"/>
                <w:szCs w:val="16"/>
              </w:rPr>
              <w:t>17 221,43</w:t>
            </w:r>
          </w:p>
        </w:tc>
        <w:tc>
          <w:tcPr>
            <w:tcW w:w="793" w:type="pct"/>
            <w:shd w:val="clear" w:color="auto" w:fill="auto"/>
            <w:noWrap/>
            <w:vAlign w:val="center"/>
            <w:hideMark/>
          </w:tcPr>
          <w:p w:rsidR="006568BA" w:rsidRDefault="006568BA" w:rsidP="00D70166">
            <w:pPr>
              <w:jc w:val="center"/>
              <w:rPr>
                <w:rFonts w:ascii="Cambria" w:hAnsi="Cambria"/>
                <w:b/>
                <w:bCs/>
                <w:sz w:val="16"/>
                <w:szCs w:val="16"/>
              </w:rPr>
            </w:pPr>
            <w:r>
              <w:rPr>
                <w:rFonts w:ascii="Cambria" w:hAnsi="Cambria"/>
                <w:b/>
                <w:bCs/>
                <w:sz w:val="16"/>
                <w:szCs w:val="16"/>
              </w:rPr>
              <w:t>21 125,93</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i/>
                <w:iCs/>
                <w:color w:val="000000"/>
                <w:sz w:val="16"/>
                <w:szCs w:val="16"/>
              </w:rPr>
            </w:pPr>
            <w:r w:rsidRPr="00490A76">
              <w:rPr>
                <w:rFonts w:ascii="Cambria" w:hAnsi="Cambria"/>
                <w:i/>
                <w:iCs/>
                <w:color w:val="000000"/>
                <w:sz w:val="16"/>
                <w:szCs w:val="16"/>
              </w:rPr>
              <w:lastRenderedPageBreak/>
              <w:t>Вид использования</w:t>
            </w:r>
          </w:p>
        </w:tc>
        <w:tc>
          <w:tcPr>
            <w:tcW w:w="699" w:type="pct"/>
            <w:shd w:val="clear" w:color="auto" w:fill="auto"/>
            <w:vAlign w:val="center"/>
            <w:hideMark/>
          </w:tcPr>
          <w:p w:rsidR="006568BA" w:rsidRPr="00490A76" w:rsidRDefault="006568BA" w:rsidP="00D70166">
            <w:pPr>
              <w:jc w:val="center"/>
              <w:rPr>
                <w:rFonts w:ascii="Cambria" w:hAnsi="Cambria"/>
                <w:color w:val="000000"/>
                <w:sz w:val="16"/>
                <w:szCs w:val="16"/>
              </w:rPr>
            </w:pPr>
            <w:r w:rsidRPr="00490A76">
              <w:rPr>
                <w:rFonts w:ascii="Cambria" w:hAnsi="Cambria"/>
                <w:color w:val="000000"/>
                <w:sz w:val="16"/>
                <w:szCs w:val="16"/>
              </w:rPr>
              <w:t>ПСН</w:t>
            </w:r>
          </w:p>
        </w:tc>
        <w:tc>
          <w:tcPr>
            <w:tcW w:w="842" w:type="pct"/>
            <w:shd w:val="clear" w:color="auto" w:fill="auto"/>
            <w:vAlign w:val="center"/>
            <w:hideMark/>
          </w:tcPr>
          <w:p w:rsidR="006568BA" w:rsidRDefault="006568BA" w:rsidP="00D70166">
            <w:pPr>
              <w:jc w:val="center"/>
              <w:rPr>
                <w:rFonts w:ascii="Cambria" w:hAnsi="Cambria"/>
                <w:color w:val="000000"/>
                <w:sz w:val="16"/>
                <w:szCs w:val="16"/>
              </w:rPr>
            </w:pPr>
            <w:r>
              <w:rPr>
                <w:rFonts w:ascii="Cambria" w:hAnsi="Cambria"/>
                <w:color w:val="000000"/>
                <w:sz w:val="16"/>
                <w:szCs w:val="16"/>
              </w:rPr>
              <w:t>ПСН</w:t>
            </w:r>
          </w:p>
        </w:tc>
        <w:tc>
          <w:tcPr>
            <w:tcW w:w="892" w:type="pct"/>
            <w:shd w:val="clear" w:color="auto" w:fill="auto"/>
            <w:vAlign w:val="center"/>
            <w:hideMark/>
          </w:tcPr>
          <w:p w:rsidR="006568BA" w:rsidRDefault="006568BA" w:rsidP="00D70166">
            <w:pPr>
              <w:jc w:val="center"/>
              <w:rPr>
                <w:rFonts w:ascii="Cambria" w:hAnsi="Cambria"/>
                <w:color w:val="000000"/>
                <w:sz w:val="16"/>
                <w:szCs w:val="16"/>
              </w:rPr>
            </w:pPr>
            <w:r>
              <w:rPr>
                <w:rFonts w:ascii="Cambria" w:hAnsi="Cambria"/>
                <w:color w:val="000000"/>
                <w:sz w:val="16"/>
                <w:szCs w:val="16"/>
              </w:rPr>
              <w:t>ПСН</w:t>
            </w:r>
          </w:p>
        </w:tc>
        <w:tc>
          <w:tcPr>
            <w:tcW w:w="943" w:type="pct"/>
            <w:shd w:val="clear" w:color="auto" w:fill="auto"/>
            <w:vAlign w:val="center"/>
            <w:hideMark/>
          </w:tcPr>
          <w:p w:rsidR="006568BA" w:rsidRDefault="006568BA" w:rsidP="00D70166">
            <w:pPr>
              <w:jc w:val="center"/>
              <w:rPr>
                <w:rFonts w:ascii="Cambria" w:hAnsi="Cambria"/>
                <w:color w:val="000000"/>
                <w:sz w:val="16"/>
                <w:szCs w:val="16"/>
              </w:rPr>
            </w:pPr>
            <w:r>
              <w:rPr>
                <w:rFonts w:ascii="Cambria" w:hAnsi="Cambria"/>
                <w:color w:val="000000"/>
                <w:sz w:val="16"/>
                <w:szCs w:val="16"/>
              </w:rPr>
              <w:t>ПСН</w:t>
            </w:r>
          </w:p>
        </w:tc>
        <w:tc>
          <w:tcPr>
            <w:tcW w:w="793" w:type="pct"/>
            <w:shd w:val="clear" w:color="auto" w:fill="auto"/>
            <w:vAlign w:val="center"/>
            <w:hideMark/>
          </w:tcPr>
          <w:p w:rsidR="006568BA" w:rsidRDefault="006568BA" w:rsidP="00D70166">
            <w:pPr>
              <w:jc w:val="center"/>
              <w:rPr>
                <w:rFonts w:ascii="Cambria" w:hAnsi="Cambria"/>
                <w:color w:val="000000"/>
                <w:sz w:val="16"/>
                <w:szCs w:val="16"/>
              </w:rPr>
            </w:pPr>
            <w:r>
              <w:rPr>
                <w:rFonts w:ascii="Cambria" w:hAnsi="Cambria"/>
                <w:color w:val="000000"/>
                <w:sz w:val="16"/>
                <w:szCs w:val="16"/>
              </w:rPr>
              <w:t>ПСН</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sz w:val="16"/>
                <w:szCs w:val="16"/>
              </w:rPr>
            </w:pPr>
            <w:r w:rsidRPr="00490A76">
              <w:rPr>
                <w:rFonts w:ascii="Cambria" w:hAnsi="Cambria"/>
                <w:sz w:val="16"/>
                <w:szCs w:val="16"/>
              </w:rPr>
              <w:t>Корректировка</w:t>
            </w:r>
          </w:p>
        </w:tc>
        <w:tc>
          <w:tcPr>
            <w:tcW w:w="699" w:type="pct"/>
            <w:shd w:val="clear" w:color="auto" w:fill="auto"/>
            <w:vAlign w:val="center"/>
            <w:hideMark/>
          </w:tcPr>
          <w:p w:rsidR="006568BA" w:rsidRPr="00490A76" w:rsidRDefault="006568BA" w:rsidP="00D70166">
            <w:pPr>
              <w:jc w:val="center"/>
              <w:rPr>
                <w:rFonts w:ascii="Cambria" w:hAnsi="Cambria"/>
                <w:sz w:val="16"/>
                <w:szCs w:val="16"/>
              </w:rPr>
            </w:pPr>
            <w:r w:rsidRPr="00490A76">
              <w:rPr>
                <w:rFonts w:ascii="Cambria" w:hAnsi="Cambria"/>
                <w:sz w:val="16"/>
                <w:szCs w:val="16"/>
              </w:rPr>
              <w:t>-</w:t>
            </w:r>
          </w:p>
        </w:tc>
        <w:tc>
          <w:tcPr>
            <w:tcW w:w="842" w:type="pct"/>
            <w:shd w:val="clear" w:color="auto" w:fill="auto"/>
            <w:vAlign w:val="center"/>
            <w:hideMark/>
          </w:tcPr>
          <w:p w:rsidR="006568BA" w:rsidRDefault="006568BA" w:rsidP="00D70166">
            <w:pPr>
              <w:jc w:val="center"/>
              <w:rPr>
                <w:rFonts w:ascii="Cambria" w:hAnsi="Cambria"/>
                <w:sz w:val="16"/>
                <w:szCs w:val="16"/>
              </w:rPr>
            </w:pPr>
            <w:r>
              <w:rPr>
                <w:rFonts w:ascii="Cambria" w:hAnsi="Cambria"/>
                <w:sz w:val="16"/>
                <w:szCs w:val="16"/>
              </w:rPr>
              <w:t>0,00%</w:t>
            </w:r>
          </w:p>
        </w:tc>
        <w:tc>
          <w:tcPr>
            <w:tcW w:w="892" w:type="pct"/>
            <w:shd w:val="clear" w:color="auto" w:fill="auto"/>
            <w:vAlign w:val="center"/>
            <w:hideMark/>
          </w:tcPr>
          <w:p w:rsidR="006568BA" w:rsidRDefault="006568BA" w:rsidP="00D70166">
            <w:pPr>
              <w:jc w:val="center"/>
              <w:rPr>
                <w:rFonts w:ascii="Cambria" w:hAnsi="Cambria"/>
                <w:sz w:val="16"/>
                <w:szCs w:val="16"/>
              </w:rPr>
            </w:pPr>
            <w:r>
              <w:rPr>
                <w:rFonts w:ascii="Cambria" w:hAnsi="Cambria"/>
                <w:sz w:val="16"/>
                <w:szCs w:val="16"/>
              </w:rPr>
              <w:t>0,00%</w:t>
            </w:r>
          </w:p>
        </w:tc>
        <w:tc>
          <w:tcPr>
            <w:tcW w:w="943" w:type="pct"/>
            <w:shd w:val="clear" w:color="auto" w:fill="auto"/>
            <w:vAlign w:val="center"/>
            <w:hideMark/>
          </w:tcPr>
          <w:p w:rsidR="006568BA" w:rsidRDefault="006568BA" w:rsidP="00D70166">
            <w:pPr>
              <w:jc w:val="center"/>
              <w:rPr>
                <w:rFonts w:ascii="Cambria" w:hAnsi="Cambria"/>
                <w:sz w:val="16"/>
                <w:szCs w:val="16"/>
              </w:rPr>
            </w:pPr>
            <w:r>
              <w:rPr>
                <w:rFonts w:ascii="Cambria" w:hAnsi="Cambria"/>
                <w:sz w:val="16"/>
                <w:szCs w:val="16"/>
              </w:rPr>
              <w:t>0,00%</w:t>
            </w:r>
          </w:p>
        </w:tc>
        <w:tc>
          <w:tcPr>
            <w:tcW w:w="793" w:type="pct"/>
            <w:shd w:val="clear" w:color="auto" w:fill="auto"/>
            <w:vAlign w:val="center"/>
            <w:hideMark/>
          </w:tcPr>
          <w:p w:rsidR="006568BA" w:rsidRDefault="006568BA" w:rsidP="00D70166">
            <w:pPr>
              <w:jc w:val="center"/>
              <w:rPr>
                <w:rFonts w:ascii="Cambria" w:hAnsi="Cambria"/>
                <w:sz w:val="16"/>
                <w:szCs w:val="16"/>
              </w:rPr>
            </w:pPr>
            <w:r>
              <w:rPr>
                <w:rFonts w:ascii="Cambria" w:hAnsi="Cambria"/>
                <w:sz w:val="16"/>
                <w:szCs w:val="16"/>
              </w:rPr>
              <w:t>0,00%</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b/>
                <w:bCs/>
                <w:sz w:val="16"/>
                <w:szCs w:val="16"/>
              </w:rPr>
            </w:pPr>
            <w:r w:rsidRPr="00490A76">
              <w:rPr>
                <w:rFonts w:ascii="Cambria" w:hAnsi="Cambria"/>
                <w:b/>
                <w:bCs/>
                <w:sz w:val="16"/>
                <w:szCs w:val="16"/>
              </w:rPr>
              <w:t>Скорректированная цена, руб. кв.м.</w:t>
            </w:r>
          </w:p>
        </w:tc>
        <w:tc>
          <w:tcPr>
            <w:tcW w:w="699" w:type="pct"/>
            <w:shd w:val="clear" w:color="auto" w:fill="auto"/>
            <w:vAlign w:val="center"/>
            <w:hideMark/>
          </w:tcPr>
          <w:p w:rsidR="006568BA" w:rsidRPr="00490A76" w:rsidRDefault="006568BA" w:rsidP="00D70166">
            <w:pPr>
              <w:jc w:val="center"/>
              <w:rPr>
                <w:rFonts w:ascii="Cambria" w:hAnsi="Cambria"/>
                <w:sz w:val="16"/>
                <w:szCs w:val="16"/>
              </w:rPr>
            </w:pPr>
            <w:r w:rsidRPr="00490A76">
              <w:rPr>
                <w:rFonts w:ascii="Cambria" w:hAnsi="Cambria"/>
                <w:sz w:val="16"/>
                <w:szCs w:val="16"/>
              </w:rPr>
              <w:t>-</w:t>
            </w:r>
          </w:p>
        </w:tc>
        <w:tc>
          <w:tcPr>
            <w:tcW w:w="842" w:type="pct"/>
            <w:shd w:val="clear" w:color="auto" w:fill="auto"/>
            <w:noWrap/>
            <w:vAlign w:val="center"/>
            <w:hideMark/>
          </w:tcPr>
          <w:p w:rsidR="006568BA" w:rsidRDefault="006568BA" w:rsidP="00D70166">
            <w:pPr>
              <w:jc w:val="center"/>
              <w:rPr>
                <w:rFonts w:ascii="Cambria" w:hAnsi="Cambria"/>
                <w:b/>
                <w:bCs/>
                <w:sz w:val="16"/>
                <w:szCs w:val="16"/>
              </w:rPr>
            </w:pPr>
            <w:r>
              <w:rPr>
                <w:rFonts w:ascii="Cambria" w:hAnsi="Cambria"/>
                <w:b/>
                <w:bCs/>
                <w:sz w:val="16"/>
                <w:szCs w:val="16"/>
              </w:rPr>
              <w:t>15 974,56</w:t>
            </w:r>
          </w:p>
        </w:tc>
        <w:tc>
          <w:tcPr>
            <w:tcW w:w="892" w:type="pct"/>
            <w:shd w:val="clear" w:color="auto" w:fill="auto"/>
            <w:noWrap/>
            <w:vAlign w:val="center"/>
            <w:hideMark/>
          </w:tcPr>
          <w:p w:rsidR="006568BA" w:rsidRDefault="006568BA" w:rsidP="00D70166">
            <w:pPr>
              <w:jc w:val="center"/>
              <w:rPr>
                <w:rFonts w:ascii="Cambria" w:hAnsi="Cambria"/>
                <w:b/>
                <w:bCs/>
                <w:sz w:val="16"/>
                <w:szCs w:val="16"/>
              </w:rPr>
            </w:pPr>
            <w:r>
              <w:rPr>
                <w:rFonts w:ascii="Cambria" w:hAnsi="Cambria"/>
                <w:b/>
                <w:bCs/>
                <w:sz w:val="16"/>
                <w:szCs w:val="16"/>
              </w:rPr>
              <w:t>22 694,56</w:t>
            </w:r>
          </w:p>
        </w:tc>
        <w:tc>
          <w:tcPr>
            <w:tcW w:w="943" w:type="pct"/>
            <w:shd w:val="clear" w:color="auto" w:fill="auto"/>
            <w:noWrap/>
            <w:vAlign w:val="center"/>
            <w:hideMark/>
          </w:tcPr>
          <w:p w:rsidR="006568BA" w:rsidRDefault="006568BA" w:rsidP="00D70166">
            <w:pPr>
              <w:jc w:val="center"/>
              <w:rPr>
                <w:rFonts w:ascii="Cambria" w:hAnsi="Cambria"/>
                <w:b/>
                <w:bCs/>
                <w:sz w:val="16"/>
                <w:szCs w:val="16"/>
              </w:rPr>
            </w:pPr>
            <w:r>
              <w:rPr>
                <w:rFonts w:ascii="Cambria" w:hAnsi="Cambria"/>
                <w:b/>
                <w:bCs/>
                <w:sz w:val="16"/>
                <w:szCs w:val="16"/>
              </w:rPr>
              <w:t>17 221,43</w:t>
            </w:r>
          </w:p>
        </w:tc>
        <w:tc>
          <w:tcPr>
            <w:tcW w:w="793" w:type="pct"/>
            <w:shd w:val="clear" w:color="auto" w:fill="auto"/>
            <w:noWrap/>
            <w:vAlign w:val="center"/>
            <w:hideMark/>
          </w:tcPr>
          <w:p w:rsidR="006568BA" w:rsidRDefault="006568BA" w:rsidP="00D70166">
            <w:pPr>
              <w:jc w:val="center"/>
              <w:rPr>
                <w:rFonts w:ascii="Cambria" w:hAnsi="Cambria"/>
                <w:b/>
                <w:bCs/>
                <w:sz w:val="16"/>
                <w:szCs w:val="16"/>
              </w:rPr>
            </w:pPr>
            <w:r>
              <w:rPr>
                <w:rFonts w:ascii="Cambria" w:hAnsi="Cambria"/>
                <w:b/>
                <w:bCs/>
                <w:sz w:val="16"/>
                <w:szCs w:val="16"/>
              </w:rPr>
              <w:t>21 125,93</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i/>
                <w:iCs/>
                <w:sz w:val="16"/>
                <w:szCs w:val="16"/>
              </w:rPr>
            </w:pPr>
            <w:r w:rsidRPr="00490A76">
              <w:rPr>
                <w:rFonts w:ascii="Cambria" w:hAnsi="Cambria"/>
                <w:i/>
                <w:iCs/>
                <w:sz w:val="16"/>
                <w:szCs w:val="16"/>
              </w:rPr>
              <w:t>Местоположение</w:t>
            </w:r>
          </w:p>
        </w:tc>
        <w:tc>
          <w:tcPr>
            <w:tcW w:w="699" w:type="pct"/>
            <w:shd w:val="clear" w:color="auto" w:fill="auto"/>
            <w:vAlign w:val="center"/>
            <w:hideMark/>
          </w:tcPr>
          <w:p w:rsidR="006568BA" w:rsidRDefault="006568BA" w:rsidP="00D70166">
            <w:pPr>
              <w:jc w:val="center"/>
              <w:rPr>
                <w:rFonts w:ascii="Cambria" w:hAnsi="Cambria"/>
                <w:sz w:val="16"/>
                <w:szCs w:val="16"/>
              </w:rPr>
            </w:pPr>
            <w:r>
              <w:rPr>
                <w:rFonts w:ascii="Cambria" w:hAnsi="Cambria"/>
                <w:sz w:val="16"/>
                <w:szCs w:val="16"/>
              </w:rPr>
              <w:t>г. Красноярск, Ленинский район, ул. Айвазовского,37а</w:t>
            </w:r>
          </w:p>
        </w:tc>
        <w:tc>
          <w:tcPr>
            <w:tcW w:w="842" w:type="pct"/>
            <w:shd w:val="clear" w:color="auto" w:fill="auto"/>
            <w:vAlign w:val="center"/>
            <w:hideMark/>
          </w:tcPr>
          <w:p w:rsidR="006568BA" w:rsidRDefault="006568BA" w:rsidP="00D70166">
            <w:pPr>
              <w:jc w:val="center"/>
              <w:rPr>
                <w:rFonts w:ascii="Cambria" w:hAnsi="Cambria"/>
                <w:sz w:val="16"/>
                <w:szCs w:val="16"/>
              </w:rPr>
            </w:pPr>
            <w:r>
              <w:rPr>
                <w:rFonts w:ascii="Cambria" w:hAnsi="Cambria"/>
                <w:sz w:val="16"/>
                <w:szCs w:val="16"/>
              </w:rPr>
              <w:t>г. Красноярск, Ленинский район, ул Семена Давыдова, 60с2</w:t>
            </w:r>
          </w:p>
        </w:tc>
        <w:tc>
          <w:tcPr>
            <w:tcW w:w="892" w:type="pct"/>
            <w:shd w:val="clear" w:color="auto" w:fill="auto"/>
            <w:vAlign w:val="center"/>
            <w:hideMark/>
          </w:tcPr>
          <w:p w:rsidR="006568BA" w:rsidRDefault="006568BA" w:rsidP="00D70166">
            <w:pPr>
              <w:jc w:val="center"/>
              <w:rPr>
                <w:rFonts w:ascii="Cambria" w:hAnsi="Cambria"/>
                <w:sz w:val="16"/>
                <w:szCs w:val="16"/>
              </w:rPr>
            </w:pPr>
            <w:r>
              <w:rPr>
                <w:rFonts w:ascii="Cambria" w:hAnsi="Cambria"/>
                <w:sz w:val="16"/>
                <w:szCs w:val="16"/>
              </w:rPr>
              <w:t>г. Красноярск, Ленинский район, ул. Энергетиков</w:t>
            </w:r>
          </w:p>
        </w:tc>
        <w:tc>
          <w:tcPr>
            <w:tcW w:w="943" w:type="pct"/>
            <w:shd w:val="clear" w:color="auto" w:fill="auto"/>
            <w:vAlign w:val="center"/>
            <w:hideMark/>
          </w:tcPr>
          <w:p w:rsidR="006568BA" w:rsidRDefault="006568BA" w:rsidP="00D70166">
            <w:pPr>
              <w:jc w:val="center"/>
              <w:rPr>
                <w:rFonts w:ascii="Cambria" w:hAnsi="Cambria"/>
                <w:sz w:val="16"/>
                <w:szCs w:val="16"/>
              </w:rPr>
            </w:pPr>
            <w:r>
              <w:rPr>
                <w:rFonts w:ascii="Cambria" w:hAnsi="Cambria"/>
                <w:sz w:val="16"/>
                <w:szCs w:val="16"/>
              </w:rPr>
              <w:t>г. Красноярск, Ленинский район, ул. Айвазовского,16</w:t>
            </w:r>
          </w:p>
        </w:tc>
        <w:tc>
          <w:tcPr>
            <w:tcW w:w="793" w:type="pct"/>
            <w:shd w:val="clear" w:color="auto" w:fill="auto"/>
            <w:vAlign w:val="center"/>
            <w:hideMark/>
          </w:tcPr>
          <w:p w:rsidR="006568BA" w:rsidRDefault="006568BA" w:rsidP="00D70166">
            <w:pPr>
              <w:jc w:val="center"/>
              <w:rPr>
                <w:rFonts w:ascii="Cambria" w:hAnsi="Cambria"/>
                <w:sz w:val="16"/>
                <w:szCs w:val="16"/>
              </w:rPr>
            </w:pPr>
            <w:r>
              <w:rPr>
                <w:rFonts w:ascii="Cambria" w:hAnsi="Cambria"/>
                <w:sz w:val="16"/>
                <w:szCs w:val="16"/>
              </w:rPr>
              <w:t>г. Красноярск, Ленинский район, ул. Айвазовского</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sz w:val="16"/>
                <w:szCs w:val="16"/>
              </w:rPr>
            </w:pPr>
            <w:r w:rsidRPr="00490A76">
              <w:rPr>
                <w:rFonts w:ascii="Cambria" w:hAnsi="Cambria"/>
                <w:sz w:val="16"/>
                <w:szCs w:val="16"/>
              </w:rPr>
              <w:t>Корректировка</w:t>
            </w:r>
          </w:p>
        </w:tc>
        <w:tc>
          <w:tcPr>
            <w:tcW w:w="699" w:type="pct"/>
            <w:shd w:val="clear" w:color="auto" w:fill="auto"/>
            <w:vAlign w:val="center"/>
            <w:hideMark/>
          </w:tcPr>
          <w:p w:rsidR="006568BA" w:rsidRPr="00490A76" w:rsidRDefault="006568BA" w:rsidP="00D70166">
            <w:pPr>
              <w:jc w:val="center"/>
              <w:rPr>
                <w:rFonts w:ascii="Cambria" w:hAnsi="Cambria"/>
                <w:sz w:val="16"/>
                <w:szCs w:val="16"/>
              </w:rPr>
            </w:pPr>
            <w:r w:rsidRPr="00490A76">
              <w:rPr>
                <w:rFonts w:ascii="Cambria" w:hAnsi="Cambria"/>
                <w:sz w:val="16"/>
                <w:szCs w:val="16"/>
              </w:rPr>
              <w:t>-</w:t>
            </w:r>
          </w:p>
        </w:tc>
        <w:tc>
          <w:tcPr>
            <w:tcW w:w="842" w:type="pct"/>
            <w:shd w:val="clear" w:color="auto" w:fill="auto"/>
            <w:vAlign w:val="center"/>
            <w:hideMark/>
          </w:tcPr>
          <w:p w:rsidR="006568BA" w:rsidRDefault="006568BA" w:rsidP="00D70166">
            <w:pPr>
              <w:jc w:val="center"/>
              <w:rPr>
                <w:rFonts w:ascii="Cambria" w:hAnsi="Cambria"/>
                <w:sz w:val="16"/>
                <w:szCs w:val="16"/>
              </w:rPr>
            </w:pPr>
            <w:r>
              <w:rPr>
                <w:rFonts w:ascii="Cambria" w:hAnsi="Cambria"/>
                <w:sz w:val="16"/>
                <w:szCs w:val="16"/>
              </w:rPr>
              <w:t>0,00%</w:t>
            </w:r>
          </w:p>
        </w:tc>
        <w:tc>
          <w:tcPr>
            <w:tcW w:w="892" w:type="pct"/>
            <w:shd w:val="clear" w:color="auto" w:fill="auto"/>
            <w:vAlign w:val="center"/>
            <w:hideMark/>
          </w:tcPr>
          <w:p w:rsidR="006568BA" w:rsidRDefault="006568BA" w:rsidP="00D70166">
            <w:pPr>
              <w:jc w:val="center"/>
              <w:rPr>
                <w:rFonts w:ascii="Cambria" w:hAnsi="Cambria"/>
                <w:sz w:val="16"/>
                <w:szCs w:val="16"/>
              </w:rPr>
            </w:pPr>
            <w:r>
              <w:rPr>
                <w:rFonts w:ascii="Cambria" w:hAnsi="Cambria"/>
                <w:sz w:val="16"/>
                <w:szCs w:val="16"/>
              </w:rPr>
              <w:t>0,00%</w:t>
            </w:r>
          </w:p>
        </w:tc>
        <w:tc>
          <w:tcPr>
            <w:tcW w:w="943" w:type="pct"/>
            <w:shd w:val="clear" w:color="auto" w:fill="auto"/>
            <w:vAlign w:val="center"/>
            <w:hideMark/>
          </w:tcPr>
          <w:p w:rsidR="006568BA" w:rsidRDefault="006568BA" w:rsidP="00D70166">
            <w:pPr>
              <w:jc w:val="center"/>
              <w:rPr>
                <w:rFonts w:ascii="Cambria" w:hAnsi="Cambria"/>
                <w:sz w:val="16"/>
                <w:szCs w:val="16"/>
              </w:rPr>
            </w:pPr>
            <w:r>
              <w:rPr>
                <w:rFonts w:ascii="Cambria" w:hAnsi="Cambria"/>
                <w:sz w:val="16"/>
                <w:szCs w:val="16"/>
              </w:rPr>
              <w:t>0,00%</w:t>
            </w:r>
          </w:p>
        </w:tc>
        <w:tc>
          <w:tcPr>
            <w:tcW w:w="793" w:type="pct"/>
            <w:shd w:val="clear" w:color="auto" w:fill="auto"/>
            <w:vAlign w:val="center"/>
            <w:hideMark/>
          </w:tcPr>
          <w:p w:rsidR="006568BA" w:rsidRDefault="006568BA" w:rsidP="00D70166">
            <w:pPr>
              <w:jc w:val="center"/>
              <w:rPr>
                <w:rFonts w:ascii="Cambria" w:hAnsi="Cambria"/>
                <w:sz w:val="16"/>
                <w:szCs w:val="16"/>
              </w:rPr>
            </w:pPr>
            <w:r>
              <w:rPr>
                <w:rFonts w:ascii="Cambria" w:hAnsi="Cambria"/>
                <w:sz w:val="16"/>
                <w:szCs w:val="16"/>
              </w:rPr>
              <w:t>0,00%</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b/>
                <w:bCs/>
                <w:sz w:val="16"/>
                <w:szCs w:val="16"/>
              </w:rPr>
            </w:pPr>
            <w:r w:rsidRPr="00490A76">
              <w:rPr>
                <w:rFonts w:ascii="Cambria" w:hAnsi="Cambria"/>
                <w:b/>
                <w:bCs/>
                <w:sz w:val="16"/>
                <w:szCs w:val="16"/>
              </w:rPr>
              <w:t>Скорректированная цена, руб. кв.м.</w:t>
            </w:r>
          </w:p>
        </w:tc>
        <w:tc>
          <w:tcPr>
            <w:tcW w:w="699" w:type="pct"/>
            <w:shd w:val="clear" w:color="auto" w:fill="auto"/>
            <w:vAlign w:val="center"/>
            <w:hideMark/>
          </w:tcPr>
          <w:p w:rsidR="006568BA" w:rsidRPr="00490A76" w:rsidRDefault="006568BA" w:rsidP="00D70166">
            <w:pPr>
              <w:jc w:val="center"/>
              <w:rPr>
                <w:rFonts w:ascii="Cambria" w:hAnsi="Cambria"/>
                <w:sz w:val="16"/>
                <w:szCs w:val="16"/>
              </w:rPr>
            </w:pPr>
            <w:r w:rsidRPr="00490A76">
              <w:rPr>
                <w:rFonts w:ascii="Cambria" w:hAnsi="Cambria"/>
                <w:sz w:val="16"/>
                <w:szCs w:val="16"/>
              </w:rPr>
              <w:t> </w:t>
            </w:r>
          </w:p>
        </w:tc>
        <w:tc>
          <w:tcPr>
            <w:tcW w:w="842" w:type="pct"/>
            <w:shd w:val="clear" w:color="auto" w:fill="auto"/>
            <w:vAlign w:val="center"/>
            <w:hideMark/>
          </w:tcPr>
          <w:p w:rsidR="006568BA" w:rsidRDefault="006568BA" w:rsidP="00D70166">
            <w:pPr>
              <w:jc w:val="center"/>
              <w:rPr>
                <w:rFonts w:ascii="Cambria" w:hAnsi="Cambria"/>
                <w:b/>
                <w:bCs/>
                <w:sz w:val="16"/>
                <w:szCs w:val="16"/>
              </w:rPr>
            </w:pPr>
            <w:r>
              <w:rPr>
                <w:rFonts w:ascii="Cambria" w:hAnsi="Cambria"/>
                <w:b/>
                <w:bCs/>
                <w:sz w:val="16"/>
                <w:szCs w:val="16"/>
              </w:rPr>
              <w:t>15 974,56</w:t>
            </w:r>
          </w:p>
        </w:tc>
        <w:tc>
          <w:tcPr>
            <w:tcW w:w="892" w:type="pct"/>
            <w:shd w:val="clear" w:color="auto" w:fill="auto"/>
            <w:vAlign w:val="center"/>
            <w:hideMark/>
          </w:tcPr>
          <w:p w:rsidR="006568BA" w:rsidRDefault="006568BA" w:rsidP="00D70166">
            <w:pPr>
              <w:jc w:val="center"/>
              <w:rPr>
                <w:rFonts w:ascii="Cambria" w:hAnsi="Cambria"/>
                <w:b/>
                <w:bCs/>
                <w:sz w:val="16"/>
                <w:szCs w:val="16"/>
              </w:rPr>
            </w:pPr>
            <w:r>
              <w:rPr>
                <w:rFonts w:ascii="Cambria" w:hAnsi="Cambria"/>
                <w:b/>
                <w:bCs/>
                <w:sz w:val="16"/>
                <w:szCs w:val="16"/>
              </w:rPr>
              <w:t>22 694,56</w:t>
            </w:r>
          </w:p>
        </w:tc>
        <w:tc>
          <w:tcPr>
            <w:tcW w:w="943" w:type="pct"/>
            <w:shd w:val="clear" w:color="auto" w:fill="auto"/>
            <w:vAlign w:val="center"/>
            <w:hideMark/>
          </w:tcPr>
          <w:p w:rsidR="006568BA" w:rsidRDefault="006568BA" w:rsidP="00D70166">
            <w:pPr>
              <w:jc w:val="center"/>
              <w:rPr>
                <w:rFonts w:ascii="Cambria" w:hAnsi="Cambria"/>
                <w:b/>
                <w:bCs/>
                <w:sz w:val="16"/>
                <w:szCs w:val="16"/>
              </w:rPr>
            </w:pPr>
            <w:r>
              <w:rPr>
                <w:rFonts w:ascii="Cambria" w:hAnsi="Cambria"/>
                <w:b/>
                <w:bCs/>
                <w:sz w:val="16"/>
                <w:szCs w:val="16"/>
              </w:rPr>
              <w:t>17 221,43</w:t>
            </w:r>
          </w:p>
        </w:tc>
        <w:tc>
          <w:tcPr>
            <w:tcW w:w="793" w:type="pct"/>
            <w:shd w:val="clear" w:color="auto" w:fill="auto"/>
            <w:vAlign w:val="center"/>
            <w:hideMark/>
          </w:tcPr>
          <w:p w:rsidR="006568BA" w:rsidRDefault="006568BA" w:rsidP="00D70166">
            <w:pPr>
              <w:jc w:val="center"/>
              <w:rPr>
                <w:rFonts w:ascii="Cambria" w:hAnsi="Cambria"/>
                <w:b/>
                <w:bCs/>
                <w:sz w:val="16"/>
                <w:szCs w:val="16"/>
              </w:rPr>
            </w:pPr>
            <w:r>
              <w:rPr>
                <w:rFonts w:ascii="Cambria" w:hAnsi="Cambria"/>
                <w:b/>
                <w:bCs/>
                <w:sz w:val="16"/>
                <w:szCs w:val="16"/>
              </w:rPr>
              <w:t>21 125,93</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sz w:val="16"/>
                <w:szCs w:val="16"/>
              </w:rPr>
            </w:pPr>
            <w:r w:rsidRPr="00490A76">
              <w:rPr>
                <w:rFonts w:ascii="Cambria" w:hAnsi="Cambria"/>
                <w:sz w:val="16"/>
                <w:szCs w:val="16"/>
              </w:rPr>
              <w:t>Значение сегмента рынка (по площади)</w:t>
            </w:r>
          </w:p>
        </w:tc>
        <w:tc>
          <w:tcPr>
            <w:tcW w:w="699" w:type="pct"/>
            <w:shd w:val="clear" w:color="auto" w:fill="auto"/>
            <w:noWrap/>
            <w:vAlign w:val="center"/>
            <w:hideMark/>
          </w:tcPr>
          <w:p w:rsidR="006568BA" w:rsidRPr="00490A76" w:rsidRDefault="006568BA" w:rsidP="00D70166">
            <w:pPr>
              <w:jc w:val="center"/>
              <w:rPr>
                <w:rFonts w:ascii="Cambria" w:hAnsi="Cambria"/>
                <w:sz w:val="16"/>
                <w:szCs w:val="16"/>
              </w:rPr>
            </w:pPr>
            <w:r w:rsidRPr="00490A76">
              <w:rPr>
                <w:rFonts w:ascii="Cambria" w:hAnsi="Cambria"/>
                <w:sz w:val="16"/>
                <w:szCs w:val="16"/>
              </w:rPr>
              <w:t>&gt;1000 кв.м</w:t>
            </w:r>
          </w:p>
        </w:tc>
        <w:tc>
          <w:tcPr>
            <w:tcW w:w="842" w:type="pct"/>
            <w:shd w:val="clear" w:color="auto" w:fill="auto"/>
            <w:noWrap/>
            <w:vAlign w:val="center"/>
            <w:hideMark/>
          </w:tcPr>
          <w:p w:rsidR="006568BA" w:rsidRDefault="006568BA" w:rsidP="00D70166">
            <w:pPr>
              <w:jc w:val="center"/>
              <w:rPr>
                <w:rFonts w:ascii="Cambria" w:hAnsi="Cambria"/>
                <w:sz w:val="16"/>
                <w:szCs w:val="16"/>
              </w:rPr>
            </w:pPr>
            <w:r>
              <w:rPr>
                <w:rFonts w:ascii="Cambria" w:hAnsi="Cambria"/>
                <w:sz w:val="16"/>
                <w:szCs w:val="16"/>
              </w:rPr>
              <w:t>300-1000 кв.м.</w:t>
            </w:r>
          </w:p>
        </w:tc>
        <w:tc>
          <w:tcPr>
            <w:tcW w:w="892" w:type="pct"/>
            <w:shd w:val="clear" w:color="auto" w:fill="auto"/>
            <w:noWrap/>
            <w:vAlign w:val="center"/>
            <w:hideMark/>
          </w:tcPr>
          <w:p w:rsidR="006568BA" w:rsidRDefault="006568BA" w:rsidP="00D70166">
            <w:pPr>
              <w:jc w:val="center"/>
              <w:rPr>
                <w:rFonts w:ascii="Cambria" w:hAnsi="Cambria"/>
                <w:sz w:val="16"/>
                <w:szCs w:val="16"/>
              </w:rPr>
            </w:pPr>
            <w:r>
              <w:rPr>
                <w:rFonts w:ascii="Cambria" w:hAnsi="Cambria"/>
                <w:sz w:val="16"/>
                <w:szCs w:val="16"/>
              </w:rPr>
              <w:t>&gt;1000 кв.м</w:t>
            </w:r>
          </w:p>
        </w:tc>
        <w:tc>
          <w:tcPr>
            <w:tcW w:w="943"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300-1000 кв.м</w:t>
            </w:r>
          </w:p>
        </w:tc>
        <w:tc>
          <w:tcPr>
            <w:tcW w:w="793"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300-1000 кв.м</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sz w:val="16"/>
                <w:szCs w:val="16"/>
              </w:rPr>
            </w:pPr>
            <w:r w:rsidRPr="00490A76">
              <w:rPr>
                <w:rFonts w:ascii="Cambria" w:hAnsi="Cambria"/>
                <w:sz w:val="16"/>
                <w:szCs w:val="16"/>
              </w:rPr>
              <w:t>Корректировка</w:t>
            </w:r>
          </w:p>
        </w:tc>
        <w:tc>
          <w:tcPr>
            <w:tcW w:w="699" w:type="pct"/>
            <w:shd w:val="clear" w:color="auto" w:fill="auto"/>
            <w:noWrap/>
            <w:vAlign w:val="center"/>
            <w:hideMark/>
          </w:tcPr>
          <w:p w:rsidR="006568BA" w:rsidRPr="00490A76" w:rsidRDefault="006568BA" w:rsidP="00D70166">
            <w:pPr>
              <w:jc w:val="center"/>
              <w:rPr>
                <w:rFonts w:ascii="Cambria" w:hAnsi="Cambria"/>
                <w:sz w:val="16"/>
                <w:szCs w:val="16"/>
              </w:rPr>
            </w:pPr>
            <w:r w:rsidRPr="00490A76">
              <w:rPr>
                <w:rFonts w:ascii="Cambria" w:hAnsi="Cambria"/>
                <w:sz w:val="16"/>
                <w:szCs w:val="16"/>
              </w:rPr>
              <w:t> </w:t>
            </w:r>
          </w:p>
        </w:tc>
        <w:tc>
          <w:tcPr>
            <w:tcW w:w="842" w:type="pct"/>
            <w:shd w:val="clear" w:color="auto" w:fill="auto"/>
            <w:noWrap/>
            <w:vAlign w:val="center"/>
            <w:hideMark/>
          </w:tcPr>
          <w:p w:rsidR="006568BA" w:rsidRDefault="006568BA" w:rsidP="00D70166">
            <w:pPr>
              <w:jc w:val="center"/>
              <w:rPr>
                <w:rFonts w:ascii="Cambria" w:hAnsi="Cambria"/>
                <w:sz w:val="16"/>
                <w:szCs w:val="16"/>
              </w:rPr>
            </w:pPr>
            <w:r>
              <w:rPr>
                <w:rFonts w:ascii="Cambria" w:hAnsi="Cambria"/>
                <w:sz w:val="16"/>
                <w:szCs w:val="16"/>
              </w:rPr>
              <w:t>-9,00%</w:t>
            </w:r>
          </w:p>
        </w:tc>
        <w:tc>
          <w:tcPr>
            <w:tcW w:w="892" w:type="pct"/>
            <w:shd w:val="clear" w:color="auto" w:fill="auto"/>
            <w:noWrap/>
            <w:vAlign w:val="center"/>
            <w:hideMark/>
          </w:tcPr>
          <w:p w:rsidR="006568BA" w:rsidRDefault="006568BA" w:rsidP="00D70166">
            <w:pPr>
              <w:jc w:val="center"/>
              <w:rPr>
                <w:rFonts w:ascii="Cambria" w:hAnsi="Cambria"/>
                <w:sz w:val="16"/>
                <w:szCs w:val="16"/>
              </w:rPr>
            </w:pPr>
            <w:r>
              <w:rPr>
                <w:rFonts w:ascii="Cambria" w:hAnsi="Cambria"/>
                <w:sz w:val="16"/>
                <w:szCs w:val="16"/>
              </w:rPr>
              <w:t>0,00%</w:t>
            </w:r>
          </w:p>
        </w:tc>
        <w:tc>
          <w:tcPr>
            <w:tcW w:w="943"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-9,00%</w:t>
            </w:r>
          </w:p>
        </w:tc>
        <w:tc>
          <w:tcPr>
            <w:tcW w:w="793"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-9,00%</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b/>
                <w:bCs/>
                <w:sz w:val="16"/>
                <w:szCs w:val="16"/>
              </w:rPr>
            </w:pPr>
            <w:r w:rsidRPr="00490A76">
              <w:rPr>
                <w:rFonts w:ascii="Cambria" w:hAnsi="Cambria"/>
                <w:b/>
                <w:bCs/>
                <w:sz w:val="16"/>
                <w:szCs w:val="16"/>
              </w:rPr>
              <w:t>Скорректированная цена, руб. кв.м.</w:t>
            </w:r>
          </w:p>
        </w:tc>
        <w:tc>
          <w:tcPr>
            <w:tcW w:w="699" w:type="pct"/>
            <w:shd w:val="clear" w:color="auto" w:fill="auto"/>
            <w:noWrap/>
            <w:vAlign w:val="center"/>
            <w:hideMark/>
          </w:tcPr>
          <w:p w:rsidR="006568BA" w:rsidRPr="00490A76" w:rsidRDefault="006568BA" w:rsidP="00D70166">
            <w:pPr>
              <w:jc w:val="center"/>
              <w:rPr>
                <w:rFonts w:ascii="Cambria" w:hAnsi="Cambria"/>
                <w:sz w:val="16"/>
                <w:szCs w:val="16"/>
              </w:rPr>
            </w:pPr>
            <w:r w:rsidRPr="00490A76">
              <w:rPr>
                <w:rFonts w:ascii="Cambria" w:hAnsi="Cambria"/>
                <w:sz w:val="16"/>
                <w:szCs w:val="16"/>
              </w:rPr>
              <w:t> </w:t>
            </w:r>
          </w:p>
        </w:tc>
        <w:tc>
          <w:tcPr>
            <w:tcW w:w="842" w:type="pct"/>
            <w:shd w:val="clear" w:color="auto" w:fill="auto"/>
            <w:noWrap/>
            <w:vAlign w:val="center"/>
            <w:hideMark/>
          </w:tcPr>
          <w:p w:rsidR="006568BA" w:rsidRDefault="006568BA" w:rsidP="00D70166">
            <w:pPr>
              <w:jc w:val="center"/>
              <w:rPr>
                <w:rFonts w:ascii="Cambria" w:hAnsi="Cambria"/>
                <w:b/>
                <w:bCs/>
                <w:sz w:val="16"/>
                <w:szCs w:val="16"/>
              </w:rPr>
            </w:pPr>
            <w:r>
              <w:rPr>
                <w:rFonts w:ascii="Cambria" w:hAnsi="Cambria"/>
                <w:b/>
                <w:bCs/>
                <w:sz w:val="16"/>
                <w:szCs w:val="16"/>
              </w:rPr>
              <w:t>14 536,85</w:t>
            </w:r>
          </w:p>
        </w:tc>
        <w:tc>
          <w:tcPr>
            <w:tcW w:w="892" w:type="pct"/>
            <w:shd w:val="clear" w:color="auto" w:fill="auto"/>
            <w:noWrap/>
            <w:vAlign w:val="center"/>
            <w:hideMark/>
          </w:tcPr>
          <w:p w:rsidR="006568BA" w:rsidRDefault="006568BA" w:rsidP="00D70166">
            <w:pPr>
              <w:jc w:val="center"/>
              <w:rPr>
                <w:rFonts w:ascii="Cambria" w:hAnsi="Cambria"/>
                <w:b/>
                <w:bCs/>
                <w:sz w:val="16"/>
                <w:szCs w:val="16"/>
              </w:rPr>
            </w:pPr>
            <w:r>
              <w:rPr>
                <w:rFonts w:ascii="Cambria" w:hAnsi="Cambria"/>
                <w:b/>
                <w:bCs/>
                <w:sz w:val="16"/>
                <w:szCs w:val="16"/>
              </w:rPr>
              <w:t>22 676,31</w:t>
            </w:r>
          </w:p>
        </w:tc>
        <w:tc>
          <w:tcPr>
            <w:tcW w:w="943"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15 654,42</w:t>
            </w:r>
          </w:p>
        </w:tc>
        <w:tc>
          <w:tcPr>
            <w:tcW w:w="793"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19 214,33</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color w:val="000000"/>
                <w:sz w:val="16"/>
                <w:szCs w:val="16"/>
              </w:rPr>
            </w:pPr>
            <w:r w:rsidRPr="00490A76">
              <w:rPr>
                <w:rFonts w:ascii="Cambria" w:hAnsi="Cambria"/>
                <w:color w:val="000000"/>
                <w:sz w:val="16"/>
                <w:szCs w:val="16"/>
              </w:rPr>
              <w:t>Отопление</w:t>
            </w:r>
          </w:p>
        </w:tc>
        <w:tc>
          <w:tcPr>
            <w:tcW w:w="699"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Отсутствует</w:t>
            </w:r>
          </w:p>
        </w:tc>
        <w:tc>
          <w:tcPr>
            <w:tcW w:w="842"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Имеется</w:t>
            </w:r>
          </w:p>
        </w:tc>
        <w:tc>
          <w:tcPr>
            <w:tcW w:w="892"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Имеется</w:t>
            </w:r>
          </w:p>
        </w:tc>
        <w:tc>
          <w:tcPr>
            <w:tcW w:w="943"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Имеется</w:t>
            </w:r>
          </w:p>
        </w:tc>
        <w:tc>
          <w:tcPr>
            <w:tcW w:w="793"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Имеется</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color w:val="000000"/>
                <w:sz w:val="16"/>
                <w:szCs w:val="16"/>
              </w:rPr>
            </w:pPr>
            <w:r w:rsidRPr="00490A76">
              <w:rPr>
                <w:rFonts w:ascii="Cambria" w:hAnsi="Cambria"/>
                <w:color w:val="000000"/>
                <w:sz w:val="16"/>
                <w:szCs w:val="16"/>
              </w:rPr>
              <w:t>Корректировка</w:t>
            </w:r>
          </w:p>
        </w:tc>
        <w:tc>
          <w:tcPr>
            <w:tcW w:w="699" w:type="pct"/>
            <w:shd w:val="clear" w:color="auto" w:fill="auto"/>
            <w:noWrap/>
            <w:vAlign w:val="center"/>
            <w:hideMark/>
          </w:tcPr>
          <w:p w:rsidR="006568BA" w:rsidRDefault="006568BA">
            <w:pPr>
              <w:rPr>
                <w:rFonts w:ascii="Cambria" w:hAnsi="Cambria"/>
                <w:color w:val="000000"/>
                <w:sz w:val="16"/>
                <w:szCs w:val="16"/>
              </w:rPr>
            </w:pPr>
            <w:r>
              <w:rPr>
                <w:rFonts w:ascii="Cambria" w:hAnsi="Cambria"/>
                <w:color w:val="000000"/>
                <w:sz w:val="16"/>
                <w:szCs w:val="16"/>
              </w:rPr>
              <w:t> </w:t>
            </w:r>
          </w:p>
        </w:tc>
        <w:tc>
          <w:tcPr>
            <w:tcW w:w="842"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-26,00%</w:t>
            </w:r>
          </w:p>
        </w:tc>
        <w:tc>
          <w:tcPr>
            <w:tcW w:w="892"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-26,00%</w:t>
            </w:r>
          </w:p>
        </w:tc>
        <w:tc>
          <w:tcPr>
            <w:tcW w:w="943"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-26,00%</w:t>
            </w:r>
          </w:p>
        </w:tc>
        <w:tc>
          <w:tcPr>
            <w:tcW w:w="793"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-26,00%</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color w:val="000000"/>
                <w:sz w:val="16"/>
                <w:szCs w:val="16"/>
              </w:rPr>
            </w:pPr>
            <w:r w:rsidRPr="00490A76">
              <w:rPr>
                <w:rFonts w:ascii="Cambria" w:hAnsi="Cambria"/>
                <w:color w:val="000000"/>
                <w:sz w:val="16"/>
                <w:szCs w:val="16"/>
              </w:rPr>
              <w:t>Скорректированная цена, руб/кв. м</w:t>
            </w:r>
          </w:p>
        </w:tc>
        <w:tc>
          <w:tcPr>
            <w:tcW w:w="699" w:type="pct"/>
            <w:shd w:val="clear" w:color="auto" w:fill="auto"/>
            <w:noWrap/>
            <w:vAlign w:val="center"/>
            <w:hideMark/>
          </w:tcPr>
          <w:p w:rsidR="006568BA" w:rsidRDefault="006568BA">
            <w:pPr>
              <w:rPr>
                <w:rFonts w:ascii="Cambria" w:hAnsi="Cambria"/>
                <w:color w:val="000000"/>
                <w:sz w:val="16"/>
                <w:szCs w:val="16"/>
              </w:rPr>
            </w:pPr>
            <w:r>
              <w:rPr>
                <w:rFonts w:ascii="Cambria" w:hAnsi="Cambria"/>
                <w:color w:val="000000"/>
                <w:sz w:val="16"/>
                <w:szCs w:val="16"/>
              </w:rPr>
              <w:t> </w:t>
            </w:r>
          </w:p>
        </w:tc>
        <w:tc>
          <w:tcPr>
            <w:tcW w:w="842"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10757,27</w:t>
            </w:r>
          </w:p>
        </w:tc>
        <w:tc>
          <w:tcPr>
            <w:tcW w:w="892"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16780,47</w:t>
            </w:r>
          </w:p>
        </w:tc>
        <w:tc>
          <w:tcPr>
            <w:tcW w:w="943"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12729,96</w:t>
            </w:r>
          </w:p>
        </w:tc>
        <w:tc>
          <w:tcPr>
            <w:tcW w:w="793"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15624,84</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i/>
                <w:iCs/>
                <w:color w:val="000000"/>
                <w:sz w:val="16"/>
                <w:szCs w:val="16"/>
              </w:rPr>
            </w:pPr>
            <w:r w:rsidRPr="00490A76">
              <w:rPr>
                <w:rFonts w:ascii="Cambria" w:hAnsi="Cambria"/>
                <w:i/>
                <w:iCs/>
                <w:color w:val="000000"/>
                <w:sz w:val="16"/>
                <w:szCs w:val="16"/>
              </w:rPr>
              <w:t>Состояние объекта капитального строительства</w:t>
            </w:r>
          </w:p>
        </w:tc>
        <w:tc>
          <w:tcPr>
            <w:tcW w:w="699"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Удовл</w:t>
            </w:r>
          </w:p>
        </w:tc>
        <w:tc>
          <w:tcPr>
            <w:tcW w:w="842"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Неудовл</w:t>
            </w:r>
          </w:p>
        </w:tc>
        <w:tc>
          <w:tcPr>
            <w:tcW w:w="892"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Хор</w:t>
            </w:r>
          </w:p>
        </w:tc>
        <w:tc>
          <w:tcPr>
            <w:tcW w:w="943"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Неудовл</w:t>
            </w:r>
          </w:p>
        </w:tc>
        <w:tc>
          <w:tcPr>
            <w:tcW w:w="793"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Удовл</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sz w:val="16"/>
                <w:szCs w:val="16"/>
              </w:rPr>
            </w:pPr>
            <w:r w:rsidRPr="00490A76">
              <w:rPr>
                <w:rFonts w:ascii="Cambria" w:hAnsi="Cambria"/>
                <w:sz w:val="16"/>
                <w:szCs w:val="16"/>
              </w:rPr>
              <w:t>Корректировка</w:t>
            </w:r>
          </w:p>
        </w:tc>
        <w:tc>
          <w:tcPr>
            <w:tcW w:w="699"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w:t>
            </w:r>
          </w:p>
        </w:tc>
        <w:tc>
          <w:tcPr>
            <w:tcW w:w="842"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26,00%</w:t>
            </w:r>
          </w:p>
        </w:tc>
        <w:tc>
          <w:tcPr>
            <w:tcW w:w="892"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0,00%</w:t>
            </w:r>
          </w:p>
        </w:tc>
        <w:tc>
          <w:tcPr>
            <w:tcW w:w="943"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26,00%</w:t>
            </w:r>
          </w:p>
        </w:tc>
        <w:tc>
          <w:tcPr>
            <w:tcW w:w="793"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0,00%</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b/>
                <w:bCs/>
                <w:sz w:val="16"/>
                <w:szCs w:val="16"/>
              </w:rPr>
            </w:pPr>
            <w:r w:rsidRPr="00490A76">
              <w:rPr>
                <w:rFonts w:ascii="Cambria" w:hAnsi="Cambria"/>
                <w:b/>
                <w:bCs/>
                <w:sz w:val="16"/>
                <w:szCs w:val="16"/>
              </w:rPr>
              <w:t>Скорректированная цена, руб. кв.м.</w:t>
            </w:r>
          </w:p>
        </w:tc>
        <w:tc>
          <w:tcPr>
            <w:tcW w:w="699" w:type="pct"/>
            <w:shd w:val="clear" w:color="auto" w:fill="auto"/>
            <w:vAlign w:val="center"/>
            <w:hideMark/>
          </w:tcPr>
          <w:p w:rsidR="006568BA" w:rsidRDefault="006568BA">
            <w:pPr>
              <w:jc w:val="center"/>
              <w:rPr>
                <w:rFonts w:ascii="Cambria" w:hAnsi="Cambria"/>
                <w:b/>
                <w:bCs/>
                <w:sz w:val="16"/>
                <w:szCs w:val="16"/>
              </w:rPr>
            </w:pPr>
            <w:r>
              <w:rPr>
                <w:rFonts w:ascii="Cambria" w:hAnsi="Cambria"/>
                <w:b/>
                <w:bCs/>
                <w:sz w:val="16"/>
                <w:szCs w:val="16"/>
              </w:rPr>
              <w:t>-</w:t>
            </w:r>
          </w:p>
        </w:tc>
        <w:tc>
          <w:tcPr>
            <w:tcW w:w="842"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13 554,16</w:t>
            </w:r>
          </w:p>
        </w:tc>
        <w:tc>
          <w:tcPr>
            <w:tcW w:w="892"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16 780,47</w:t>
            </w:r>
          </w:p>
        </w:tc>
        <w:tc>
          <w:tcPr>
            <w:tcW w:w="943"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16 039,75</w:t>
            </w:r>
          </w:p>
        </w:tc>
        <w:tc>
          <w:tcPr>
            <w:tcW w:w="793"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15 624,84</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i/>
                <w:iCs/>
                <w:sz w:val="16"/>
                <w:szCs w:val="16"/>
              </w:rPr>
            </w:pPr>
            <w:r w:rsidRPr="00490A76">
              <w:rPr>
                <w:rFonts w:ascii="Cambria" w:hAnsi="Cambria"/>
                <w:i/>
                <w:iCs/>
                <w:sz w:val="16"/>
                <w:szCs w:val="16"/>
              </w:rPr>
              <w:t>Материал стен</w:t>
            </w:r>
          </w:p>
        </w:tc>
        <w:tc>
          <w:tcPr>
            <w:tcW w:w="699"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Металлические</w:t>
            </w:r>
          </w:p>
        </w:tc>
        <w:tc>
          <w:tcPr>
            <w:tcW w:w="842"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Каменные</w:t>
            </w:r>
          </w:p>
        </w:tc>
        <w:tc>
          <w:tcPr>
            <w:tcW w:w="892"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Каменные</w:t>
            </w:r>
          </w:p>
        </w:tc>
        <w:tc>
          <w:tcPr>
            <w:tcW w:w="943"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Каменные</w:t>
            </w:r>
          </w:p>
        </w:tc>
        <w:tc>
          <w:tcPr>
            <w:tcW w:w="793"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Каменные</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sz w:val="16"/>
                <w:szCs w:val="16"/>
              </w:rPr>
            </w:pPr>
            <w:r w:rsidRPr="00490A76">
              <w:rPr>
                <w:rFonts w:ascii="Cambria" w:hAnsi="Cambria"/>
                <w:sz w:val="16"/>
                <w:szCs w:val="16"/>
              </w:rPr>
              <w:t>Корректировка</w:t>
            </w:r>
          </w:p>
        </w:tc>
        <w:tc>
          <w:tcPr>
            <w:tcW w:w="699" w:type="pct"/>
            <w:shd w:val="clear" w:color="auto" w:fill="auto"/>
            <w:vAlign w:val="center"/>
            <w:hideMark/>
          </w:tcPr>
          <w:p w:rsidR="006568BA" w:rsidRDefault="006568BA">
            <w:pPr>
              <w:jc w:val="center"/>
              <w:rPr>
                <w:rFonts w:ascii="Cambria" w:hAnsi="Cambria"/>
                <w:b/>
                <w:bCs/>
                <w:sz w:val="16"/>
                <w:szCs w:val="16"/>
              </w:rPr>
            </w:pPr>
            <w:r>
              <w:rPr>
                <w:rFonts w:ascii="Cambria" w:hAnsi="Cambria"/>
                <w:b/>
                <w:bCs/>
                <w:sz w:val="16"/>
                <w:szCs w:val="16"/>
              </w:rPr>
              <w:t> </w:t>
            </w:r>
          </w:p>
        </w:tc>
        <w:tc>
          <w:tcPr>
            <w:tcW w:w="842"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-17,0%</w:t>
            </w:r>
          </w:p>
        </w:tc>
        <w:tc>
          <w:tcPr>
            <w:tcW w:w="892"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-17,0%</w:t>
            </w:r>
          </w:p>
        </w:tc>
        <w:tc>
          <w:tcPr>
            <w:tcW w:w="943"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-17,0%</w:t>
            </w:r>
          </w:p>
        </w:tc>
        <w:tc>
          <w:tcPr>
            <w:tcW w:w="793"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-17,0%</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b/>
                <w:bCs/>
                <w:sz w:val="16"/>
                <w:szCs w:val="16"/>
              </w:rPr>
            </w:pPr>
            <w:r w:rsidRPr="00490A76">
              <w:rPr>
                <w:rFonts w:ascii="Cambria" w:hAnsi="Cambria"/>
                <w:b/>
                <w:bCs/>
                <w:sz w:val="16"/>
                <w:szCs w:val="16"/>
              </w:rPr>
              <w:t>Скорректированная цена, руб. кв.м.</w:t>
            </w:r>
          </w:p>
        </w:tc>
        <w:tc>
          <w:tcPr>
            <w:tcW w:w="699" w:type="pct"/>
            <w:shd w:val="clear" w:color="auto" w:fill="auto"/>
            <w:vAlign w:val="center"/>
            <w:hideMark/>
          </w:tcPr>
          <w:p w:rsidR="006568BA" w:rsidRDefault="006568BA">
            <w:pPr>
              <w:jc w:val="center"/>
              <w:rPr>
                <w:rFonts w:ascii="Cambria" w:hAnsi="Cambria"/>
                <w:b/>
                <w:bCs/>
                <w:sz w:val="16"/>
                <w:szCs w:val="16"/>
              </w:rPr>
            </w:pPr>
            <w:r>
              <w:rPr>
                <w:rFonts w:ascii="Cambria" w:hAnsi="Cambria"/>
                <w:b/>
                <w:bCs/>
                <w:sz w:val="16"/>
                <w:szCs w:val="16"/>
              </w:rPr>
              <w:t> </w:t>
            </w:r>
          </w:p>
        </w:tc>
        <w:tc>
          <w:tcPr>
            <w:tcW w:w="842"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11 249,95</w:t>
            </w:r>
          </w:p>
        </w:tc>
        <w:tc>
          <w:tcPr>
            <w:tcW w:w="892"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13 927,79</w:t>
            </w:r>
          </w:p>
        </w:tc>
        <w:tc>
          <w:tcPr>
            <w:tcW w:w="943"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13 313,00</w:t>
            </w:r>
          </w:p>
        </w:tc>
        <w:tc>
          <w:tcPr>
            <w:tcW w:w="793"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12 968,61</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i/>
                <w:iCs/>
                <w:color w:val="000000"/>
                <w:sz w:val="16"/>
                <w:szCs w:val="16"/>
              </w:rPr>
            </w:pPr>
            <w:r w:rsidRPr="00490A76">
              <w:rPr>
                <w:rFonts w:ascii="Cambria" w:hAnsi="Cambria"/>
                <w:i/>
                <w:iCs/>
                <w:color w:val="000000"/>
                <w:sz w:val="16"/>
                <w:szCs w:val="16"/>
              </w:rPr>
              <w:t>Наличие жд путей</w:t>
            </w:r>
          </w:p>
        </w:tc>
        <w:tc>
          <w:tcPr>
            <w:tcW w:w="699"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Отсутствуют</w:t>
            </w:r>
          </w:p>
        </w:tc>
        <w:tc>
          <w:tcPr>
            <w:tcW w:w="842"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Отсутствуют</w:t>
            </w:r>
          </w:p>
        </w:tc>
        <w:tc>
          <w:tcPr>
            <w:tcW w:w="892" w:type="pct"/>
            <w:shd w:val="clear" w:color="auto" w:fill="auto"/>
            <w:noWrap/>
            <w:vAlign w:val="center"/>
            <w:hideMark/>
          </w:tcPr>
          <w:p w:rsidR="006568BA" w:rsidRDefault="006568BA">
            <w:pPr>
              <w:jc w:val="center"/>
              <w:rPr>
                <w:rFonts w:ascii="Cambria" w:hAnsi="Cambria"/>
                <w:color w:val="000000"/>
                <w:sz w:val="16"/>
                <w:szCs w:val="16"/>
              </w:rPr>
            </w:pPr>
            <w:r w:rsidRPr="006568BA">
              <w:rPr>
                <w:rFonts w:ascii="Cambria" w:hAnsi="Cambria"/>
                <w:color w:val="000000"/>
                <w:sz w:val="16"/>
                <w:szCs w:val="16"/>
              </w:rPr>
              <w:t>Отсутствуют</w:t>
            </w:r>
          </w:p>
        </w:tc>
        <w:tc>
          <w:tcPr>
            <w:tcW w:w="943"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Имеются</w:t>
            </w:r>
          </w:p>
        </w:tc>
        <w:tc>
          <w:tcPr>
            <w:tcW w:w="793"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Отсутствуют</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sz w:val="16"/>
                <w:szCs w:val="16"/>
              </w:rPr>
            </w:pPr>
            <w:r w:rsidRPr="00490A76">
              <w:rPr>
                <w:rFonts w:ascii="Cambria" w:hAnsi="Cambria"/>
                <w:sz w:val="16"/>
                <w:szCs w:val="16"/>
              </w:rPr>
              <w:t>Корректировка</w:t>
            </w:r>
          </w:p>
        </w:tc>
        <w:tc>
          <w:tcPr>
            <w:tcW w:w="699"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 </w:t>
            </w:r>
          </w:p>
        </w:tc>
        <w:tc>
          <w:tcPr>
            <w:tcW w:w="842"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0,00%</w:t>
            </w:r>
          </w:p>
        </w:tc>
        <w:tc>
          <w:tcPr>
            <w:tcW w:w="892"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0,00%</w:t>
            </w:r>
          </w:p>
        </w:tc>
        <w:tc>
          <w:tcPr>
            <w:tcW w:w="943"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-14,00%</w:t>
            </w:r>
          </w:p>
        </w:tc>
        <w:tc>
          <w:tcPr>
            <w:tcW w:w="793"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0,00%</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b/>
                <w:bCs/>
                <w:sz w:val="16"/>
                <w:szCs w:val="16"/>
              </w:rPr>
            </w:pPr>
            <w:r w:rsidRPr="00490A76">
              <w:rPr>
                <w:rFonts w:ascii="Cambria" w:hAnsi="Cambria"/>
                <w:b/>
                <w:bCs/>
                <w:sz w:val="16"/>
                <w:szCs w:val="16"/>
              </w:rPr>
              <w:t>Скорректированная цена, руб. кв.м.</w:t>
            </w:r>
          </w:p>
        </w:tc>
        <w:tc>
          <w:tcPr>
            <w:tcW w:w="699"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 </w:t>
            </w:r>
          </w:p>
        </w:tc>
        <w:tc>
          <w:tcPr>
            <w:tcW w:w="842"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11 249,95</w:t>
            </w:r>
          </w:p>
        </w:tc>
        <w:tc>
          <w:tcPr>
            <w:tcW w:w="892"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13 927,79</w:t>
            </w:r>
          </w:p>
        </w:tc>
        <w:tc>
          <w:tcPr>
            <w:tcW w:w="943"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11 449,18</w:t>
            </w:r>
          </w:p>
        </w:tc>
        <w:tc>
          <w:tcPr>
            <w:tcW w:w="793" w:type="pct"/>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12 968,61</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sz w:val="16"/>
                <w:szCs w:val="16"/>
              </w:rPr>
            </w:pPr>
            <w:r w:rsidRPr="00490A76">
              <w:rPr>
                <w:rFonts w:ascii="Cambria" w:hAnsi="Cambria"/>
                <w:sz w:val="16"/>
                <w:szCs w:val="16"/>
              </w:rPr>
              <w:t>Валовая корректировка</w:t>
            </w:r>
          </w:p>
        </w:tc>
        <w:tc>
          <w:tcPr>
            <w:tcW w:w="699"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w:t>
            </w:r>
          </w:p>
        </w:tc>
        <w:tc>
          <w:tcPr>
            <w:tcW w:w="842"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88,00%</w:t>
            </w:r>
          </w:p>
        </w:tc>
        <w:tc>
          <w:tcPr>
            <w:tcW w:w="892"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53,00%</w:t>
            </w:r>
          </w:p>
        </w:tc>
        <w:tc>
          <w:tcPr>
            <w:tcW w:w="943"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79,00%</w:t>
            </w:r>
          </w:p>
        </w:tc>
        <w:tc>
          <w:tcPr>
            <w:tcW w:w="793"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53,00%</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sz w:val="16"/>
                <w:szCs w:val="16"/>
              </w:rPr>
            </w:pPr>
            <w:r w:rsidRPr="00490A76">
              <w:rPr>
                <w:rFonts w:ascii="Cambria" w:hAnsi="Cambria"/>
                <w:sz w:val="16"/>
                <w:szCs w:val="16"/>
              </w:rPr>
              <w:t>Вес аналога</w:t>
            </w:r>
          </w:p>
        </w:tc>
        <w:tc>
          <w:tcPr>
            <w:tcW w:w="699"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w:t>
            </w:r>
          </w:p>
        </w:tc>
        <w:tc>
          <w:tcPr>
            <w:tcW w:w="842"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22,6%</w:t>
            </w:r>
          </w:p>
        </w:tc>
        <w:tc>
          <w:tcPr>
            <w:tcW w:w="892"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26,9%</w:t>
            </w:r>
          </w:p>
        </w:tc>
        <w:tc>
          <w:tcPr>
            <w:tcW w:w="943"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23,7%</w:t>
            </w:r>
          </w:p>
        </w:tc>
        <w:tc>
          <w:tcPr>
            <w:tcW w:w="793"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26,9%</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sz w:val="16"/>
                <w:szCs w:val="16"/>
              </w:rPr>
            </w:pPr>
            <w:r w:rsidRPr="00490A76">
              <w:rPr>
                <w:rFonts w:ascii="Cambria" w:hAnsi="Cambria"/>
                <w:sz w:val="16"/>
                <w:szCs w:val="16"/>
              </w:rPr>
              <w:t>Величина коэффициента вариации</w:t>
            </w:r>
          </w:p>
        </w:tc>
        <w:tc>
          <w:tcPr>
            <w:tcW w:w="4169" w:type="pct"/>
            <w:gridSpan w:val="5"/>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8,9%</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sz w:val="16"/>
                <w:szCs w:val="16"/>
              </w:rPr>
            </w:pPr>
            <w:r w:rsidRPr="00490A76">
              <w:rPr>
                <w:rFonts w:ascii="Cambria" w:hAnsi="Cambria"/>
                <w:sz w:val="16"/>
                <w:szCs w:val="16"/>
              </w:rPr>
              <w:t>Стандартное отклонение</w:t>
            </w:r>
          </w:p>
        </w:tc>
        <w:tc>
          <w:tcPr>
            <w:tcW w:w="4169" w:type="pct"/>
            <w:gridSpan w:val="5"/>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1 147,37</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sz w:val="16"/>
                <w:szCs w:val="16"/>
              </w:rPr>
            </w:pPr>
            <w:r w:rsidRPr="00490A76">
              <w:rPr>
                <w:rFonts w:ascii="Cambria" w:hAnsi="Cambria"/>
                <w:sz w:val="16"/>
                <w:szCs w:val="16"/>
              </w:rPr>
              <w:t>Стандартная ошибка</w:t>
            </w:r>
          </w:p>
        </w:tc>
        <w:tc>
          <w:tcPr>
            <w:tcW w:w="4169" w:type="pct"/>
            <w:gridSpan w:val="5"/>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573,68</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sz w:val="16"/>
                <w:szCs w:val="16"/>
              </w:rPr>
            </w:pPr>
            <w:r w:rsidRPr="00490A76">
              <w:rPr>
                <w:rFonts w:ascii="Cambria" w:hAnsi="Cambria"/>
                <w:sz w:val="16"/>
                <w:szCs w:val="16"/>
              </w:rPr>
              <w:t>Доверительная вероятность</w:t>
            </w:r>
          </w:p>
        </w:tc>
        <w:tc>
          <w:tcPr>
            <w:tcW w:w="4169" w:type="pct"/>
            <w:gridSpan w:val="5"/>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90,00%</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sz w:val="16"/>
                <w:szCs w:val="16"/>
              </w:rPr>
            </w:pPr>
            <w:r w:rsidRPr="00490A76">
              <w:rPr>
                <w:rFonts w:ascii="Cambria" w:hAnsi="Cambria"/>
                <w:sz w:val="16"/>
                <w:szCs w:val="16"/>
              </w:rPr>
              <w:t>Критерий Стьюдента для выборки 3 объекта и заданной доверительной вероятностью</w:t>
            </w:r>
          </w:p>
        </w:tc>
        <w:tc>
          <w:tcPr>
            <w:tcW w:w="4169" w:type="pct"/>
            <w:gridSpan w:val="5"/>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2,13</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sz w:val="16"/>
                <w:szCs w:val="16"/>
              </w:rPr>
            </w:pPr>
            <w:r w:rsidRPr="00490A76">
              <w:rPr>
                <w:rFonts w:ascii="Cambria" w:hAnsi="Cambria"/>
                <w:sz w:val="16"/>
                <w:szCs w:val="16"/>
              </w:rPr>
              <w:t>Предельная ошибка</w:t>
            </w:r>
          </w:p>
        </w:tc>
        <w:tc>
          <w:tcPr>
            <w:tcW w:w="4169" w:type="pct"/>
            <w:gridSpan w:val="5"/>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12,95%</w:t>
            </w:r>
          </w:p>
        </w:tc>
      </w:tr>
      <w:tr w:rsidR="006568BA" w:rsidRPr="00490A76" w:rsidTr="00D70166">
        <w:trPr>
          <w:cantSplit/>
          <w:trHeight w:val="170"/>
        </w:trPr>
        <w:tc>
          <w:tcPr>
            <w:tcW w:w="831" w:type="pct"/>
            <w:shd w:val="clear" w:color="auto" w:fill="auto"/>
            <w:vAlign w:val="center"/>
            <w:hideMark/>
          </w:tcPr>
          <w:p w:rsidR="006568BA" w:rsidRPr="00490A76" w:rsidRDefault="006568BA" w:rsidP="00D70166">
            <w:pPr>
              <w:rPr>
                <w:rFonts w:ascii="Cambria" w:hAnsi="Cambria"/>
                <w:b/>
                <w:bCs/>
                <w:sz w:val="16"/>
                <w:szCs w:val="16"/>
              </w:rPr>
            </w:pPr>
            <w:r w:rsidRPr="00490A76">
              <w:rPr>
                <w:rFonts w:ascii="Cambria" w:hAnsi="Cambria"/>
                <w:b/>
                <w:bCs/>
                <w:sz w:val="16"/>
                <w:szCs w:val="16"/>
              </w:rPr>
              <w:t xml:space="preserve">Средневзвешенное значение, руб./кв. м </w:t>
            </w:r>
          </w:p>
        </w:tc>
        <w:tc>
          <w:tcPr>
            <w:tcW w:w="4169" w:type="pct"/>
            <w:gridSpan w:val="5"/>
            <w:shd w:val="clear" w:color="auto" w:fill="auto"/>
            <w:noWrap/>
            <w:vAlign w:val="center"/>
            <w:hideMark/>
          </w:tcPr>
          <w:p w:rsidR="006568BA" w:rsidRDefault="006568BA">
            <w:pPr>
              <w:jc w:val="center"/>
              <w:rPr>
                <w:rFonts w:ascii="Cambria" w:hAnsi="Cambria"/>
                <w:b/>
                <w:bCs/>
                <w:sz w:val="16"/>
                <w:szCs w:val="16"/>
              </w:rPr>
            </w:pPr>
            <w:r>
              <w:rPr>
                <w:rFonts w:ascii="Cambria" w:hAnsi="Cambria"/>
                <w:b/>
                <w:bCs/>
                <w:sz w:val="16"/>
                <w:szCs w:val="16"/>
              </w:rPr>
              <w:t>9 436</w:t>
            </w:r>
          </w:p>
        </w:tc>
      </w:tr>
    </w:tbl>
    <w:p w:rsidR="009477DB" w:rsidRPr="009477DB" w:rsidRDefault="009477DB" w:rsidP="009477DB">
      <w:pPr>
        <w:spacing w:before="100" w:after="100"/>
        <w:jc w:val="both"/>
        <w:rPr>
          <w:rFonts w:ascii="Bookman Old Style" w:hAnsi="Bookman Old Style"/>
          <w:color w:val="000000"/>
          <w:sz w:val="20"/>
          <w:szCs w:val="20"/>
        </w:rPr>
      </w:pPr>
      <w:r w:rsidRPr="009477DB">
        <w:rPr>
          <w:rFonts w:ascii="Bookman Old Style" w:hAnsi="Bookman Old Style"/>
          <w:color w:val="000000"/>
          <w:sz w:val="20"/>
          <w:szCs w:val="20"/>
        </w:rPr>
        <w:t>Обоснование выбора элементов сравнения, расчет корректировок:</w:t>
      </w:r>
    </w:p>
    <w:p w:rsidR="00F45425" w:rsidRPr="00431CC5" w:rsidRDefault="00F45425" w:rsidP="00F45425">
      <w:pPr>
        <w:spacing w:before="120" w:after="120"/>
        <w:jc w:val="both"/>
        <w:rPr>
          <w:rFonts w:ascii="Bookman Old Style" w:hAnsi="Bookman Old Style"/>
          <w:color w:val="000000"/>
          <w:sz w:val="20"/>
          <w:szCs w:val="20"/>
        </w:rPr>
      </w:pPr>
      <w:r w:rsidRPr="007517CA">
        <w:rPr>
          <w:rFonts w:ascii="Bookman Old Style" w:hAnsi="Bookman Old Style"/>
          <w:color w:val="000000"/>
          <w:sz w:val="20"/>
          <w:szCs w:val="20"/>
        </w:rPr>
        <w:tab/>
        <w:t>При проведении расчета рыночной стоимости</w:t>
      </w:r>
      <w:r>
        <w:rPr>
          <w:rFonts w:ascii="Bookman Old Style" w:hAnsi="Bookman Old Style"/>
          <w:color w:val="000000"/>
          <w:sz w:val="20"/>
          <w:szCs w:val="20"/>
        </w:rPr>
        <w:t xml:space="preserve"> элементов Объекта оценки,</w:t>
      </w:r>
      <w:r w:rsidRPr="007517CA">
        <w:rPr>
          <w:rFonts w:ascii="Bookman Old Style" w:hAnsi="Bookman Old Style"/>
          <w:color w:val="000000"/>
          <w:sz w:val="20"/>
          <w:szCs w:val="20"/>
        </w:rPr>
        <w:t xml:space="preserve"> использован</w:t>
      </w:r>
      <w:r>
        <w:rPr>
          <w:rFonts w:ascii="Bookman Old Style" w:hAnsi="Bookman Old Style"/>
          <w:color w:val="000000"/>
          <w:sz w:val="20"/>
          <w:szCs w:val="20"/>
        </w:rPr>
        <w:t>а следующая логика процесса оценки и расчет корректировок:</w:t>
      </w:r>
    </w:p>
    <w:p w:rsidR="006568BA" w:rsidRDefault="006568BA" w:rsidP="006568BA">
      <w:pPr>
        <w:pStyle w:val="aff2"/>
        <w:numPr>
          <w:ilvl w:val="0"/>
          <w:numId w:val="35"/>
        </w:numPr>
        <w:spacing w:before="120" w:after="120"/>
        <w:contextualSpacing w:val="0"/>
        <w:jc w:val="both"/>
        <w:rPr>
          <w:rFonts w:ascii="Bookman Old Style" w:hAnsi="Bookman Old Style"/>
          <w:sz w:val="20"/>
          <w:szCs w:val="20"/>
        </w:rPr>
      </w:pPr>
      <w:r>
        <w:rPr>
          <w:rFonts w:ascii="Bookman Old Style" w:hAnsi="Bookman Old Style"/>
          <w:sz w:val="20"/>
          <w:szCs w:val="20"/>
        </w:rPr>
        <w:t>Определение стоимости земельного участка объектов-аналогов.</w:t>
      </w:r>
      <w:r w:rsidRPr="006568BA">
        <w:rPr>
          <w:rFonts w:ascii="Bookman Old Style" w:hAnsi="Bookman Old Style"/>
          <w:sz w:val="20"/>
          <w:szCs w:val="20"/>
        </w:rPr>
        <w:t xml:space="preserve"> Стоимость земельного участка производственно-складского назначения</w:t>
      </w:r>
      <w:r>
        <w:rPr>
          <w:rFonts w:ascii="Bookman Old Style" w:hAnsi="Bookman Old Style"/>
          <w:sz w:val="20"/>
          <w:szCs w:val="20"/>
        </w:rPr>
        <w:t xml:space="preserve"> площадью </w:t>
      </w:r>
      <w:r w:rsidRPr="006568BA">
        <w:rPr>
          <w:rFonts w:ascii="Bookman Old Style" w:hAnsi="Bookman Old Style"/>
          <w:sz w:val="20"/>
          <w:szCs w:val="20"/>
        </w:rPr>
        <w:t>&lt;1</w:t>
      </w:r>
      <w:r>
        <w:rPr>
          <w:rFonts w:ascii="Bookman Old Style" w:hAnsi="Bookman Old Style"/>
          <w:sz w:val="20"/>
          <w:szCs w:val="20"/>
        </w:rPr>
        <w:t>га</w:t>
      </w:r>
      <w:r w:rsidRPr="006568BA">
        <w:rPr>
          <w:rFonts w:ascii="Bookman Old Style" w:hAnsi="Bookman Old Style"/>
          <w:sz w:val="20"/>
          <w:szCs w:val="20"/>
        </w:rPr>
        <w:t xml:space="preserve"> рассчитывалась методом «сравнения продаж».  Была проведена выборка объектов аналогов, предлагающихся к продаже на рынке продаж земельных участков для застройки ПСН в </w:t>
      </w:r>
      <w:r>
        <w:rPr>
          <w:rFonts w:ascii="Bookman Old Style" w:hAnsi="Bookman Old Style"/>
          <w:sz w:val="20"/>
          <w:szCs w:val="20"/>
        </w:rPr>
        <w:t>Ленинском</w:t>
      </w:r>
      <w:r w:rsidRPr="006568BA">
        <w:rPr>
          <w:rFonts w:ascii="Bookman Old Style" w:hAnsi="Bookman Old Style"/>
          <w:sz w:val="20"/>
          <w:szCs w:val="20"/>
        </w:rPr>
        <w:t xml:space="preserve"> районе г. Красноярска.</w:t>
      </w:r>
      <w:r>
        <w:rPr>
          <w:rFonts w:ascii="Bookman Old Style" w:hAnsi="Bookman Old Style"/>
          <w:sz w:val="20"/>
          <w:szCs w:val="20"/>
        </w:rPr>
        <w:t xml:space="preserve"> Расчет представлен в п. 5.4.5.</w:t>
      </w:r>
    </w:p>
    <w:p w:rsidR="00F45425" w:rsidRPr="00EE516A" w:rsidRDefault="00F45425" w:rsidP="00303E37">
      <w:pPr>
        <w:pStyle w:val="aff2"/>
        <w:numPr>
          <w:ilvl w:val="0"/>
          <w:numId w:val="35"/>
        </w:numPr>
        <w:spacing w:before="120" w:after="120"/>
        <w:jc w:val="both"/>
        <w:rPr>
          <w:rFonts w:ascii="Bookman Old Style" w:hAnsi="Bookman Old Style"/>
          <w:sz w:val="20"/>
          <w:szCs w:val="20"/>
        </w:rPr>
      </w:pPr>
      <w:r w:rsidRPr="00254BED">
        <w:rPr>
          <w:rFonts w:ascii="Bookman Old Style" w:hAnsi="Bookman Old Style"/>
          <w:sz w:val="20"/>
          <w:szCs w:val="20"/>
        </w:rPr>
        <w:t>Передаваемые</w:t>
      </w:r>
      <w:r>
        <w:rPr>
          <w:rFonts w:ascii="Bookman Old Style" w:hAnsi="Bookman Old Style"/>
          <w:sz w:val="20"/>
          <w:szCs w:val="20"/>
        </w:rPr>
        <w:t xml:space="preserve"> имущественные</w:t>
      </w:r>
      <w:r w:rsidRPr="00254BED">
        <w:rPr>
          <w:rFonts w:ascii="Bookman Old Style" w:hAnsi="Bookman Old Style"/>
          <w:sz w:val="20"/>
          <w:szCs w:val="20"/>
        </w:rPr>
        <w:t xml:space="preserve"> права. Существенное значение имеет идентификация передаваемых прав на недвижимость в каждой сопоставимой сделке выбранной для анализа, поскольку цена сделки всегда основывается на передаваемом интересе в имуществе. </w:t>
      </w:r>
      <w:r w:rsidRPr="00EE516A">
        <w:rPr>
          <w:rFonts w:ascii="Bookman Old Style" w:hAnsi="Bookman Old Style"/>
          <w:sz w:val="20"/>
          <w:szCs w:val="20"/>
        </w:rPr>
        <w:t>Результат оценки используется для</w:t>
      </w:r>
      <w:r w:rsidRPr="00EE516A">
        <w:rPr>
          <w:rFonts w:ascii="Bookman Old Style" w:hAnsi="Bookman Old Style"/>
          <w:iCs/>
          <w:color w:val="000000"/>
          <w:sz w:val="20"/>
          <w:szCs w:val="20"/>
        </w:rPr>
        <w:t xml:space="preserve"> определения начальной стоимости Объекта оценки при организации торгов по продаже, в рамках процедуры конкурсного производства.</w:t>
      </w:r>
      <w:r w:rsidRPr="00EE516A">
        <w:rPr>
          <w:rFonts w:ascii="Bookman Old Style" w:hAnsi="Bookman Old Style"/>
          <w:sz w:val="20"/>
          <w:szCs w:val="20"/>
        </w:rPr>
        <w:t xml:space="preserve"> Оцениваемые объекты соответствуют объектам аналогом по данному элементу сравнения. Корректировка аналогов не требуется.</w:t>
      </w:r>
    </w:p>
    <w:p w:rsidR="00577735" w:rsidRPr="00577735" w:rsidRDefault="00577735" w:rsidP="00303E37">
      <w:pPr>
        <w:numPr>
          <w:ilvl w:val="0"/>
          <w:numId w:val="35"/>
        </w:numPr>
        <w:spacing w:before="120" w:after="120"/>
        <w:jc w:val="both"/>
        <w:rPr>
          <w:rFonts w:ascii="Bookman Old Style" w:hAnsi="Bookman Old Style"/>
          <w:sz w:val="20"/>
          <w:szCs w:val="20"/>
        </w:rPr>
      </w:pPr>
      <w:r w:rsidRPr="00577735">
        <w:rPr>
          <w:rFonts w:ascii="Bookman Old Style" w:hAnsi="Bookman Old Style"/>
          <w:sz w:val="20"/>
          <w:szCs w:val="20"/>
        </w:rPr>
        <w:lastRenderedPageBreak/>
        <w:t xml:space="preserve">Условия рынка. Условия сделки, во время сделки по продаже сопоставимого имущества могут отличаться от условий на дату оцениваемого имущества. Факторы, влияющие на условия рынка, включают повышение или понижение стоимости имущества, изменения в законах, ограничения и мораторий на строительство, колебания спроса и предложения, либо любое сочетание сил, согласованно действующих в сторону изменения условий рынка в промежутке между двумя датами. </w:t>
      </w:r>
    </w:p>
    <w:p w:rsidR="00577735" w:rsidRPr="00EE516A" w:rsidRDefault="00577735" w:rsidP="00577735">
      <w:pPr>
        <w:spacing w:before="120" w:after="120"/>
        <w:ind w:left="720"/>
        <w:jc w:val="both"/>
        <w:rPr>
          <w:rFonts w:ascii="Bookman Old Style" w:hAnsi="Bookman Old Style"/>
          <w:sz w:val="20"/>
          <w:szCs w:val="20"/>
        </w:rPr>
      </w:pPr>
      <w:r w:rsidRPr="00577735">
        <w:rPr>
          <w:rFonts w:ascii="Bookman Old Style" w:hAnsi="Bookman Old Style"/>
          <w:sz w:val="20"/>
          <w:szCs w:val="20"/>
        </w:rPr>
        <w:t>Дата сделки с аналогами и дата оценки совпадают. Расчет корректирующего значения по данному элементу сравнения не требуется</w:t>
      </w:r>
    </w:p>
    <w:p w:rsidR="00577735" w:rsidRDefault="00F45425" w:rsidP="00303E37">
      <w:pPr>
        <w:pStyle w:val="aff2"/>
        <w:numPr>
          <w:ilvl w:val="0"/>
          <w:numId w:val="35"/>
        </w:numPr>
        <w:spacing w:before="120" w:after="120"/>
        <w:contextualSpacing w:val="0"/>
        <w:jc w:val="both"/>
        <w:rPr>
          <w:rFonts w:ascii="Bookman Old Style" w:hAnsi="Bookman Old Style"/>
          <w:sz w:val="20"/>
          <w:szCs w:val="20"/>
        </w:rPr>
      </w:pPr>
      <w:r w:rsidRPr="00577735">
        <w:rPr>
          <w:rFonts w:ascii="Bookman Old Style" w:hAnsi="Bookman Old Style"/>
          <w:sz w:val="20"/>
          <w:szCs w:val="20"/>
        </w:rPr>
        <w:t xml:space="preserve">Условия продажи. </w:t>
      </w:r>
      <w:r w:rsidR="00577735" w:rsidRPr="00577735">
        <w:rPr>
          <w:rFonts w:ascii="Bookman Old Style" w:hAnsi="Bookman Old Style"/>
          <w:sz w:val="20"/>
          <w:szCs w:val="20"/>
        </w:rPr>
        <w:t>При проведении расчета использованы цены предложения продаж земельных участков. С учетом сложившейся практики, чтобы устранить систематическую составляющую погрешности, используется понижающая процентная поправка. Так как фактическая цена сделки может быть скорректирована в ходе предварительных переговоров между покупателем и продавцом – требуется расчет корректировки</w:t>
      </w:r>
      <w:r w:rsidR="00577735">
        <w:rPr>
          <w:rFonts w:ascii="Bookman Old Style" w:hAnsi="Bookman Old Style"/>
          <w:sz w:val="20"/>
          <w:szCs w:val="20"/>
        </w:rPr>
        <w:t>.</w:t>
      </w:r>
    </w:p>
    <w:p w:rsidR="00577735" w:rsidRDefault="00577735" w:rsidP="00577735">
      <w:pPr>
        <w:pStyle w:val="aff2"/>
        <w:spacing w:before="120" w:after="120"/>
        <w:contextualSpacing w:val="0"/>
        <w:jc w:val="both"/>
        <w:rPr>
          <w:rFonts w:ascii="Bookman Old Style" w:hAnsi="Bookman Old Style"/>
          <w:sz w:val="20"/>
          <w:szCs w:val="20"/>
        </w:rPr>
      </w:pPr>
      <w:r w:rsidRPr="00EE24D6">
        <w:rPr>
          <w:rFonts w:ascii="Bookman Old Style" w:hAnsi="Bookman Old Style"/>
          <w:sz w:val="20"/>
          <w:szCs w:val="20"/>
        </w:rPr>
        <w:t>Расчет корректировки проведен экспертным методом</w:t>
      </w:r>
      <w:r w:rsidRPr="00EE24D6">
        <w:rPr>
          <w:rFonts w:ascii="Bookman Old Style" w:hAnsi="Bookman Old Style"/>
          <w:sz w:val="20"/>
          <w:szCs w:val="20"/>
          <w:vertAlign w:val="superscript"/>
        </w:rPr>
        <w:footnoteReference w:id="48"/>
      </w:r>
      <w:r w:rsidRPr="00EE24D6">
        <w:rPr>
          <w:rFonts w:ascii="Bookman Old Style" w:hAnsi="Bookman Old Style"/>
          <w:sz w:val="20"/>
          <w:szCs w:val="20"/>
        </w:rPr>
        <w:t xml:space="preserve">. </w:t>
      </w:r>
      <w:r w:rsidR="00CE17F5" w:rsidRPr="00F02D87">
        <w:rPr>
          <w:rFonts w:ascii="Bookman Old Style" w:hAnsi="Bookman Old Style"/>
          <w:sz w:val="20"/>
          <w:szCs w:val="20"/>
        </w:rPr>
        <w:t>Среднее значение диапазона скидок к цене предложения цен продаж производственно-скл</w:t>
      </w:r>
      <w:r w:rsidR="00CE17F5">
        <w:rPr>
          <w:rFonts w:ascii="Bookman Old Style" w:hAnsi="Bookman Old Style"/>
          <w:sz w:val="20"/>
          <w:szCs w:val="20"/>
        </w:rPr>
        <w:t xml:space="preserve">адской недвижимости в условиях </w:t>
      </w:r>
      <w:r w:rsidR="00CE17F5" w:rsidRPr="00F02D87">
        <w:rPr>
          <w:rFonts w:ascii="Bookman Old Style" w:hAnsi="Bookman Old Style"/>
          <w:sz w:val="20"/>
          <w:szCs w:val="20"/>
        </w:rPr>
        <w:t>активного рынка составляет диапазон от 1</w:t>
      </w:r>
      <w:r w:rsidR="00CE17F5">
        <w:rPr>
          <w:rFonts w:ascii="Bookman Old Style" w:hAnsi="Bookman Old Style"/>
          <w:sz w:val="20"/>
          <w:szCs w:val="20"/>
        </w:rPr>
        <w:t>0</w:t>
      </w:r>
      <w:r w:rsidR="00CE17F5" w:rsidRPr="00F02D87">
        <w:rPr>
          <w:rFonts w:ascii="Bookman Old Style" w:hAnsi="Bookman Old Style"/>
          <w:sz w:val="20"/>
          <w:szCs w:val="20"/>
        </w:rPr>
        <w:t>% до 1</w:t>
      </w:r>
      <w:r w:rsidR="00CE17F5">
        <w:rPr>
          <w:rFonts w:ascii="Bookman Old Style" w:hAnsi="Bookman Old Style"/>
          <w:sz w:val="20"/>
          <w:szCs w:val="20"/>
        </w:rPr>
        <w:t>2</w:t>
      </w:r>
      <w:r w:rsidR="00CE17F5" w:rsidRPr="00F02D87">
        <w:rPr>
          <w:rFonts w:ascii="Bookman Old Style" w:hAnsi="Bookman Old Style"/>
          <w:sz w:val="20"/>
          <w:szCs w:val="20"/>
        </w:rPr>
        <w:t xml:space="preserve">%. При расчете выбрано </w:t>
      </w:r>
      <w:r w:rsidR="006568BA">
        <w:rPr>
          <w:rFonts w:ascii="Bookman Old Style" w:hAnsi="Bookman Old Style"/>
          <w:sz w:val="20"/>
          <w:szCs w:val="20"/>
        </w:rPr>
        <w:t>значение диапазона равное -10</w:t>
      </w:r>
      <w:r w:rsidR="00CE17F5" w:rsidRPr="00F02D87">
        <w:rPr>
          <w:rFonts w:ascii="Bookman Old Style" w:hAnsi="Bookman Old Style"/>
          <w:sz w:val="20"/>
          <w:szCs w:val="20"/>
        </w:rPr>
        <w:t>%.</w:t>
      </w:r>
      <w:r w:rsidR="00CE17F5">
        <w:rPr>
          <w:rFonts w:ascii="Bookman Old Style" w:hAnsi="Bookman Old Style"/>
          <w:sz w:val="20"/>
          <w:szCs w:val="20"/>
        </w:rPr>
        <w:t xml:space="preserve"> </w:t>
      </w:r>
    </w:p>
    <w:p w:rsidR="00577735" w:rsidRDefault="00577735" w:rsidP="00303E37">
      <w:pPr>
        <w:numPr>
          <w:ilvl w:val="0"/>
          <w:numId w:val="35"/>
        </w:numPr>
        <w:spacing w:before="120" w:after="120"/>
        <w:jc w:val="both"/>
        <w:rPr>
          <w:rFonts w:ascii="Bookman Old Style" w:hAnsi="Bookman Old Style"/>
          <w:sz w:val="20"/>
          <w:szCs w:val="20"/>
        </w:rPr>
      </w:pPr>
      <w:r>
        <w:rPr>
          <w:rFonts w:ascii="Bookman Old Style" w:hAnsi="Bookman Old Style"/>
          <w:sz w:val="20"/>
          <w:szCs w:val="20"/>
        </w:rPr>
        <w:t>Вид функционального использования</w:t>
      </w:r>
      <w:r w:rsidRPr="00EE24D6">
        <w:rPr>
          <w:rFonts w:ascii="Bookman Old Style" w:hAnsi="Bookman Old Style"/>
          <w:sz w:val="20"/>
          <w:szCs w:val="20"/>
        </w:rPr>
        <w:t>. На использование имущества влияют зонирование или другие ограничения. Если имеет место отличие в текущем использовании или в НЭИ сопоставимого имущества от рассматриваемого имущества, следует тщательно изучить влияние этого отличия на стоимость.</w:t>
      </w:r>
    </w:p>
    <w:p w:rsidR="00CE17F5" w:rsidRPr="00CE17F5" w:rsidRDefault="00CE17F5" w:rsidP="00CE17F5">
      <w:pPr>
        <w:spacing w:before="120" w:after="120"/>
        <w:ind w:left="720"/>
        <w:jc w:val="both"/>
        <w:rPr>
          <w:rFonts w:ascii="Bookman Old Style" w:hAnsi="Bookman Old Style"/>
          <w:sz w:val="20"/>
          <w:szCs w:val="20"/>
        </w:rPr>
      </w:pPr>
      <w:r w:rsidRPr="00CE17F5">
        <w:rPr>
          <w:rFonts w:ascii="Bookman Old Style" w:hAnsi="Bookman Old Style"/>
          <w:sz w:val="20"/>
          <w:szCs w:val="20"/>
        </w:rPr>
        <w:t xml:space="preserve">При определении количественных и качественных характеристик оцениваемых объектов, установлено, что </w:t>
      </w:r>
      <w:r>
        <w:rPr>
          <w:rFonts w:ascii="Bookman Old Style" w:hAnsi="Bookman Old Style"/>
          <w:sz w:val="20"/>
          <w:szCs w:val="20"/>
        </w:rPr>
        <w:t>в нежилом производственно-складском здании общей площадью 4216,7 кв.м. имеются офисные помещения общей площадью 445,40 кв.м</w:t>
      </w:r>
      <w:r w:rsidRPr="00CE17F5">
        <w:rPr>
          <w:rFonts w:ascii="Bookman Old Style" w:hAnsi="Bookman Old Style"/>
          <w:sz w:val="20"/>
          <w:szCs w:val="20"/>
        </w:rPr>
        <w:t>. Согласно, общепринятой практики проведения оценки,</w:t>
      </w:r>
      <w:r>
        <w:rPr>
          <w:rFonts w:ascii="Bookman Old Style" w:hAnsi="Bookman Old Style"/>
          <w:sz w:val="20"/>
          <w:szCs w:val="20"/>
        </w:rPr>
        <w:t xml:space="preserve"> </w:t>
      </w:r>
      <w:r w:rsidRPr="00CE17F5">
        <w:rPr>
          <w:rFonts w:ascii="Bookman Old Style" w:hAnsi="Bookman Old Style"/>
          <w:sz w:val="20"/>
          <w:szCs w:val="20"/>
        </w:rPr>
        <w:t xml:space="preserve"> стоимость таких объектов значительно ниже стоимости объектов расположенных в офисных и деловых центрах города.</w:t>
      </w:r>
    </w:p>
    <w:p w:rsidR="00CE17F5" w:rsidRPr="00CE17F5" w:rsidRDefault="00CE17F5" w:rsidP="00CE17F5">
      <w:pPr>
        <w:spacing w:before="120" w:after="120"/>
        <w:ind w:left="720"/>
        <w:jc w:val="both"/>
        <w:rPr>
          <w:rFonts w:ascii="Bookman Old Style" w:hAnsi="Bookman Old Style"/>
          <w:sz w:val="20"/>
          <w:szCs w:val="20"/>
        </w:rPr>
      </w:pPr>
      <w:r w:rsidRPr="00CE17F5">
        <w:rPr>
          <w:rFonts w:ascii="Bookman Old Style" w:hAnsi="Bookman Old Style"/>
          <w:sz w:val="20"/>
          <w:szCs w:val="20"/>
        </w:rPr>
        <w:t xml:space="preserve">Расчет мультипликатора вида функционального использования проведен экспертным методом . </w:t>
      </w:r>
    </w:p>
    <w:p w:rsidR="00CE17F5" w:rsidRPr="00CE17F5" w:rsidRDefault="00CE17F5" w:rsidP="00CE17F5">
      <w:pPr>
        <w:spacing w:before="120" w:after="120"/>
        <w:ind w:left="720"/>
        <w:jc w:val="both"/>
        <w:rPr>
          <w:rFonts w:ascii="Bookman Old Style" w:hAnsi="Bookman Old Style"/>
          <w:sz w:val="20"/>
          <w:szCs w:val="20"/>
        </w:rPr>
      </w:pPr>
      <w:r w:rsidRPr="00CE17F5">
        <w:rPr>
          <w:rFonts w:ascii="Bookman Old Style" w:hAnsi="Bookman Old Style"/>
          <w:sz w:val="20"/>
          <w:szCs w:val="20"/>
        </w:rPr>
        <w:t xml:space="preserve">Экспертное значение диапазона мультипликатора отношения удельной цены административно-офисных </w:t>
      </w:r>
      <w:r>
        <w:rPr>
          <w:rFonts w:ascii="Bookman Old Style" w:hAnsi="Bookman Old Style"/>
          <w:sz w:val="20"/>
          <w:szCs w:val="20"/>
        </w:rPr>
        <w:t xml:space="preserve">части </w:t>
      </w:r>
      <w:r w:rsidRPr="00CE17F5">
        <w:rPr>
          <w:rFonts w:ascii="Bookman Old Style" w:hAnsi="Bookman Old Style"/>
          <w:sz w:val="20"/>
          <w:szCs w:val="20"/>
        </w:rPr>
        <w:t>производственно-складск</w:t>
      </w:r>
      <w:r>
        <w:rPr>
          <w:rFonts w:ascii="Bookman Old Style" w:hAnsi="Bookman Old Style"/>
          <w:sz w:val="20"/>
          <w:szCs w:val="20"/>
        </w:rPr>
        <w:t xml:space="preserve">ого </w:t>
      </w:r>
      <w:r w:rsidRPr="00CE17F5">
        <w:rPr>
          <w:rFonts w:ascii="Bookman Old Style" w:hAnsi="Bookman Old Style"/>
          <w:sz w:val="20"/>
          <w:szCs w:val="20"/>
        </w:rPr>
        <w:t xml:space="preserve">к удельной </w:t>
      </w:r>
      <w:r>
        <w:rPr>
          <w:rFonts w:ascii="Bookman Old Style" w:hAnsi="Bookman Old Style"/>
          <w:sz w:val="20"/>
          <w:szCs w:val="20"/>
        </w:rPr>
        <w:t xml:space="preserve"> стоимости </w:t>
      </w:r>
      <w:r w:rsidRPr="00CE17F5">
        <w:rPr>
          <w:rFonts w:ascii="Bookman Old Style" w:hAnsi="Bookman Old Style"/>
          <w:sz w:val="20"/>
          <w:szCs w:val="20"/>
        </w:rPr>
        <w:t>производственно-складск</w:t>
      </w:r>
      <w:r>
        <w:rPr>
          <w:rFonts w:ascii="Bookman Old Style" w:hAnsi="Bookman Old Style"/>
          <w:sz w:val="20"/>
          <w:szCs w:val="20"/>
        </w:rPr>
        <w:t>ой</w:t>
      </w:r>
      <w:r w:rsidRPr="00CE17F5">
        <w:rPr>
          <w:rFonts w:ascii="Bookman Old Style" w:hAnsi="Bookman Old Style"/>
          <w:sz w:val="20"/>
          <w:szCs w:val="20"/>
        </w:rPr>
        <w:t xml:space="preserve"> </w:t>
      </w:r>
      <w:r>
        <w:rPr>
          <w:rFonts w:ascii="Bookman Old Style" w:hAnsi="Bookman Old Style"/>
          <w:sz w:val="20"/>
          <w:szCs w:val="20"/>
        </w:rPr>
        <w:t xml:space="preserve">части комплекса </w:t>
      </w:r>
      <w:r w:rsidRPr="00CE17F5">
        <w:rPr>
          <w:rFonts w:ascii="Bookman Old Style" w:hAnsi="Bookman Old Style"/>
          <w:sz w:val="20"/>
          <w:szCs w:val="20"/>
        </w:rPr>
        <w:t>составляет 1,57-1,</w:t>
      </w:r>
      <w:r>
        <w:rPr>
          <w:rFonts w:ascii="Bookman Old Style" w:hAnsi="Bookman Old Style"/>
          <w:sz w:val="20"/>
          <w:szCs w:val="20"/>
        </w:rPr>
        <w:t>75</w:t>
      </w:r>
      <w:r w:rsidRPr="00CE17F5">
        <w:rPr>
          <w:rFonts w:ascii="Bookman Old Style" w:hAnsi="Bookman Old Style"/>
          <w:sz w:val="20"/>
          <w:szCs w:val="20"/>
        </w:rPr>
        <w:t>. При этом скидка к цене предложения может составить среднее значение диапазона. При расчете выбрано значение 1,66.</w:t>
      </w:r>
    </w:p>
    <w:p w:rsidR="00CE17F5" w:rsidRDefault="00CE17F5" w:rsidP="00CE17F5">
      <w:pPr>
        <w:spacing w:before="120" w:after="120"/>
        <w:ind w:left="720"/>
        <w:jc w:val="both"/>
        <w:rPr>
          <w:rFonts w:ascii="Bookman Old Style" w:hAnsi="Bookman Old Style"/>
          <w:sz w:val="20"/>
          <w:szCs w:val="20"/>
        </w:rPr>
      </w:pPr>
      <w:r w:rsidRPr="00CE17F5">
        <w:rPr>
          <w:rFonts w:ascii="Bookman Old Style" w:hAnsi="Bookman Old Style"/>
          <w:sz w:val="20"/>
          <w:szCs w:val="20"/>
        </w:rPr>
        <w:t>Корректировка по виду использования, рассчитана по формуле:</w:t>
      </w:r>
    </w:p>
    <w:p w:rsidR="00CE17F5" w:rsidRPr="00E66AD1" w:rsidRDefault="006C4CCF" w:rsidP="00CE17F5">
      <w:pPr>
        <w:spacing w:before="120" w:after="120"/>
        <w:ind w:left="720"/>
        <w:jc w:val="both"/>
        <w:rPr>
          <w:rFonts w:ascii="Bookman Old Style" w:hAnsi="Bookman Old Style"/>
          <w:i/>
          <w:sz w:val="20"/>
          <w:szCs w:val="20"/>
        </w:rPr>
      </w:pPr>
      <m:oMathPara>
        <m:oMath>
          <m:sSub>
            <m:sSubPr>
              <m:ctrlPr>
                <w:rPr>
                  <w:rFonts w:ascii="Cambria Math" w:hAnsi="Cambria Math"/>
                  <w:i/>
                  <w:sz w:val="20"/>
                  <w:szCs w:val="20"/>
                </w:rPr>
              </m:ctrlPr>
            </m:sSubPr>
            <m:e>
              <m:r>
                <w:rPr>
                  <w:rFonts w:ascii="Cambria Math" w:hAnsi="Cambria Math"/>
                  <w:sz w:val="20"/>
                  <w:szCs w:val="20"/>
                  <w:lang w:val="en-US"/>
                </w:rPr>
                <m:t>C</m:t>
              </m:r>
            </m:e>
            <m:sub>
              <m:r>
                <w:rPr>
                  <w:rFonts w:ascii="Cambria Math" w:hAnsi="Cambria Math"/>
                  <w:sz w:val="20"/>
                  <w:szCs w:val="20"/>
                </w:rPr>
                <m:t>корр.аналога</m:t>
              </m:r>
            </m:sub>
          </m:sSub>
          <m:r>
            <w:rPr>
              <w:rFonts w:ascii="Cambria Math" w:hAnsi="Cambria Math"/>
              <w:sz w:val="20"/>
              <w:szCs w:val="20"/>
            </w:rPr>
            <m:t>=</m:t>
          </m:r>
          <m:r>
            <w:rPr>
              <w:rFonts w:ascii="Cambria Math" w:hAnsi="Cambria Math"/>
              <w:sz w:val="20"/>
              <w:szCs w:val="20"/>
              <w:lang w:val="en-US"/>
            </w:rPr>
            <m:t>M</m:t>
          </m:r>
          <m:r>
            <w:rPr>
              <w:rFonts w:ascii="Cambria Math" w:hAnsi="Cambria Math"/>
              <w:sz w:val="20"/>
              <w:szCs w:val="20"/>
            </w:rPr>
            <m:t>×</m:t>
          </m:r>
          <m:sSub>
            <m:sSubPr>
              <m:ctrlPr>
                <w:rPr>
                  <w:rFonts w:ascii="Cambria Math" w:hAnsi="Cambria Math"/>
                  <w:i/>
                  <w:sz w:val="20"/>
                  <w:szCs w:val="20"/>
                  <w:lang w:val="en-US"/>
                </w:rPr>
              </m:ctrlPr>
            </m:sSubPr>
            <m:e>
              <m:r>
                <w:rPr>
                  <w:rFonts w:ascii="Cambria Math" w:hAnsi="Cambria Math"/>
                  <w:sz w:val="20"/>
                  <w:szCs w:val="20"/>
                  <w:lang w:val="en-US"/>
                </w:rPr>
                <m:t>C</m:t>
              </m:r>
            </m:e>
            <m:sub>
              <m:r>
                <w:rPr>
                  <w:rFonts w:ascii="Cambria Math" w:hAnsi="Cambria Math"/>
                  <w:sz w:val="20"/>
                  <w:szCs w:val="20"/>
                </w:rPr>
                <m:t>аналога</m:t>
              </m:r>
            </m:sub>
          </m:sSub>
        </m:oMath>
      </m:oMathPara>
    </w:p>
    <w:p w:rsidR="00CE17F5" w:rsidRPr="00CE17F5" w:rsidRDefault="00CE17F5" w:rsidP="00CE17F5">
      <w:pPr>
        <w:spacing w:before="120" w:after="120"/>
        <w:ind w:left="720"/>
        <w:jc w:val="both"/>
        <w:rPr>
          <w:rFonts w:ascii="Bookman Old Style" w:hAnsi="Bookman Old Style"/>
          <w:sz w:val="20"/>
          <w:szCs w:val="20"/>
        </w:rPr>
      </w:pPr>
      <w:r w:rsidRPr="00CE17F5">
        <w:rPr>
          <w:rFonts w:ascii="Bookman Old Style" w:hAnsi="Bookman Old Style"/>
          <w:sz w:val="20"/>
          <w:szCs w:val="20"/>
        </w:rPr>
        <w:t>Где:</w:t>
      </w:r>
    </w:p>
    <w:p w:rsidR="00CE17F5" w:rsidRPr="00CE17F5" w:rsidRDefault="00CE17F5" w:rsidP="00CE17F5">
      <w:pPr>
        <w:spacing w:before="120" w:after="120"/>
        <w:ind w:left="720"/>
        <w:jc w:val="both"/>
        <w:rPr>
          <w:rFonts w:ascii="Bookman Old Style" w:hAnsi="Bookman Old Style"/>
          <w:sz w:val="20"/>
          <w:szCs w:val="20"/>
        </w:rPr>
      </w:pPr>
      <w:r>
        <w:rPr>
          <w:rFonts w:ascii="Bookman Old Style" w:hAnsi="Bookman Old Style"/>
          <w:sz w:val="20"/>
          <w:szCs w:val="20"/>
        </w:rPr>
        <w:t>С</w:t>
      </w:r>
      <w:r w:rsidRPr="00E66AD1">
        <w:rPr>
          <w:rFonts w:ascii="Bookman Old Style" w:hAnsi="Bookman Old Style"/>
          <w:sz w:val="20"/>
          <w:szCs w:val="20"/>
          <w:vertAlign w:val="subscript"/>
        </w:rPr>
        <w:t>корр.аналога</w:t>
      </w:r>
      <w:r w:rsidRPr="00CE17F5">
        <w:rPr>
          <w:rFonts w:ascii="Bookman Old Style" w:hAnsi="Bookman Old Style"/>
          <w:sz w:val="20"/>
          <w:szCs w:val="20"/>
        </w:rPr>
        <w:t xml:space="preserve"> – стоимость 1 кв.м. аналога с видом использ</w:t>
      </w:r>
      <w:r>
        <w:rPr>
          <w:rFonts w:ascii="Bookman Old Style" w:hAnsi="Bookman Old Style"/>
          <w:sz w:val="20"/>
          <w:szCs w:val="20"/>
        </w:rPr>
        <w:t>ования административные объекты</w:t>
      </w:r>
      <w:r w:rsidRPr="00CE17F5">
        <w:rPr>
          <w:rFonts w:ascii="Bookman Old Style" w:hAnsi="Bookman Old Style"/>
          <w:sz w:val="20"/>
          <w:szCs w:val="20"/>
        </w:rPr>
        <w:t>;</w:t>
      </w:r>
    </w:p>
    <w:p w:rsidR="00CE17F5" w:rsidRPr="00CE17F5" w:rsidRDefault="00CE17F5" w:rsidP="00CE17F5">
      <w:pPr>
        <w:spacing w:before="120" w:after="120"/>
        <w:ind w:left="720"/>
        <w:jc w:val="both"/>
        <w:rPr>
          <w:rFonts w:ascii="Bookman Old Style" w:hAnsi="Bookman Old Style"/>
          <w:sz w:val="20"/>
          <w:szCs w:val="20"/>
        </w:rPr>
      </w:pPr>
      <w:r w:rsidRPr="00CE17F5">
        <w:rPr>
          <w:rFonts w:ascii="Bookman Old Style" w:hAnsi="Bookman Old Style"/>
          <w:sz w:val="20"/>
          <w:szCs w:val="20"/>
        </w:rPr>
        <w:t>М – мультипликатор вида использования;</w:t>
      </w:r>
    </w:p>
    <w:p w:rsidR="00577735" w:rsidRDefault="00CE17F5" w:rsidP="00CE17F5">
      <w:pPr>
        <w:spacing w:before="120" w:after="120"/>
        <w:ind w:left="720"/>
        <w:jc w:val="both"/>
        <w:rPr>
          <w:rFonts w:ascii="Bookman Old Style" w:hAnsi="Bookman Old Style"/>
          <w:sz w:val="20"/>
          <w:szCs w:val="20"/>
        </w:rPr>
      </w:pPr>
      <w:r>
        <w:rPr>
          <w:rFonts w:ascii="Bookman Old Style" w:hAnsi="Bookman Old Style"/>
          <w:sz w:val="20"/>
          <w:szCs w:val="20"/>
        </w:rPr>
        <w:t>С</w:t>
      </w:r>
      <w:r w:rsidRPr="00E66AD1">
        <w:rPr>
          <w:rFonts w:ascii="Bookman Old Style" w:hAnsi="Bookman Old Style"/>
          <w:sz w:val="20"/>
          <w:szCs w:val="20"/>
          <w:vertAlign w:val="subscript"/>
        </w:rPr>
        <w:t>аналога</w:t>
      </w:r>
      <w:r w:rsidRPr="00CE17F5">
        <w:rPr>
          <w:rFonts w:ascii="Bookman Old Style" w:hAnsi="Bookman Old Style"/>
          <w:sz w:val="20"/>
          <w:szCs w:val="20"/>
        </w:rPr>
        <w:t xml:space="preserve"> – стоимость 1 кв.м. аналога с видом использования производственно-складские объекты.</w:t>
      </w:r>
      <w:r w:rsidR="00577735" w:rsidRPr="00EE24D6">
        <w:rPr>
          <w:rFonts w:ascii="Bookman Old Style" w:hAnsi="Bookman Old Style"/>
          <w:sz w:val="20"/>
          <w:szCs w:val="20"/>
        </w:rPr>
        <w:t>.</w:t>
      </w:r>
    </w:p>
    <w:p w:rsidR="004F7D55" w:rsidRPr="0008564B" w:rsidRDefault="00F45425" w:rsidP="00303E37">
      <w:pPr>
        <w:numPr>
          <w:ilvl w:val="0"/>
          <w:numId w:val="35"/>
        </w:numPr>
        <w:spacing w:before="120" w:after="120"/>
        <w:jc w:val="both"/>
        <w:rPr>
          <w:rFonts w:ascii="Bookman Old Style" w:hAnsi="Bookman Old Style"/>
          <w:sz w:val="20"/>
          <w:szCs w:val="20"/>
        </w:rPr>
      </w:pPr>
      <w:r w:rsidRPr="00431CC5">
        <w:rPr>
          <w:rFonts w:ascii="Bookman Old Style" w:hAnsi="Bookman Old Style"/>
          <w:sz w:val="20"/>
          <w:szCs w:val="20"/>
        </w:rPr>
        <w:t xml:space="preserve">Местоположение.  </w:t>
      </w:r>
      <w:r w:rsidR="004F7D55" w:rsidRPr="00431CC5">
        <w:rPr>
          <w:rFonts w:ascii="Bookman Old Style" w:hAnsi="Bookman Old Style"/>
          <w:sz w:val="20"/>
          <w:szCs w:val="20"/>
        </w:rPr>
        <w:t>При расчете корректировки следует сравнить местоположение объектов имущества в сопоставимых продажах и рассматриваемого имущества, чтобы установить влияет ли местоположение и ближайшие окрестности на уплачиваемые цены.</w:t>
      </w:r>
      <w:r w:rsidR="004F7D55">
        <w:rPr>
          <w:rFonts w:ascii="Bookman Old Style" w:hAnsi="Bookman Old Style"/>
          <w:sz w:val="20"/>
          <w:szCs w:val="20"/>
        </w:rPr>
        <w:t xml:space="preserve"> </w:t>
      </w:r>
      <w:r w:rsidR="004F7D55" w:rsidRPr="0008564B">
        <w:rPr>
          <w:rFonts w:ascii="Bookman Old Style" w:hAnsi="Bookman Old Style"/>
          <w:sz w:val="20"/>
          <w:szCs w:val="20"/>
        </w:rPr>
        <w:t xml:space="preserve">Анализ элемента сравнения при расчете рыночной стоимости </w:t>
      </w:r>
      <w:r w:rsidR="006A199E">
        <w:rPr>
          <w:rFonts w:ascii="Bookman Old Style" w:hAnsi="Bookman Old Style"/>
          <w:sz w:val="20"/>
          <w:szCs w:val="20"/>
        </w:rPr>
        <w:t>нежилых помещений не</w:t>
      </w:r>
      <w:r w:rsidR="004F7D55" w:rsidRPr="0008564B">
        <w:rPr>
          <w:rFonts w:ascii="Bookman Old Style" w:hAnsi="Bookman Old Style"/>
          <w:sz w:val="20"/>
          <w:szCs w:val="20"/>
        </w:rPr>
        <w:t xml:space="preserve"> определил различия между Объектом оценки и объектом аналогом по местоположению. </w:t>
      </w:r>
      <w:r w:rsidR="006A199E">
        <w:rPr>
          <w:rFonts w:ascii="Bookman Old Style" w:hAnsi="Bookman Old Style"/>
          <w:sz w:val="20"/>
          <w:szCs w:val="20"/>
        </w:rPr>
        <w:t>Корректировка не требуется</w:t>
      </w:r>
      <w:r w:rsidR="004F7D55" w:rsidRPr="0008564B">
        <w:rPr>
          <w:rFonts w:ascii="Bookman Old Style" w:hAnsi="Bookman Old Style"/>
          <w:sz w:val="20"/>
          <w:szCs w:val="20"/>
        </w:rPr>
        <w:t xml:space="preserve">.  </w:t>
      </w:r>
      <w:r w:rsidR="004F7D55">
        <w:rPr>
          <w:rFonts w:ascii="Bookman Old Style" w:hAnsi="Bookman Old Style"/>
          <w:sz w:val="20"/>
          <w:szCs w:val="20"/>
        </w:rPr>
        <w:t xml:space="preserve"> </w:t>
      </w:r>
    </w:p>
    <w:p w:rsidR="00F45425" w:rsidRPr="00431CC5" w:rsidRDefault="00F45425" w:rsidP="00303E37">
      <w:pPr>
        <w:numPr>
          <w:ilvl w:val="0"/>
          <w:numId w:val="35"/>
        </w:numPr>
        <w:spacing w:before="120" w:after="120"/>
        <w:jc w:val="both"/>
        <w:rPr>
          <w:rFonts w:ascii="Bookman Old Style" w:hAnsi="Bookman Old Style"/>
          <w:sz w:val="20"/>
          <w:szCs w:val="20"/>
        </w:rPr>
      </w:pPr>
      <w:r w:rsidRPr="00431CC5">
        <w:rPr>
          <w:rFonts w:ascii="Bookman Old Style" w:hAnsi="Bookman Old Style"/>
          <w:sz w:val="20"/>
          <w:szCs w:val="20"/>
        </w:rPr>
        <w:t xml:space="preserve">Физические характеристики. Данная группа корректировок описывает физическое состояние </w:t>
      </w:r>
      <w:r>
        <w:rPr>
          <w:rFonts w:ascii="Bookman Old Style" w:hAnsi="Bookman Old Style"/>
          <w:sz w:val="20"/>
          <w:szCs w:val="20"/>
        </w:rPr>
        <w:t xml:space="preserve">и количественные характеристики </w:t>
      </w:r>
      <w:r w:rsidRPr="00431CC5">
        <w:rPr>
          <w:rFonts w:ascii="Bookman Old Style" w:hAnsi="Bookman Old Style"/>
          <w:sz w:val="20"/>
          <w:szCs w:val="20"/>
        </w:rPr>
        <w:t xml:space="preserve">рассматриваемого имущества и сопоставимых объектов, если состояние объекта оценки и объектов аналогов отличается, необходимо рассмотреть каждое из отличий с учетом влияния на стоимость. </w:t>
      </w:r>
    </w:p>
    <w:p w:rsidR="00F45425" w:rsidRDefault="00F45425" w:rsidP="00F45425">
      <w:pPr>
        <w:spacing w:before="120" w:after="120"/>
        <w:ind w:left="720"/>
        <w:jc w:val="both"/>
        <w:rPr>
          <w:rFonts w:ascii="Bookman Old Style" w:hAnsi="Bookman Old Style"/>
          <w:sz w:val="20"/>
          <w:szCs w:val="20"/>
        </w:rPr>
      </w:pPr>
      <w:r w:rsidRPr="00DE3F19">
        <w:rPr>
          <w:rFonts w:ascii="Bookman Old Style" w:hAnsi="Bookman Old Style"/>
          <w:sz w:val="20"/>
          <w:szCs w:val="20"/>
        </w:rPr>
        <w:lastRenderedPageBreak/>
        <w:t>А. Значение сегмента рынка по площади.</w:t>
      </w:r>
      <w:r w:rsidRPr="00DE3F19">
        <w:t xml:space="preserve"> </w:t>
      </w:r>
      <w:r w:rsidRPr="00DE3F19">
        <w:rPr>
          <w:rFonts w:ascii="Bookman Old Style" w:hAnsi="Bookman Old Style"/>
          <w:sz w:val="20"/>
          <w:szCs w:val="20"/>
        </w:rPr>
        <w:t>По данному элементу сравнения выявлено отличие Объекта оценки и объектов аналогов</w:t>
      </w:r>
      <w:r>
        <w:rPr>
          <w:rFonts w:ascii="Bookman Old Style" w:hAnsi="Bookman Old Style"/>
          <w:sz w:val="20"/>
          <w:szCs w:val="20"/>
        </w:rPr>
        <w:t xml:space="preserve">. </w:t>
      </w:r>
      <w:r w:rsidRPr="006E29E9">
        <w:rPr>
          <w:rFonts w:ascii="Bookman Old Style" w:hAnsi="Bookman Old Style"/>
          <w:sz w:val="20"/>
          <w:szCs w:val="20"/>
        </w:rPr>
        <w:t>Как правило, большие по размеру помещения стоят несколько дешевле в расчете на единицу площади, чем меньшие по размеру, поэтому в цены аналогов необходимо внести корректировки.</w:t>
      </w:r>
    </w:p>
    <w:p w:rsidR="004A1E09" w:rsidRDefault="004A1E09" w:rsidP="00F45425">
      <w:pPr>
        <w:spacing w:before="120" w:after="120"/>
        <w:ind w:left="720"/>
        <w:jc w:val="both"/>
        <w:rPr>
          <w:rFonts w:ascii="Bookman Old Style" w:hAnsi="Bookman Old Style"/>
          <w:sz w:val="20"/>
          <w:szCs w:val="20"/>
        </w:rPr>
      </w:pPr>
      <w:r w:rsidRPr="00EE24D6">
        <w:rPr>
          <w:rFonts w:ascii="Bookman Old Style" w:hAnsi="Bookman Old Style"/>
          <w:sz w:val="20"/>
          <w:szCs w:val="20"/>
        </w:rPr>
        <w:t>Расчет корректировки проведен экспертным методом</w:t>
      </w:r>
      <w:r w:rsidRPr="00EE24D6">
        <w:rPr>
          <w:rFonts w:ascii="Bookman Old Style" w:hAnsi="Bookman Old Style"/>
          <w:sz w:val="20"/>
          <w:szCs w:val="20"/>
          <w:vertAlign w:val="superscript"/>
        </w:rPr>
        <w:footnoteReference w:id="49"/>
      </w:r>
      <w:r w:rsidRPr="00EE24D6">
        <w:rPr>
          <w:rFonts w:ascii="Bookman Old Style" w:hAnsi="Bookman Old Style"/>
          <w:sz w:val="20"/>
          <w:szCs w:val="20"/>
        </w:rPr>
        <w:t xml:space="preserve">. </w:t>
      </w:r>
      <w:r w:rsidRPr="004A1E09">
        <w:rPr>
          <w:rFonts w:ascii="Bookman Old Style" w:hAnsi="Bookman Old Style"/>
          <w:sz w:val="20"/>
          <w:szCs w:val="20"/>
        </w:rPr>
        <w:t xml:space="preserve">При расчете рыночной стоимости </w:t>
      </w:r>
      <w:r w:rsidR="006A199E">
        <w:rPr>
          <w:rFonts w:ascii="Bookman Old Style" w:hAnsi="Bookman Old Style"/>
          <w:sz w:val="20"/>
          <w:szCs w:val="20"/>
        </w:rPr>
        <w:t>нежилого</w:t>
      </w:r>
      <w:r>
        <w:rPr>
          <w:rFonts w:ascii="Bookman Old Style" w:hAnsi="Bookman Old Style"/>
          <w:sz w:val="20"/>
          <w:szCs w:val="20"/>
        </w:rPr>
        <w:t xml:space="preserve"> </w:t>
      </w:r>
      <w:r w:rsidR="006A199E">
        <w:rPr>
          <w:rFonts w:ascii="Bookman Old Style" w:hAnsi="Bookman Old Style"/>
          <w:sz w:val="20"/>
          <w:szCs w:val="20"/>
        </w:rPr>
        <w:t>помещения</w:t>
      </w:r>
      <w:r w:rsidRPr="004A1E09">
        <w:rPr>
          <w:rFonts w:ascii="Bookman Old Style" w:hAnsi="Bookman Old Style"/>
          <w:sz w:val="20"/>
          <w:szCs w:val="20"/>
        </w:rPr>
        <w:t xml:space="preserve"> </w:t>
      </w:r>
      <w:r w:rsidR="00CE17F5" w:rsidRPr="00CE17F5">
        <w:rPr>
          <w:rFonts w:ascii="Bookman Old Style" w:hAnsi="Bookman Old Style"/>
          <w:sz w:val="20"/>
          <w:szCs w:val="20"/>
        </w:rPr>
        <w:t xml:space="preserve">производственно-складского </w:t>
      </w:r>
      <w:r w:rsidR="006A199E">
        <w:rPr>
          <w:rFonts w:ascii="Bookman Old Style" w:hAnsi="Bookman Old Style"/>
          <w:sz w:val="20"/>
          <w:szCs w:val="20"/>
        </w:rPr>
        <w:t xml:space="preserve">назначения </w:t>
      </w:r>
      <w:r w:rsidRPr="004A1E09">
        <w:rPr>
          <w:rFonts w:ascii="Bookman Old Style" w:hAnsi="Bookman Old Style"/>
          <w:sz w:val="20"/>
          <w:szCs w:val="20"/>
        </w:rPr>
        <w:t xml:space="preserve">площадью </w:t>
      </w:r>
      <w:r w:rsidR="00CE17F5" w:rsidRPr="00CE17F5">
        <w:rPr>
          <w:rFonts w:ascii="Bookman Old Style" w:hAnsi="Bookman Old Style"/>
          <w:sz w:val="20"/>
          <w:szCs w:val="20"/>
        </w:rPr>
        <w:t>&gt;1000</w:t>
      </w:r>
      <w:r w:rsidR="00CE17F5">
        <w:rPr>
          <w:rFonts w:ascii="Bookman Old Style" w:hAnsi="Bookman Old Style"/>
          <w:sz w:val="20"/>
          <w:szCs w:val="20"/>
        </w:rPr>
        <w:t>кв.м.</w:t>
      </w:r>
      <w:r w:rsidRPr="004A1E09">
        <w:rPr>
          <w:rFonts w:ascii="Bookman Old Style" w:hAnsi="Bookman Old Style"/>
          <w:sz w:val="20"/>
          <w:szCs w:val="20"/>
        </w:rPr>
        <w:t xml:space="preserve">, </w:t>
      </w:r>
      <w:r w:rsidR="00CE17F5">
        <w:rPr>
          <w:rFonts w:ascii="Bookman Old Style" w:hAnsi="Bookman Old Style"/>
          <w:sz w:val="20"/>
          <w:szCs w:val="20"/>
        </w:rPr>
        <w:t>понижающий</w:t>
      </w:r>
      <w:r w:rsidRPr="004A1E09">
        <w:rPr>
          <w:rFonts w:ascii="Bookman Old Style" w:hAnsi="Bookman Old Style"/>
          <w:sz w:val="20"/>
          <w:szCs w:val="20"/>
        </w:rPr>
        <w:t xml:space="preserve"> корректирующий коэффициент по цене предложений для Аналог</w:t>
      </w:r>
      <w:r w:rsidR="006568BA">
        <w:rPr>
          <w:rFonts w:ascii="Bookman Old Style" w:hAnsi="Bookman Old Style"/>
          <w:sz w:val="20"/>
          <w:szCs w:val="20"/>
        </w:rPr>
        <w:t>ов</w:t>
      </w:r>
      <w:r w:rsidRPr="004A1E09">
        <w:rPr>
          <w:rFonts w:ascii="Bookman Old Style" w:hAnsi="Bookman Old Style"/>
          <w:sz w:val="20"/>
          <w:szCs w:val="20"/>
        </w:rPr>
        <w:t xml:space="preserve"> № </w:t>
      </w:r>
      <w:r w:rsidR="006568BA">
        <w:rPr>
          <w:rFonts w:ascii="Bookman Old Style" w:hAnsi="Bookman Old Style"/>
          <w:sz w:val="20"/>
          <w:szCs w:val="20"/>
        </w:rPr>
        <w:t>1, №3, № 4</w:t>
      </w:r>
      <w:r w:rsidR="006A199E">
        <w:rPr>
          <w:rFonts w:ascii="Bookman Old Style" w:hAnsi="Bookman Old Style"/>
          <w:sz w:val="20"/>
          <w:szCs w:val="20"/>
        </w:rPr>
        <w:t xml:space="preserve"> </w:t>
      </w:r>
      <w:r w:rsidRPr="004A1E09">
        <w:rPr>
          <w:rFonts w:ascii="Bookman Old Style" w:hAnsi="Bookman Old Style"/>
          <w:sz w:val="20"/>
          <w:szCs w:val="20"/>
        </w:rPr>
        <w:t xml:space="preserve">составляет </w:t>
      </w:r>
      <w:r w:rsidR="00CE17F5">
        <w:rPr>
          <w:rFonts w:ascii="Bookman Old Style" w:hAnsi="Bookman Old Style"/>
          <w:sz w:val="20"/>
          <w:szCs w:val="20"/>
        </w:rPr>
        <w:t>-9</w:t>
      </w:r>
      <w:r w:rsidR="006568BA">
        <w:rPr>
          <w:rFonts w:ascii="Bookman Old Style" w:hAnsi="Bookman Old Style"/>
          <w:sz w:val="20"/>
          <w:szCs w:val="20"/>
        </w:rPr>
        <w:t xml:space="preserve">%, для объекта площадь 300-1000кв.м. </w:t>
      </w:r>
      <w:r w:rsidR="006568BA" w:rsidRPr="006568BA">
        <w:rPr>
          <w:rFonts w:ascii="Bookman Old Style" w:hAnsi="Bookman Old Style"/>
          <w:sz w:val="20"/>
          <w:szCs w:val="20"/>
        </w:rPr>
        <w:t>повышающий корректирующий коэффициент по цене предложений для Аналога № 2  составляет +</w:t>
      </w:r>
      <w:r w:rsidR="006568BA">
        <w:rPr>
          <w:rFonts w:ascii="Bookman Old Style" w:hAnsi="Bookman Old Style"/>
          <w:sz w:val="20"/>
          <w:szCs w:val="20"/>
        </w:rPr>
        <w:t>10</w:t>
      </w:r>
      <w:r w:rsidR="006568BA" w:rsidRPr="006568BA">
        <w:rPr>
          <w:rFonts w:ascii="Bookman Old Style" w:hAnsi="Bookman Old Style"/>
          <w:sz w:val="20"/>
          <w:szCs w:val="20"/>
        </w:rPr>
        <w:t>%</w:t>
      </w:r>
      <w:r w:rsidR="006568BA">
        <w:rPr>
          <w:rFonts w:ascii="Bookman Old Style" w:hAnsi="Bookman Old Style"/>
          <w:sz w:val="20"/>
          <w:szCs w:val="20"/>
        </w:rPr>
        <w:t>.</w:t>
      </w:r>
      <w:r w:rsidR="00CE17F5">
        <w:rPr>
          <w:rFonts w:ascii="Bookman Old Style" w:hAnsi="Bookman Old Style"/>
          <w:sz w:val="20"/>
          <w:szCs w:val="20"/>
        </w:rPr>
        <w:t xml:space="preserve"> </w:t>
      </w:r>
      <w:r w:rsidR="00CE17F5" w:rsidRPr="00CE17F5">
        <w:rPr>
          <w:rFonts w:ascii="Bookman Old Style" w:hAnsi="Bookman Old Style"/>
          <w:sz w:val="20"/>
          <w:szCs w:val="20"/>
        </w:rPr>
        <w:t xml:space="preserve">При расчете рыночной стоимости нежилого помещения </w:t>
      </w:r>
      <w:r w:rsidR="00CE17F5">
        <w:rPr>
          <w:rFonts w:ascii="Bookman Old Style" w:hAnsi="Bookman Old Style"/>
          <w:sz w:val="20"/>
          <w:szCs w:val="20"/>
        </w:rPr>
        <w:t>административно-офисного</w:t>
      </w:r>
      <w:r w:rsidR="00CE17F5" w:rsidRPr="00CE17F5">
        <w:rPr>
          <w:rFonts w:ascii="Bookman Old Style" w:hAnsi="Bookman Old Style"/>
          <w:sz w:val="20"/>
          <w:szCs w:val="20"/>
        </w:rPr>
        <w:t xml:space="preserve"> назначения площадью </w:t>
      </w:r>
      <w:r w:rsidR="00CE17F5">
        <w:rPr>
          <w:rFonts w:ascii="Bookman Old Style" w:hAnsi="Bookman Old Style"/>
          <w:sz w:val="20"/>
          <w:szCs w:val="20"/>
        </w:rPr>
        <w:t xml:space="preserve">300-1000 </w:t>
      </w:r>
      <w:r w:rsidR="00CE17F5" w:rsidRPr="00CE17F5">
        <w:rPr>
          <w:rFonts w:ascii="Bookman Old Style" w:hAnsi="Bookman Old Style"/>
          <w:sz w:val="20"/>
          <w:szCs w:val="20"/>
        </w:rPr>
        <w:t>кв.м., по</w:t>
      </w:r>
      <w:r w:rsidR="00CE17F5">
        <w:rPr>
          <w:rFonts w:ascii="Bookman Old Style" w:hAnsi="Bookman Old Style"/>
          <w:sz w:val="20"/>
          <w:szCs w:val="20"/>
        </w:rPr>
        <w:t>вышающий</w:t>
      </w:r>
      <w:r w:rsidR="00CE17F5" w:rsidRPr="00CE17F5">
        <w:rPr>
          <w:rFonts w:ascii="Bookman Old Style" w:hAnsi="Bookman Old Style"/>
          <w:sz w:val="20"/>
          <w:szCs w:val="20"/>
        </w:rPr>
        <w:t xml:space="preserve"> корректирующий коэффициент по цене предложений для Аналог</w:t>
      </w:r>
      <w:r w:rsidR="006568BA">
        <w:rPr>
          <w:rFonts w:ascii="Bookman Old Style" w:hAnsi="Bookman Old Style"/>
          <w:sz w:val="20"/>
          <w:szCs w:val="20"/>
        </w:rPr>
        <w:t>а</w:t>
      </w:r>
      <w:r w:rsidR="00CE17F5" w:rsidRPr="00CE17F5">
        <w:rPr>
          <w:rFonts w:ascii="Bookman Old Style" w:hAnsi="Bookman Old Style"/>
          <w:sz w:val="20"/>
          <w:szCs w:val="20"/>
        </w:rPr>
        <w:t xml:space="preserve"> № </w:t>
      </w:r>
      <w:r w:rsidR="006568BA">
        <w:rPr>
          <w:rFonts w:ascii="Bookman Old Style" w:hAnsi="Bookman Old Style"/>
          <w:sz w:val="20"/>
          <w:szCs w:val="20"/>
        </w:rPr>
        <w:t xml:space="preserve">2 </w:t>
      </w:r>
      <w:r w:rsidR="00CE17F5" w:rsidRPr="00CE17F5">
        <w:rPr>
          <w:rFonts w:ascii="Bookman Old Style" w:hAnsi="Bookman Old Style"/>
          <w:sz w:val="20"/>
          <w:szCs w:val="20"/>
        </w:rPr>
        <w:t xml:space="preserve"> составляет </w:t>
      </w:r>
      <w:r w:rsidR="00CE17F5">
        <w:rPr>
          <w:rFonts w:ascii="Bookman Old Style" w:hAnsi="Bookman Old Style"/>
          <w:sz w:val="20"/>
          <w:szCs w:val="20"/>
        </w:rPr>
        <w:t>+</w:t>
      </w:r>
      <w:r w:rsidR="006568BA">
        <w:rPr>
          <w:rFonts w:ascii="Bookman Old Style" w:hAnsi="Bookman Old Style"/>
          <w:sz w:val="20"/>
          <w:szCs w:val="20"/>
        </w:rPr>
        <w:t>9</w:t>
      </w:r>
      <w:r w:rsidR="00CE17F5" w:rsidRPr="00CE17F5">
        <w:rPr>
          <w:rFonts w:ascii="Bookman Old Style" w:hAnsi="Bookman Old Style"/>
          <w:sz w:val="20"/>
          <w:szCs w:val="20"/>
        </w:rPr>
        <w:t>%</w:t>
      </w:r>
    </w:p>
    <w:p w:rsidR="006568BA" w:rsidRDefault="006568BA" w:rsidP="00F45425">
      <w:pPr>
        <w:spacing w:before="120" w:after="120"/>
        <w:ind w:left="720"/>
        <w:jc w:val="both"/>
        <w:rPr>
          <w:rFonts w:ascii="Bookman Old Style" w:hAnsi="Bookman Old Style"/>
          <w:iCs/>
          <w:sz w:val="20"/>
          <w:szCs w:val="20"/>
        </w:rPr>
      </w:pPr>
      <w:r>
        <w:rPr>
          <w:rFonts w:ascii="Bookman Old Style" w:hAnsi="Bookman Old Style"/>
          <w:sz w:val="20"/>
          <w:szCs w:val="20"/>
        </w:rPr>
        <w:t xml:space="preserve">Б. </w:t>
      </w:r>
      <w:r w:rsidRPr="006568BA">
        <w:rPr>
          <w:rFonts w:ascii="Bookman Old Style" w:hAnsi="Bookman Old Style"/>
          <w:sz w:val="20"/>
          <w:szCs w:val="20"/>
        </w:rPr>
        <w:t>Расположение относительно красной линии</w:t>
      </w:r>
      <w:r>
        <w:rPr>
          <w:rFonts w:ascii="Bookman Old Style" w:hAnsi="Bookman Old Style"/>
          <w:sz w:val="20"/>
          <w:szCs w:val="20"/>
        </w:rPr>
        <w:t xml:space="preserve"> административно-офисных помещений. По данному элементу сравнения </w:t>
      </w:r>
      <w:r w:rsidRPr="006568BA">
        <w:rPr>
          <w:rFonts w:ascii="Bookman Old Style" w:hAnsi="Bookman Old Style"/>
          <w:sz w:val="20"/>
          <w:szCs w:val="20"/>
        </w:rPr>
        <w:t>выявлено отличие Объекта оценки и объектов аналогов.</w:t>
      </w:r>
      <w:r>
        <w:rPr>
          <w:rFonts w:ascii="Bookman Old Style" w:hAnsi="Bookman Old Style"/>
          <w:sz w:val="20"/>
          <w:szCs w:val="20"/>
        </w:rPr>
        <w:t xml:space="preserve"> Объекты, расположенные внутри квартала стоят дешевле чем объекты, расположенные на красной линии. </w:t>
      </w:r>
      <w:r w:rsidRPr="006568BA">
        <w:rPr>
          <w:rFonts w:ascii="Bookman Old Style" w:hAnsi="Bookman Old Style"/>
          <w:iCs/>
          <w:sz w:val="20"/>
          <w:szCs w:val="20"/>
        </w:rPr>
        <w:t>Расчет корректировки проведен экспертным методом</w:t>
      </w:r>
      <w:r w:rsidRPr="006568BA">
        <w:rPr>
          <w:rFonts w:ascii="Bookman Old Style" w:hAnsi="Bookman Old Style"/>
          <w:iCs/>
          <w:sz w:val="20"/>
          <w:szCs w:val="20"/>
          <w:vertAlign w:val="superscript"/>
        </w:rPr>
        <w:footnoteReference w:id="50"/>
      </w:r>
      <w:r w:rsidRPr="006568BA">
        <w:rPr>
          <w:rFonts w:ascii="Bookman Old Style" w:hAnsi="Bookman Old Style"/>
          <w:iCs/>
          <w:sz w:val="20"/>
          <w:szCs w:val="20"/>
        </w:rPr>
        <w:t>. Экспертное значение диапазона отношения удельной стоимости объектов расположенны</w:t>
      </w:r>
      <w:r>
        <w:rPr>
          <w:rFonts w:ascii="Bookman Old Style" w:hAnsi="Bookman Old Style"/>
          <w:iCs/>
          <w:sz w:val="20"/>
          <w:szCs w:val="20"/>
        </w:rPr>
        <w:t>х</w:t>
      </w:r>
      <w:r w:rsidRPr="006568BA">
        <w:rPr>
          <w:rFonts w:ascii="Bookman Old Style" w:hAnsi="Bookman Old Style"/>
          <w:iCs/>
          <w:sz w:val="20"/>
          <w:szCs w:val="20"/>
        </w:rPr>
        <w:t xml:space="preserve"> </w:t>
      </w:r>
      <w:r>
        <w:rPr>
          <w:rFonts w:ascii="Bookman Old Style" w:hAnsi="Bookman Old Style"/>
          <w:iCs/>
          <w:sz w:val="20"/>
          <w:szCs w:val="20"/>
        </w:rPr>
        <w:t xml:space="preserve">внутри квартала </w:t>
      </w:r>
      <w:r w:rsidRPr="006568BA">
        <w:rPr>
          <w:rFonts w:ascii="Bookman Old Style" w:hAnsi="Bookman Old Style"/>
          <w:iCs/>
          <w:sz w:val="20"/>
          <w:szCs w:val="20"/>
        </w:rPr>
        <w:t>к удельной цене такого же объекта, расположенны</w:t>
      </w:r>
      <w:r>
        <w:rPr>
          <w:rFonts w:ascii="Bookman Old Style" w:hAnsi="Bookman Old Style"/>
          <w:iCs/>
          <w:sz w:val="20"/>
          <w:szCs w:val="20"/>
        </w:rPr>
        <w:t>х</w:t>
      </w:r>
      <w:r w:rsidRPr="006568BA">
        <w:rPr>
          <w:rFonts w:ascii="Bookman Old Style" w:hAnsi="Bookman Old Style"/>
          <w:iCs/>
          <w:sz w:val="20"/>
          <w:szCs w:val="20"/>
        </w:rPr>
        <w:t xml:space="preserve"> на красной линии составляет диапазон </w:t>
      </w:r>
      <w:r>
        <w:rPr>
          <w:rFonts w:ascii="Bookman Old Style" w:hAnsi="Bookman Old Style"/>
          <w:iCs/>
          <w:sz w:val="20"/>
          <w:szCs w:val="20"/>
        </w:rPr>
        <w:t>0,70-0,88</w:t>
      </w:r>
      <w:r w:rsidRPr="006568BA">
        <w:rPr>
          <w:rFonts w:ascii="Bookman Old Style" w:hAnsi="Bookman Old Style"/>
          <w:iCs/>
          <w:sz w:val="20"/>
          <w:szCs w:val="20"/>
        </w:rPr>
        <w:t xml:space="preserve">. При расчете выбрано рекомендованное среднее значение </w:t>
      </w:r>
      <w:r>
        <w:rPr>
          <w:rFonts w:ascii="Bookman Old Style" w:hAnsi="Bookman Old Style"/>
          <w:iCs/>
          <w:sz w:val="20"/>
          <w:szCs w:val="20"/>
        </w:rPr>
        <w:t>0</w:t>
      </w:r>
      <w:r w:rsidRPr="006568BA">
        <w:rPr>
          <w:rFonts w:ascii="Bookman Old Style" w:hAnsi="Bookman Old Style"/>
          <w:iCs/>
          <w:sz w:val="20"/>
          <w:szCs w:val="20"/>
        </w:rPr>
        <w:t>,</w:t>
      </w:r>
      <w:r>
        <w:rPr>
          <w:rFonts w:ascii="Bookman Old Style" w:hAnsi="Bookman Old Style"/>
          <w:iCs/>
          <w:sz w:val="20"/>
          <w:szCs w:val="20"/>
        </w:rPr>
        <w:t>79.</w:t>
      </w:r>
    </w:p>
    <w:p w:rsidR="006568BA" w:rsidRDefault="006568BA" w:rsidP="006568BA">
      <w:pPr>
        <w:spacing w:before="120" w:after="120"/>
        <w:ind w:firstLine="705"/>
        <w:jc w:val="both"/>
        <w:rPr>
          <w:rFonts w:ascii="Bookman Old Style" w:hAnsi="Bookman Old Style"/>
          <w:sz w:val="20"/>
          <w:szCs w:val="20"/>
        </w:rPr>
      </w:pPr>
      <w:r>
        <w:rPr>
          <w:rFonts w:ascii="Bookman Old Style" w:hAnsi="Bookman Old Style"/>
          <w:sz w:val="20"/>
          <w:szCs w:val="20"/>
        </w:rPr>
        <w:t>При этом расчет повышающей корректировки, проведен по формуле:</w:t>
      </w:r>
    </w:p>
    <w:p w:rsidR="006568BA" w:rsidRPr="00B86796" w:rsidRDefault="006C4CCF" w:rsidP="006568BA">
      <w:pPr>
        <w:spacing w:before="120" w:after="120"/>
        <w:ind w:left="720"/>
        <w:jc w:val="both"/>
        <w:rPr>
          <w:rFonts w:ascii="Bookman Old Style" w:hAnsi="Bookman Old Style"/>
          <w:sz w:val="20"/>
          <w:szCs w:val="20"/>
        </w:rPr>
      </w:pPr>
      <m:oMathPara>
        <m:oMath>
          <m:sSub>
            <m:sSubPr>
              <m:ctrlPr>
                <w:rPr>
                  <w:rFonts w:ascii="Cambria Math" w:hAnsi="Cambria Math"/>
                  <w:i/>
                  <w:sz w:val="20"/>
                  <w:szCs w:val="20"/>
                </w:rPr>
              </m:ctrlPr>
            </m:sSubPr>
            <m:e>
              <m:r>
                <w:rPr>
                  <w:rFonts w:ascii="Cambria Math" w:hAnsi="Cambria Math"/>
                  <w:sz w:val="20"/>
                  <w:szCs w:val="20"/>
                  <w:lang w:val="en-US"/>
                </w:rPr>
                <m:t>K</m:t>
              </m:r>
            </m:e>
            <m:sub>
              <m:r>
                <w:rPr>
                  <w:rFonts w:ascii="Cambria Math" w:hAnsi="Cambria Math"/>
                  <w:sz w:val="20"/>
                  <w:szCs w:val="20"/>
                </w:rPr>
                <m:t>состояние</m:t>
              </m:r>
            </m:sub>
          </m:sSub>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0,79</m:t>
              </m:r>
            </m:den>
          </m:f>
          <m:r>
            <w:rPr>
              <w:rFonts w:ascii="Cambria Math" w:hAnsi="Cambria Math"/>
              <w:sz w:val="20"/>
              <w:szCs w:val="20"/>
            </w:rPr>
            <m:t>-1=+26,6%</m:t>
          </m:r>
        </m:oMath>
      </m:oMathPara>
    </w:p>
    <w:p w:rsidR="00F45425" w:rsidRPr="00431CC5" w:rsidRDefault="006568BA" w:rsidP="00F45425">
      <w:pPr>
        <w:spacing w:before="120" w:after="120"/>
        <w:ind w:left="720"/>
        <w:jc w:val="both"/>
        <w:rPr>
          <w:rFonts w:ascii="Bookman Old Style" w:hAnsi="Bookman Old Style"/>
          <w:sz w:val="20"/>
          <w:szCs w:val="20"/>
        </w:rPr>
      </w:pPr>
      <w:r>
        <w:rPr>
          <w:rFonts w:ascii="Bookman Old Style" w:hAnsi="Bookman Old Style"/>
          <w:sz w:val="20"/>
          <w:szCs w:val="20"/>
        </w:rPr>
        <w:t>В</w:t>
      </w:r>
      <w:r w:rsidR="00F45425" w:rsidRPr="00431CC5">
        <w:rPr>
          <w:rFonts w:ascii="Bookman Old Style" w:hAnsi="Bookman Old Style"/>
          <w:sz w:val="20"/>
          <w:szCs w:val="20"/>
        </w:rPr>
        <w:t xml:space="preserve">. Состояние </w:t>
      </w:r>
      <w:r w:rsidR="00F45425">
        <w:rPr>
          <w:rFonts w:ascii="Bookman Old Style" w:hAnsi="Bookman Old Style"/>
          <w:sz w:val="20"/>
          <w:szCs w:val="20"/>
        </w:rPr>
        <w:t>объекта капитального строительства</w:t>
      </w:r>
      <w:r w:rsidR="00F45425" w:rsidRPr="00431CC5">
        <w:rPr>
          <w:rFonts w:ascii="Bookman Old Style" w:hAnsi="Bookman Old Style"/>
          <w:sz w:val="20"/>
          <w:szCs w:val="20"/>
        </w:rPr>
        <w:t xml:space="preserve">. При проведении оценки </w:t>
      </w:r>
      <w:r w:rsidR="00F45425">
        <w:rPr>
          <w:rFonts w:ascii="Bookman Old Style" w:hAnsi="Bookman Old Style"/>
          <w:sz w:val="20"/>
          <w:szCs w:val="20"/>
        </w:rPr>
        <w:t>установлено, что</w:t>
      </w:r>
      <w:r w:rsidR="00F45425" w:rsidRPr="00431CC5">
        <w:rPr>
          <w:rFonts w:ascii="Bookman Old Style" w:hAnsi="Bookman Old Style"/>
          <w:sz w:val="20"/>
          <w:szCs w:val="20"/>
        </w:rPr>
        <w:t xml:space="preserve"> </w:t>
      </w:r>
      <w:r w:rsidR="00F45425">
        <w:rPr>
          <w:rFonts w:ascii="Bookman Old Style" w:hAnsi="Bookman Old Style"/>
          <w:sz w:val="20"/>
          <w:szCs w:val="20"/>
        </w:rPr>
        <w:t>качественное</w:t>
      </w:r>
      <w:r w:rsidR="00F45425" w:rsidRPr="00431CC5">
        <w:rPr>
          <w:rFonts w:ascii="Bookman Old Style" w:hAnsi="Bookman Old Style"/>
          <w:sz w:val="20"/>
          <w:szCs w:val="20"/>
        </w:rPr>
        <w:t xml:space="preserve"> </w:t>
      </w:r>
      <w:r w:rsidR="00F45425">
        <w:rPr>
          <w:rFonts w:ascii="Bookman Old Style" w:hAnsi="Bookman Old Style"/>
          <w:sz w:val="20"/>
          <w:szCs w:val="20"/>
        </w:rPr>
        <w:t>состояние элементов Объекта оценки и состояние объектов-аналогов отличаются</w:t>
      </w:r>
      <w:r w:rsidR="00F45425" w:rsidRPr="00431CC5">
        <w:rPr>
          <w:rFonts w:ascii="Bookman Old Style" w:hAnsi="Bookman Old Style"/>
          <w:sz w:val="20"/>
          <w:szCs w:val="20"/>
        </w:rPr>
        <w:t>. При расчете, необходим учет данного фактора.</w:t>
      </w:r>
    </w:p>
    <w:p w:rsidR="00F45425" w:rsidRDefault="00F45425" w:rsidP="00F45425">
      <w:pPr>
        <w:spacing w:before="120" w:after="120"/>
        <w:ind w:left="720"/>
        <w:jc w:val="both"/>
        <w:rPr>
          <w:rFonts w:ascii="Bookman Old Style" w:hAnsi="Bookman Old Style"/>
          <w:sz w:val="20"/>
          <w:szCs w:val="20"/>
        </w:rPr>
      </w:pPr>
      <w:r w:rsidRPr="00431CC5">
        <w:rPr>
          <w:rFonts w:ascii="Bookman Old Style" w:hAnsi="Bookman Old Style"/>
          <w:sz w:val="20"/>
          <w:szCs w:val="20"/>
        </w:rPr>
        <w:t>Расчет корректировки проведен экспертным методом</w:t>
      </w:r>
      <w:r w:rsidRPr="00431CC5">
        <w:rPr>
          <w:rFonts w:ascii="Bookman Old Style" w:hAnsi="Bookman Old Style"/>
          <w:sz w:val="20"/>
          <w:szCs w:val="20"/>
          <w:vertAlign w:val="superscript"/>
        </w:rPr>
        <w:footnoteReference w:id="51"/>
      </w:r>
      <w:r w:rsidRPr="00431CC5">
        <w:rPr>
          <w:rFonts w:ascii="Bookman Old Style" w:hAnsi="Bookman Old Style"/>
          <w:sz w:val="20"/>
          <w:szCs w:val="20"/>
        </w:rPr>
        <w:t>. Экспертное значение диапазона отношени</w:t>
      </w:r>
      <w:r>
        <w:rPr>
          <w:rFonts w:ascii="Bookman Old Style" w:hAnsi="Bookman Old Style"/>
          <w:sz w:val="20"/>
          <w:szCs w:val="20"/>
        </w:rPr>
        <w:t xml:space="preserve">я удельной стоимости </w:t>
      </w:r>
      <w:r w:rsidR="004A1E09">
        <w:rPr>
          <w:rFonts w:ascii="Bookman Old Style" w:hAnsi="Bookman Old Style"/>
          <w:sz w:val="20"/>
          <w:szCs w:val="20"/>
        </w:rPr>
        <w:t>офисно-торговых</w:t>
      </w:r>
      <w:r>
        <w:rPr>
          <w:rFonts w:ascii="Bookman Old Style" w:hAnsi="Bookman Old Style"/>
          <w:sz w:val="20"/>
          <w:szCs w:val="20"/>
        </w:rPr>
        <w:t xml:space="preserve"> объектов</w:t>
      </w:r>
      <w:r w:rsidRPr="00431CC5">
        <w:rPr>
          <w:rFonts w:ascii="Bookman Old Style" w:hAnsi="Bookman Old Style"/>
          <w:sz w:val="20"/>
          <w:szCs w:val="20"/>
        </w:rPr>
        <w:t xml:space="preserve"> </w:t>
      </w:r>
      <w:r w:rsidR="004A1E09">
        <w:rPr>
          <w:rFonts w:ascii="Bookman Old Style" w:hAnsi="Bookman Old Style"/>
          <w:sz w:val="20"/>
          <w:szCs w:val="20"/>
        </w:rPr>
        <w:t xml:space="preserve">находящихся в </w:t>
      </w:r>
      <w:r w:rsidR="00CE17F5">
        <w:rPr>
          <w:rFonts w:ascii="Bookman Old Style" w:hAnsi="Bookman Old Style"/>
          <w:sz w:val="20"/>
          <w:szCs w:val="20"/>
        </w:rPr>
        <w:t>у</w:t>
      </w:r>
      <w:r>
        <w:rPr>
          <w:rFonts w:ascii="Bookman Old Style" w:hAnsi="Bookman Old Style"/>
          <w:sz w:val="20"/>
          <w:szCs w:val="20"/>
        </w:rPr>
        <w:t xml:space="preserve">довлетворительном состоянии </w:t>
      </w:r>
      <w:r w:rsidRPr="00431CC5">
        <w:rPr>
          <w:rFonts w:ascii="Bookman Old Style" w:hAnsi="Bookman Old Style"/>
          <w:sz w:val="20"/>
          <w:szCs w:val="20"/>
        </w:rPr>
        <w:t xml:space="preserve">к </w:t>
      </w:r>
      <w:r>
        <w:rPr>
          <w:rFonts w:ascii="Bookman Old Style" w:hAnsi="Bookman Old Style"/>
          <w:sz w:val="20"/>
          <w:szCs w:val="20"/>
        </w:rPr>
        <w:t>удельной цене такого же объекта</w:t>
      </w:r>
      <w:r w:rsidRPr="00431CC5">
        <w:rPr>
          <w:rFonts w:ascii="Bookman Old Style" w:hAnsi="Bookman Old Style"/>
          <w:sz w:val="20"/>
          <w:szCs w:val="20"/>
        </w:rPr>
        <w:t>, находящ</w:t>
      </w:r>
      <w:r>
        <w:rPr>
          <w:rFonts w:ascii="Bookman Old Style" w:hAnsi="Bookman Old Style"/>
          <w:sz w:val="20"/>
          <w:szCs w:val="20"/>
        </w:rPr>
        <w:t>егося</w:t>
      </w:r>
      <w:r w:rsidRPr="00431CC5">
        <w:rPr>
          <w:rFonts w:ascii="Bookman Old Style" w:hAnsi="Bookman Old Style"/>
          <w:sz w:val="20"/>
          <w:szCs w:val="20"/>
        </w:rPr>
        <w:t xml:space="preserve"> в </w:t>
      </w:r>
      <w:r w:rsidR="00CE17F5">
        <w:rPr>
          <w:rFonts w:ascii="Bookman Old Style" w:hAnsi="Bookman Old Style"/>
          <w:sz w:val="20"/>
          <w:szCs w:val="20"/>
        </w:rPr>
        <w:t>не</w:t>
      </w:r>
      <w:r w:rsidR="006A199E">
        <w:rPr>
          <w:rFonts w:ascii="Bookman Old Style" w:hAnsi="Bookman Old Style"/>
          <w:sz w:val="20"/>
          <w:szCs w:val="20"/>
        </w:rPr>
        <w:t>удовлетворительном</w:t>
      </w:r>
      <w:r w:rsidRPr="00431CC5">
        <w:rPr>
          <w:rFonts w:ascii="Bookman Old Style" w:hAnsi="Bookman Old Style"/>
          <w:sz w:val="20"/>
          <w:szCs w:val="20"/>
        </w:rPr>
        <w:t xml:space="preserve"> состоянии составляет </w:t>
      </w:r>
      <w:r>
        <w:rPr>
          <w:rFonts w:ascii="Bookman Old Style" w:hAnsi="Bookman Old Style"/>
          <w:sz w:val="20"/>
          <w:szCs w:val="20"/>
        </w:rPr>
        <w:t xml:space="preserve">диапазон </w:t>
      </w:r>
      <w:r w:rsidR="006A199E">
        <w:rPr>
          <w:rFonts w:ascii="Bookman Old Style" w:hAnsi="Bookman Old Style"/>
          <w:sz w:val="20"/>
          <w:szCs w:val="20"/>
        </w:rPr>
        <w:t>0,71-0,76</w:t>
      </w:r>
      <w:r w:rsidRPr="00431CC5">
        <w:rPr>
          <w:rFonts w:ascii="Bookman Old Style" w:hAnsi="Bookman Old Style"/>
          <w:sz w:val="20"/>
          <w:szCs w:val="20"/>
        </w:rPr>
        <w:t>. При расчете выбрано рекомендованное среднее значение</w:t>
      </w:r>
      <w:r w:rsidR="004A1E09">
        <w:rPr>
          <w:rFonts w:ascii="Bookman Old Style" w:hAnsi="Bookman Old Style"/>
          <w:sz w:val="20"/>
          <w:szCs w:val="20"/>
        </w:rPr>
        <w:t xml:space="preserve"> 0,</w:t>
      </w:r>
      <w:r w:rsidR="006A199E">
        <w:rPr>
          <w:rFonts w:ascii="Bookman Old Style" w:hAnsi="Bookman Old Style"/>
          <w:sz w:val="20"/>
          <w:szCs w:val="20"/>
        </w:rPr>
        <w:t>74</w:t>
      </w:r>
      <w:r>
        <w:rPr>
          <w:rFonts w:ascii="Bookman Old Style" w:hAnsi="Bookman Old Style"/>
          <w:sz w:val="20"/>
          <w:szCs w:val="20"/>
        </w:rPr>
        <w:t xml:space="preserve">, </w:t>
      </w:r>
      <w:r w:rsidR="00CE17F5">
        <w:rPr>
          <w:rFonts w:ascii="Bookman Old Style" w:hAnsi="Bookman Old Style"/>
          <w:sz w:val="20"/>
          <w:szCs w:val="20"/>
        </w:rPr>
        <w:t>повышающая</w:t>
      </w:r>
      <w:r>
        <w:rPr>
          <w:rFonts w:ascii="Bookman Old Style" w:hAnsi="Bookman Old Style"/>
          <w:sz w:val="20"/>
          <w:szCs w:val="20"/>
        </w:rPr>
        <w:t xml:space="preserve"> корректировка составит величину</w:t>
      </w:r>
      <w:r w:rsidRPr="00431CC5">
        <w:rPr>
          <w:rFonts w:ascii="Bookman Old Style" w:hAnsi="Bookman Old Style"/>
          <w:sz w:val="20"/>
          <w:szCs w:val="20"/>
        </w:rPr>
        <w:t xml:space="preserve"> </w:t>
      </w:r>
      <w:r w:rsidR="00CE17F5">
        <w:rPr>
          <w:rFonts w:ascii="Bookman Old Style" w:hAnsi="Bookman Old Style"/>
          <w:sz w:val="20"/>
          <w:szCs w:val="20"/>
        </w:rPr>
        <w:t>+</w:t>
      </w:r>
      <w:r w:rsidR="006A199E">
        <w:rPr>
          <w:rFonts w:ascii="Bookman Old Style" w:hAnsi="Bookman Old Style"/>
          <w:sz w:val="20"/>
          <w:szCs w:val="20"/>
        </w:rPr>
        <w:t>26</w:t>
      </w:r>
      <w:r w:rsidRPr="00431CC5">
        <w:rPr>
          <w:rFonts w:ascii="Bookman Old Style" w:hAnsi="Bookman Old Style"/>
          <w:sz w:val="20"/>
          <w:szCs w:val="20"/>
        </w:rPr>
        <w:t xml:space="preserve">,0%. </w:t>
      </w:r>
      <w:r w:rsidR="00CE17F5">
        <w:rPr>
          <w:rFonts w:ascii="Bookman Old Style" w:hAnsi="Bookman Old Style"/>
          <w:sz w:val="20"/>
          <w:szCs w:val="20"/>
        </w:rPr>
        <w:t xml:space="preserve"> </w:t>
      </w:r>
      <w:r w:rsidR="00CE17F5" w:rsidRPr="00CE17F5">
        <w:rPr>
          <w:rFonts w:ascii="Bookman Old Style" w:hAnsi="Bookman Old Style"/>
          <w:sz w:val="20"/>
          <w:szCs w:val="20"/>
        </w:rPr>
        <w:t>Экспертное значение диапазона отношения удельной стоимости объектов производственно-складского назначения находящихся в удовлетворительном состоянии к удельной цене такого же объекта, находящегося в неудовлетворительном состоянии составляет диапазон 0,7</w:t>
      </w:r>
      <w:r w:rsidR="00CE17F5">
        <w:rPr>
          <w:rFonts w:ascii="Bookman Old Style" w:hAnsi="Bookman Old Style"/>
          <w:sz w:val="20"/>
          <w:szCs w:val="20"/>
        </w:rPr>
        <w:t>3</w:t>
      </w:r>
      <w:r w:rsidR="00CE17F5" w:rsidRPr="00CE17F5">
        <w:rPr>
          <w:rFonts w:ascii="Bookman Old Style" w:hAnsi="Bookman Old Style"/>
          <w:sz w:val="20"/>
          <w:szCs w:val="20"/>
        </w:rPr>
        <w:t>-0,7</w:t>
      </w:r>
      <w:r w:rsidR="00CE17F5">
        <w:rPr>
          <w:rFonts w:ascii="Bookman Old Style" w:hAnsi="Bookman Old Style"/>
          <w:sz w:val="20"/>
          <w:szCs w:val="20"/>
        </w:rPr>
        <w:t>5</w:t>
      </w:r>
      <w:r w:rsidR="00CE17F5" w:rsidRPr="00CE17F5">
        <w:rPr>
          <w:rFonts w:ascii="Bookman Old Style" w:hAnsi="Bookman Old Style"/>
          <w:sz w:val="20"/>
          <w:szCs w:val="20"/>
        </w:rPr>
        <w:t>. При расчете выбрано рекомендованное среднее значение 0,74, повышающая корректировка составит величину +26,0%</w:t>
      </w:r>
      <w:r w:rsidR="006568BA">
        <w:rPr>
          <w:rFonts w:ascii="Bookman Old Style" w:hAnsi="Bookman Old Style"/>
          <w:sz w:val="20"/>
          <w:szCs w:val="20"/>
        </w:rPr>
        <w:t>.</w:t>
      </w:r>
    </w:p>
    <w:p w:rsidR="006568BA" w:rsidRDefault="006568BA" w:rsidP="006568BA">
      <w:pPr>
        <w:spacing w:before="120" w:after="120"/>
        <w:ind w:left="720"/>
        <w:jc w:val="both"/>
        <w:rPr>
          <w:rFonts w:ascii="Bookman Old Style" w:hAnsi="Bookman Old Style"/>
          <w:sz w:val="20"/>
          <w:szCs w:val="20"/>
        </w:rPr>
      </w:pPr>
      <w:r>
        <w:rPr>
          <w:rFonts w:ascii="Bookman Old Style" w:hAnsi="Bookman Old Style"/>
          <w:sz w:val="20"/>
          <w:szCs w:val="20"/>
        </w:rPr>
        <w:t xml:space="preserve">Г. </w:t>
      </w:r>
      <w:r w:rsidRPr="006568BA">
        <w:rPr>
          <w:rFonts w:ascii="Bookman Old Style" w:hAnsi="Bookman Old Style"/>
          <w:sz w:val="20"/>
          <w:szCs w:val="20"/>
        </w:rPr>
        <w:t>Наличие отопления. По данному элементу сравнения выявлено отличие части элементов Объекта оценки и объектов аналогов. Как правило отапливаемые объекты стоят дороже, чем холодные производственно-складские площади. Расчет корректировки проведен экспертным м</w:t>
      </w:r>
      <w:r>
        <w:rPr>
          <w:rFonts w:ascii="Bookman Old Style" w:hAnsi="Bookman Old Style"/>
          <w:sz w:val="20"/>
          <w:szCs w:val="20"/>
        </w:rPr>
        <w:t>етодом</w:t>
      </w:r>
      <w:r w:rsidRPr="006568BA">
        <w:rPr>
          <w:rFonts w:ascii="Bookman Old Style" w:hAnsi="Bookman Old Style"/>
          <w:sz w:val="20"/>
          <w:szCs w:val="20"/>
        </w:rPr>
        <w:t>. Экспертное значение диапазона отношений холодных производственно-складских объектов к теплым помещениям составляет 0,073-0,75. При расчете выбрано значен</w:t>
      </w:r>
      <w:r>
        <w:rPr>
          <w:rFonts w:ascii="Bookman Old Style" w:hAnsi="Bookman Old Style"/>
          <w:sz w:val="20"/>
          <w:szCs w:val="20"/>
        </w:rPr>
        <w:t>ие рекомендованное значение 0,74, понижающая</w:t>
      </w:r>
      <w:r w:rsidRPr="006568BA">
        <w:rPr>
          <w:rFonts w:ascii="Bookman Old Style" w:hAnsi="Bookman Old Style"/>
          <w:sz w:val="20"/>
          <w:szCs w:val="20"/>
        </w:rPr>
        <w:t xml:space="preserve"> корректировка составит величину </w:t>
      </w:r>
      <w:r>
        <w:rPr>
          <w:rFonts w:ascii="Bookman Old Style" w:hAnsi="Bookman Old Style"/>
          <w:sz w:val="20"/>
          <w:szCs w:val="20"/>
        </w:rPr>
        <w:t>-</w:t>
      </w:r>
      <w:r w:rsidRPr="006568BA">
        <w:rPr>
          <w:rFonts w:ascii="Bookman Old Style" w:hAnsi="Bookman Old Style"/>
          <w:sz w:val="20"/>
          <w:szCs w:val="20"/>
        </w:rPr>
        <w:t>26,0%.</w:t>
      </w:r>
    </w:p>
    <w:p w:rsidR="00F45425" w:rsidRDefault="006568BA" w:rsidP="00F45425">
      <w:pPr>
        <w:spacing w:before="120" w:after="120"/>
        <w:ind w:left="720"/>
        <w:jc w:val="both"/>
        <w:rPr>
          <w:rFonts w:ascii="Bookman Old Style" w:hAnsi="Bookman Old Style"/>
          <w:iCs/>
          <w:sz w:val="20"/>
          <w:szCs w:val="20"/>
        </w:rPr>
      </w:pPr>
      <w:r>
        <w:rPr>
          <w:rFonts w:ascii="Bookman Old Style" w:hAnsi="Bookman Old Style"/>
          <w:sz w:val="20"/>
          <w:szCs w:val="20"/>
        </w:rPr>
        <w:t>Д</w:t>
      </w:r>
      <w:r w:rsidR="00F45425" w:rsidRPr="00431CC5">
        <w:rPr>
          <w:rFonts w:ascii="Bookman Old Style" w:hAnsi="Bookman Old Style"/>
          <w:sz w:val="20"/>
          <w:szCs w:val="20"/>
        </w:rPr>
        <w:t xml:space="preserve">. </w:t>
      </w:r>
      <w:r w:rsidR="00CE17F5">
        <w:rPr>
          <w:rFonts w:ascii="Bookman Old Style" w:hAnsi="Bookman Old Style"/>
          <w:iCs/>
          <w:sz w:val="20"/>
          <w:szCs w:val="20"/>
        </w:rPr>
        <w:t>Наличие железнодорожных путей</w:t>
      </w:r>
      <w:r w:rsidR="00F45425" w:rsidRPr="00431CC5">
        <w:rPr>
          <w:rFonts w:ascii="Bookman Old Style" w:hAnsi="Bookman Old Style"/>
          <w:iCs/>
          <w:sz w:val="20"/>
          <w:szCs w:val="20"/>
        </w:rPr>
        <w:t xml:space="preserve">. </w:t>
      </w:r>
      <w:r w:rsidR="00CE17F5" w:rsidRPr="00CE17F5">
        <w:rPr>
          <w:rFonts w:ascii="Bookman Old Style" w:hAnsi="Bookman Old Style"/>
          <w:sz w:val="20"/>
          <w:szCs w:val="20"/>
        </w:rPr>
        <w:t xml:space="preserve">По данному элементу сравнения выявлено отличие Объекта оценки и объектов аналогов. Как правило, </w:t>
      </w:r>
      <w:r w:rsidR="00CE17F5">
        <w:rPr>
          <w:rFonts w:ascii="Bookman Old Style" w:hAnsi="Bookman Old Style"/>
          <w:sz w:val="20"/>
          <w:szCs w:val="20"/>
        </w:rPr>
        <w:t>объекты имеющие на территории железнодорожные пути с</w:t>
      </w:r>
      <w:r w:rsidR="00CE17F5" w:rsidRPr="00CE17F5">
        <w:rPr>
          <w:rFonts w:ascii="Bookman Old Style" w:hAnsi="Bookman Old Style"/>
          <w:sz w:val="20"/>
          <w:szCs w:val="20"/>
        </w:rPr>
        <w:t xml:space="preserve">тоят несколько </w:t>
      </w:r>
      <w:r w:rsidR="00CE17F5">
        <w:rPr>
          <w:rFonts w:ascii="Bookman Old Style" w:hAnsi="Bookman Old Style"/>
          <w:sz w:val="20"/>
          <w:szCs w:val="20"/>
        </w:rPr>
        <w:t>дороже</w:t>
      </w:r>
      <w:r w:rsidR="00CE17F5" w:rsidRPr="00CE17F5">
        <w:rPr>
          <w:rFonts w:ascii="Bookman Old Style" w:hAnsi="Bookman Old Style"/>
          <w:sz w:val="20"/>
          <w:szCs w:val="20"/>
        </w:rPr>
        <w:t xml:space="preserve"> в расчете на единицу площади, чем </w:t>
      </w:r>
      <w:r w:rsidR="00CE17F5">
        <w:rPr>
          <w:rFonts w:ascii="Bookman Old Style" w:hAnsi="Bookman Old Style"/>
          <w:sz w:val="20"/>
          <w:szCs w:val="20"/>
        </w:rPr>
        <w:t>объекты без железнодорожных путей</w:t>
      </w:r>
      <w:r w:rsidR="00CE17F5" w:rsidRPr="00CE17F5">
        <w:rPr>
          <w:rFonts w:ascii="Bookman Old Style" w:hAnsi="Bookman Old Style"/>
          <w:sz w:val="20"/>
          <w:szCs w:val="20"/>
        </w:rPr>
        <w:t>, поэтому в цены аналогов необходимо внести корректировки</w:t>
      </w:r>
      <w:r w:rsidR="00F45425" w:rsidRPr="00431CC5">
        <w:rPr>
          <w:rFonts w:ascii="Bookman Old Style" w:hAnsi="Bookman Old Style"/>
          <w:iCs/>
          <w:sz w:val="20"/>
          <w:szCs w:val="20"/>
        </w:rPr>
        <w:t>.</w:t>
      </w:r>
      <w:r w:rsidR="004A1E09">
        <w:rPr>
          <w:rFonts w:ascii="Bookman Old Style" w:hAnsi="Bookman Old Style"/>
          <w:iCs/>
          <w:sz w:val="20"/>
          <w:szCs w:val="20"/>
        </w:rPr>
        <w:t xml:space="preserve"> </w:t>
      </w:r>
      <w:r w:rsidR="004A1E09" w:rsidRPr="004A1E09">
        <w:rPr>
          <w:rFonts w:ascii="Bookman Old Style" w:hAnsi="Bookman Old Style"/>
          <w:iCs/>
          <w:sz w:val="20"/>
          <w:szCs w:val="20"/>
        </w:rPr>
        <w:t>Расчет корректировки проведен экспертным методом</w:t>
      </w:r>
      <w:r w:rsidR="004A1E09" w:rsidRPr="004A1E09">
        <w:rPr>
          <w:rFonts w:ascii="Bookman Old Style" w:hAnsi="Bookman Old Style"/>
          <w:iCs/>
          <w:sz w:val="20"/>
          <w:szCs w:val="20"/>
          <w:vertAlign w:val="superscript"/>
        </w:rPr>
        <w:footnoteReference w:id="52"/>
      </w:r>
      <w:r w:rsidR="004A1E09">
        <w:rPr>
          <w:rFonts w:ascii="Bookman Old Style" w:hAnsi="Bookman Old Style"/>
          <w:iCs/>
          <w:sz w:val="20"/>
          <w:szCs w:val="20"/>
        </w:rPr>
        <w:t xml:space="preserve">. </w:t>
      </w:r>
      <w:r w:rsidR="004A1E09" w:rsidRPr="004A1E09">
        <w:rPr>
          <w:rFonts w:ascii="Bookman Old Style" w:hAnsi="Bookman Old Style"/>
          <w:iCs/>
          <w:sz w:val="20"/>
          <w:szCs w:val="20"/>
        </w:rPr>
        <w:t>Экспертное значение диапазона отношения удельной стоимости объектов</w:t>
      </w:r>
      <w:r w:rsidR="004A1E09">
        <w:rPr>
          <w:rFonts w:ascii="Bookman Old Style" w:hAnsi="Bookman Old Style"/>
          <w:iCs/>
          <w:sz w:val="20"/>
          <w:szCs w:val="20"/>
        </w:rPr>
        <w:t xml:space="preserve"> </w:t>
      </w:r>
      <w:r w:rsidR="00CE17F5">
        <w:rPr>
          <w:rFonts w:ascii="Bookman Old Style" w:hAnsi="Bookman Old Style"/>
          <w:iCs/>
          <w:sz w:val="20"/>
          <w:szCs w:val="20"/>
        </w:rPr>
        <w:t xml:space="preserve">оборудованных </w:t>
      </w:r>
      <w:r w:rsidR="00CE17F5" w:rsidRPr="00CE17F5">
        <w:rPr>
          <w:rFonts w:ascii="Bookman Old Style" w:hAnsi="Bookman Old Style"/>
          <w:iCs/>
          <w:sz w:val="20"/>
          <w:szCs w:val="20"/>
        </w:rPr>
        <w:t>железнодорожн</w:t>
      </w:r>
      <w:r w:rsidR="00CE17F5">
        <w:rPr>
          <w:rFonts w:ascii="Bookman Old Style" w:hAnsi="Bookman Old Style"/>
          <w:iCs/>
          <w:sz w:val="20"/>
          <w:szCs w:val="20"/>
        </w:rPr>
        <w:t>ой</w:t>
      </w:r>
      <w:r w:rsidR="00CE17F5" w:rsidRPr="00CE17F5">
        <w:rPr>
          <w:rFonts w:ascii="Bookman Old Style" w:hAnsi="Bookman Old Style"/>
          <w:iCs/>
          <w:sz w:val="20"/>
          <w:szCs w:val="20"/>
        </w:rPr>
        <w:t xml:space="preserve"> </w:t>
      </w:r>
      <w:r w:rsidR="00CE17F5">
        <w:rPr>
          <w:rFonts w:ascii="Bookman Old Style" w:hAnsi="Bookman Old Style"/>
          <w:iCs/>
          <w:sz w:val="20"/>
          <w:szCs w:val="20"/>
        </w:rPr>
        <w:t xml:space="preserve">веткой </w:t>
      </w:r>
      <w:r w:rsidR="004A1E09">
        <w:rPr>
          <w:rFonts w:ascii="Bookman Old Style" w:hAnsi="Bookman Old Style"/>
          <w:iCs/>
          <w:sz w:val="20"/>
          <w:szCs w:val="20"/>
        </w:rPr>
        <w:t>к</w:t>
      </w:r>
      <w:r w:rsidR="004A1E09" w:rsidRPr="004A1E09">
        <w:rPr>
          <w:rFonts w:ascii="Bookman Old Style" w:hAnsi="Bookman Old Style"/>
          <w:iCs/>
          <w:sz w:val="20"/>
          <w:szCs w:val="20"/>
        </w:rPr>
        <w:t xml:space="preserve"> удельной цене такого же объекта, </w:t>
      </w:r>
      <w:r w:rsidR="00CE17F5">
        <w:rPr>
          <w:rFonts w:ascii="Bookman Old Style" w:hAnsi="Bookman Old Style"/>
          <w:iCs/>
          <w:sz w:val="20"/>
          <w:szCs w:val="20"/>
        </w:rPr>
        <w:t xml:space="preserve">без </w:t>
      </w:r>
      <w:r w:rsidR="00CE17F5" w:rsidRPr="00CE17F5">
        <w:rPr>
          <w:rFonts w:ascii="Bookman Old Style" w:hAnsi="Bookman Old Style"/>
          <w:iCs/>
          <w:sz w:val="20"/>
          <w:szCs w:val="20"/>
        </w:rPr>
        <w:t>железнодорожн</w:t>
      </w:r>
      <w:r w:rsidR="00CE17F5">
        <w:rPr>
          <w:rFonts w:ascii="Bookman Old Style" w:hAnsi="Bookman Old Style"/>
          <w:iCs/>
          <w:sz w:val="20"/>
          <w:szCs w:val="20"/>
        </w:rPr>
        <w:t>ой</w:t>
      </w:r>
      <w:r w:rsidR="00CE17F5" w:rsidRPr="00CE17F5">
        <w:rPr>
          <w:rFonts w:ascii="Bookman Old Style" w:hAnsi="Bookman Old Style"/>
          <w:iCs/>
          <w:sz w:val="20"/>
          <w:szCs w:val="20"/>
        </w:rPr>
        <w:t xml:space="preserve"> </w:t>
      </w:r>
      <w:r w:rsidR="00CE17F5">
        <w:rPr>
          <w:rFonts w:ascii="Bookman Old Style" w:hAnsi="Bookman Old Style"/>
          <w:iCs/>
          <w:sz w:val="20"/>
          <w:szCs w:val="20"/>
        </w:rPr>
        <w:t>ветки</w:t>
      </w:r>
      <w:r w:rsidR="004A1E09" w:rsidRPr="004A1E09">
        <w:rPr>
          <w:rFonts w:ascii="Bookman Old Style" w:hAnsi="Bookman Old Style"/>
          <w:iCs/>
          <w:sz w:val="20"/>
          <w:szCs w:val="20"/>
        </w:rPr>
        <w:t xml:space="preserve"> </w:t>
      </w:r>
      <w:r w:rsidR="004A1E09" w:rsidRPr="004A1E09">
        <w:rPr>
          <w:rFonts w:ascii="Bookman Old Style" w:hAnsi="Bookman Old Style"/>
          <w:iCs/>
          <w:sz w:val="20"/>
          <w:szCs w:val="20"/>
        </w:rPr>
        <w:lastRenderedPageBreak/>
        <w:t xml:space="preserve">составляет диапазон </w:t>
      </w:r>
      <w:r w:rsidR="00CE17F5">
        <w:rPr>
          <w:rFonts w:ascii="Bookman Old Style" w:hAnsi="Bookman Old Style"/>
          <w:iCs/>
          <w:sz w:val="20"/>
          <w:szCs w:val="20"/>
        </w:rPr>
        <w:t>1,13-1,16</w:t>
      </w:r>
      <w:r w:rsidR="004A1E09" w:rsidRPr="004A1E09">
        <w:rPr>
          <w:rFonts w:ascii="Bookman Old Style" w:hAnsi="Bookman Old Style"/>
          <w:iCs/>
          <w:sz w:val="20"/>
          <w:szCs w:val="20"/>
        </w:rPr>
        <w:t xml:space="preserve">. При расчете выбрано рекомендованное среднее значение </w:t>
      </w:r>
      <w:r w:rsidR="00CE17F5">
        <w:rPr>
          <w:rFonts w:ascii="Bookman Old Style" w:hAnsi="Bookman Old Style"/>
          <w:iCs/>
          <w:sz w:val="20"/>
          <w:szCs w:val="20"/>
        </w:rPr>
        <w:t>1,14</w:t>
      </w:r>
      <w:r w:rsidR="004A1E09" w:rsidRPr="004A1E09">
        <w:rPr>
          <w:rFonts w:ascii="Bookman Old Style" w:hAnsi="Bookman Old Style"/>
          <w:iCs/>
          <w:sz w:val="20"/>
          <w:szCs w:val="20"/>
        </w:rPr>
        <w:t>, понижающая к</w:t>
      </w:r>
      <w:r w:rsidR="006A199E">
        <w:rPr>
          <w:rFonts w:ascii="Bookman Old Style" w:hAnsi="Bookman Old Style"/>
          <w:iCs/>
          <w:sz w:val="20"/>
          <w:szCs w:val="20"/>
        </w:rPr>
        <w:t xml:space="preserve">орректировка составит величину </w:t>
      </w:r>
      <w:r w:rsidR="00CE17F5">
        <w:rPr>
          <w:rFonts w:ascii="Bookman Old Style" w:hAnsi="Bookman Old Style"/>
          <w:iCs/>
          <w:sz w:val="20"/>
          <w:szCs w:val="20"/>
        </w:rPr>
        <w:t>-14%</w:t>
      </w:r>
    </w:p>
    <w:p w:rsidR="00F45425" w:rsidRPr="00431CC5" w:rsidRDefault="00F45425" w:rsidP="00303E37">
      <w:pPr>
        <w:numPr>
          <w:ilvl w:val="0"/>
          <w:numId w:val="35"/>
        </w:numPr>
        <w:spacing w:before="120" w:after="120"/>
        <w:jc w:val="both"/>
        <w:rPr>
          <w:rFonts w:ascii="Bookman Old Style" w:hAnsi="Bookman Old Style"/>
          <w:sz w:val="20"/>
          <w:szCs w:val="20"/>
        </w:rPr>
      </w:pPr>
      <w:r w:rsidRPr="00431CC5">
        <w:rPr>
          <w:rFonts w:ascii="Bookman Old Style" w:hAnsi="Bookman Old Style"/>
          <w:sz w:val="20"/>
          <w:szCs w:val="20"/>
        </w:rPr>
        <w:t>Экономические характеристики. Такие качества как доход, операционные расходы, условия аренды, используются для анализа объектов приносящих доход.</w:t>
      </w:r>
    </w:p>
    <w:p w:rsidR="00F45425" w:rsidRPr="00431CC5" w:rsidRDefault="00F45425" w:rsidP="00F45425">
      <w:pPr>
        <w:spacing w:before="120" w:after="120"/>
        <w:ind w:left="720"/>
        <w:jc w:val="both"/>
        <w:rPr>
          <w:rFonts w:ascii="Bookman Old Style" w:hAnsi="Bookman Old Style"/>
          <w:sz w:val="20"/>
          <w:szCs w:val="20"/>
        </w:rPr>
      </w:pPr>
      <w:r w:rsidRPr="00431CC5">
        <w:rPr>
          <w:rFonts w:ascii="Bookman Old Style" w:hAnsi="Bookman Old Style"/>
          <w:iCs/>
          <w:sz w:val="20"/>
          <w:szCs w:val="20"/>
        </w:rPr>
        <w:t>По данной группе элементов сравнения не выявлено отличие элементов Объекта оценки и объектов аналогов, корректировка не требуется.</w:t>
      </w:r>
    </w:p>
    <w:p w:rsidR="00F45425" w:rsidRPr="00431CC5" w:rsidRDefault="00F45425" w:rsidP="00303E37">
      <w:pPr>
        <w:numPr>
          <w:ilvl w:val="0"/>
          <w:numId w:val="35"/>
        </w:numPr>
        <w:spacing w:before="120" w:after="120"/>
        <w:jc w:val="both"/>
        <w:rPr>
          <w:rFonts w:ascii="Bookman Old Style" w:hAnsi="Bookman Old Style"/>
          <w:sz w:val="20"/>
          <w:szCs w:val="20"/>
        </w:rPr>
      </w:pPr>
      <w:r w:rsidRPr="00431CC5">
        <w:rPr>
          <w:rFonts w:ascii="Bookman Old Style" w:hAnsi="Bookman Old Style"/>
          <w:sz w:val="20"/>
          <w:szCs w:val="20"/>
        </w:rPr>
        <w:t xml:space="preserve">Обоснование схемы согласования результатов. Расчет средневзвешенного значения рыночной стоимости. Для объектов аналогов сумма внесенных корректировок, по которым, значительна от базовой стоимости предложения, присвоены меньшие весовые значения. Данный факт объясняется снижением относительной ошибки в расчете. При этом необходимо отметить, что валовая корректировка рассчитывается по модулю. </w:t>
      </w:r>
    </w:p>
    <w:p w:rsidR="00F45425" w:rsidRPr="00431CC5" w:rsidRDefault="00F45425" w:rsidP="00F45425">
      <w:pPr>
        <w:spacing w:before="120" w:after="120"/>
        <w:ind w:left="720"/>
        <w:rPr>
          <w:rFonts w:ascii="Bookman Old Style" w:hAnsi="Bookman Old Style"/>
          <w:sz w:val="20"/>
          <w:szCs w:val="20"/>
        </w:rPr>
      </w:pPr>
      <w:r w:rsidRPr="00431CC5">
        <w:rPr>
          <w:rFonts w:ascii="Bookman Old Style" w:hAnsi="Bookman Old Style"/>
          <w:sz w:val="20"/>
          <w:szCs w:val="20"/>
        </w:rPr>
        <w:t>Вес аналога рассчитывается по формуле:</w:t>
      </w:r>
    </w:p>
    <w:p w:rsidR="00F45425" w:rsidRPr="00431CC5" w:rsidRDefault="00F45425" w:rsidP="00F45425">
      <w:pPr>
        <w:spacing w:before="120" w:after="120"/>
        <w:ind w:left="720"/>
        <w:rPr>
          <w:rFonts w:ascii="Bookman Old Style" w:hAnsi="Bookman Old Style"/>
          <w:i/>
          <w:sz w:val="20"/>
          <w:szCs w:val="20"/>
          <w:lang w:val="en-GB"/>
        </w:rPr>
      </w:pPr>
      <m:oMathPara>
        <m:oMath>
          <m:r>
            <w:rPr>
              <w:rFonts w:ascii="Cambria Math" w:hAnsi="Cambria Math"/>
              <w:sz w:val="20"/>
              <w:szCs w:val="20"/>
            </w:rPr>
            <m:t>W=</m:t>
          </m:r>
          <m:d>
            <m:dPr>
              <m:ctrlPr>
                <w:rPr>
                  <w:rFonts w:ascii="Cambria Math" w:hAnsi="Cambria Math"/>
                  <w:i/>
                  <w:sz w:val="20"/>
                  <w:szCs w:val="20"/>
                </w:rPr>
              </m:ctrlPr>
            </m:dPr>
            <m:e>
              <m:r>
                <w:rPr>
                  <w:rFonts w:ascii="Cambria Math" w:hAnsi="Cambria Math"/>
                  <w:sz w:val="20"/>
                  <w:szCs w:val="20"/>
                </w:rPr>
                <m:t>1-</m:t>
              </m:r>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n</m:t>
                      </m:r>
                    </m:sub>
                  </m:sSub>
                </m:num>
                <m:den>
                  <m:nary>
                    <m:naryPr>
                      <m:chr m:val="∑"/>
                      <m:limLoc m:val="undOvr"/>
                      <m:subHide m:val="on"/>
                      <m:supHide m:val="on"/>
                      <m:ctrlPr>
                        <w:rPr>
                          <w:rFonts w:ascii="Cambria Math" w:hAnsi="Cambria Math"/>
                          <w:i/>
                          <w:sz w:val="20"/>
                          <w:szCs w:val="20"/>
                        </w:rPr>
                      </m:ctrlPr>
                    </m:naryPr>
                    <m:sub/>
                    <m:sup/>
                    <m:e>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n</m:t>
                          </m:r>
                        </m:sub>
                      </m:sSub>
                    </m:e>
                  </m:nary>
                </m:den>
              </m:f>
            </m:e>
          </m:d>
          <m:r>
            <w:rPr>
              <w:rFonts w:ascii="Cambria Math" w:hAnsi="Cambria Math"/>
              <w:sz w:val="20"/>
              <w:szCs w:val="20"/>
            </w:rPr>
            <m:t>÷</m:t>
          </m:r>
          <m:d>
            <m:dPr>
              <m:ctrlPr>
                <w:rPr>
                  <w:rFonts w:ascii="Cambria Math" w:hAnsi="Cambria Math"/>
                  <w:i/>
                  <w:sz w:val="20"/>
                  <w:szCs w:val="20"/>
                </w:rPr>
              </m:ctrlPr>
            </m:dPr>
            <m:e>
              <m:r>
                <w:rPr>
                  <w:rFonts w:ascii="Cambria Math" w:hAnsi="Cambria Math"/>
                  <w:sz w:val="20"/>
                  <w:szCs w:val="20"/>
                </w:rPr>
                <m:t>n-1</m:t>
              </m:r>
            </m:e>
          </m:d>
        </m:oMath>
      </m:oMathPara>
    </w:p>
    <w:p w:rsidR="00F45425" w:rsidRPr="00431CC5" w:rsidRDefault="00F45425" w:rsidP="00F45425">
      <w:pPr>
        <w:spacing w:before="120" w:after="120"/>
        <w:ind w:left="720"/>
        <w:rPr>
          <w:rFonts w:ascii="Bookman Old Style" w:hAnsi="Bookman Old Style"/>
          <w:sz w:val="20"/>
          <w:szCs w:val="20"/>
        </w:rPr>
      </w:pPr>
      <w:r w:rsidRPr="00431CC5">
        <w:rPr>
          <w:rFonts w:ascii="Bookman Old Style" w:hAnsi="Bookman Old Style"/>
          <w:sz w:val="20"/>
          <w:szCs w:val="20"/>
        </w:rPr>
        <w:t>где:</w:t>
      </w:r>
    </w:p>
    <w:p w:rsidR="00F45425" w:rsidRPr="00431CC5" w:rsidRDefault="00F45425" w:rsidP="00F45425">
      <w:pPr>
        <w:spacing w:before="120" w:after="120"/>
        <w:ind w:left="720"/>
        <w:rPr>
          <w:rFonts w:ascii="Bookman Old Style" w:hAnsi="Bookman Old Style"/>
          <w:sz w:val="20"/>
          <w:szCs w:val="20"/>
        </w:rPr>
      </w:pPr>
      <w:r w:rsidRPr="00431CC5">
        <w:rPr>
          <w:rFonts w:ascii="Bookman Old Style" w:hAnsi="Bookman Old Style"/>
          <w:sz w:val="20"/>
          <w:szCs w:val="20"/>
          <w:lang w:val="en-GB"/>
        </w:rPr>
        <w:t>W</w:t>
      </w:r>
      <w:r w:rsidRPr="00431CC5">
        <w:rPr>
          <w:rFonts w:ascii="Bookman Old Style" w:hAnsi="Bookman Old Style"/>
          <w:sz w:val="20"/>
          <w:szCs w:val="20"/>
        </w:rPr>
        <w:t xml:space="preserve"> – вес аналога;</w:t>
      </w:r>
    </w:p>
    <w:p w:rsidR="00F45425" w:rsidRPr="00431CC5" w:rsidRDefault="00F45425" w:rsidP="00F45425">
      <w:pPr>
        <w:spacing w:before="120" w:after="120"/>
        <w:ind w:left="720"/>
        <w:rPr>
          <w:rFonts w:ascii="Bookman Old Style" w:hAnsi="Bookman Old Style"/>
          <w:sz w:val="20"/>
          <w:szCs w:val="20"/>
        </w:rPr>
      </w:pPr>
      <w:r w:rsidRPr="00431CC5">
        <w:rPr>
          <w:rFonts w:ascii="Bookman Old Style" w:hAnsi="Bookman Old Style"/>
          <w:sz w:val="20"/>
          <w:szCs w:val="20"/>
          <w:lang w:val="en-GB"/>
        </w:rPr>
        <w:t>Vn</w:t>
      </w:r>
      <w:r w:rsidRPr="00431CC5">
        <w:rPr>
          <w:rFonts w:ascii="Bookman Old Style" w:hAnsi="Bookman Old Style"/>
          <w:sz w:val="20"/>
          <w:szCs w:val="20"/>
        </w:rPr>
        <w:t xml:space="preserve"> – валовая корректировка аналога;</w:t>
      </w:r>
    </w:p>
    <w:p w:rsidR="00F45425" w:rsidRPr="00431CC5" w:rsidRDefault="00F45425" w:rsidP="00F45425">
      <w:pPr>
        <w:spacing w:before="120" w:after="120"/>
        <w:ind w:left="720"/>
        <w:rPr>
          <w:rFonts w:ascii="Bookman Old Style" w:hAnsi="Bookman Old Style"/>
          <w:sz w:val="20"/>
          <w:szCs w:val="20"/>
        </w:rPr>
      </w:pPr>
      <w:r w:rsidRPr="00431CC5">
        <w:rPr>
          <w:rFonts w:ascii="Bookman Old Style" w:hAnsi="Bookman Old Style"/>
          <w:sz w:val="20"/>
          <w:szCs w:val="20"/>
        </w:rPr>
        <w:t>∑</w:t>
      </w:r>
      <w:r w:rsidRPr="00431CC5">
        <w:rPr>
          <w:rFonts w:ascii="Bookman Old Style" w:hAnsi="Bookman Old Style"/>
          <w:sz w:val="20"/>
          <w:szCs w:val="20"/>
          <w:lang w:val="en-GB"/>
        </w:rPr>
        <w:t>Vn</w:t>
      </w:r>
      <w:r w:rsidRPr="00431CC5">
        <w:rPr>
          <w:rFonts w:ascii="Bookman Old Style" w:hAnsi="Bookman Old Style"/>
          <w:sz w:val="20"/>
          <w:szCs w:val="20"/>
        </w:rPr>
        <w:t xml:space="preserve"> – сумма валовых корректировок используемых аналогов;</w:t>
      </w:r>
    </w:p>
    <w:p w:rsidR="00F45425" w:rsidRPr="00431CC5" w:rsidRDefault="00F45425" w:rsidP="00F45425">
      <w:pPr>
        <w:spacing w:before="120" w:after="120"/>
        <w:ind w:left="720"/>
        <w:rPr>
          <w:rFonts w:ascii="Bookman Old Style" w:hAnsi="Bookman Old Style"/>
          <w:sz w:val="20"/>
          <w:szCs w:val="20"/>
        </w:rPr>
      </w:pPr>
      <w:r w:rsidRPr="00431CC5">
        <w:rPr>
          <w:rFonts w:ascii="Bookman Old Style" w:hAnsi="Bookman Old Style"/>
          <w:sz w:val="20"/>
          <w:szCs w:val="20"/>
        </w:rPr>
        <w:t>(</w:t>
      </w:r>
      <w:r w:rsidRPr="00431CC5">
        <w:rPr>
          <w:rFonts w:ascii="Bookman Old Style" w:hAnsi="Bookman Old Style"/>
          <w:sz w:val="20"/>
          <w:szCs w:val="20"/>
          <w:lang w:val="en-GB"/>
        </w:rPr>
        <w:t>n</w:t>
      </w:r>
      <w:r w:rsidRPr="00431CC5">
        <w:rPr>
          <w:rFonts w:ascii="Bookman Old Style" w:hAnsi="Bookman Old Style"/>
          <w:sz w:val="20"/>
          <w:szCs w:val="20"/>
        </w:rPr>
        <w:t>-1) – количество аналогов уменьшенное на 1.</w:t>
      </w:r>
    </w:p>
    <w:p w:rsidR="00F45425" w:rsidRPr="00431CC5" w:rsidRDefault="00F45425" w:rsidP="00F45425">
      <w:pPr>
        <w:spacing w:before="120" w:after="120"/>
        <w:ind w:left="720"/>
        <w:jc w:val="both"/>
        <w:rPr>
          <w:rFonts w:ascii="Bookman Old Style" w:hAnsi="Bookman Old Style"/>
          <w:sz w:val="20"/>
          <w:szCs w:val="20"/>
        </w:rPr>
      </w:pPr>
      <w:r w:rsidRPr="00431CC5">
        <w:rPr>
          <w:rFonts w:ascii="Bookman Old Style" w:hAnsi="Bookman Old Style"/>
          <w:sz w:val="20"/>
          <w:szCs w:val="20"/>
        </w:rPr>
        <w:t>Выбранные объекты аналоги, соответствуют объекту оценки по своим экономическим, материальным, техническим и другим характеристикам, определяющим их стоимость</w:t>
      </w:r>
      <w:r w:rsidRPr="00431CC5">
        <w:rPr>
          <w:rFonts w:ascii="Bookman Old Style" w:hAnsi="Bookman Old Style"/>
          <w:sz w:val="20"/>
          <w:szCs w:val="20"/>
          <w:vertAlign w:val="superscript"/>
        </w:rPr>
        <w:footnoteReference w:id="53"/>
      </w:r>
      <w:r w:rsidRPr="00431CC5">
        <w:rPr>
          <w:rFonts w:ascii="Bookman Old Style" w:hAnsi="Bookman Old Style"/>
          <w:sz w:val="20"/>
          <w:szCs w:val="20"/>
        </w:rPr>
        <w:t>. ФСО устанавливает обязанность оценщика корректировать объект аналог в зависимости от элементов сравнения, что в данной оценочной работе было проведено исходя из элементов сравнения существенных для итоговой величины стоимости.</w:t>
      </w:r>
    </w:p>
    <w:p w:rsidR="00F45425" w:rsidRDefault="00F45425" w:rsidP="00F45425">
      <w:pPr>
        <w:spacing w:before="120" w:after="120"/>
        <w:ind w:firstLine="709"/>
        <w:jc w:val="both"/>
        <w:rPr>
          <w:rFonts w:ascii="Bookman Old Style" w:hAnsi="Bookman Old Style"/>
          <w:sz w:val="20"/>
          <w:szCs w:val="20"/>
        </w:rPr>
      </w:pPr>
      <w:r w:rsidRPr="00431CC5">
        <w:rPr>
          <w:rFonts w:ascii="Bookman Old Style" w:hAnsi="Bookman Old Style"/>
          <w:sz w:val="20"/>
          <w:szCs w:val="20"/>
        </w:rPr>
        <w:t>В соответствии с проведенным расчетом стоимости в рамках сравнительного подхода, была определена рын</w:t>
      </w:r>
      <w:r w:rsidR="006A199E">
        <w:rPr>
          <w:rFonts w:ascii="Bookman Old Style" w:hAnsi="Bookman Old Style"/>
          <w:sz w:val="20"/>
          <w:szCs w:val="20"/>
        </w:rPr>
        <w:t>очная стоимость 1 кв.м. элементов</w:t>
      </w:r>
      <w:r w:rsidRPr="00431CC5">
        <w:rPr>
          <w:rFonts w:ascii="Bookman Old Style" w:hAnsi="Bookman Old Style"/>
          <w:sz w:val="20"/>
          <w:szCs w:val="20"/>
        </w:rPr>
        <w:t xml:space="preserve"> Объекта оценки в зависимости от его ценообразующих факторов. </w:t>
      </w:r>
    </w:p>
    <w:p w:rsidR="00CE17F5" w:rsidRPr="00EE24D6" w:rsidRDefault="00CE17F5" w:rsidP="00CE17F5">
      <w:pPr>
        <w:keepNext/>
        <w:spacing w:before="120" w:after="120"/>
        <w:jc w:val="both"/>
        <w:outlineLvl w:val="2"/>
        <w:rPr>
          <w:rFonts w:ascii="Bookman Old Style" w:hAnsi="Bookman Old Style"/>
          <w:b/>
          <w:bCs/>
          <w:sz w:val="20"/>
          <w:szCs w:val="20"/>
        </w:rPr>
      </w:pPr>
      <w:bookmarkStart w:id="277" w:name="_Toc382487177"/>
      <w:bookmarkStart w:id="278" w:name="_Toc429664331"/>
      <w:bookmarkStart w:id="279" w:name="_Toc461206409"/>
      <w:r>
        <w:rPr>
          <w:rFonts w:ascii="Bookman Old Style" w:hAnsi="Bookman Old Style"/>
          <w:b/>
          <w:bCs/>
          <w:sz w:val="20"/>
          <w:szCs w:val="20"/>
        </w:rPr>
        <w:t>5.4.5</w:t>
      </w:r>
      <w:r w:rsidRPr="00EE24D6">
        <w:rPr>
          <w:rFonts w:ascii="Bookman Old Style" w:hAnsi="Bookman Old Style"/>
          <w:b/>
          <w:bCs/>
          <w:sz w:val="20"/>
          <w:szCs w:val="20"/>
        </w:rPr>
        <w:t>. Определение рыночной стоимости</w:t>
      </w:r>
      <w:r>
        <w:rPr>
          <w:rFonts w:ascii="Bookman Old Style" w:hAnsi="Bookman Old Style"/>
          <w:b/>
          <w:bCs/>
          <w:sz w:val="20"/>
          <w:szCs w:val="20"/>
        </w:rPr>
        <w:t xml:space="preserve"> земельного участка</w:t>
      </w:r>
      <w:r w:rsidRPr="00EE24D6">
        <w:rPr>
          <w:rFonts w:ascii="Bookman Old Style" w:hAnsi="Bookman Old Style"/>
          <w:b/>
          <w:bCs/>
          <w:sz w:val="20"/>
          <w:szCs w:val="20"/>
        </w:rPr>
        <w:t xml:space="preserve"> сравнительным подходом</w:t>
      </w:r>
      <w:bookmarkEnd w:id="277"/>
      <w:bookmarkEnd w:id="278"/>
      <w:bookmarkEnd w:id="279"/>
    </w:p>
    <w:p w:rsidR="00CE17F5" w:rsidRPr="00EE24D6" w:rsidRDefault="00CE17F5" w:rsidP="00CE17F5">
      <w:pPr>
        <w:spacing w:before="120" w:after="120"/>
        <w:ind w:firstLine="708"/>
        <w:jc w:val="both"/>
        <w:rPr>
          <w:rFonts w:ascii="Bookman Old Style" w:hAnsi="Bookman Old Style"/>
          <w:color w:val="000000"/>
          <w:sz w:val="20"/>
          <w:szCs w:val="20"/>
        </w:rPr>
      </w:pPr>
      <w:r w:rsidRPr="00EE24D6">
        <w:rPr>
          <w:rFonts w:ascii="Bookman Old Style" w:hAnsi="Bookman Old Style" w:cs="Arial"/>
          <w:color w:val="000000"/>
          <w:sz w:val="20"/>
          <w:szCs w:val="20"/>
        </w:rPr>
        <w:t>Д</w:t>
      </w:r>
      <w:r w:rsidRPr="00EE24D6">
        <w:rPr>
          <w:rFonts w:ascii="Bookman Old Style" w:hAnsi="Bookman Old Style"/>
          <w:color w:val="000000"/>
          <w:sz w:val="20"/>
          <w:szCs w:val="20"/>
        </w:rPr>
        <w:t xml:space="preserve">ля расчета стоимости </w:t>
      </w:r>
      <w:r>
        <w:rPr>
          <w:rFonts w:ascii="Bookman Old Style" w:hAnsi="Bookman Old Style"/>
          <w:color w:val="000000"/>
          <w:sz w:val="20"/>
          <w:szCs w:val="20"/>
        </w:rPr>
        <w:t xml:space="preserve">земельного участка </w:t>
      </w:r>
      <w:r w:rsidRPr="00EE24D6">
        <w:rPr>
          <w:rFonts w:ascii="Bookman Old Style" w:hAnsi="Bookman Old Style"/>
          <w:color w:val="000000"/>
          <w:sz w:val="20"/>
          <w:szCs w:val="20"/>
        </w:rPr>
        <w:t>Объекта оценки</w:t>
      </w:r>
      <w:r>
        <w:rPr>
          <w:rFonts w:ascii="Bookman Old Style" w:hAnsi="Bookman Old Style"/>
          <w:color w:val="000000"/>
          <w:sz w:val="20"/>
          <w:szCs w:val="20"/>
        </w:rPr>
        <w:t xml:space="preserve"> методом «сравнения продаж» </w:t>
      </w:r>
      <w:r w:rsidRPr="00EE24D6">
        <w:rPr>
          <w:rFonts w:ascii="Bookman Old Style" w:hAnsi="Bookman Old Style"/>
          <w:color w:val="000000"/>
          <w:sz w:val="20"/>
          <w:szCs w:val="20"/>
        </w:rPr>
        <w:t>была проведена выборка объектов аналогов</w:t>
      </w:r>
      <w:r>
        <w:rPr>
          <w:rFonts w:ascii="Bookman Old Style" w:hAnsi="Bookman Old Style"/>
          <w:color w:val="000000"/>
          <w:sz w:val="20"/>
          <w:szCs w:val="20"/>
        </w:rPr>
        <w:t>,</w:t>
      </w:r>
      <w:r w:rsidRPr="00EE24D6">
        <w:rPr>
          <w:rFonts w:ascii="Bookman Old Style" w:hAnsi="Bookman Old Style"/>
          <w:color w:val="000000"/>
          <w:sz w:val="20"/>
          <w:szCs w:val="20"/>
        </w:rPr>
        <w:t xml:space="preserve"> предлагающихся к продаже на рынке </w:t>
      </w:r>
      <w:r>
        <w:rPr>
          <w:rFonts w:ascii="Bookman Old Style" w:hAnsi="Bookman Old Style"/>
          <w:color w:val="000000"/>
          <w:sz w:val="20"/>
          <w:szCs w:val="20"/>
        </w:rPr>
        <w:t>продаж земельных участков коммерческого назначения в Ленинском Районе г. Красноярска</w:t>
      </w:r>
      <w:r w:rsidRPr="00EE24D6">
        <w:rPr>
          <w:rFonts w:ascii="Bookman Old Style" w:hAnsi="Bookman Old Style"/>
          <w:color w:val="000000"/>
          <w:sz w:val="20"/>
          <w:szCs w:val="20"/>
          <w:vertAlign w:val="superscript"/>
        </w:rPr>
        <w:footnoteReference w:id="54"/>
      </w:r>
      <w:r w:rsidRPr="00EE24D6">
        <w:rPr>
          <w:rFonts w:ascii="Bookman Old Style" w:hAnsi="Bookman Old Style"/>
          <w:color w:val="000000"/>
          <w:sz w:val="20"/>
          <w:szCs w:val="20"/>
        </w:rPr>
        <w:t>.</w:t>
      </w:r>
    </w:p>
    <w:p w:rsidR="00CE17F5" w:rsidRDefault="00CE17F5" w:rsidP="00CE17F5">
      <w:pPr>
        <w:spacing w:before="120" w:after="120"/>
        <w:ind w:firstLine="708"/>
        <w:jc w:val="both"/>
        <w:rPr>
          <w:rFonts w:ascii="Bookman Old Style" w:hAnsi="Bookman Old Style"/>
          <w:sz w:val="20"/>
          <w:szCs w:val="20"/>
        </w:rPr>
      </w:pPr>
      <w:r w:rsidRPr="00EE24D6">
        <w:rPr>
          <w:rFonts w:ascii="Bookman Old Style" w:hAnsi="Bookman Old Style"/>
          <w:sz w:val="20"/>
          <w:szCs w:val="20"/>
        </w:rPr>
        <w:t>Необходимо отметить, что выбранные при расчете ценообразующие факторы, являются основными при определении стоимости. Ценообразующие факторы, не связанные с факторами спроса и предложения, на рынке земельных участков рассматриваемого ВРИ, при проведении расчета не использовались.</w:t>
      </w:r>
    </w:p>
    <w:p w:rsidR="00CE17F5" w:rsidRPr="006568BA" w:rsidRDefault="00CE17F5" w:rsidP="00CE17F5">
      <w:pPr>
        <w:spacing w:before="120"/>
        <w:ind w:firstLine="709"/>
        <w:jc w:val="right"/>
        <w:rPr>
          <w:rFonts w:ascii="Bookman Old Style" w:hAnsi="Bookman Old Style"/>
          <w:b/>
          <w:color w:val="000000"/>
          <w:sz w:val="20"/>
          <w:szCs w:val="20"/>
        </w:rPr>
      </w:pPr>
      <w:r w:rsidRPr="00EE24D6">
        <w:rPr>
          <w:rFonts w:ascii="Bookman Old Style" w:hAnsi="Bookman Old Style"/>
          <w:b/>
          <w:color w:val="000000"/>
          <w:sz w:val="20"/>
          <w:szCs w:val="20"/>
        </w:rPr>
        <w:t>Таблица 5.</w:t>
      </w:r>
      <w:r>
        <w:rPr>
          <w:rFonts w:ascii="Bookman Old Style" w:hAnsi="Bookman Old Style"/>
          <w:b/>
          <w:color w:val="000000"/>
          <w:sz w:val="20"/>
          <w:szCs w:val="20"/>
        </w:rPr>
        <w:t>4</w:t>
      </w:r>
      <w:r w:rsidRPr="00EE24D6">
        <w:rPr>
          <w:rFonts w:ascii="Bookman Old Style" w:hAnsi="Bookman Old Style"/>
          <w:b/>
          <w:color w:val="000000"/>
          <w:sz w:val="20"/>
          <w:szCs w:val="20"/>
        </w:rPr>
        <w:t>.</w:t>
      </w:r>
      <w:r>
        <w:rPr>
          <w:rFonts w:ascii="Bookman Old Style" w:hAnsi="Bookman Old Style"/>
          <w:b/>
          <w:color w:val="000000"/>
          <w:sz w:val="20"/>
          <w:szCs w:val="20"/>
        </w:rPr>
        <w:t>5.</w:t>
      </w:r>
      <w:r w:rsidRPr="00EE24D6">
        <w:rPr>
          <w:rFonts w:ascii="Bookman Old Style" w:hAnsi="Bookman Old Style"/>
          <w:b/>
          <w:color w:val="000000"/>
          <w:sz w:val="20"/>
          <w:szCs w:val="20"/>
        </w:rPr>
        <w:t>1. Расчет рыночной стоимости</w:t>
      </w:r>
      <w:r>
        <w:rPr>
          <w:rFonts w:ascii="Bookman Old Style" w:hAnsi="Bookman Old Style"/>
          <w:b/>
          <w:color w:val="000000"/>
          <w:sz w:val="20"/>
          <w:szCs w:val="20"/>
        </w:rPr>
        <w:t xml:space="preserve"> ЗУ под промышленную застройку</w:t>
      </w:r>
      <w:r w:rsidR="006568BA">
        <w:rPr>
          <w:rFonts w:ascii="Bookman Old Style" w:hAnsi="Bookman Old Style"/>
          <w:b/>
          <w:color w:val="000000"/>
          <w:sz w:val="20"/>
          <w:szCs w:val="20"/>
        </w:rPr>
        <w:t xml:space="preserve"> площадью </w:t>
      </w:r>
      <w:r w:rsidR="006568BA">
        <w:rPr>
          <w:rFonts w:ascii="Bookman Old Style" w:hAnsi="Bookman Old Style"/>
          <w:b/>
          <w:color w:val="000000"/>
          <w:sz w:val="20"/>
          <w:szCs w:val="20"/>
          <w:lang w:val="en-US"/>
        </w:rPr>
        <w:t>1-2</w:t>
      </w:r>
      <w:r w:rsidR="006568BA">
        <w:rPr>
          <w:rFonts w:ascii="Bookman Old Style" w:hAnsi="Bookman Old Style"/>
          <w:b/>
          <w:color w:val="000000"/>
          <w:sz w:val="20"/>
          <w:szCs w:val="20"/>
        </w:rPr>
        <w:t>,5 га.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85"/>
        <w:gridCol w:w="2084"/>
        <w:gridCol w:w="2084"/>
        <w:gridCol w:w="2084"/>
        <w:gridCol w:w="2084"/>
      </w:tblGrid>
      <w:tr w:rsidR="006568BA" w:rsidRPr="006568BA" w:rsidTr="006568BA">
        <w:trPr>
          <w:cantSplit/>
          <w:trHeight w:val="170"/>
        </w:trPr>
        <w:tc>
          <w:tcPr>
            <w:tcW w:w="1000" w:type="pct"/>
            <w:shd w:val="clear" w:color="000000" w:fill="F2F2F2"/>
            <w:vAlign w:val="bottom"/>
            <w:hideMark/>
          </w:tcPr>
          <w:p w:rsidR="006568BA" w:rsidRPr="006568BA" w:rsidRDefault="006568BA" w:rsidP="006568BA">
            <w:pPr>
              <w:jc w:val="center"/>
              <w:rPr>
                <w:rFonts w:ascii="Cambria" w:hAnsi="Cambria"/>
                <w:b/>
                <w:bCs/>
                <w:color w:val="000000"/>
                <w:sz w:val="16"/>
                <w:szCs w:val="16"/>
              </w:rPr>
            </w:pPr>
            <w:r w:rsidRPr="006568BA">
              <w:rPr>
                <w:rFonts w:ascii="Cambria" w:hAnsi="Cambria"/>
                <w:b/>
                <w:bCs/>
                <w:color w:val="000000"/>
                <w:sz w:val="16"/>
                <w:szCs w:val="16"/>
              </w:rPr>
              <w:t>Показатель</w:t>
            </w:r>
          </w:p>
        </w:tc>
        <w:tc>
          <w:tcPr>
            <w:tcW w:w="1000" w:type="pct"/>
            <w:shd w:val="clear" w:color="000000" w:fill="F2F2F2"/>
            <w:vAlign w:val="center"/>
            <w:hideMark/>
          </w:tcPr>
          <w:p w:rsidR="006568BA" w:rsidRPr="006568BA" w:rsidRDefault="006568BA" w:rsidP="006568BA">
            <w:pPr>
              <w:jc w:val="center"/>
              <w:rPr>
                <w:rFonts w:ascii="Cambria" w:hAnsi="Cambria"/>
                <w:b/>
                <w:bCs/>
                <w:color w:val="000000"/>
                <w:sz w:val="16"/>
                <w:szCs w:val="16"/>
              </w:rPr>
            </w:pPr>
            <w:r w:rsidRPr="006568BA">
              <w:rPr>
                <w:rFonts w:ascii="Cambria" w:hAnsi="Cambria"/>
                <w:b/>
                <w:bCs/>
                <w:color w:val="000000"/>
                <w:sz w:val="16"/>
                <w:szCs w:val="16"/>
              </w:rPr>
              <w:t>Объект оценки</w:t>
            </w:r>
          </w:p>
        </w:tc>
        <w:tc>
          <w:tcPr>
            <w:tcW w:w="1000" w:type="pct"/>
            <w:shd w:val="clear" w:color="000000" w:fill="F2F2F2"/>
            <w:vAlign w:val="center"/>
            <w:hideMark/>
          </w:tcPr>
          <w:p w:rsidR="006568BA" w:rsidRPr="006568BA" w:rsidRDefault="006568BA" w:rsidP="006568BA">
            <w:pPr>
              <w:jc w:val="center"/>
              <w:rPr>
                <w:rFonts w:ascii="Cambria" w:hAnsi="Cambria"/>
                <w:b/>
                <w:bCs/>
                <w:color w:val="000000"/>
                <w:sz w:val="16"/>
                <w:szCs w:val="16"/>
              </w:rPr>
            </w:pPr>
            <w:r w:rsidRPr="006568BA">
              <w:rPr>
                <w:rFonts w:ascii="Cambria" w:hAnsi="Cambria"/>
                <w:b/>
                <w:bCs/>
                <w:color w:val="000000"/>
                <w:sz w:val="16"/>
                <w:szCs w:val="16"/>
              </w:rPr>
              <w:t>Аналог 1</w:t>
            </w:r>
          </w:p>
        </w:tc>
        <w:tc>
          <w:tcPr>
            <w:tcW w:w="1000" w:type="pct"/>
            <w:shd w:val="clear" w:color="000000" w:fill="F2F2F2"/>
            <w:vAlign w:val="center"/>
            <w:hideMark/>
          </w:tcPr>
          <w:p w:rsidR="006568BA" w:rsidRPr="006568BA" w:rsidRDefault="006568BA" w:rsidP="006568BA">
            <w:pPr>
              <w:jc w:val="center"/>
              <w:rPr>
                <w:rFonts w:ascii="Cambria" w:hAnsi="Cambria"/>
                <w:b/>
                <w:bCs/>
                <w:color w:val="000000"/>
                <w:sz w:val="16"/>
                <w:szCs w:val="16"/>
              </w:rPr>
            </w:pPr>
            <w:r w:rsidRPr="006568BA">
              <w:rPr>
                <w:rFonts w:ascii="Cambria" w:hAnsi="Cambria"/>
                <w:b/>
                <w:bCs/>
                <w:color w:val="000000"/>
                <w:sz w:val="16"/>
                <w:szCs w:val="16"/>
              </w:rPr>
              <w:t>Аналог 2</w:t>
            </w:r>
          </w:p>
        </w:tc>
        <w:tc>
          <w:tcPr>
            <w:tcW w:w="1000" w:type="pct"/>
            <w:shd w:val="clear" w:color="000000" w:fill="F2F2F2"/>
            <w:vAlign w:val="center"/>
            <w:hideMark/>
          </w:tcPr>
          <w:p w:rsidR="006568BA" w:rsidRPr="006568BA" w:rsidRDefault="006568BA" w:rsidP="006568BA">
            <w:pPr>
              <w:jc w:val="center"/>
              <w:rPr>
                <w:rFonts w:ascii="Cambria" w:hAnsi="Cambria"/>
                <w:b/>
                <w:bCs/>
                <w:color w:val="000000"/>
                <w:sz w:val="16"/>
                <w:szCs w:val="16"/>
              </w:rPr>
            </w:pPr>
            <w:r w:rsidRPr="006568BA">
              <w:rPr>
                <w:rFonts w:ascii="Cambria" w:hAnsi="Cambria"/>
                <w:b/>
                <w:bCs/>
                <w:color w:val="000000"/>
                <w:sz w:val="16"/>
                <w:szCs w:val="16"/>
              </w:rPr>
              <w:t>Аналог 3</w:t>
            </w:r>
          </w:p>
        </w:tc>
      </w:tr>
      <w:tr w:rsidR="006568BA" w:rsidRPr="006568BA" w:rsidTr="006568BA">
        <w:trPr>
          <w:cantSplit/>
          <w:trHeight w:val="170"/>
        </w:trPr>
        <w:tc>
          <w:tcPr>
            <w:tcW w:w="1000" w:type="pct"/>
            <w:shd w:val="clear" w:color="auto" w:fill="auto"/>
            <w:vAlign w:val="center"/>
            <w:hideMark/>
          </w:tcPr>
          <w:p w:rsidR="006568BA" w:rsidRPr="006568BA" w:rsidRDefault="006568BA" w:rsidP="006568BA">
            <w:pPr>
              <w:rPr>
                <w:rFonts w:ascii="Cambria" w:hAnsi="Cambria"/>
                <w:color w:val="000000"/>
                <w:sz w:val="16"/>
                <w:szCs w:val="16"/>
              </w:rPr>
            </w:pPr>
            <w:r w:rsidRPr="006568BA">
              <w:rPr>
                <w:rFonts w:ascii="Cambria" w:hAnsi="Cambria"/>
                <w:color w:val="000000"/>
                <w:sz w:val="16"/>
                <w:szCs w:val="16"/>
              </w:rPr>
              <w:t>Источник информации</w:t>
            </w:r>
          </w:p>
        </w:tc>
        <w:tc>
          <w:tcPr>
            <w:tcW w:w="1000" w:type="pct"/>
            <w:shd w:val="clear" w:color="auto" w:fill="auto"/>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w:t>
            </w:r>
          </w:p>
        </w:tc>
        <w:tc>
          <w:tcPr>
            <w:tcW w:w="1000" w:type="pct"/>
            <w:shd w:val="clear" w:color="auto" w:fill="auto"/>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Сайт бесплатных объявлений Авито</w:t>
            </w:r>
          </w:p>
        </w:tc>
        <w:tc>
          <w:tcPr>
            <w:tcW w:w="1000" w:type="pct"/>
            <w:shd w:val="clear" w:color="auto" w:fill="auto"/>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Сайт бесплатных объявлений Авито</w:t>
            </w:r>
          </w:p>
        </w:tc>
        <w:tc>
          <w:tcPr>
            <w:tcW w:w="1000" w:type="pct"/>
            <w:shd w:val="clear" w:color="auto" w:fill="auto"/>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Сайт бесплатных объявлений Авито</w:t>
            </w:r>
          </w:p>
        </w:tc>
      </w:tr>
      <w:tr w:rsidR="006568BA" w:rsidRPr="006568BA" w:rsidTr="006568BA">
        <w:trPr>
          <w:cantSplit/>
          <w:trHeight w:val="170"/>
        </w:trPr>
        <w:tc>
          <w:tcPr>
            <w:tcW w:w="1000" w:type="pct"/>
            <w:shd w:val="clear" w:color="auto" w:fill="auto"/>
            <w:vAlign w:val="center"/>
            <w:hideMark/>
          </w:tcPr>
          <w:p w:rsidR="006568BA" w:rsidRPr="006568BA" w:rsidRDefault="006568BA" w:rsidP="006568BA">
            <w:pPr>
              <w:rPr>
                <w:rFonts w:ascii="Cambria" w:hAnsi="Cambria"/>
                <w:color w:val="000000"/>
                <w:sz w:val="16"/>
                <w:szCs w:val="16"/>
              </w:rPr>
            </w:pPr>
            <w:r w:rsidRPr="006568BA">
              <w:rPr>
                <w:rFonts w:ascii="Cambria" w:hAnsi="Cambria"/>
                <w:color w:val="000000"/>
                <w:sz w:val="16"/>
                <w:szCs w:val="16"/>
              </w:rPr>
              <w:t>Ссылка на интернет-сайт, источник информации</w:t>
            </w:r>
          </w:p>
        </w:tc>
        <w:tc>
          <w:tcPr>
            <w:tcW w:w="1000" w:type="pct"/>
            <w:shd w:val="clear" w:color="auto" w:fill="auto"/>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w:t>
            </w:r>
          </w:p>
        </w:tc>
        <w:tc>
          <w:tcPr>
            <w:tcW w:w="1000" w:type="pct"/>
            <w:shd w:val="clear" w:color="auto" w:fill="auto"/>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http://www.rosrealt.ru/</w:t>
            </w:r>
          </w:p>
        </w:tc>
        <w:tc>
          <w:tcPr>
            <w:tcW w:w="1000" w:type="pct"/>
            <w:shd w:val="clear" w:color="auto" w:fill="auto"/>
            <w:vAlign w:val="center"/>
            <w:hideMark/>
          </w:tcPr>
          <w:p w:rsidR="006568BA" w:rsidRPr="006568BA" w:rsidRDefault="006C4CCF" w:rsidP="006568BA">
            <w:pPr>
              <w:jc w:val="center"/>
              <w:rPr>
                <w:rFonts w:ascii="Cambria" w:hAnsi="Cambria"/>
                <w:sz w:val="16"/>
                <w:szCs w:val="16"/>
              </w:rPr>
            </w:pPr>
            <w:hyperlink r:id="rId64" w:history="1">
              <w:r w:rsidR="006568BA" w:rsidRPr="006568BA">
                <w:rPr>
                  <w:rFonts w:ascii="Cambria" w:hAnsi="Cambria"/>
                  <w:sz w:val="16"/>
                  <w:szCs w:val="16"/>
                </w:rPr>
                <w:t>https://www.avito.ru/</w:t>
              </w:r>
            </w:hyperlink>
          </w:p>
        </w:tc>
        <w:tc>
          <w:tcPr>
            <w:tcW w:w="1000" w:type="pct"/>
            <w:shd w:val="clear" w:color="auto" w:fill="auto"/>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http://www.kn24.ru/</w:t>
            </w:r>
          </w:p>
        </w:tc>
      </w:tr>
      <w:tr w:rsidR="006568BA" w:rsidRPr="006568BA" w:rsidTr="006568BA">
        <w:trPr>
          <w:cantSplit/>
          <w:trHeight w:val="170"/>
        </w:trPr>
        <w:tc>
          <w:tcPr>
            <w:tcW w:w="1000" w:type="pct"/>
            <w:shd w:val="clear" w:color="auto" w:fill="auto"/>
            <w:vAlign w:val="center"/>
            <w:hideMark/>
          </w:tcPr>
          <w:p w:rsidR="006568BA" w:rsidRPr="006568BA" w:rsidRDefault="006568BA" w:rsidP="006568BA">
            <w:pPr>
              <w:rPr>
                <w:rFonts w:ascii="Cambria" w:hAnsi="Cambria"/>
                <w:sz w:val="16"/>
                <w:szCs w:val="16"/>
              </w:rPr>
            </w:pPr>
            <w:r w:rsidRPr="006568BA">
              <w:rPr>
                <w:rFonts w:ascii="Cambria" w:hAnsi="Cambria"/>
                <w:sz w:val="16"/>
                <w:szCs w:val="16"/>
              </w:rPr>
              <w:t>Сегмент рынка</w:t>
            </w:r>
          </w:p>
        </w:tc>
        <w:tc>
          <w:tcPr>
            <w:tcW w:w="1000" w:type="pct"/>
            <w:shd w:val="clear" w:color="auto" w:fill="auto"/>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Земельный участок</w:t>
            </w:r>
          </w:p>
        </w:tc>
        <w:tc>
          <w:tcPr>
            <w:tcW w:w="1000" w:type="pct"/>
            <w:shd w:val="clear" w:color="auto" w:fill="auto"/>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Земельный участок</w:t>
            </w:r>
          </w:p>
        </w:tc>
        <w:tc>
          <w:tcPr>
            <w:tcW w:w="1000" w:type="pct"/>
            <w:shd w:val="clear" w:color="auto" w:fill="auto"/>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Земельный участок</w:t>
            </w:r>
          </w:p>
        </w:tc>
        <w:tc>
          <w:tcPr>
            <w:tcW w:w="1000" w:type="pct"/>
            <w:shd w:val="clear" w:color="auto" w:fill="auto"/>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Земельный участок</w:t>
            </w:r>
          </w:p>
        </w:tc>
      </w:tr>
      <w:tr w:rsidR="006568BA" w:rsidRPr="006568BA" w:rsidTr="006568BA">
        <w:trPr>
          <w:cantSplit/>
          <w:trHeight w:val="170"/>
        </w:trPr>
        <w:tc>
          <w:tcPr>
            <w:tcW w:w="1000" w:type="pct"/>
            <w:shd w:val="clear" w:color="auto" w:fill="auto"/>
            <w:vAlign w:val="center"/>
            <w:hideMark/>
          </w:tcPr>
          <w:p w:rsidR="006568BA" w:rsidRPr="006568BA" w:rsidRDefault="006568BA" w:rsidP="006568BA">
            <w:pPr>
              <w:rPr>
                <w:rFonts w:ascii="Cambria" w:hAnsi="Cambria"/>
                <w:color w:val="000000"/>
                <w:sz w:val="16"/>
                <w:szCs w:val="16"/>
              </w:rPr>
            </w:pPr>
            <w:r w:rsidRPr="006568BA">
              <w:rPr>
                <w:rFonts w:ascii="Cambria" w:hAnsi="Cambria"/>
                <w:color w:val="000000"/>
                <w:sz w:val="16"/>
                <w:szCs w:val="16"/>
              </w:rPr>
              <w:t>Местоположение</w:t>
            </w:r>
          </w:p>
        </w:tc>
        <w:tc>
          <w:tcPr>
            <w:tcW w:w="1000" w:type="pct"/>
            <w:shd w:val="clear" w:color="auto" w:fill="auto"/>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г. Красноярск, Ленинский р-н, ул. Айвазовского,37 «А»</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Красноярск, Ленинский район, ул.Трактовая</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Красноярск, Ленинский район, уРейдовая</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Красноярск, Ленинский район, ул.Рязанская</w:t>
            </w:r>
          </w:p>
        </w:tc>
      </w:tr>
      <w:tr w:rsidR="006568BA" w:rsidRPr="006568BA" w:rsidTr="006568BA">
        <w:trPr>
          <w:cantSplit/>
          <w:trHeight w:val="170"/>
        </w:trPr>
        <w:tc>
          <w:tcPr>
            <w:tcW w:w="1000" w:type="pct"/>
            <w:shd w:val="clear" w:color="auto" w:fill="auto"/>
            <w:vAlign w:val="center"/>
            <w:hideMark/>
          </w:tcPr>
          <w:p w:rsidR="006568BA" w:rsidRPr="006568BA" w:rsidRDefault="006568BA" w:rsidP="006568BA">
            <w:pPr>
              <w:rPr>
                <w:rFonts w:ascii="Cambria" w:hAnsi="Cambria"/>
                <w:color w:val="000000"/>
                <w:sz w:val="16"/>
                <w:szCs w:val="16"/>
              </w:rPr>
            </w:pPr>
            <w:r w:rsidRPr="006568BA">
              <w:rPr>
                <w:rFonts w:ascii="Cambria" w:hAnsi="Cambria"/>
                <w:color w:val="000000"/>
                <w:sz w:val="16"/>
                <w:szCs w:val="16"/>
              </w:rPr>
              <w:t>Вид разрешенного использования</w:t>
            </w:r>
          </w:p>
        </w:tc>
        <w:tc>
          <w:tcPr>
            <w:tcW w:w="1000" w:type="pct"/>
            <w:shd w:val="clear" w:color="auto" w:fill="auto"/>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ПСН</w:t>
            </w:r>
          </w:p>
        </w:tc>
        <w:tc>
          <w:tcPr>
            <w:tcW w:w="1000" w:type="pct"/>
            <w:shd w:val="clear" w:color="auto" w:fill="auto"/>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ПСН</w:t>
            </w:r>
          </w:p>
        </w:tc>
        <w:tc>
          <w:tcPr>
            <w:tcW w:w="1000" w:type="pct"/>
            <w:shd w:val="clear" w:color="auto" w:fill="auto"/>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ПСН</w:t>
            </w:r>
          </w:p>
        </w:tc>
        <w:tc>
          <w:tcPr>
            <w:tcW w:w="1000" w:type="pct"/>
            <w:shd w:val="clear" w:color="auto" w:fill="auto"/>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ПСН</w:t>
            </w:r>
          </w:p>
        </w:tc>
      </w:tr>
      <w:tr w:rsidR="006568BA" w:rsidRPr="006568BA" w:rsidTr="006568BA">
        <w:trPr>
          <w:cantSplit/>
          <w:trHeight w:val="170"/>
        </w:trPr>
        <w:tc>
          <w:tcPr>
            <w:tcW w:w="1000" w:type="pct"/>
            <w:shd w:val="clear" w:color="auto" w:fill="auto"/>
            <w:vAlign w:val="center"/>
            <w:hideMark/>
          </w:tcPr>
          <w:p w:rsidR="006568BA" w:rsidRPr="006568BA" w:rsidRDefault="006568BA" w:rsidP="006568BA">
            <w:pPr>
              <w:rPr>
                <w:rFonts w:ascii="Cambria" w:hAnsi="Cambria"/>
                <w:color w:val="000000"/>
                <w:sz w:val="16"/>
                <w:szCs w:val="16"/>
              </w:rPr>
            </w:pPr>
            <w:r w:rsidRPr="006568BA">
              <w:rPr>
                <w:rFonts w:ascii="Cambria" w:hAnsi="Cambria"/>
                <w:color w:val="000000"/>
                <w:sz w:val="16"/>
                <w:szCs w:val="16"/>
              </w:rPr>
              <w:lastRenderedPageBreak/>
              <w:t>Площадь земельного участка, кв.м.</w:t>
            </w:r>
          </w:p>
        </w:tc>
        <w:tc>
          <w:tcPr>
            <w:tcW w:w="1000" w:type="pct"/>
            <w:shd w:val="clear" w:color="auto" w:fill="auto"/>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12 774</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13 000,00</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18 000,00</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18 000,00</w:t>
            </w:r>
          </w:p>
        </w:tc>
      </w:tr>
      <w:tr w:rsidR="006568BA" w:rsidRPr="006568BA" w:rsidTr="006568BA">
        <w:trPr>
          <w:cantSplit/>
          <w:trHeight w:val="170"/>
        </w:trPr>
        <w:tc>
          <w:tcPr>
            <w:tcW w:w="1000" w:type="pct"/>
            <w:shd w:val="clear" w:color="auto" w:fill="auto"/>
            <w:vAlign w:val="center"/>
            <w:hideMark/>
          </w:tcPr>
          <w:p w:rsidR="006568BA" w:rsidRPr="006568BA" w:rsidRDefault="006568BA" w:rsidP="006568BA">
            <w:pPr>
              <w:rPr>
                <w:rFonts w:ascii="Cambria" w:hAnsi="Cambria"/>
                <w:color w:val="000000"/>
                <w:sz w:val="16"/>
                <w:szCs w:val="16"/>
              </w:rPr>
            </w:pPr>
            <w:r w:rsidRPr="006568BA">
              <w:rPr>
                <w:rFonts w:ascii="Cambria" w:hAnsi="Cambria"/>
                <w:color w:val="000000"/>
                <w:sz w:val="16"/>
                <w:szCs w:val="16"/>
              </w:rPr>
              <w:t>Общая стоимость земельного участка, руб.</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2 500 000,00</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2 300 000,00</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3 800 000,00</w:t>
            </w:r>
          </w:p>
        </w:tc>
      </w:tr>
      <w:tr w:rsidR="006568BA" w:rsidRPr="006568BA" w:rsidTr="006568BA">
        <w:trPr>
          <w:cantSplit/>
          <w:trHeight w:val="170"/>
        </w:trPr>
        <w:tc>
          <w:tcPr>
            <w:tcW w:w="1000" w:type="pct"/>
            <w:shd w:val="clear" w:color="auto" w:fill="auto"/>
            <w:vAlign w:val="center"/>
            <w:hideMark/>
          </w:tcPr>
          <w:p w:rsidR="006568BA" w:rsidRPr="006568BA" w:rsidRDefault="006568BA" w:rsidP="006568BA">
            <w:pPr>
              <w:rPr>
                <w:rFonts w:ascii="Cambria" w:hAnsi="Cambria"/>
                <w:color w:val="000000"/>
                <w:sz w:val="16"/>
                <w:szCs w:val="16"/>
              </w:rPr>
            </w:pPr>
            <w:r w:rsidRPr="006568BA">
              <w:rPr>
                <w:rFonts w:ascii="Cambria" w:hAnsi="Cambria"/>
                <w:color w:val="000000"/>
                <w:sz w:val="16"/>
                <w:szCs w:val="16"/>
              </w:rPr>
              <w:t>Стоимость 1 кв.м. земельного участка, руб.</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192,31</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127,78</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211,11</w:t>
            </w:r>
          </w:p>
        </w:tc>
      </w:tr>
      <w:tr w:rsidR="006568BA" w:rsidRPr="006568BA" w:rsidTr="006568BA">
        <w:trPr>
          <w:cantSplit/>
          <w:trHeight w:val="170"/>
        </w:trPr>
        <w:tc>
          <w:tcPr>
            <w:tcW w:w="5000" w:type="pct"/>
            <w:gridSpan w:val="5"/>
            <w:shd w:val="clear" w:color="000000" w:fill="F2F2F2"/>
            <w:vAlign w:val="center"/>
            <w:hideMark/>
          </w:tcPr>
          <w:p w:rsidR="006568BA" w:rsidRPr="006568BA" w:rsidRDefault="006568BA" w:rsidP="006568BA">
            <w:pPr>
              <w:jc w:val="center"/>
              <w:rPr>
                <w:rFonts w:ascii="Cambria" w:hAnsi="Cambria"/>
                <w:b/>
                <w:bCs/>
                <w:color w:val="000000"/>
                <w:sz w:val="16"/>
                <w:szCs w:val="16"/>
              </w:rPr>
            </w:pPr>
            <w:r w:rsidRPr="006568BA">
              <w:rPr>
                <w:rFonts w:ascii="Cambria" w:hAnsi="Cambria"/>
                <w:b/>
                <w:bCs/>
                <w:color w:val="000000"/>
                <w:sz w:val="16"/>
                <w:szCs w:val="16"/>
              </w:rPr>
              <w:t>Корректировка стоимости</w:t>
            </w:r>
          </w:p>
        </w:tc>
      </w:tr>
      <w:tr w:rsidR="006568BA" w:rsidRPr="006568BA" w:rsidTr="006568BA">
        <w:trPr>
          <w:cantSplit/>
          <w:trHeight w:val="170"/>
        </w:trPr>
        <w:tc>
          <w:tcPr>
            <w:tcW w:w="1000" w:type="pct"/>
            <w:shd w:val="clear" w:color="auto" w:fill="auto"/>
            <w:vAlign w:val="center"/>
            <w:hideMark/>
          </w:tcPr>
          <w:p w:rsidR="006568BA" w:rsidRPr="006568BA" w:rsidRDefault="006568BA" w:rsidP="006568BA">
            <w:pPr>
              <w:rPr>
                <w:rFonts w:ascii="Cambria" w:hAnsi="Cambria"/>
                <w:i/>
                <w:iCs/>
                <w:color w:val="000000"/>
                <w:sz w:val="16"/>
                <w:szCs w:val="16"/>
              </w:rPr>
            </w:pPr>
            <w:r w:rsidRPr="006568BA">
              <w:rPr>
                <w:rFonts w:ascii="Cambria" w:hAnsi="Cambria"/>
                <w:i/>
                <w:iCs/>
                <w:color w:val="000000"/>
                <w:sz w:val="16"/>
                <w:szCs w:val="16"/>
              </w:rPr>
              <w:t>Передаваемые права</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Право собственности</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Право собственности</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Право собственности</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Право собственности</w:t>
            </w:r>
          </w:p>
        </w:tc>
      </w:tr>
      <w:tr w:rsidR="006568BA" w:rsidRPr="006568BA" w:rsidTr="006568BA">
        <w:trPr>
          <w:cantSplit/>
          <w:trHeight w:val="170"/>
        </w:trPr>
        <w:tc>
          <w:tcPr>
            <w:tcW w:w="1000" w:type="pct"/>
            <w:shd w:val="clear" w:color="auto" w:fill="auto"/>
            <w:vAlign w:val="center"/>
            <w:hideMark/>
          </w:tcPr>
          <w:p w:rsidR="006568BA" w:rsidRPr="006568BA" w:rsidRDefault="006568BA" w:rsidP="006568BA">
            <w:pPr>
              <w:rPr>
                <w:rFonts w:ascii="Cambria" w:hAnsi="Cambria"/>
                <w:color w:val="000000"/>
                <w:sz w:val="16"/>
                <w:szCs w:val="16"/>
              </w:rPr>
            </w:pPr>
            <w:r w:rsidRPr="006568BA">
              <w:rPr>
                <w:rFonts w:ascii="Cambria" w:hAnsi="Cambria"/>
                <w:color w:val="000000"/>
                <w:sz w:val="16"/>
                <w:szCs w:val="16"/>
              </w:rPr>
              <w:t>Корректировка</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0,00%</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0,00%</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0,00%</w:t>
            </w:r>
          </w:p>
        </w:tc>
      </w:tr>
      <w:tr w:rsidR="006568BA" w:rsidRPr="006568BA" w:rsidTr="006568BA">
        <w:trPr>
          <w:cantSplit/>
          <w:trHeight w:val="170"/>
        </w:trPr>
        <w:tc>
          <w:tcPr>
            <w:tcW w:w="1000" w:type="pct"/>
            <w:shd w:val="clear" w:color="auto" w:fill="auto"/>
            <w:vAlign w:val="center"/>
            <w:hideMark/>
          </w:tcPr>
          <w:p w:rsidR="006568BA" w:rsidRPr="006568BA" w:rsidRDefault="006568BA" w:rsidP="006568BA">
            <w:pPr>
              <w:rPr>
                <w:rFonts w:ascii="Cambria" w:hAnsi="Cambria"/>
                <w:b/>
                <w:bCs/>
                <w:color w:val="000000"/>
                <w:sz w:val="16"/>
                <w:szCs w:val="16"/>
              </w:rPr>
            </w:pPr>
            <w:r w:rsidRPr="006568BA">
              <w:rPr>
                <w:rFonts w:ascii="Cambria" w:hAnsi="Cambria"/>
                <w:b/>
                <w:bCs/>
                <w:color w:val="000000"/>
                <w:sz w:val="16"/>
                <w:szCs w:val="16"/>
              </w:rPr>
              <w:t>Скорректированная цена, руб. кв.м.</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w:t>
            </w:r>
          </w:p>
        </w:tc>
        <w:tc>
          <w:tcPr>
            <w:tcW w:w="1000" w:type="pct"/>
            <w:shd w:val="clear" w:color="auto" w:fill="auto"/>
            <w:noWrap/>
            <w:vAlign w:val="center"/>
            <w:hideMark/>
          </w:tcPr>
          <w:p w:rsidR="006568BA" w:rsidRPr="006568BA" w:rsidRDefault="006568BA" w:rsidP="006568BA">
            <w:pPr>
              <w:jc w:val="center"/>
              <w:rPr>
                <w:rFonts w:ascii="Cambria" w:hAnsi="Cambria"/>
                <w:b/>
                <w:bCs/>
                <w:sz w:val="16"/>
                <w:szCs w:val="16"/>
              </w:rPr>
            </w:pPr>
            <w:r w:rsidRPr="006568BA">
              <w:rPr>
                <w:rFonts w:ascii="Cambria" w:hAnsi="Cambria"/>
                <w:b/>
                <w:bCs/>
                <w:sz w:val="16"/>
                <w:szCs w:val="16"/>
              </w:rPr>
              <w:t>192,31</w:t>
            </w:r>
          </w:p>
        </w:tc>
        <w:tc>
          <w:tcPr>
            <w:tcW w:w="1000" w:type="pct"/>
            <w:shd w:val="clear" w:color="auto" w:fill="auto"/>
            <w:noWrap/>
            <w:vAlign w:val="center"/>
            <w:hideMark/>
          </w:tcPr>
          <w:p w:rsidR="006568BA" w:rsidRPr="006568BA" w:rsidRDefault="006568BA" w:rsidP="006568BA">
            <w:pPr>
              <w:jc w:val="center"/>
              <w:rPr>
                <w:rFonts w:ascii="Cambria" w:hAnsi="Cambria"/>
                <w:b/>
                <w:bCs/>
                <w:sz w:val="16"/>
                <w:szCs w:val="16"/>
              </w:rPr>
            </w:pPr>
            <w:r w:rsidRPr="006568BA">
              <w:rPr>
                <w:rFonts w:ascii="Cambria" w:hAnsi="Cambria"/>
                <w:b/>
                <w:bCs/>
                <w:sz w:val="16"/>
                <w:szCs w:val="16"/>
              </w:rPr>
              <w:t>127,78</w:t>
            </w:r>
          </w:p>
        </w:tc>
        <w:tc>
          <w:tcPr>
            <w:tcW w:w="1000" w:type="pct"/>
            <w:shd w:val="clear" w:color="auto" w:fill="auto"/>
            <w:noWrap/>
            <w:vAlign w:val="center"/>
            <w:hideMark/>
          </w:tcPr>
          <w:p w:rsidR="006568BA" w:rsidRPr="006568BA" w:rsidRDefault="006568BA" w:rsidP="006568BA">
            <w:pPr>
              <w:jc w:val="center"/>
              <w:rPr>
                <w:rFonts w:ascii="Cambria" w:hAnsi="Cambria"/>
                <w:b/>
                <w:bCs/>
                <w:sz w:val="16"/>
                <w:szCs w:val="16"/>
              </w:rPr>
            </w:pPr>
            <w:r w:rsidRPr="006568BA">
              <w:rPr>
                <w:rFonts w:ascii="Cambria" w:hAnsi="Cambria"/>
                <w:b/>
                <w:bCs/>
                <w:sz w:val="16"/>
                <w:szCs w:val="16"/>
              </w:rPr>
              <w:t>211,11</w:t>
            </w:r>
          </w:p>
        </w:tc>
      </w:tr>
      <w:tr w:rsidR="006568BA" w:rsidRPr="006568BA" w:rsidTr="006568BA">
        <w:trPr>
          <w:cantSplit/>
          <w:trHeight w:val="170"/>
        </w:trPr>
        <w:tc>
          <w:tcPr>
            <w:tcW w:w="1000" w:type="pct"/>
            <w:shd w:val="clear" w:color="auto" w:fill="auto"/>
            <w:vAlign w:val="center"/>
            <w:hideMark/>
          </w:tcPr>
          <w:p w:rsidR="006568BA" w:rsidRPr="006568BA" w:rsidRDefault="006568BA" w:rsidP="006568BA">
            <w:pPr>
              <w:rPr>
                <w:rFonts w:ascii="Cambria" w:hAnsi="Cambria"/>
                <w:i/>
                <w:iCs/>
                <w:color w:val="000000"/>
                <w:sz w:val="16"/>
                <w:szCs w:val="16"/>
              </w:rPr>
            </w:pPr>
            <w:r w:rsidRPr="006568BA">
              <w:rPr>
                <w:rFonts w:ascii="Cambria" w:hAnsi="Cambria"/>
                <w:i/>
                <w:iCs/>
                <w:color w:val="000000"/>
                <w:sz w:val="16"/>
                <w:szCs w:val="16"/>
              </w:rPr>
              <w:t>Корректировка на торг</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w:t>
            </w:r>
          </w:p>
        </w:tc>
        <w:tc>
          <w:tcPr>
            <w:tcW w:w="1000" w:type="pct"/>
            <w:shd w:val="clear" w:color="auto" w:fill="auto"/>
            <w:noWrap/>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торг возможен</w:t>
            </w:r>
          </w:p>
        </w:tc>
        <w:tc>
          <w:tcPr>
            <w:tcW w:w="1000" w:type="pct"/>
            <w:shd w:val="clear" w:color="auto" w:fill="auto"/>
            <w:noWrap/>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торг возможен</w:t>
            </w:r>
          </w:p>
        </w:tc>
        <w:tc>
          <w:tcPr>
            <w:tcW w:w="1000" w:type="pct"/>
            <w:shd w:val="clear" w:color="auto" w:fill="auto"/>
            <w:noWrap/>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торг возможен</w:t>
            </w:r>
          </w:p>
        </w:tc>
      </w:tr>
      <w:tr w:rsidR="006568BA" w:rsidRPr="006568BA" w:rsidTr="006568BA">
        <w:trPr>
          <w:cantSplit/>
          <w:trHeight w:val="170"/>
        </w:trPr>
        <w:tc>
          <w:tcPr>
            <w:tcW w:w="1000" w:type="pct"/>
            <w:shd w:val="clear" w:color="auto" w:fill="auto"/>
            <w:vAlign w:val="center"/>
            <w:hideMark/>
          </w:tcPr>
          <w:p w:rsidR="006568BA" w:rsidRPr="006568BA" w:rsidRDefault="006568BA" w:rsidP="006568BA">
            <w:pPr>
              <w:rPr>
                <w:rFonts w:ascii="Cambria" w:hAnsi="Cambria"/>
                <w:color w:val="000000"/>
                <w:sz w:val="16"/>
                <w:szCs w:val="16"/>
              </w:rPr>
            </w:pPr>
            <w:r w:rsidRPr="006568BA">
              <w:rPr>
                <w:rFonts w:ascii="Cambria" w:hAnsi="Cambria"/>
                <w:color w:val="000000"/>
                <w:sz w:val="16"/>
                <w:szCs w:val="16"/>
              </w:rPr>
              <w:t>Корректировка</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-10,00%</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-10,00%</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-10,00%</w:t>
            </w:r>
          </w:p>
        </w:tc>
      </w:tr>
      <w:tr w:rsidR="006568BA" w:rsidRPr="006568BA" w:rsidTr="006568BA">
        <w:trPr>
          <w:cantSplit/>
          <w:trHeight w:val="170"/>
        </w:trPr>
        <w:tc>
          <w:tcPr>
            <w:tcW w:w="1000" w:type="pct"/>
            <w:shd w:val="clear" w:color="auto" w:fill="auto"/>
            <w:vAlign w:val="center"/>
            <w:hideMark/>
          </w:tcPr>
          <w:p w:rsidR="006568BA" w:rsidRPr="006568BA" w:rsidRDefault="006568BA" w:rsidP="006568BA">
            <w:pPr>
              <w:rPr>
                <w:rFonts w:ascii="Cambria" w:hAnsi="Cambria"/>
                <w:b/>
                <w:bCs/>
                <w:color w:val="000000"/>
                <w:sz w:val="16"/>
                <w:szCs w:val="16"/>
              </w:rPr>
            </w:pPr>
            <w:r w:rsidRPr="006568BA">
              <w:rPr>
                <w:rFonts w:ascii="Cambria" w:hAnsi="Cambria"/>
                <w:b/>
                <w:bCs/>
                <w:color w:val="000000"/>
                <w:sz w:val="16"/>
                <w:szCs w:val="16"/>
              </w:rPr>
              <w:t>Скорректированная цена, руб. кв.м.</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w:t>
            </w:r>
          </w:p>
        </w:tc>
        <w:tc>
          <w:tcPr>
            <w:tcW w:w="1000" w:type="pct"/>
            <w:shd w:val="clear" w:color="auto" w:fill="auto"/>
            <w:noWrap/>
            <w:vAlign w:val="center"/>
            <w:hideMark/>
          </w:tcPr>
          <w:p w:rsidR="006568BA" w:rsidRPr="006568BA" w:rsidRDefault="006568BA" w:rsidP="006568BA">
            <w:pPr>
              <w:jc w:val="center"/>
              <w:rPr>
                <w:rFonts w:ascii="Cambria" w:hAnsi="Cambria"/>
                <w:b/>
                <w:bCs/>
                <w:sz w:val="16"/>
                <w:szCs w:val="16"/>
              </w:rPr>
            </w:pPr>
            <w:r w:rsidRPr="006568BA">
              <w:rPr>
                <w:rFonts w:ascii="Cambria" w:hAnsi="Cambria"/>
                <w:b/>
                <w:bCs/>
                <w:sz w:val="16"/>
                <w:szCs w:val="16"/>
              </w:rPr>
              <w:t>173,08</w:t>
            </w:r>
          </w:p>
        </w:tc>
        <w:tc>
          <w:tcPr>
            <w:tcW w:w="1000" w:type="pct"/>
            <w:shd w:val="clear" w:color="auto" w:fill="auto"/>
            <w:noWrap/>
            <w:vAlign w:val="center"/>
            <w:hideMark/>
          </w:tcPr>
          <w:p w:rsidR="006568BA" w:rsidRPr="006568BA" w:rsidRDefault="006568BA" w:rsidP="006568BA">
            <w:pPr>
              <w:jc w:val="center"/>
              <w:rPr>
                <w:rFonts w:ascii="Cambria" w:hAnsi="Cambria"/>
                <w:b/>
                <w:bCs/>
                <w:sz w:val="16"/>
                <w:szCs w:val="16"/>
              </w:rPr>
            </w:pPr>
            <w:r w:rsidRPr="006568BA">
              <w:rPr>
                <w:rFonts w:ascii="Cambria" w:hAnsi="Cambria"/>
                <w:b/>
                <w:bCs/>
                <w:sz w:val="16"/>
                <w:szCs w:val="16"/>
              </w:rPr>
              <w:t>115,00</w:t>
            </w:r>
          </w:p>
        </w:tc>
        <w:tc>
          <w:tcPr>
            <w:tcW w:w="1000" w:type="pct"/>
            <w:shd w:val="clear" w:color="auto" w:fill="auto"/>
            <w:noWrap/>
            <w:vAlign w:val="center"/>
            <w:hideMark/>
          </w:tcPr>
          <w:p w:rsidR="006568BA" w:rsidRPr="006568BA" w:rsidRDefault="006568BA" w:rsidP="006568BA">
            <w:pPr>
              <w:jc w:val="center"/>
              <w:rPr>
                <w:rFonts w:ascii="Cambria" w:hAnsi="Cambria"/>
                <w:b/>
                <w:bCs/>
                <w:sz w:val="16"/>
                <w:szCs w:val="16"/>
              </w:rPr>
            </w:pPr>
            <w:r w:rsidRPr="006568BA">
              <w:rPr>
                <w:rFonts w:ascii="Cambria" w:hAnsi="Cambria"/>
                <w:b/>
                <w:bCs/>
                <w:sz w:val="16"/>
                <w:szCs w:val="16"/>
              </w:rPr>
              <w:t>190,00</w:t>
            </w:r>
          </w:p>
        </w:tc>
      </w:tr>
      <w:tr w:rsidR="006568BA" w:rsidRPr="006568BA" w:rsidTr="006568BA">
        <w:trPr>
          <w:cantSplit/>
          <w:trHeight w:val="170"/>
        </w:trPr>
        <w:tc>
          <w:tcPr>
            <w:tcW w:w="1000" w:type="pct"/>
            <w:shd w:val="clear" w:color="auto" w:fill="auto"/>
            <w:vAlign w:val="center"/>
            <w:hideMark/>
          </w:tcPr>
          <w:p w:rsidR="006568BA" w:rsidRPr="006568BA" w:rsidRDefault="006568BA" w:rsidP="006568BA">
            <w:pPr>
              <w:rPr>
                <w:rFonts w:ascii="Cambria" w:hAnsi="Cambria"/>
                <w:i/>
                <w:iCs/>
                <w:color w:val="000000"/>
                <w:sz w:val="16"/>
                <w:szCs w:val="16"/>
              </w:rPr>
            </w:pPr>
            <w:r w:rsidRPr="006568BA">
              <w:rPr>
                <w:rFonts w:ascii="Cambria" w:hAnsi="Cambria"/>
                <w:i/>
                <w:iCs/>
                <w:color w:val="000000"/>
                <w:sz w:val="16"/>
                <w:szCs w:val="16"/>
              </w:rPr>
              <w:t>Местоположение</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г. Красноярск, Ленинский р-н, ул. Айвазовского,37 «А»</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Красноярск, Ленинский район, ул.</w:t>
            </w:r>
            <w:r>
              <w:rPr>
                <w:rFonts w:ascii="Cambria" w:hAnsi="Cambria"/>
                <w:color w:val="000000"/>
                <w:sz w:val="16"/>
                <w:szCs w:val="16"/>
              </w:rPr>
              <w:t xml:space="preserve"> </w:t>
            </w:r>
            <w:r w:rsidRPr="006568BA">
              <w:rPr>
                <w:rFonts w:ascii="Cambria" w:hAnsi="Cambria"/>
                <w:color w:val="000000"/>
                <w:sz w:val="16"/>
                <w:szCs w:val="16"/>
              </w:rPr>
              <w:t>Трактовая</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Красноярск, Ленинский район, у</w:t>
            </w:r>
            <w:r>
              <w:rPr>
                <w:rFonts w:ascii="Cambria" w:hAnsi="Cambria"/>
                <w:color w:val="000000"/>
                <w:sz w:val="16"/>
                <w:szCs w:val="16"/>
              </w:rPr>
              <w:t xml:space="preserve">л. </w:t>
            </w:r>
            <w:r w:rsidRPr="006568BA">
              <w:rPr>
                <w:rFonts w:ascii="Cambria" w:hAnsi="Cambria"/>
                <w:color w:val="000000"/>
                <w:sz w:val="16"/>
                <w:szCs w:val="16"/>
              </w:rPr>
              <w:t>Рейдовая</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Красноярск, Ленинский район, ул.</w:t>
            </w:r>
            <w:r>
              <w:rPr>
                <w:rFonts w:ascii="Cambria" w:hAnsi="Cambria"/>
                <w:color w:val="000000"/>
                <w:sz w:val="16"/>
                <w:szCs w:val="16"/>
              </w:rPr>
              <w:t xml:space="preserve"> </w:t>
            </w:r>
            <w:r w:rsidRPr="006568BA">
              <w:rPr>
                <w:rFonts w:ascii="Cambria" w:hAnsi="Cambria"/>
                <w:color w:val="000000"/>
                <w:sz w:val="16"/>
                <w:szCs w:val="16"/>
              </w:rPr>
              <w:t>Рязанская</w:t>
            </w:r>
          </w:p>
        </w:tc>
      </w:tr>
      <w:tr w:rsidR="006568BA" w:rsidRPr="006568BA" w:rsidTr="006568BA">
        <w:trPr>
          <w:cantSplit/>
          <w:trHeight w:val="170"/>
        </w:trPr>
        <w:tc>
          <w:tcPr>
            <w:tcW w:w="1000" w:type="pct"/>
            <w:shd w:val="clear" w:color="auto" w:fill="auto"/>
            <w:vAlign w:val="center"/>
            <w:hideMark/>
          </w:tcPr>
          <w:p w:rsidR="006568BA" w:rsidRPr="006568BA" w:rsidRDefault="006568BA" w:rsidP="006568BA">
            <w:pPr>
              <w:rPr>
                <w:rFonts w:ascii="Cambria" w:hAnsi="Cambria"/>
                <w:color w:val="000000"/>
                <w:sz w:val="16"/>
                <w:szCs w:val="16"/>
              </w:rPr>
            </w:pPr>
            <w:r w:rsidRPr="006568BA">
              <w:rPr>
                <w:rFonts w:ascii="Cambria" w:hAnsi="Cambria"/>
                <w:color w:val="000000"/>
                <w:sz w:val="16"/>
                <w:szCs w:val="16"/>
              </w:rPr>
              <w:t>Корректировка</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0,00%</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0,00%</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0,00%</w:t>
            </w:r>
          </w:p>
        </w:tc>
      </w:tr>
      <w:tr w:rsidR="006568BA" w:rsidRPr="006568BA" w:rsidTr="006568BA">
        <w:trPr>
          <w:cantSplit/>
          <w:trHeight w:val="170"/>
        </w:trPr>
        <w:tc>
          <w:tcPr>
            <w:tcW w:w="1000" w:type="pct"/>
            <w:shd w:val="clear" w:color="auto" w:fill="auto"/>
            <w:vAlign w:val="center"/>
            <w:hideMark/>
          </w:tcPr>
          <w:p w:rsidR="006568BA" w:rsidRPr="006568BA" w:rsidRDefault="006568BA" w:rsidP="006568BA">
            <w:pPr>
              <w:rPr>
                <w:rFonts w:ascii="Cambria" w:hAnsi="Cambria"/>
                <w:b/>
                <w:bCs/>
                <w:color w:val="000000"/>
                <w:sz w:val="16"/>
                <w:szCs w:val="16"/>
              </w:rPr>
            </w:pPr>
            <w:r w:rsidRPr="006568BA">
              <w:rPr>
                <w:rFonts w:ascii="Cambria" w:hAnsi="Cambria"/>
                <w:b/>
                <w:bCs/>
                <w:color w:val="000000"/>
                <w:sz w:val="16"/>
                <w:szCs w:val="16"/>
              </w:rPr>
              <w:t>Скорректированная цена, руб. кв.м.</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w:t>
            </w:r>
          </w:p>
        </w:tc>
        <w:tc>
          <w:tcPr>
            <w:tcW w:w="1000" w:type="pct"/>
            <w:shd w:val="clear" w:color="auto" w:fill="auto"/>
            <w:noWrap/>
            <w:vAlign w:val="center"/>
            <w:hideMark/>
          </w:tcPr>
          <w:p w:rsidR="006568BA" w:rsidRPr="006568BA" w:rsidRDefault="006568BA" w:rsidP="006568BA">
            <w:pPr>
              <w:jc w:val="center"/>
              <w:rPr>
                <w:rFonts w:ascii="Cambria" w:hAnsi="Cambria"/>
                <w:b/>
                <w:bCs/>
                <w:sz w:val="16"/>
                <w:szCs w:val="16"/>
              </w:rPr>
            </w:pPr>
            <w:r w:rsidRPr="006568BA">
              <w:rPr>
                <w:rFonts w:ascii="Cambria" w:hAnsi="Cambria"/>
                <w:b/>
                <w:bCs/>
                <w:sz w:val="16"/>
                <w:szCs w:val="16"/>
              </w:rPr>
              <w:t>173,08</w:t>
            </w:r>
          </w:p>
        </w:tc>
        <w:tc>
          <w:tcPr>
            <w:tcW w:w="1000" w:type="pct"/>
            <w:shd w:val="clear" w:color="auto" w:fill="auto"/>
            <w:noWrap/>
            <w:vAlign w:val="center"/>
            <w:hideMark/>
          </w:tcPr>
          <w:p w:rsidR="006568BA" w:rsidRPr="006568BA" w:rsidRDefault="006568BA" w:rsidP="006568BA">
            <w:pPr>
              <w:jc w:val="center"/>
              <w:rPr>
                <w:rFonts w:ascii="Cambria" w:hAnsi="Cambria"/>
                <w:b/>
                <w:bCs/>
                <w:sz w:val="16"/>
                <w:szCs w:val="16"/>
              </w:rPr>
            </w:pPr>
            <w:r w:rsidRPr="006568BA">
              <w:rPr>
                <w:rFonts w:ascii="Cambria" w:hAnsi="Cambria"/>
                <w:b/>
                <w:bCs/>
                <w:sz w:val="16"/>
                <w:szCs w:val="16"/>
              </w:rPr>
              <w:t>115,00</w:t>
            </w:r>
          </w:p>
        </w:tc>
        <w:tc>
          <w:tcPr>
            <w:tcW w:w="1000" w:type="pct"/>
            <w:shd w:val="clear" w:color="auto" w:fill="auto"/>
            <w:noWrap/>
            <w:vAlign w:val="center"/>
            <w:hideMark/>
          </w:tcPr>
          <w:p w:rsidR="006568BA" w:rsidRPr="006568BA" w:rsidRDefault="006568BA" w:rsidP="006568BA">
            <w:pPr>
              <w:jc w:val="center"/>
              <w:rPr>
                <w:rFonts w:ascii="Cambria" w:hAnsi="Cambria"/>
                <w:b/>
                <w:bCs/>
                <w:sz w:val="16"/>
                <w:szCs w:val="16"/>
              </w:rPr>
            </w:pPr>
            <w:r w:rsidRPr="006568BA">
              <w:rPr>
                <w:rFonts w:ascii="Cambria" w:hAnsi="Cambria"/>
                <w:b/>
                <w:bCs/>
                <w:sz w:val="16"/>
                <w:szCs w:val="16"/>
              </w:rPr>
              <w:t>190,00</w:t>
            </w:r>
          </w:p>
        </w:tc>
      </w:tr>
      <w:tr w:rsidR="006568BA" w:rsidRPr="006568BA" w:rsidTr="006568BA">
        <w:trPr>
          <w:cantSplit/>
          <w:trHeight w:val="170"/>
        </w:trPr>
        <w:tc>
          <w:tcPr>
            <w:tcW w:w="1000" w:type="pct"/>
            <w:shd w:val="clear" w:color="auto" w:fill="auto"/>
            <w:vAlign w:val="center"/>
            <w:hideMark/>
          </w:tcPr>
          <w:p w:rsidR="006568BA" w:rsidRPr="006568BA" w:rsidRDefault="006568BA" w:rsidP="006568BA">
            <w:pPr>
              <w:rPr>
                <w:rFonts w:ascii="Cambria" w:hAnsi="Cambria"/>
                <w:i/>
                <w:iCs/>
                <w:color w:val="000000"/>
                <w:sz w:val="16"/>
                <w:szCs w:val="16"/>
              </w:rPr>
            </w:pPr>
            <w:r w:rsidRPr="006568BA">
              <w:rPr>
                <w:rFonts w:ascii="Cambria" w:hAnsi="Cambria"/>
                <w:i/>
                <w:iCs/>
                <w:color w:val="000000"/>
                <w:sz w:val="16"/>
                <w:szCs w:val="16"/>
              </w:rPr>
              <w:t>Текущее использование</w:t>
            </w:r>
          </w:p>
        </w:tc>
        <w:tc>
          <w:tcPr>
            <w:tcW w:w="1000" w:type="pct"/>
            <w:shd w:val="clear" w:color="auto" w:fill="auto"/>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ПСН</w:t>
            </w:r>
          </w:p>
        </w:tc>
        <w:tc>
          <w:tcPr>
            <w:tcW w:w="1000" w:type="pct"/>
            <w:shd w:val="clear" w:color="auto" w:fill="auto"/>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ПСН</w:t>
            </w:r>
          </w:p>
        </w:tc>
        <w:tc>
          <w:tcPr>
            <w:tcW w:w="1000" w:type="pct"/>
            <w:shd w:val="clear" w:color="auto" w:fill="auto"/>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ПСН</w:t>
            </w:r>
          </w:p>
        </w:tc>
        <w:tc>
          <w:tcPr>
            <w:tcW w:w="1000" w:type="pct"/>
            <w:shd w:val="clear" w:color="auto" w:fill="auto"/>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ПСН</w:t>
            </w:r>
          </w:p>
        </w:tc>
      </w:tr>
      <w:tr w:rsidR="006568BA" w:rsidRPr="006568BA" w:rsidTr="006568BA">
        <w:trPr>
          <w:cantSplit/>
          <w:trHeight w:val="170"/>
        </w:trPr>
        <w:tc>
          <w:tcPr>
            <w:tcW w:w="1000" w:type="pct"/>
            <w:shd w:val="clear" w:color="auto" w:fill="auto"/>
            <w:vAlign w:val="center"/>
            <w:hideMark/>
          </w:tcPr>
          <w:p w:rsidR="006568BA" w:rsidRPr="006568BA" w:rsidRDefault="006568BA" w:rsidP="006568BA">
            <w:pPr>
              <w:rPr>
                <w:rFonts w:ascii="Cambria" w:hAnsi="Cambria"/>
                <w:color w:val="000000"/>
                <w:sz w:val="16"/>
                <w:szCs w:val="16"/>
              </w:rPr>
            </w:pPr>
            <w:r w:rsidRPr="006568BA">
              <w:rPr>
                <w:rFonts w:ascii="Cambria" w:hAnsi="Cambria"/>
                <w:color w:val="000000"/>
                <w:sz w:val="16"/>
                <w:szCs w:val="16"/>
              </w:rPr>
              <w:t>Корректировка</w:t>
            </w:r>
          </w:p>
        </w:tc>
        <w:tc>
          <w:tcPr>
            <w:tcW w:w="1000" w:type="pct"/>
            <w:shd w:val="clear" w:color="auto" w:fill="auto"/>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w:t>
            </w:r>
          </w:p>
        </w:tc>
        <w:tc>
          <w:tcPr>
            <w:tcW w:w="1000" w:type="pct"/>
            <w:shd w:val="clear" w:color="auto" w:fill="auto"/>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0,00%</w:t>
            </w:r>
          </w:p>
        </w:tc>
        <w:tc>
          <w:tcPr>
            <w:tcW w:w="1000" w:type="pct"/>
            <w:shd w:val="clear" w:color="auto" w:fill="auto"/>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0,00%</w:t>
            </w:r>
          </w:p>
        </w:tc>
        <w:tc>
          <w:tcPr>
            <w:tcW w:w="1000" w:type="pct"/>
            <w:shd w:val="clear" w:color="auto" w:fill="auto"/>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0,00%</w:t>
            </w:r>
          </w:p>
        </w:tc>
      </w:tr>
      <w:tr w:rsidR="006568BA" w:rsidRPr="006568BA" w:rsidTr="006568BA">
        <w:trPr>
          <w:cantSplit/>
          <w:trHeight w:val="170"/>
        </w:trPr>
        <w:tc>
          <w:tcPr>
            <w:tcW w:w="1000" w:type="pct"/>
            <w:shd w:val="clear" w:color="auto" w:fill="auto"/>
            <w:vAlign w:val="center"/>
            <w:hideMark/>
          </w:tcPr>
          <w:p w:rsidR="006568BA" w:rsidRPr="006568BA" w:rsidRDefault="006568BA" w:rsidP="006568BA">
            <w:pPr>
              <w:rPr>
                <w:rFonts w:ascii="Cambria" w:hAnsi="Cambria"/>
                <w:b/>
                <w:bCs/>
                <w:color w:val="000000"/>
                <w:sz w:val="16"/>
                <w:szCs w:val="16"/>
              </w:rPr>
            </w:pPr>
            <w:r w:rsidRPr="006568BA">
              <w:rPr>
                <w:rFonts w:ascii="Cambria" w:hAnsi="Cambria"/>
                <w:b/>
                <w:bCs/>
                <w:color w:val="000000"/>
                <w:sz w:val="16"/>
                <w:szCs w:val="16"/>
              </w:rPr>
              <w:t>Скорректированная цена, руб. кв.м.</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w:t>
            </w:r>
          </w:p>
        </w:tc>
        <w:tc>
          <w:tcPr>
            <w:tcW w:w="1000" w:type="pct"/>
            <w:shd w:val="clear" w:color="auto" w:fill="auto"/>
            <w:noWrap/>
            <w:vAlign w:val="center"/>
            <w:hideMark/>
          </w:tcPr>
          <w:p w:rsidR="006568BA" w:rsidRPr="006568BA" w:rsidRDefault="006568BA" w:rsidP="006568BA">
            <w:pPr>
              <w:jc w:val="center"/>
              <w:rPr>
                <w:rFonts w:ascii="Cambria" w:hAnsi="Cambria"/>
                <w:b/>
                <w:bCs/>
                <w:sz w:val="16"/>
                <w:szCs w:val="16"/>
              </w:rPr>
            </w:pPr>
            <w:r w:rsidRPr="006568BA">
              <w:rPr>
                <w:rFonts w:ascii="Cambria" w:hAnsi="Cambria"/>
                <w:b/>
                <w:bCs/>
                <w:sz w:val="16"/>
                <w:szCs w:val="16"/>
              </w:rPr>
              <w:t>173,08</w:t>
            </w:r>
          </w:p>
        </w:tc>
        <w:tc>
          <w:tcPr>
            <w:tcW w:w="1000" w:type="pct"/>
            <w:shd w:val="clear" w:color="auto" w:fill="auto"/>
            <w:noWrap/>
            <w:vAlign w:val="center"/>
            <w:hideMark/>
          </w:tcPr>
          <w:p w:rsidR="006568BA" w:rsidRPr="006568BA" w:rsidRDefault="006568BA" w:rsidP="006568BA">
            <w:pPr>
              <w:jc w:val="center"/>
              <w:rPr>
                <w:rFonts w:ascii="Cambria" w:hAnsi="Cambria"/>
                <w:b/>
                <w:bCs/>
                <w:sz w:val="16"/>
                <w:szCs w:val="16"/>
              </w:rPr>
            </w:pPr>
            <w:r w:rsidRPr="006568BA">
              <w:rPr>
                <w:rFonts w:ascii="Cambria" w:hAnsi="Cambria"/>
                <w:b/>
                <w:bCs/>
                <w:sz w:val="16"/>
                <w:szCs w:val="16"/>
              </w:rPr>
              <w:t>115,00</w:t>
            </w:r>
          </w:p>
        </w:tc>
        <w:tc>
          <w:tcPr>
            <w:tcW w:w="1000" w:type="pct"/>
            <w:shd w:val="clear" w:color="auto" w:fill="auto"/>
            <w:noWrap/>
            <w:vAlign w:val="center"/>
            <w:hideMark/>
          </w:tcPr>
          <w:p w:rsidR="006568BA" w:rsidRPr="006568BA" w:rsidRDefault="006568BA" w:rsidP="006568BA">
            <w:pPr>
              <w:jc w:val="center"/>
              <w:rPr>
                <w:rFonts w:ascii="Cambria" w:hAnsi="Cambria"/>
                <w:b/>
                <w:bCs/>
                <w:sz w:val="16"/>
                <w:szCs w:val="16"/>
              </w:rPr>
            </w:pPr>
            <w:r w:rsidRPr="006568BA">
              <w:rPr>
                <w:rFonts w:ascii="Cambria" w:hAnsi="Cambria"/>
                <w:b/>
                <w:bCs/>
                <w:sz w:val="16"/>
                <w:szCs w:val="16"/>
              </w:rPr>
              <w:t>190,00</w:t>
            </w:r>
          </w:p>
        </w:tc>
      </w:tr>
      <w:tr w:rsidR="006568BA" w:rsidRPr="006568BA" w:rsidTr="006568BA">
        <w:trPr>
          <w:cantSplit/>
          <w:trHeight w:val="170"/>
        </w:trPr>
        <w:tc>
          <w:tcPr>
            <w:tcW w:w="1000" w:type="pct"/>
            <w:shd w:val="clear" w:color="auto" w:fill="auto"/>
            <w:vAlign w:val="center"/>
            <w:hideMark/>
          </w:tcPr>
          <w:p w:rsidR="006568BA" w:rsidRPr="006568BA" w:rsidRDefault="006568BA" w:rsidP="006568BA">
            <w:pPr>
              <w:rPr>
                <w:rFonts w:ascii="Cambria" w:hAnsi="Cambria"/>
                <w:color w:val="000000"/>
                <w:sz w:val="16"/>
                <w:szCs w:val="16"/>
              </w:rPr>
            </w:pPr>
            <w:r w:rsidRPr="006568BA">
              <w:rPr>
                <w:rFonts w:ascii="Cambria" w:hAnsi="Cambria"/>
                <w:color w:val="000000"/>
                <w:sz w:val="16"/>
                <w:szCs w:val="16"/>
              </w:rPr>
              <w:t>Значение сегмента рынка (по площади)</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1-2,5</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1-2,5</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&lt;1</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1-2,5</w:t>
            </w:r>
          </w:p>
        </w:tc>
      </w:tr>
      <w:tr w:rsidR="006568BA" w:rsidRPr="006568BA" w:rsidTr="006568BA">
        <w:trPr>
          <w:cantSplit/>
          <w:trHeight w:val="170"/>
        </w:trPr>
        <w:tc>
          <w:tcPr>
            <w:tcW w:w="1000" w:type="pct"/>
            <w:shd w:val="clear" w:color="auto" w:fill="auto"/>
            <w:vAlign w:val="center"/>
            <w:hideMark/>
          </w:tcPr>
          <w:p w:rsidR="006568BA" w:rsidRPr="006568BA" w:rsidRDefault="006568BA" w:rsidP="006568BA">
            <w:pPr>
              <w:rPr>
                <w:rFonts w:ascii="Cambria" w:hAnsi="Cambria"/>
                <w:color w:val="000000"/>
                <w:sz w:val="16"/>
                <w:szCs w:val="16"/>
              </w:rPr>
            </w:pPr>
            <w:r w:rsidRPr="006568BA">
              <w:rPr>
                <w:rFonts w:ascii="Cambria" w:hAnsi="Cambria"/>
                <w:color w:val="000000"/>
                <w:sz w:val="16"/>
                <w:szCs w:val="16"/>
              </w:rPr>
              <w:t>Корректировка</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0,00%</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-4,00%</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0,00%</w:t>
            </w:r>
          </w:p>
        </w:tc>
      </w:tr>
      <w:tr w:rsidR="006568BA" w:rsidRPr="006568BA" w:rsidTr="006568BA">
        <w:trPr>
          <w:cantSplit/>
          <w:trHeight w:val="170"/>
        </w:trPr>
        <w:tc>
          <w:tcPr>
            <w:tcW w:w="1000" w:type="pct"/>
            <w:shd w:val="clear" w:color="auto" w:fill="auto"/>
            <w:vAlign w:val="center"/>
            <w:hideMark/>
          </w:tcPr>
          <w:p w:rsidR="006568BA" w:rsidRPr="006568BA" w:rsidRDefault="006568BA" w:rsidP="006568BA">
            <w:pPr>
              <w:rPr>
                <w:rFonts w:ascii="Cambria" w:hAnsi="Cambria"/>
                <w:b/>
                <w:bCs/>
                <w:color w:val="000000"/>
                <w:sz w:val="16"/>
                <w:szCs w:val="16"/>
              </w:rPr>
            </w:pPr>
            <w:r w:rsidRPr="006568BA">
              <w:rPr>
                <w:rFonts w:ascii="Cambria" w:hAnsi="Cambria"/>
                <w:b/>
                <w:bCs/>
                <w:color w:val="000000"/>
                <w:sz w:val="16"/>
                <w:szCs w:val="16"/>
              </w:rPr>
              <w:t>Скорректированная цена, руб. кв.м.</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w:t>
            </w:r>
          </w:p>
        </w:tc>
        <w:tc>
          <w:tcPr>
            <w:tcW w:w="1000" w:type="pct"/>
            <w:shd w:val="clear" w:color="auto" w:fill="auto"/>
            <w:noWrap/>
            <w:vAlign w:val="center"/>
            <w:hideMark/>
          </w:tcPr>
          <w:p w:rsidR="006568BA" w:rsidRPr="006568BA" w:rsidRDefault="006568BA" w:rsidP="006568BA">
            <w:pPr>
              <w:jc w:val="center"/>
              <w:rPr>
                <w:rFonts w:ascii="Cambria" w:hAnsi="Cambria"/>
                <w:b/>
                <w:bCs/>
                <w:sz w:val="16"/>
                <w:szCs w:val="16"/>
              </w:rPr>
            </w:pPr>
            <w:r w:rsidRPr="006568BA">
              <w:rPr>
                <w:rFonts w:ascii="Cambria" w:hAnsi="Cambria"/>
                <w:b/>
                <w:bCs/>
                <w:sz w:val="16"/>
                <w:szCs w:val="16"/>
              </w:rPr>
              <w:t>173,08</w:t>
            </w:r>
          </w:p>
        </w:tc>
        <w:tc>
          <w:tcPr>
            <w:tcW w:w="1000" w:type="pct"/>
            <w:shd w:val="clear" w:color="auto" w:fill="auto"/>
            <w:noWrap/>
            <w:vAlign w:val="center"/>
            <w:hideMark/>
          </w:tcPr>
          <w:p w:rsidR="006568BA" w:rsidRPr="006568BA" w:rsidRDefault="006568BA" w:rsidP="006568BA">
            <w:pPr>
              <w:jc w:val="center"/>
              <w:rPr>
                <w:rFonts w:ascii="Cambria" w:hAnsi="Cambria"/>
                <w:b/>
                <w:bCs/>
                <w:sz w:val="16"/>
                <w:szCs w:val="16"/>
              </w:rPr>
            </w:pPr>
            <w:r w:rsidRPr="006568BA">
              <w:rPr>
                <w:rFonts w:ascii="Cambria" w:hAnsi="Cambria"/>
                <w:b/>
                <w:bCs/>
                <w:sz w:val="16"/>
                <w:szCs w:val="16"/>
              </w:rPr>
              <w:t>110,40</w:t>
            </w:r>
          </w:p>
        </w:tc>
        <w:tc>
          <w:tcPr>
            <w:tcW w:w="1000" w:type="pct"/>
            <w:shd w:val="clear" w:color="auto" w:fill="auto"/>
            <w:noWrap/>
            <w:vAlign w:val="center"/>
            <w:hideMark/>
          </w:tcPr>
          <w:p w:rsidR="006568BA" w:rsidRPr="006568BA" w:rsidRDefault="006568BA" w:rsidP="006568BA">
            <w:pPr>
              <w:jc w:val="center"/>
              <w:rPr>
                <w:rFonts w:ascii="Cambria" w:hAnsi="Cambria"/>
                <w:b/>
                <w:bCs/>
                <w:sz w:val="16"/>
                <w:szCs w:val="16"/>
              </w:rPr>
            </w:pPr>
            <w:r w:rsidRPr="006568BA">
              <w:rPr>
                <w:rFonts w:ascii="Cambria" w:hAnsi="Cambria"/>
                <w:b/>
                <w:bCs/>
                <w:sz w:val="16"/>
                <w:szCs w:val="16"/>
              </w:rPr>
              <w:t>190,00</w:t>
            </w:r>
          </w:p>
        </w:tc>
      </w:tr>
      <w:tr w:rsidR="006568BA" w:rsidRPr="006568BA" w:rsidTr="006568BA">
        <w:trPr>
          <w:cantSplit/>
          <w:trHeight w:val="170"/>
        </w:trPr>
        <w:tc>
          <w:tcPr>
            <w:tcW w:w="5000" w:type="pct"/>
            <w:gridSpan w:val="5"/>
            <w:shd w:val="clear" w:color="000000" w:fill="F2F2F2"/>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Расчет средневзвешенного значения стоимости</w:t>
            </w:r>
          </w:p>
        </w:tc>
      </w:tr>
      <w:tr w:rsidR="006568BA" w:rsidRPr="006568BA" w:rsidTr="006568BA">
        <w:trPr>
          <w:cantSplit/>
          <w:trHeight w:val="170"/>
        </w:trPr>
        <w:tc>
          <w:tcPr>
            <w:tcW w:w="1000" w:type="pct"/>
            <w:shd w:val="clear" w:color="auto" w:fill="auto"/>
            <w:vAlign w:val="center"/>
            <w:hideMark/>
          </w:tcPr>
          <w:p w:rsidR="006568BA" w:rsidRPr="006568BA" w:rsidRDefault="006568BA" w:rsidP="006568BA">
            <w:pPr>
              <w:rPr>
                <w:rFonts w:ascii="Cambria" w:hAnsi="Cambria"/>
                <w:color w:val="000000"/>
                <w:sz w:val="16"/>
                <w:szCs w:val="16"/>
              </w:rPr>
            </w:pPr>
            <w:r w:rsidRPr="006568BA">
              <w:rPr>
                <w:rFonts w:ascii="Cambria" w:hAnsi="Cambria"/>
                <w:color w:val="000000"/>
                <w:sz w:val="16"/>
                <w:szCs w:val="16"/>
              </w:rPr>
              <w:t>Валовая корректировка</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w:t>
            </w:r>
          </w:p>
        </w:tc>
        <w:tc>
          <w:tcPr>
            <w:tcW w:w="1000" w:type="pct"/>
            <w:shd w:val="clear" w:color="auto" w:fill="auto"/>
            <w:noWrap/>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10,00%</w:t>
            </w:r>
          </w:p>
        </w:tc>
        <w:tc>
          <w:tcPr>
            <w:tcW w:w="1000" w:type="pct"/>
            <w:shd w:val="clear" w:color="auto" w:fill="auto"/>
            <w:noWrap/>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14,00%</w:t>
            </w:r>
          </w:p>
        </w:tc>
        <w:tc>
          <w:tcPr>
            <w:tcW w:w="1000" w:type="pct"/>
            <w:shd w:val="clear" w:color="auto" w:fill="auto"/>
            <w:noWrap/>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10,00%</w:t>
            </w:r>
          </w:p>
        </w:tc>
      </w:tr>
      <w:tr w:rsidR="006568BA" w:rsidRPr="006568BA" w:rsidTr="006568BA">
        <w:trPr>
          <w:cantSplit/>
          <w:trHeight w:val="170"/>
        </w:trPr>
        <w:tc>
          <w:tcPr>
            <w:tcW w:w="1000" w:type="pct"/>
            <w:shd w:val="clear" w:color="auto" w:fill="auto"/>
            <w:vAlign w:val="center"/>
            <w:hideMark/>
          </w:tcPr>
          <w:p w:rsidR="006568BA" w:rsidRPr="006568BA" w:rsidRDefault="006568BA" w:rsidP="006568BA">
            <w:pPr>
              <w:rPr>
                <w:rFonts w:ascii="Cambria" w:hAnsi="Cambria"/>
                <w:color w:val="000000"/>
                <w:sz w:val="16"/>
                <w:szCs w:val="16"/>
              </w:rPr>
            </w:pPr>
            <w:r w:rsidRPr="006568BA">
              <w:rPr>
                <w:rFonts w:ascii="Cambria" w:hAnsi="Cambria"/>
                <w:color w:val="000000"/>
                <w:sz w:val="16"/>
                <w:szCs w:val="16"/>
              </w:rPr>
              <w:t>Вес аналога</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w:t>
            </w:r>
          </w:p>
        </w:tc>
        <w:tc>
          <w:tcPr>
            <w:tcW w:w="1000" w:type="pct"/>
            <w:shd w:val="clear" w:color="auto" w:fill="auto"/>
            <w:noWrap/>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35,3%</w:t>
            </w:r>
          </w:p>
        </w:tc>
        <w:tc>
          <w:tcPr>
            <w:tcW w:w="1000" w:type="pct"/>
            <w:shd w:val="clear" w:color="auto" w:fill="auto"/>
            <w:noWrap/>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29,4%</w:t>
            </w:r>
          </w:p>
        </w:tc>
        <w:tc>
          <w:tcPr>
            <w:tcW w:w="1000" w:type="pct"/>
            <w:shd w:val="clear" w:color="auto" w:fill="auto"/>
            <w:noWrap/>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35,3%</w:t>
            </w:r>
          </w:p>
        </w:tc>
      </w:tr>
      <w:tr w:rsidR="006568BA" w:rsidRPr="006568BA" w:rsidTr="006568BA">
        <w:trPr>
          <w:cantSplit/>
          <w:trHeight w:val="170"/>
        </w:trPr>
        <w:tc>
          <w:tcPr>
            <w:tcW w:w="1000" w:type="pct"/>
            <w:shd w:val="clear" w:color="auto" w:fill="auto"/>
            <w:vAlign w:val="center"/>
            <w:hideMark/>
          </w:tcPr>
          <w:p w:rsidR="006568BA" w:rsidRPr="006568BA" w:rsidRDefault="006568BA" w:rsidP="006568BA">
            <w:pPr>
              <w:rPr>
                <w:rFonts w:ascii="Cambria" w:hAnsi="Cambria"/>
                <w:b/>
                <w:bCs/>
                <w:color w:val="000000"/>
                <w:sz w:val="16"/>
                <w:szCs w:val="16"/>
              </w:rPr>
            </w:pPr>
            <w:r w:rsidRPr="006568BA">
              <w:rPr>
                <w:rFonts w:ascii="Cambria" w:hAnsi="Cambria"/>
                <w:b/>
                <w:bCs/>
                <w:color w:val="000000"/>
                <w:sz w:val="16"/>
                <w:szCs w:val="16"/>
              </w:rPr>
              <w:t xml:space="preserve">Средневзвешенное значение, руб./кв. м </w:t>
            </w:r>
          </w:p>
        </w:tc>
        <w:tc>
          <w:tcPr>
            <w:tcW w:w="4000" w:type="pct"/>
            <w:gridSpan w:val="4"/>
            <w:shd w:val="clear" w:color="auto" w:fill="auto"/>
            <w:vAlign w:val="center"/>
            <w:hideMark/>
          </w:tcPr>
          <w:p w:rsidR="006568BA" w:rsidRPr="006568BA" w:rsidRDefault="006568BA" w:rsidP="006568BA">
            <w:pPr>
              <w:jc w:val="center"/>
              <w:rPr>
                <w:rFonts w:ascii="Cambria" w:hAnsi="Cambria"/>
                <w:b/>
                <w:bCs/>
                <w:color w:val="000000"/>
                <w:sz w:val="16"/>
                <w:szCs w:val="16"/>
              </w:rPr>
            </w:pPr>
            <w:r w:rsidRPr="006568BA">
              <w:rPr>
                <w:rFonts w:ascii="Cambria" w:hAnsi="Cambria"/>
                <w:b/>
                <w:bCs/>
                <w:color w:val="000000"/>
                <w:sz w:val="16"/>
                <w:szCs w:val="16"/>
              </w:rPr>
              <w:t>160,62</w:t>
            </w:r>
          </w:p>
        </w:tc>
      </w:tr>
    </w:tbl>
    <w:p w:rsidR="006568BA" w:rsidRDefault="006568BA" w:rsidP="006568BA">
      <w:pPr>
        <w:spacing w:before="120"/>
        <w:ind w:firstLine="709"/>
        <w:jc w:val="right"/>
        <w:rPr>
          <w:rFonts w:ascii="Bookman Old Style" w:hAnsi="Bookman Old Style"/>
          <w:b/>
          <w:color w:val="000000"/>
          <w:sz w:val="20"/>
          <w:szCs w:val="20"/>
        </w:rPr>
      </w:pPr>
      <w:r w:rsidRPr="00EE24D6">
        <w:rPr>
          <w:rFonts w:ascii="Bookman Old Style" w:hAnsi="Bookman Old Style"/>
          <w:b/>
          <w:color w:val="000000"/>
          <w:sz w:val="20"/>
          <w:szCs w:val="20"/>
        </w:rPr>
        <w:t>Таблица 5.</w:t>
      </w:r>
      <w:r>
        <w:rPr>
          <w:rFonts w:ascii="Bookman Old Style" w:hAnsi="Bookman Old Style"/>
          <w:b/>
          <w:color w:val="000000"/>
          <w:sz w:val="20"/>
          <w:szCs w:val="20"/>
        </w:rPr>
        <w:t>4</w:t>
      </w:r>
      <w:r w:rsidRPr="00EE24D6">
        <w:rPr>
          <w:rFonts w:ascii="Bookman Old Style" w:hAnsi="Bookman Old Style"/>
          <w:b/>
          <w:color w:val="000000"/>
          <w:sz w:val="20"/>
          <w:szCs w:val="20"/>
        </w:rPr>
        <w:t>.</w:t>
      </w:r>
      <w:r>
        <w:rPr>
          <w:rFonts w:ascii="Bookman Old Style" w:hAnsi="Bookman Old Style"/>
          <w:b/>
          <w:color w:val="000000"/>
          <w:sz w:val="20"/>
          <w:szCs w:val="20"/>
        </w:rPr>
        <w:t>5.2</w:t>
      </w:r>
      <w:r w:rsidRPr="00EE24D6">
        <w:rPr>
          <w:rFonts w:ascii="Bookman Old Style" w:hAnsi="Bookman Old Style"/>
          <w:b/>
          <w:color w:val="000000"/>
          <w:sz w:val="20"/>
          <w:szCs w:val="20"/>
        </w:rPr>
        <w:t>. Расчет рыночной стоимости</w:t>
      </w:r>
      <w:r>
        <w:rPr>
          <w:rFonts w:ascii="Bookman Old Style" w:hAnsi="Bookman Old Style"/>
          <w:b/>
          <w:color w:val="000000"/>
          <w:sz w:val="20"/>
          <w:szCs w:val="20"/>
        </w:rPr>
        <w:t xml:space="preserve"> ЗУ под промышленную застройку площадью </w:t>
      </w:r>
      <w:r>
        <w:rPr>
          <w:rFonts w:ascii="Bookman Old Style" w:hAnsi="Bookman Old Style"/>
          <w:b/>
          <w:color w:val="000000"/>
          <w:sz w:val="20"/>
          <w:szCs w:val="20"/>
          <w:lang w:val="en-US"/>
        </w:rPr>
        <w:t>&lt;1</w:t>
      </w:r>
      <w:r>
        <w:rPr>
          <w:rFonts w:ascii="Bookman Old Style" w:hAnsi="Bookman Old Style"/>
          <w:b/>
          <w:color w:val="000000"/>
          <w:sz w:val="20"/>
          <w:szCs w:val="20"/>
        </w:rPr>
        <w:t>га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85"/>
        <w:gridCol w:w="2084"/>
        <w:gridCol w:w="2084"/>
        <w:gridCol w:w="2084"/>
        <w:gridCol w:w="2084"/>
      </w:tblGrid>
      <w:tr w:rsidR="006568BA" w:rsidRPr="006568BA" w:rsidTr="006568BA">
        <w:trPr>
          <w:cantSplit/>
          <w:trHeight w:val="170"/>
        </w:trPr>
        <w:tc>
          <w:tcPr>
            <w:tcW w:w="1000" w:type="pct"/>
            <w:shd w:val="clear" w:color="000000" w:fill="F2F2F2"/>
            <w:vAlign w:val="bottom"/>
            <w:hideMark/>
          </w:tcPr>
          <w:p w:rsidR="006568BA" w:rsidRPr="006568BA" w:rsidRDefault="006568BA" w:rsidP="006568BA">
            <w:pPr>
              <w:jc w:val="center"/>
              <w:rPr>
                <w:rFonts w:ascii="Cambria" w:hAnsi="Cambria"/>
                <w:b/>
                <w:bCs/>
                <w:color w:val="000000"/>
                <w:sz w:val="16"/>
                <w:szCs w:val="16"/>
              </w:rPr>
            </w:pPr>
            <w:r w:rsidRPr="006568BA">
              <w:rPr>
                <w:rFonts w:ascii="Cambria" w:hAnsi="Cambria"/>
                <w:b/>
                <w:bCs/>
                <w:color w:val="000000"/>
                <w:sz w:val="16"/>
                <w:szCs w:val="16"/>
              </w:rPr>
              <w:t>Показатель</w:t>
            </w:r>
          </w:p>
        </w:tc>
        <w:tc>
          <w:tcPr>
            <w:tcW w:w="1000" w:type="pct"/>
            <w:shd w:val="clear" w:color="000000" w:fill="F2F2F2"/>
            <w:vAlign w:val="center"/>
            <w:hideMark/>
          </w:tcPr>
          <w:p w:rsidR="006568BA" w:rsidRPr="006568BA" w:rsidRDefault="006568BA" w:rsidP="006568BA">
            <w:pPr>
              <w:jc w:val="center"/>
              <w:rPr>
                <w:rFonts w:ascii="Cambria" w:hAnsi="Cambria"/>
                <w:b/>
                <w:bCs/>
                <w:color w:val="000000"/>
                <w:sz w:val="16"/>
                <w:szCs w:val="16"/>
              </w:rPr>
            </w:pPr>
            <w:r w:rsidRPr="006568BA">
              <w:rPr>
                <w:rFonts w:ascii="Cambria" w:hAnsi="Cambria"/>
                <w:b/>
                <w:bCs/>
                <w:color w:val="000000"/>
                <w:sz w:val="16"/>
                <w:szCs w:val="16"/>
              </w:rPr>
              <w:t>Объект оценки</w:t>
            </w:r>
          </w:p>
        </w:tc>
        <w:tc>
          <w:tcPr>
            <w:tcW w:w="1000" w:type="pct"/>
            <w:shd w:val="clear" w:color="000000" w:fill="F2F2F2"/>
            <w:vAlign w:val="center"/>
            <w:hideMark/>
          </w:tcPr>
          <w:p w:rsidR="006568BA" w:rsidRPr="006568BA" w:rsidRDefault="006568BA" w:rsidP="006568BA">
            <w:pPr>
              <w:jc w:val="center"/>
              <w:rPr>
                <w:rFonts w:ascii="Cambria" w:hAnsi="Cambria"/>
                <w:b/>
                <w:bCs/>
                <w:color w:val="000000"/>
                <w:sz w:val="16"/>
                <w:szCs w:val="16"/>
              </w:rPr>
            </w:pPr>
            <w:r w:rsidRPr="006568BA">
              <w:rPr>
                <w:rFonts w:ascii="Cambria" w:hAnsi="Cambria"/>
                <w:b/>
                <w:bCs/>
                <w:color w:val="000000"/>
                <w:sz w:val="16"/>
                <w:szCs w:val="16"/>
              </w:rPr>
              <w:t>Аналог 1</w:t>
            </w:r>
          </w:p>
        </w:tc>
        <w:tc>
          <w:tcPr>
            <w:tcW w:w="1000" w:type="pct"/>
            <w:shd w:val="clear" w:color="000000" w:fill="F2F2F2"/>
            <w:vAlign w:val="center"/>
            <w:hideMark/>
          </w:tcPr>
          <w:p w:rsidR="006568BA" w:rsidRPr="006568BA" w:rsidRDefault="006568BA" w:rsidP="006568BA">
            <w:pPr>
              <w:jc w:val="center"/>
              <w:rPr>
                <w:rFonts w:ascii="Cambria" w:hAnsi="Cambria"/>
                <w:b/>
                <w:bCs/>
                <w:color w:val="000000"/>
                <w:sz w:val="16"/>
                <w:szCs w:val="16"/>
              </w:rPr>
            </w:pPr>
            <w:r w:rsidRPr="006568BA">
              <w:rPr>
                <w:rFonts w:ascii="Cambria" w:hAnsi="Cambria"/>
                <w:b/>
                <w:bCs/>
                <w:color w:val="000000"/>
                <w:sz w:val="16"/>
                <w:szCs w:val="16"/>
              </w:rPr>
              <w:t>Аналог 2</w:t>
            </w:r>
          </w:p>
        </w:tc>
        <w:tc>
          <w:tcPr>
            <w:tcW w:w="1000" w:type="pct"/>
            <w:shd w:val="clear" w:color="000000" w:fill="F2F2F2"/>
            <w:vAlign w:val="center"/>
            <w:hideMark/>
          </w:tcPr>
          <w:p w:rsidR="006568BA" w:rsidRPr="006568BA" w:rsidRDefault="006568BA" w:rsidP="006568BA">
            <w:pPr>
              <w:jc w:val="center"/>
              <w:rPr>
                <w:rFonts w:ascii="Cambria" w:hAnsi="Cambria"/>
                <w:b/>
                <w:bCs/>
                <w:color w:val="000000"/>
                <w:sz w:val="16"/>
                <w:szCs w:val="16"/>
              </w:rPr>
            </w:pPr>
            <w:r w:rsidRPr="006568BA">
              <w:rPr>
                <w:rFonts w:ascii="Cambria" w:hAnsi="Cambria"/>
                <w:b/>
                <w:bCs/>
                <w:color w:val="000000"/>
                <w:sz w:val="16"/>
                <w:szCs w:val="16"/>
              </w:rPr>
              <w:t>Аналог 3</w:t>
            </w:r>
          </w:p>
        </w:tc>
      </w:tr>
      <w:tr w:rsidR="006568BA" w:rsidRPr="006568BA" w:rsidTr="006568BA">
        <w:trPr>
          <w:cantSplit/>
          <w:trHeight w:val="170"/>
        </w:trPr>
        <w:tc>
          <w:tcPr>
            <w:tcW w:w="1000" w:type="pct"/>
            <w:shd w:val="clear" w:color="auto" w:fill="auto"/>
            <w:vAlign w:val="center"/>
            <w:hideMark/>
          </w:tcPr>
          <w:p w:rsidR="006568BA" w:rsidRPr="006568BA" w:rsidRDefault="006568BA" w:rsidP="006568BA">
            <w:pPr>
              <w:rPr>
                <w:rFonts w:ascii="Cambria" w:hAnsi="Cambria"/>
                <w:color w:val="000000"/>
                <w:sz w:val="16"/>
                <w:szCs w:val="16"/>
              </w:rPr>
            </w:pPr>
            <w:r w:rsidRPr="006568BA">
              <w:rPr>
                <w:rFonts w:ascii="Cambria" w:hAnsi="Cambria"/>
                <w:color w:val="000000"/>
                <w:sz w:val="16"/>
                <w:szCs w:val="16"/>
              </w:rPr>
              <w:t>Источник информации</w:t>
            </w:r>
          </w:p>
        </w:tc>
        <w:tc>
          <w:tcPr>
            <w:tcW w:w="1000" w:type="pct"/>
            <w:shd w:val="clear" w:color="auto" w:fill="auto"/>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w:t>
            </w:r>
          </w:p>
        </w:tc>
        <w:tc>
          <w:tcPr>
            <w:tcW w:w="1000" w:type="pct"/>
            <w:shd w:val="clear" w:color="auto" w:fill="auto"/>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Сайт бесплатных объявлений Авито</w:t>
            </w:r>
          </w:p>
        </w:tc>
        <w:tc>
          <w:tcPr>
            <w:tcW w:w="1000" w:type="pct"/>
            <w:shd w:val="clear" w:color="auto" w:fill="auto"/>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Сайт бесплатных объявлений Авито</w:t>
            </w:r>
          </w:p>
        </w:tc>
        <w:tc>
          <w:tcPr>
            <w:tcW w:w="1000" w:type="pct"/>
            <w:shd w:val="clear" w:color="auto" w:fill="auto"/>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Сайт бесплатных объявлений Авито</w:t>
            </w:r>
          </w:p>
        </w:tc>
      </w:tr>
      <w:tr w:rsidR="006568BA" w:rsidRPr="006568BA" w:rsidTr="006568BA">
        <w:trPr>
          <w:cantSplit/>
          <w:trHeight w:val="170"/>
        </w:trPr>
        <w:tc>
          <w:tcPr>
            <w:tcW w:w="1000" w:type="pct"/>
            <w:shd w:val="clear" w:color="auto" w:fill="auto"/>
            <w:vAlign w:val="center"/>
            <w:hideMark/>
          </w:tcPr>
          <w:p w:rsidR="006568BA" w:rsidRPr="006568BA" w:rsidRDefault="006568BA" w:rsidP="006568BA">
            <w:pPr>
              <w:rPr>
                <w:rFonts w:ascii="Cambria" w:hAnsi="Cambria"/>
                <w:color w:val="000000"/>
                <w:sz w:val="16"/>
                <w:szCs w:val="16"/>
              </w:rPr>
            </w:pPr>
            <w:r w:rsidRPr="006568BA">
              <w:rPr>
                <w:rFonts w:ascii="Cambria" w:hAnsi="Cambria"/>
                <w:color w:val="000000"/>
                <w:sz w:val="16"/>
                <w:szCs w:val="16"/>
              </w:rPr>
              <w:t>Ссылка на интернет-сайт, источник информации</w:t>
            </w:r>
          </w:p>
        </w:tc>
        <w:tc>
          <w:tcPr>
            <w:tcW w:w="1000" w:type="pct"/>
            <w:shd w:val="clear" w:color="auto" w:fill="auto"/>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w:t>
            </w:r>
          </w:p>
        </w:tc>
        <w:tc>
          <w:tcPr>
            <w:tcW w:w="1000" w:type="pct"/>
            <w:shd w:val="clear" w:color="auto" w:fill="auto"/>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http://www.rosrealt.ru/</w:t>
            </w:r>
          </w:p>
        </w:tc>
        <w:tc>
          <w:tcPr>
            <w:tcW w:w="1000" w:type="pct"/>
            <w:shd w:val="clear" w:color="auto" w:fill="auto"/>
            <w:vAlign w:val="center"/>
            <w:hideMark/>
          </w:tcPr>
          <w:p w:rsidR="006568BA" w:rsidRPr="006568BA" w:rsidRDefault="006C4CCF" w:rsidP="006568BA">
            <w:pPr>
              <w:jc w:val="center"/>
              <w:rPr>
                <w:rFonts w:ascii="Cambria" w:hAnsi="Cambria"/>
                <w:sz w:val="16"/>
                <w:szCs w:val="16"/>
              </w:rPr>
            </w:pPr>
            <w:hyperlink r:id="rId65" w:history="1">
              <w:r w:rsidR="006568BA" w:rsidRPr="006568BA">
                <w:rPr>
                  <w:rFonts w:ascii="Cambria" w:hAnsi="Cambria"/>
                  <w:sz w:val="16"/>
                  <w:szCs w:val="16"/>
                </w:rPr>
                <w:t>https://www.avito.ru/</w:t>
              </w:r>
            </w:hyperlink>
          </w:p>
        </w:tc>
        <w:tc>
          <w:tcPr>
            <w:tcW w:w="1000" w:type="pct"/>
            <w:shd w:val="clear" w:color="auto" w:fill="auto"/>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http://www.kn24.ru/</w:t>
            </w:r>
          </w:p>
        </w:tc>
      </w:tr>
      <w:tr w:rsidR="006568BA" w:rsidRPr="006568BA" w:rsidTr="006568BA">
        <w:trPr>
          <w:cantSplit/>
          <w:trHeight w:val="170"/>
        </w:trPr>
        <w:tc>
          <w:tcPr>
            <w:tcW w:w="1000" w:type="pct"/>
            <w:shd w:val="clear" w:color="auto" w:fill="auto"/>
            <w:vAlign w:val="center"/>
            <w:hideMark/>
          </w:tcPr>
          <w:p w:rsidR="006568BA" w:rsidRPr="006568BA" w:rsidRDefault="006568BA" w:rsidP="006568BA">
            <w:pPr>
              <w:rPr>
                <w:rFonts w:ascii="Cambria" w:hAnsi="Cambria"/>
                <w:sz w:val="16"/>
                <w:szCs w:val="16"/>
              </w:rPr>
            </w:pPr>
            <w:r w:rsidRPr="006568BA">
              <w:rPr>
                <w:rFonts w:ascii="Cambria" w:hAnsi="Cambria"/>
                <w:sz w:val="16"/>
                <w:szCs w:val="16"/>
              </w:rPr>
              <w:t>Сегмент рынка</w:t>
            </w:r>
          </w:p>
        </w:tc>
        <w:tc>
          <w:tcPr>
            <w:tcW w:w="1000" w:type="pct"/>
            <w:shd w:val="clear" w:color="auto" w:fill="auto"/>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Земельный участок</w:t>
            </w:r>
          </w:p>
        </w:tc>
        <w:tc>
          <w:tcPr>
            <w:tcW w:w="1000" w:type="pct"/>
            <w:shd w:val="clear" w:color="auto" w:fill="auto"/>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Земельный участок</w:t>
            </w:r>
          </w:p>
        </w:tc>
        <w:tc>
          <w:tcPr>
            <w:tcW w:w="1000" w:type="pct"/>
            <w:shd w:val="clear" w:color="auto" w:fill="auto"/>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Земельный участок</w:t>
            </w:r>
          </w:p>
        </w:tc>
        <w:tc>
          <w:tcPr>
            <w:tcW w:w="1000" w:type="pct"/>
            <w:shd w:val="clear" w:color="auto" w:fill="auto"/>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Земельный участок</w:t>
            </w:r>
          </w:p>
        </w:tc>
      </w:tr>
      <w:tr w:rsidR="006568BA" w:rsidRPr="006568BA" w:rsidTr="006568BA">
        <w:trPr>
          <w:cantSplit/>
          <w:trHeight w:val="170"/>
        </w:trPr>
        <w:tc>
          <w:tcPr>
            <w:tcW w:w="1000" w:type="pct"/>
            <w:shd w:val="clear" w:color="auto" w:fill="auto"/>
            <w:vAlign w:val="center"/>
            <w:hideMark/>
          </w:tcPr>
          <w:p w:rsidR="006568BA" w:rsidRPr="006568BA" w:rsidRDefault="006568BA" w:rsidP="006568BA">
            <w:pPr>
              <w:rPr>
                <w:rFonts w:ascii="Cambria" w:hAnsi="Cambria"/>
                <w:color w:val="000000"/>
                <w:sz w:val="16"/>
                <w:szCs w:val="16"/>
              </w:rPr>
            </w:pPr>
            <w:r w:rsidRPr="006568BA">
              <w:rPr>
                <w:rFonts w:ascii="Cambria" w:hAnsi="Cambria"/>
                <w:color w:val="000000"/>
                <w:sz w:val="16"/>
                <w:szCs w:val="16"/>
              </w:rPr>
              <w:t>Местоположение</w:t>
            </w:r>
          </w:p>
        </w:tc>
        <w:tc>
          <w:tcPr>
            <w:tcW w:w="1000" w:type="pct"/>
            <w:shd w:val="clear" w:color="auto" w:fill="auto"/>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г. Красноярск, Ленинский р-н, ул. Айвазовского,37 «А»</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Красноярск, Ленинский район, ул.Трактовая</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Красноярск, Ленинский район, ул.Богдана Хмельницкого</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Красноярск, Ленинский район, ул.Рязанская</w:t>
            </w:r>
          </w:p>
        </w:tc>
      </w:tr>
      <w:tr w:rsidR="006568BA" w:rsidRPr="006568BA" w:rsidTr="006568BA">
        <w:trPr>
          <w:cantSplit/>
          <w:trHeight w:val="170"/>
        </w:trPr>
        <w:tc>
          <w:tcPr>
            <w:tcW w:w="1000" w:type="pct"/>
            <w:shd w:val="clear" w:color="auto" w:fill="auto"/>
            <w:vAlign w:val="center"/>
            <w:hideMark/>
          </w:tcPr>
          <w:p w:rsidR="006568BA" w:rsidRPr="006568BA" w:rsidRDefault="006568BA" w:rsidP="006568BA">
            <w:pPr>
              <w:rPr>
                <w:rFonts w:ascii="Cambria" w:hAnsi="Cambria"/>
                <w:color w:val="000000"/>
                <w:sz w:val="16"/>
                <w:szCs w:val="16"/>
              </w:rPr>
            </w:pPr>
            <w:r w:rsidRPr="006568BA">
              <w:rPr>
                <w:rFonts w:ascii="Cambria" w:hAnsi="Cambria"/>
                <w:color w:val="000000"/>
                <w:sz w:val="16"/>
                <w:szCs w:val="16"/>
              </w:rPr>
              <w:t>Вид разрешенного использования</w:t>
            </w:r>
          </w:p>
        </w:tc>
        <w:tc>
          <w:tcPr>
            <w:tcW w:w="1000" w:type="pct"/>
            <w:shd w:val="clear" w:color="auto" w:fill="auto"/>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ПСН</w:t>
            </w:r>
          </w:p>
        </w:tc>
        <w:tc>
          <w:tcPr>
            <w:tcW w:w="1000" w:type="pct"/>
            <w:shd w:val="clear" w:color="auto" w:fill="auto"/>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ПСН</w:t>
            </w:r>
          </w:p>
        </w:tc>
        <w:tc>
          <w:tcPr>
            <w:tcW w:w="1000" w:type="pct"/>
            <w:shd w:val="clear" w:color="auto" w:fill="auto"/>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ПСН</w:t>
            </w:r>
          </w:p>
        </w:tc>
        <w:tc>
          <w:tcPr>
            <w:tcW w:w="1000" w:type="pct"/>
            <w:shd w:val="clear" w:color="auto" w:fill="auto"/>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ПСН</w:t>
            </w:r>
          </w:p>
        </w:tc>
      </w:tr>
      <w:tr w:rsidR="006568BA" w:rsidRPr="006568BA" w:rsidTr="006568BA">
        <w:trPr>
          <w:cantSplit/>
          <w:trHeight w:val="170"/>
        </w:trPr>
        <w:tc>
          <w:tcPr>
            <w:tcW w:w="1000" w:type="pct"/>
            <w:shd w:val="clear" w:color="auto" w:fill="auto"/>
            <w:vAlign w:val="center"/>
            <w:hideMark/>
          </w:tcPr>
          <w:p w:rsidR="006568BA" w:rsidRPr="006568BA" w:rsidRDefault="006568BA" w:rsidP="006568BA">
            <w:pPr>
              <w:rPr>
                <w:rFonts w:ascii="Cambria" w:hAnsi="Cambria"/>
                <w:color w:val="000000"/>
                <w:sz w:val="16"/>
                <w:szCs w:val="16"/>
              </w:rPr>
            </w:pPr>
            <w:r w:rsidRPr="006568BA">
              <w:rPr>
                <w:rFonts w:ascii="Cambria" w:hAnsi="Cambria"/>
                <w:color w:val="000000"/>
                <w:sz w:val="16"/>
                <w:szCs w:val="16"/>
              </w:rPr>
              <w:t>Площадь земельного участка, кв.м.</w:t>
            </w:r>
          </w:p>
        </w:tc>
        <w:tc>
          <w:tcPr>
            <w:tcW w:w="1000" w:type="pct"/>
            <w:shd w:val="clear" w:color="auto" w:fill="auto"/>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1 181</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13 000,00</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18 000,00</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18 000,00</w:t>
            </w:r>
          </w:p>
        </w:tc>
      </w:tr>
      <w:tr w:rsidR="006568BA" w:rsidRPr="006568BA" w:rsidTr="006568BA">
        <w:trPr>
          <w:cantSplit/>
          <w:trHeight w:val="170"/>
        </w:trPr>
        <w:tc>
          <w:tcPr>
            <w:tcW w:w="1000" w:type="pct"/>
            <w:shd w:val="clear" w:color="auto" w:fill="auto"/>
            <w:vAlign w:val="center"/>
            <w:hideMark/>
          </w:tcPr>
          <w:p w:rsidR="006568BA" w:rsidRPr="006568BA" w:rsidRDefault="006568BA" w:rsidP="006568BA">
            <w:pPr>
              <w:rPr>
                <w:rFonts w:ascii="Cambria" w:hAnsi="Cambria"/>
                <w:color w:val="000000"/>
                <w:sz w:val="16"/>
                <w:szCs w:val="16"/>
              </w:rPr>
            </w:pPr>
            <w:r w:rsidRPr="006568BA">
              <w:rPr>
                <w:rFonts w:ascii="Cambria" w:hAnsi="Cambria"/>
                <w:color w:val="000000"/>
                <w:sz w:val="16"/>
                <w:szCs w:val="16"/>
              </w:rPr>
              <w:t>Общая стоимость земельного участка, руб.</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2 500 000,00</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2 300 000,00</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3 800 000,00</w:t>
            </w:r>
          </w:p>
        </w:tc>
      </w:tr>
      <w:tr w:rsidR="006568BA" w:rsidRPr="006568BA" w:rsidTr="006568BA">
        <w:trPr>
          <w:cantSplit/>
          <w:trHeight w:val="170"/>
        </w:trPr>
        <w:tc>
          <w:tcPr>
            <w:tcW w:w="1000" w:type="pct"/>
            <w:shd w:val="clear" w:color="auto" w:fill="auto"/>
            <w:vAlign w:val="center"/>
            <w:hideMark/>
          </w:tcPr>
          <w:p w:rsidR="006568BA" w:rsidRPr="006568BA" w:rsidRDefault="006568BA" w:rsidP="006568BA">
            <w:pPr>
              <w:rPr>
                <w:rFonts w:ascii="Cambria" w:hAnsi="Cambria"/>
                <w:color w:val="000000"/>
                <w:sz w:val="16"/>
                <w:szCs w:val="16"/>
              </w:rPr>
            </w:pPr>
            <w:r w:rsidRPr="006568BA">
              <w:rPr>
                <w:rFonts w:ascii="Cambria" w:hAnsi="Cambria"/>
                <w:color w:val="000000"/>
                <w:sz w:val="16"/>
                <w:szCs w:val="16"/>
              </w:rPr>
              <w:t>Стоимость 1 кв.м. земельного участка, руб.</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192,31</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127,78</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211,11</w:t>
            </w:r>
          </w:p>
        </w:tc>
      </w:tr>
      <w:tr w:rsidR="006568BA" w:rsidRPr="006568BA" w:rsidTr="006568BA">
        <w:trPr>
          <w:cantSplit/>
          <w:trHeight w:val="170"/>
        </w:trPr>
        <w:tc>
          <w:tcPr>
            <w:tcW w:w="5000" w:type="pct"/>
            <w:gridSpan w:val="5"/>
            <w:shd w:val="clear" w:color="000000" w:fill="F2F2F2"/>
            <w:vAlign w:val="center"/>
            <w:hideMark/>
          </w:tcPr>
          <w:p w:rsidR="006568BA" w:rsidRPr="006568BA" w:rsidRDefault="006568BA" w:rsidP="006568BA">
            <w:pPr>
              <w:jc w:val="center"/>
              <w:rPr>
                <w:rFonts w:ascii="Cambria" w:hAnsi="Cambria"/>
                <w:b/>
                <w:bCs/>
                <w:color w:val="000000"/>
                <w:sz w:val="16"/>
                <w:szCs w:val="16"/>
              </w:rPr>
            </w:pPr>
            <w:r w:rsidRPr="006568BA">
              <w:rPr>
                <w:rFonts w:ascii="Cambria" w:hAnsi="Cambria"/>
                <w:b/>
                <w:bCs/>
                <w:color w:val="000000"/>
                <w:sz w:val="16"/>
                <w:szCs w:val="16"/>
              </w:rPr>
              <w:t>Корректировка стоимости</w:t>
            </w:r>
          </w:p>
        </w:tc>
      </w:tr>
      <w:tr w:rsidR="006568BA" w:rsidRPr="006568BA" w:rsidTr="006568BA">
        <w:trPr>
          <w:cantSplit/>
          <w:trHeight w:val="170"/>
        </w:trPr>
        <w:tc>
          <w:tcPr>
            <w:tcW w:w="1000" w:type="pct"/>
            <w:shd w:val="clear" w:color="auto" w:fill="auto"/>
            <w:vAlign w:val="center"/>
            <w:hideMark/>
          </w:tcPr>
          <w:p w:rsidR="006568BA" w:rsidRPr="006568BA" w:rsidRDefault="006568BA" w:rsidP="006568BA">
            <w:pPr>
              <w:rPr>
                <w:rFonts w:ascii="Cambria" w:hAnsi="Cambria"/>
                <w:i/>
                <w:iCs/>
                <w:color w:val="000000"/>
                <w:sz w:val="16"/>
                <w:szCs w:val="16"/>
              </w:rPr>
            </w:pPr>
            <w:r w:rsidRPr="006568BA">
              <w:rPr>
                <w:rFonts w:ascii="Cambria" w:hAnsi="Cambria"/>
                <w:i/>
                <w:iCs/>
                <w:color w:val="000000"/>
                <w:sz w:val="16"/>
                <w:szCs w:val="16"/>
              </w:rPr>
              <w:t>Передаваемые права</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Право собственности</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Право собственности</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Право собственности</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Право собственности</w:t>
            </w:r>
          </w:p>
        </w:tc>
      </w:tr>
      <w:tr w:rsidR="006568BA" w:rsidRPr="006568BA" w:rsidTr="006568BA">
        <w:trPr>
          <w:cantSplit/>
          <w:trHeight w:val="170"/>
        </w:trPr>
        <w:tc>
          <w:tcPr>
            <w:tcW w:w="1000" w:type="pct"/>
            <w:shd w:val="clear" w:color="auto" w:fill="auto"/>
            <w:vAlign w:val="center"/>
            <w:hideMark/>
          </w:tcPr>
          <w:p w:rsidR="006568BA" w:rsidRPr="006568BA" w:rsidRDefault="006568BA" w:rsidP="006568BA">
            <w:pPr>
              <w:rPr>
                <w:rFonts w:ascii="Cambria" w:hAnsi="Cambria"/>
                <w:color w:val="000000"/>
                <w:sz w:val="16"/>
                <w:szCs w:val="16"/>
              </w:rPr>
            </w:pPr>
            <w:r w:rsidRPr="006568BA">
              <w:rPr>
                <w:rFonts w:ascii="Cambria" w:hAnsi="Cambria"/>
                <w:color w:val="000000"/>
                <w:sz w:val="16"/>
                <w:szCs w:val="16"/>
              </w:rPr>
              <w:t>Корректировка</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0,00%</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0,00%</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0,00%</w:t>
            </w:r>
          </w:p>
        </w:tc>
      </w:tr>
      <w:tr w:rsidR="006568BA" w:rsidRPr="006568BA" w:rsidTr="006568BA">
        <w:trPr>
          <w:cantSplit/>
          <w:trHeight w:val="170"/>
        </w:trPr>
        <w:tc>
          <w:tcPr>
            <w:tcW w:w="1000" w:type="pct"/>
            <w:shd w:val="clear" w:color="auto" w:fill="auto"/>
            <w:vAlign w:val="center"/>
            <w:hideMark/>
          </w:tcPr>
          <w:p w:rsidR="006568BA" w:rsidRPr="006568BA" w:rsidRDefault="006568BA" w:rsidP="006568BA">
            <w:pPr>
              <w:rPr>
                <w:rFonts w:ascii="Cambria" w:hAnsi="Cambria"/>
                <w:b/>
                <w:bCs/>
                <w:color w:val="000000"/>
                <w:sz w:val="16"/>
                <w:szCs w:val="16"/>
              </w:rPr>
            </w:pPr>
            <w:r w:rsidRPr="006568BA">
              <w:rPr>
                <w:rFonts w:ascii="Cambria" w:hAnsi="Cambria"/>
                <w:b/>
                <w:bCs/>
                <w:color w:val="000000"/>
                <w:sz w:val="16"/>
                <w:szCs w:val="16"/>
              </w:rPr>
              <w:t>Скорректированная цена, руб. кв.м.</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w:t>
            </w:r>
          </w:p>
        </w:tc>
        <w:tc>
          <w:tcPr>
            <w:tcW w:w="1000" w:type="pct"/>
            <w:shd w:val="clear" w:color="auto" w:fill="auto"/>
            <w:noWrap/>
            <w:vAlign w:val="center"/>
            <w:hideMark/>
          </w:tcPr>
          <w:p w:rsidR="006568BA" w:rsidRPr="006568BA" w:rsidRDefault="006568BA" w:rsidP="006568BA">
            <w:pPr>
              <w:jc w:val="center"/>
              <w:rPr>
                <w:rFonts w:ascii="Cambria" w:hAnsi="Cambria"/>
                <w:b/>
                <w:bCs/>
                <w:sz w:val="16"/>
                <w:szCs w:val="16"/>
              </w:rPr>
            </w:pPr>
            <w:r w:rsidRPr="006568BA">
              <w:rPr>
                <w:rFonts w:ascii="Cambria" w:hAnsi="Cambria"/>
                <w:b/>
                <w:bCs/>
                <w:sz w:val="16"/>
                <w:szCs w:val="16"/>
              </w:rPr>
              <w:t>192,31</w:t>
            </w:r>
          </w:p>
        </w:tc>
        <w:tc>
          <w:tcPr>
            <w:tcW w:w="1000" w:type="pct"/>
            <w:shd w:val="clear" w:color="auto" w:fill="auto"/>
            <w:noWrap/>
            <w:vAlign w:val="center"/>
            <w:hideMark/>
          </w:tcPr>
          <w:p w:rsidR="006568BA" w:rsidRPr="006568BA" w:rsidRDefault="006568BA" w:rsidP="006568BA">
            <w:pPr>
              <w:jc w:val="center"/>
              <w:rPr>
                <w:rFonts w:ascii="Cambria" w:hAnsi="Cambria"/>
                <w:b/>
                <w:bCs/>
                <w:sz w:val="16"/>
                <w:szCs w:val="16"/>
              </w:rPr>
            </w:pPr>
            <w:r w:rsidRPr="006568BA">
              <w:rPr>
                <w:rFonts w:ascii="Cambria" w:hAnsi="Cambria"/>
                <w:b/>
                <w:bCs/>
                <w:sz w:val="16"/>
                <w:szCs w:val="16"/>
              </w:rPr>
              <w:t>127,78</w:t>
            </w:r>
          </w:p>
        </w:tc>
        <w:tc>
          <w:tcPr>
            <w:tcW w:w="1000" w:type="pct"/>
            <w:shd w:val="clear" w:color="auto" w:fill="auto"/>
            <w:noWrap/>
            <w:vAlign w:val="center"/>
            <w:hideMark/>
          </w:tcPr>
          <w:p w:rsidR="006568BA" w:rsidRPr="006568BA" w:rsidRDefault="006568BA" w:rsidP="006568BA">
            <w:pPr>
              <w:jc w:val="center"/>
              <w:rPr>
                <w:rFonts w:ascii="Cambria" w:hAnsi="Cambria"/>
                <w:b/>
                <w:bCs/>
                <w:sz w:val="16"/>
                <w:szCs w:val="16"/>
              </w:rPr>
            </w:pPr>
            <w:r w:rsidRPr="006568BA">
              <w:rPr>
                <w:rFonts w:ascii="Cambria" w:hAnsi="Cambria"/>
                <w:b/>
                <w:bCs/>
                <w:sz w:val="16"/>
                <w:szCs w:val="16"/>
              </w:rPr>
              <w:t>211,11</w:t>
            </w:r>
          </w:p>
        </w:tc>
      </w:tr>
      <w:tr w:rsidR="006568BA" w:rsidRPr="006568BA" w:rsidTr="006568BA">
        <w:trPr>
          <w:cantSplit/>
          <w:trHeight w:val="170"/>
        </w:trPr>
        <w:tc>
          <w:tcPr>
            <w:tcW w:w="1000" w:type="pct"/>
            <w:shd w:val="clear" w:color="auto" w:fill="auto"/>
            <w:vAlign w:val="center"/>
            <w:hideMark/>
          </w:tcPr>
          <w:p w:rsidR="006568BA" w:rsidRPr="006568BA" w:rsidRDefault="006568BA" w:rsidP="006568BA">
            <w:pPr>
              <w:rPr>
                <w:rFonts w:ascii="Cambria" w:hAnsi="Cambria"/>
                <w:i/>
                <w:iCs/>
                <w:color w:val="000000"/>
                <w:sz w:val="16"/>
                <w:szCs w:val="16"/>
              </w:rPr>
            </w:pPr>
            <w:r w:rsidRPr="006568BA">
              <w:rPr>
                <w:rFonts w:ascii="Cambria" w:hAnsi="Cambria"/>
                <w:i/>
                <w:iCs/>
                <w:color w:val="000000"/>
                <w:sz w:val="16"/>
                <w:szCs w:val="16"/>
              </w:rPr>
              <w:t>Корректировка на торг</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 </w:t>
            </w:r>
          </w:p>
        </w:tc>
        <w:tc>
          <w:tcPr>
            <w:tcW w:w="1000" w:type="pct"/>
            <w:shd w:val="clear" w:color="auto" w:fill="auto"/>
            <w:noWrap/>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торг возможен</w:t>
            </w:r>
          </w:p>
        </w:tc>
        <w:tc>
          <w:tcPr>
            <w:tcW w:w="1000" w:type="pct"/>
            <w:shd w:val="clear" w:color="auto" w:fill="auto"/>
            <w:noWrap/>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торг возможен</w:t>
            </w:r>
          </w:p>
        </w:tc>
        <w:tc>
          <w:tcPr>
            <w:tcW w:w="1000" w:type="pct"/>
            <w:shd w:val="clear" w:color="auto" w:fill="auto"/>
            <w:noWrap/>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торг возможен</w:t>
            </w:r>
          </w:p>
        </w:tc>
      </w:tr>
      <w:tr w:rsidR="006568BA" w:rsidRPr="006568BA" w:rsidTr="006568BA">
        <w:trPr>
          <w:cantSplit/>
          <w:trHeight w:val="170"/>
        </w:trPr>
        <w:tc>
          <w:tcPr>
            <w:tcW w:w="1000" w:type="pct"/>
            <w:shd w:val="clear" w:color="auto" w:fill="auto"/>
            <w:vAlign w:val="center"/>
            <w:hideMark/>
          </w:tcPr>
          <w:p w:rsidR="006568BA" w:rsidRPr="006568BA" w:rsidRDefault="006568BA" w:rsidP="006568BA">
            <w:pPr>
              <w:rPr>
                <w:rFonts w:ascii="Cambria" w:hAnsi="Cambria"/>
                <w:color w:val="000000"/>
                <w:sz w:val="16"/>
                <w:szCs w:val="16"/>
              </w:rPr>
            </w:pPr>
            <w:r w:rsidRPr="006568BA">
              <w:rPr>
                <w:rFonts w:ascii="Cambria" w:hAnsi="Cambria"/>
                <w:color w:val="000000"/>
                <w:sz w:val="16"/>
                <w:szCs w:val="16"/>
              </w:rPr>
              <w:t>Корректировка</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-10,00%</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-10,00%</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-10,00%</w:t>
            </w:r>
          </w:p>
        </w:tc>
      </w:tr>
      <w:tr w:rsidR="006568BA" w:rsidRPr="006568BA" w:rsidTr="006568BA">
        <w:trPr>
          <w:cantSplit/>
          <w:trHeight w:val="170"/>
        </w:trPr>
        <w:tc>
          <w:tcPr>
            <w:tcW w:w="1000" w:type="pct"/>
            <w:shd w:val="clear" w:color="auto" w:fill="auto"/>
            <w:vAlign w:val="center"/>
            <w:hideMark/>
          </w:tcPr>
          <w:p w:rsidR="006568BA" w:rsidRPr="006568BA" w:rsidRDefault="006568BA" w:rsidP="006568BA">
            <w:pPr>
              <w:rPr>
                <w:rFonts w:ascii="Cambria" w:hAnsi="Cambria"/>
                <w:b/>
                <w:bCs/>
                <w:color w:val="000000"/>
                <w:sz w:val="16"/>
                <w:szCs w:val="16"/>
              </w:rPr>
            </w:pPr>
            <w:r w:rsidRPr="006568BA">
              <w:rPr>
                <w:rFonts w:ascii="Cambria" w:hAnsi="Cambria"/>
                <w:b/>
                <w:bCs/>
                <w:color w:val="000000"/>
                <w:sz w:val="16"/>
                <w:szCs w:val="16"/>
              </w:rPr>
              <w:t>Скорректированная цена, руб. кв.м.</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w:t>
            </w:r>
          </w:p>
        </w:tc>
        <w:tc>
          <w:tcPr>
            <w:tcW w:w="1000" w:type="pct"/>
            <w:shd w:val="clear" w:color="auto" w:fill="auto"/>
            <w:noWrap/>
            <w:vAlign w:val="center"/>
            <w:hideMark/>
          </w:tcPr>
          <w:p w:rsidR="006568BA" w:rsidRPr="006568BA" w:rsidRDefault="006568BA" w:rsidP="006568BA">
            <w:pPr>
              <w:jc w:val="center"/>
              <w:rPr>
                <w:rFonts w:ascii="Cambria" w:hAnsi="Cambria"/>
                <w:b/>
                <w:bCs/>
                <w:sz w:val="16"/>
                <w:szCs w:val="16"/>
              </w:rPr>
            </w:pPr>
            <w:r w:rsidRPr="006568BA">
              <w:rPr>
                <w:rFonts w:ascii="Cambria" w:hAnsi="Cambria"/>
                <w:b/>
                <w:bCs/>
                <w:sz w:val="16"/>
                <w:szCs w:val="16"/>
              </w:rPr>
              <w:t>173,08</w:t>
            </w:r>
          </w:p>
        </w:tc>
        <w:tc>
          <w:tcPr>
            <w:tcW w:w="1000" w:type="pct"/>
            <w:shd w:val="clear" w:color="auto" w:fill="auto"/>
            <w:noWrap/>
            <w:vAlign w:val="center"/>
            <w:hideMark/>
          </w:tcPr>
          <w:p w:rsidR="006568BA" w:rsidRPr="006568BA" w:rsidRDefault="006568BA" w:rsidP="006568BA">
            <w:pPr>
              <w:jc w:val="center"/>
              <w:rPr>
                <w:rFonts w:ascii="Cambria" w:hAnsi="Cambria"/>
                <w:b/>
                <w:bCs/>
                <w:sz w:val="16"/>
                <w:szCs w:val="16"/>
              </w:rPr>
            </w:pPr>
            <w:r w:rsidRPr="006568BA">
              <w:rPr>
                <w:rFonts w:ascii="Cambria" w:hAnsi="Cambria"/>
                <w:b/>
                <w:bCs/>
                <w:sz w:val="16"/>
                <w:szCs w:val="16"/>
              </w:rPr>
              <w:t>115,00</w:t>
            </w:r>
          </w:p>
        </w:tc>
        <w:tc>
          <w:tcPr>
            <w:tcW w:w="1000" w:type="pct"/>
            <w:shd w:val="clear" w:color="auto" w:fill="auto"/>
            <w:noWrap/>
            <w:vAlign w:val="center"/>
            <w:hideMark/>
          </w:tcPr>
          <w:p w:rsidR="006568BA" w:rsidRPr="006568BA" w:rsidRDefault="006568BA" w:rsidP="006568BA">
            <w:pPr>
              <w:jc w:val="center"/>
              <w:rPr>
                <w:rFonts w:ascii="Cambria" w:hAnsi="Cambria"/>
                <w:b/>
                <w:bCs/>
                <w:sz w:val="16"/>
                <w:szCs w:val="16"/>
              </w:rPr>
            </w:pPr>
            <w:r w:rsidRPr="006568BA">
              <w:rPr>
                <w:rFonts w:ascii="Cambria" w:hAnsi="Cambria"/>
                <w:b/>
                <w:bCs/>
                <w:sz w:val="16"/>
                <w:szCs w:val="16"/>
              </w:rPr>
              <w:t>190,00</w:t>
            </w:r>
          </w:p>
        </w:tc>
      </w:tr>
      <w:tr w:rsidR="006568BA" w:rsidRPr="006568BA" w:rsidTr="006568BA">
        <w:trPr>
          <w:cantSplit/>
          <w:trHeight w:val="170"/>
        </w:trPr>
        <w:tc>
          <w:tcPr>
            <w:tcW w:w="1000" w:type="pct"/>
            <w:shd w:val="clear" w:color="auto" w:fill="auto"/>
            <w:vAlign w:val="center"/>
            <w:hideMark/>
          </w:tcPr>
          <w:p w:rsidR="006568BA" w:rsidRPr="006568BA" w:rsidRDefault="006568BA" w:rsidP="006568BA">
            <w:pPr>
              <w:rPr>
                <w:rFonts w:ascii="Cambria" w:hAnsi="Cambria"/>
                <w:i/>
                <w:iCs/>
                <w:color w:val="000000"/>
                <w:sz w:val="16"/>
                <w:szCs w:val="16"/>
              </w:rPr>
            </w:pPr>
            <w:r w:rsidRPr="006568BA">
              <w:rPr>
                <w:rFonts w:ascii="Cambria" w:hAnsi="Cambria"/>
                <w:i/>
                <w:iCs/>
                <w:color w:val="000000"/>
                <w:sz w:val="16"/>
                <w:szCs w:val="16"/>
              </w:rPr>
              <w:t>Местоположение</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г. Красноярск, Ленинский р-н, ул. Айвазовского,37 «А»</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Красноярск, Ленинский район, ул.Трактовая</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Красноярск, Ленинский район, ул.Богдана Хмельницкого</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Красноярск, Ленинский район, ул.Рязанская</w:t>
            </w:r>
          </w:p>
        </w:tc>
      </w:tr>
      <w:tr w:rsidR="006568BA" w:rsidRPr="006568BA" w:rsidTr="006568BA">
        <w:trPr>
          <w:cantSplit/>
          <w:trHeight w:val="170"/>
        </w:trPr>
        <w:tc>
          <w:tcPr>
            <w:tcW w:w="1000" w:type="pct"/>
            <w:shd w:val="clear" w:color="auto" w:fill="auto"/>
            <w:vAlign w:val="center"/>
            <w:hideMark/>
          </w:tcPr>
          <w:p w:rsidR="006568BA" w:rsidRPr="006568BA" w:rsidRDefault="006568BA" w:rsidP="006568BA">
            <w:pPr>
              <w:rPr>
                <w:rFonts w:ascii="Cambria" w:hAnsi="Cambria"/>
                <w:color w:val="000000"/>
                <w:sz w:val="16"/>
                <w:szCs w:val="16"/>
              </w:rPr>
            </w:pPr>
            <w:r w:rsidRPr="006568BA">
              <w:rPr>
                <w:rFonts w:ascii="Cambria" w:hAnsi="Cambria"/>
                <w:color w:val="000000"/>
                <w:sz w:val="16"/>
                <w:szCs w:val="16"/>
              </w:rPr>
              <w:t>Корректировка</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0,00%</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0,00%</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0,00%</w:t>
            </w:r>
          </w:p>
        </w:tc>
      </w:tr>
      <w:tr w:rsidR="006568BA" w:rsidRPr="006568BA" w:rsidTr="006568BA">
        <w:trPr>
          <w:cantSplit/>
          <w:trHeight w:val="170"/>
        </w:trPr>
        <w:tc>
          <w:tcPr>
            <w:tcW w:w="1000" w:type="pct"/>
            <w:shd w:val="clear" w:color="auto" w:fill="auto"/>
            <w:vAlign w:val="center"/>
            <w:hideMark/>
          </w:tcPr>
          <w:p w:rsidR="006568BA" w:rsidRPr="006568BA" w:rsidRDefault="006568BA" w:rsidP="006568BA">
            <w:pPr>
              <w:rPr>
                <w:rFonts w:ascii="Cambria" w:hAnsi="Cambria"/>
                <w:b/>
                <w:bCs/>
                <w:color w:val="000000"/>
                <w:sz w:val="16"/>
                <w:szCs w:val="16"/>
              </w:rPr>
            </w:pPr>
            <w:r w:rsidRPr="006568BA">
              <w:rPr>
                <w:rFonts w:ascii="Cambria" w:hAnsi="Cambria"/>
                <w:b/>
                <w:bCs/>
                <w:color w:val="000000"/>
                <w:sz w:val="16"/>
                <w:szCs w:val="16"/>
              </w:rPr>
              <w:t>Скорректированная цена, руб. кв.м.</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w:t>
            </w:r>
          </w:p>
        </w:tc>
        <w:tc>
          <w:tcPr>
            <w:tcW w:w="1000" w:type="pct"/>
            <w:shd w:val="clear" w:color="auto" w:fill="auto"/>
            <w:noWrap/>
            <w:vAlign w:val="center"/>
            <w:hideMark/>
          </w:tcPr>
          <w:p w:rsidR="006568BA" w:rsidRPr="006568BA" w:rsidRDefault="006568BA" w:rsidP="006568BA">
            <w:pPr>
              <w:jc w:val="center"/>
              <w:rPr>
                <w:rFonts w:ascii="Cambria" w:hAnsi="Cambria"/>
                <w:b/>
                <w:bCs/>
                <w:sz w:val="16"/>
                <w:szCs w:val="16"/>
              </w:rPr>
            </w:pPr>
            <w:r w:rsidRPr="006568BA">
              <w:rPr>
                <w:rFonts w:ascii="Cambria" w:hAnsi="Cambria"/>
                <w:b/>
                <w:bCs/>
                <w:sz w:val="16"/>
                <w:szCs w:val="16"/>
              </w:rPr>
              <w:t>173,08</w:t>
            </w:r>
          </w:p>
        </w:tc>
        <w:tc>
          <w:tcPr>
            <w:tcW w:w="1000" w:type="pct"/>
            <w:shd w:val="clear" w:color="auto" w:fill="auto"/>
            <w:noWrap/>
            <w:vAlign w:val="center"/>
            <w:hideMark/>
          </w:tcPr>
          <w:p w:rsidR="006568BA" w:rsidRPr="006568BA" w:rsidRDefault="006568BA" w:rsidP="006568BA">
            <w:pPr>
              <w:jc w:val="center"/>
              <w:rPr>
                <w:rFonts w:ascii="Cambria" w:hAnsi="Cambria"/>
                <w:b/>
                <w:bCs/>
                <w:sz w:val="16"/>
                <w:szCs w:val="16"/>
              </w:rPr>
            </w:pPr>
            <w:r w:rsidRPr="006568BA">
              <w:rPr>
                <w:rFonts w:ascii="Cambria" w:hAnsi="Cambria"/>
                <w:b/>
                <w:bCs/>
                <w:sz w:val="16"/>
                <w:szCs w:val="16"/>
              </w:rPr>
              <w:t>115,00</w:t>
            </w:r>
          </w:p>
        </w:tc>
        <w:tc>
          <w:tcPr>
            <w:tcW w:w="1000" w:type="pct"/>
            <w:shd w:val="clear" w:color="auto" w:fill="auto"/>
            <w:noWrap/>
            <w:vAlign w:val="center"/>
            <w:hideMark/>
          </w:tcPr>
          <w:p w:rsidR="006568BA" w:rsidRPr="006568BA" w:rsidRDefault="006568BA" w:rsidP="006568BA">
            <w:pPr>
              <w:jc w:val="center"/>
              <w:rPr>
                <w:rFonts w:ascii="Cambria" w:hAnsi="Cambria"/>
                <w:b/>
                <w:bCs/>
                <w:sz w:val="16"/>
                <w:szCs w:val="16"/>
              </w:rPr>
            </w:pPr>
            <w:r w:rsidRPr="006568BA">
              <w:rPr>
                <w:rFonts w:ascii="Cambria" w:hAnsi="Cambria"/>
                <w:b/>
                <w:bCs/>
                <w:sz w:val="16"/>
                <w:szCs w:val="16"/>
              </w:rPr>
              <w:t>190,00</w:t>
            </w:r>
          </w:p>
        </w:tc>
      </w:tr>
      <w:tr w:rsidR="006568BA" w:rsidRPr="006568BA" w:rsidTr="006568BA">
        <w:trPr>
          <w:cantSplit/>
          <w:trHeight w:val="170"/>
        </w:trPr>
        <w:tc>
          <w:tcPr>
            <w:tcW w:w="1000" w:type="pct"/>
            <w:shd w:val="clear" w:color="auto" w:fill="auto"/>
            <w:vAlign w:val="center"/>
            <w:hideMark/>
          </w:tcPr>
          <w:p w:rsidR="006568BA" w:rsidRPr="006568BA" w:rsidRDefault="006568BA" w:rsidP="006568BA">
            <w:pPr>
              <w:rPr>
                <w:rFonts w:ascii="Cambria" w:hAnsi="Cambria"/>
                <w:i/>
                <w:iCs/>
                <w:color w:val="000000"/>
                <w:sz w:val="16"/>
                <w:szCs w:val="16"/>
              </w:rPr>
            </w:pPr>
            <w:r w:rsidRPr="006568BA">
              <w:rPr>
                <w:rFonts w:ascii="Cambria" w:hAnsi="Cambria"/>
                <w:i/>
                <w:iCs/>
                <w:color w:val="000000"/>
                <w:sz w:val="16"/>
                <w:szCs w:val="16"/>
              </w:rPr>
              <w:t>Текущее использование</w:t>
            </w:r>
          </w:p>
        </w:tc>
        <w:tc>
          <w:tcPr>
            <w:tcW w:w="1000" w:type="pct"/>
            <w:shd w:val="clear" w:color="auto" w:fill="auto"/>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ПСН</w:t>
            </w:r>
          </w:p>
        </w:tc>
        <w:tc>
          <w:tcPr>
            <w:tcW w:w="1000" w:type="pct"/>
            <w:shd w:val="clear" w:color="auto" w:fill="auto"/>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ПСН</w:t>
            </w:r>
          </w:p>
        </w:tc>
        <w:tc>
          <w:tcPr>
            <w:tcW w:w="1000" w:type="pct"/>
            <w:shd w:val="clear" w:color="auto" w:fill="auto"/>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ПСН</w:t>
            </w:r>
          </w:p>
        </w:tc>
        <w:tc>
          <w:tcPr>
            <w:tcW w:w="1000" w:type="pct"/>
            <w:shd w:val="clear" w:color="auto" w:fill="auto"/>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ПСН</w:t>
            </w:r>
          </w:p>
        </w:tc>
      </w:tr>
      <w:tr w:rsidR="006568BA" w:rsidRPr="006568BA" w:rsidTr="006568BA">
        <w:trPr>
          <w:cantSplit/>
          <w:trHeight w:val="170"/>
        </w:trPr>
        <w:tc>
          <w:tcPr>
            <w:tcW w:w="1000" w:type="pct"/>
            <w:shd w:val="clear" w:color="auto" w:fill="auto"/>
            <w:vAlign w:val="center"/>
            <w:hideMark/>
          </w:tcPr>
          <w:p w:rsidR="006568BA" w:rsidRPr="006568BA" w:rsidRDefault="006568BA" w:rsidP="006568BA">
            <w:pPr>
              <w:rPr>
                <w:rFonts w:ascii="Cambria" w:hAnsi="Cambria"/>
                <w:color w:val="000000"/>
                <w:sz w:val="16"/>
                <w:szCs w:val="16"/>
              </w:rPr>
            </w:pPr>
            <w:r w:rsidRPr="006568BA">
              <w:rPr>
                <w:rFonts w:ascii="Cambria" w:hAnsi="Cambria"/>
                <w:color w:val="000000"/>
                <w:sz w:val="16"/>
                <w:szCs w:val="16"/>
              </w:rPr>
              <w:t>Корректировка</w:t>
            </w:r>
          </w:p>
        </w:tc>
        <w:tc>
          <w:tcPr>
            <w:tcW w:w="1000" w:type="pct"/>
            <w:shd w:val="clear" w:color="auto" w:fill="auto"/>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w:t>
            </w:r>
          </w:p>
        </w:tc>
        <w:tc>
          <w:tcPr>
            <w:tcW w:w="1000" w:type="pct"/>
            <w:shd w:val="clear" w:color="auto" w:fill="auto"/>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0,00%</w:t>
            </w:r>
          </w:p>
        </w:tc>
        <w:tc>
          <w:tcPr>
            <w:tcW w:w="1000" w:type="pct"/>
            <w:shd w:val="clear" w:color="auto" w:fill="auto"/>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0,00%</w:t>
            </w:r>
          </w:p>
        </w:tc>
        <w:tc>
          <w:tcPr>
            <w:tcW w:w="1000" w:type="pct"/>
            <w:shd w:val="clear" w:color="auto" w:fill="auto"/>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0,00%</w:t>
            </w:r>
          </w:p>
        </w:tc>
      </w:tr>
      <w:tr w:rsidR="006568BA" w:rsidRPr="006568BA" w:rsidTr="006568BA">
        <w:trPr>
          <w:cantSplit/>
          <w:trHeight w:val="170"/>
        </w:trPr>
        <w:tc>
          <w:tcPr>
            <w:tcW w:w="1000" w:type="pct"/>
            <w:shd w:val="clear" w:color="auto" w:fill="auto"/>
            <w:vAlign w:val="center"/>
            <w:hideMark/>
          </w:tcPr>
          <w:p w:rsidR="006568BA" w:rsidRPr="006568BA" w:rsidRDefault="006568BA" w:rsidP="006568BA">
            <w:pPr>
              <w:rPr>
                <w:rFonts w:ascii="Cambria" w:hAnsi="Cambria"/>
                <w:b/>
                <w:bCs/>
                <w:color w:val="000000"/>
                <w:sz w:val="16"/>
                <w:szCs w:val="16"/>
              </w:rPr>
            </w:pPr>
            <w:r w:rsidRPr="006568BA">
              <w:rPr>
                <w:rFonts w:ascii="Cambria" w:hAnsi="Cambria"/>
                <w:b/>
                <w:bCs/>
                <w:color w:val="000000"/>
                <w:sz w:val="16"/>
                <w:szCs w:val="16"/>
              </w:rPr>
              <w:t>Скорректированная цена, руб. кв.м.</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w:t>
            </w:r>
          </w:p>
        </w:tc>
        <w:tc>
          <w:tcPr>
            <w:tcW w:w="1000" w:type="pct"/>
            <w:shd w:val="clear" w:color="auto" w:fill="auto"/>
            <w:noWrap/>
            <w:vAlign w:val="center"/>
            <w:hideMark/>
          </w:tcPr>
          <w:p w:rsidR="006568BA" w:rsidRPr="006568BA" w:rsidRDefault="006568BA" w:rsidP="006568BA">
            <w:pPr>
              <w:jc w:val="center"/>
              <w:rPr>
                <w:rFonts w:ascii="Cambria" w:hAnsi="Cambria"/>
                <w:b/>
                <w:bCs/>
                <w:sz w:val="16"/>
                <w:szCs w:val="16"/>
              </w:rPr>
            </w:pPr>
            <w:r w:rsidRPr="006568BA">
              <w:rPr>
                <w:rFonts w:ascii="Cambria" w:hAnsi="Cambria"/>
                <w:b/>
                <w:bCs/>
                <w:sz w:val="16"/>
                <w:szCs w:val="16"/>
              </w:rPr>
              <w:t>173,08</w:t>
            </w:r>
          </w:p>
        </w:tc>
        <w:tc>
          <w:tcPr>
            <w:tcW w:w="1000" w:type="pct"/>
            <w:shd w:val="clear" w:color="auto" w:fill="auto"/>
            <w:noWrap/>
            <w:vAlign w:val="center"/>
            <w:hideMark/>
          </w:tcPr>
          <w:p w:rsidR="006568BA" w:rsidRPr="006568BA" w:rsidRDefault="006568BA" w:rsidP="006568BA">
            <w:pPr>
              <w:jc w:val="center"/>
              <w:rPr>
                <w:rFonts w:ascii="Cambria" w:hAnsi="Cambria"/>
                <w:b/>
                <w:bCs/>
                <w:sz w:val="16"/>
                <w:szCs w:val="16"/>
              </w:rPr>
            </w:pPr>
            <w:r w:rsidRPr="006568BA">
              <w:rPr>
                <w:rFonts w:ascii="Cambria" w:hAnsi="Cambria"/>
                <w:b/>
                <w:bCs/>
                <w:sz w:val="16"/>
                <w:szCs w:val="16"/>
              </w:rPr>
              <w:t>115,00</w:t>
            </w:r>
          </w:p>
        </w:tc>
        <w:tc>
          <w:tcPr>
            <w:tcW w:w="1000" w:type="pct"/>
            <w:shd w:val="clear" w:color="auto" w:fill="auto"/>
            <w:noWrap/>
            <w:vAlign w:val="center"/>
            <w:hideMark/>
          </w:tcPr>
          <w:p w:rsidR="006568BA" w:rsidRPr="006568BA" w:rsidRDefault="006568BA" w:rsidP="006568BA">
            <w:pPr>
              <w:jc w:val="center"/>
              <w:rPr>
                <w:rFonts w:ascii="Cambria" w:hAnsi="Cambria"/>
                <w:b/>
                <w:bCs/>
                <w:sz w:val="16"/>
                <w:szCs w:val="16"/>
              </w:rPr>
            </w:pPr>
            <w:r w:rsidRPr="006568BA">
              <w:rPr>
                <w:rFonts w:ascii="Cambria" w:hAnsi="Cambria"/>
                <w:b/>
                <w:bCs/>
                <w:sz w:val="16"/>
                <w:szCs w:val="16"/>
              </w:rPr>
              <w:t>190,00</w:t>
            </w:r>
          </w:p>
        </w:tc>
      </w:tr>
      <w:tr w:rsidR="006568BA" w:rsidRPr="006568BA" w:rsidTr="006568BA">
        <w:trPr>
          <w:cantSplit/>
          <w:trHeight w:val="170"/>
        </w:trPr>
        <w:tc>
          <w:tcPr>
            <w:tcW w:w="1000" w:type="pct"/>
            <w:shd w:val="clear" w:color="auto" w:fill="auto"/>
            <w:vAlign w:val="center"/>
            <w:hideMark/>
          </w:tcPr>
          <w:p w:rsidR="006568BA" w:rsidRPr="006568BA" w:rsidRDefault="006568BA" w:rsidP="006568BA">
            <w:pPr>
              <w:rPr>
                <w:rFonts w:ascii="Cambria" w:hAnsi="Cambria"/>
                <w:color w:val="000000"/>
                <w:sz w:val="16"/>
                <w:szCs w:val="16"/>
              </w:rPr>
            </w:pPr>
            <w:r w:rsidRPr="006568BA">
              <w:rPr>
                <w:rFonts w:ascii="Cambria" w:hAnsi="Cambria"/>
                <w:color w:val="000000"/>
                <w:sz w:val="16"/>
                <w:szCs w:val="16"/>
              </w:rPr>
              <w:lastRenderedPageBreak/>
              <w:t>Значение сегмента рынка (по площади)</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&lt; 1 га</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1-2,5</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&lt;1</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1-2,5</w:t>
            </w:r>
          </w:p>
        </w:tc>
      </w:tr>
      <w:tr w:rsidR="006568BA" w:rsidRPr="006568BA" w:rsidTr="006568BA">
        <w:trPr>
          <w:cantSplit/>
          <w:trHeight w:val="170"/>
        </w:trPr>
        <w:tc>
          <w:tcPr>
            <w:tcW w:w="1000" w:type="pct"/>
            <w:shd w:val="clear" w:color="auto" w:fill="auto"/>
            <w:vAlign w:val="center"/>
            <w:hideMark/>
          </w:tcPr>
          <w:p w:rsidR="006568BA" w:rsidRPr="006568BA" w:rsidRDefault="006568BA" w:rsidP="006568BA">
            <w:pPr>
              <w:rPr>
                <w:rFonts w:ascii="Cambria" w:hAnsi="Cambria"/>
                <w:color w:val="000000"/>
                <w:sz w:val="16"/>
                <w:szCs w:val="16"/>
              </w:rPr>
            </w:pPr>
            <w:r w:rsidRPr="006568BA">
              <w:rPr>
                <w:rFonts w:ascii="Cambria" w:hAnsi="Cambria"/>
                <w:color w:val="000000"/>
                <w:sz w:val="16"/>
                <w:szCs w:val="16"/>
              </w:rPr>
              <w:t>Корректировка</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4,00%</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0,00%</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4,00%</w:t>
            </w:r>
          </w:p>
        </w:tc>
      </w:tr>
      <w:tr w:rsidR="006568BA" w:rsidRPr="006568BA" w:rsidTr="006568BA">
        <w:trPr>
          <w:cantSplit/>
          <w:trHeight w:val="170"/>
        </w:trPr>
        <w:tc>
          <w:tcPr>
            <w:tcW w:w="1000" w:type="pct"/>
            <w:shd w:val="clear" w:color="auto" w:fill="auto"/>
            <w:vAlign w:val="center"/>
            <w:hideMark/>
          </w:tcPr>
          <w:p w:rsidR="006568BA" w:rsidRPr="006568BA" w:rsidRDefault="006568BA" w:rsidP="006568BA">
            <w:pPr>
              <w:rPr>
                <w:rFonts w:ascii="Cambria" w:hAnsi="Cambria"/>
                <w:b/>
                <w:bCs/>
                <w:color w:val="000000"/>
                <w:sz w:val="16"/>
                <w:szCs w:val="16"/>
              </w:rPr>
            </w:pPr>
            <w:r w:rsidRPr="006568BA">
              <w:rPr>
                <w:rFonts w:ascii="Cambria" w:hAnsi="Cambria"/>
                <w:b/>
                <w:bCs/>
                <w:color w:val="000000"/>
                <w:sz w:val="16"/>
                <w:szCs w:val="16"/>
              </w:rPr>
              <w:t>Скорректированная цена, руб. кв.м.</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w:t>
            </w:r>
          </w:p>
        </w:tc>
        <w:tc>
          <w:tcPr>
            <w:tcW w:w="1000" w:type="pct"/>
            <w:shd w:val="clear" w:color="auto" w:fill="auto"/>
            <w:noWrap/>
            <w:vAlign w:val="center"/>
            <w:hideMark/>
          </w:tcPr>
          <w:p w:rsidR="006568BA" w:rsidRPr="006568BA" w:rsidRDefault="006568BA" w:rsidP="006568BA">
            <w:pPr>
              <w:jc w:val="center"/>
              <w:rPr>
                <w:rFonts w:ascii="Cambria" w:hAnsi="Cambria"/>
                <w:b/>
                <w:bCs/>
                <w:sz w:val="16"/>
                <w:szCs w:val="16"/>
              </w:rPr>
            </w:pPr>
            <w:r w:rsidRPr="006568BA">
              <w:rPr>
                <w:rFonts w:ascii="Cambria" w:hAnsi="Cambria"/>
                <w:b/>
                <w:bCs/>
                <w:sz w:val="16"/>
                <w:szCs w:val="16"/>
              </w:rPr>
              <w:t>180,00</w:t>
            </w:r>
          </w:p>
        </w:tc>
        <w:tc>
          <w:tcPr>
            <w:tcW w:w="1000" w:type="pct"/>
            <w:shd w:val="clear" w:color="auto" w:fill="auto"/>
            <w:noWrap/>
            <w:vAlign w:val="center"/>
            <w:hideMark/>
          </w:tcPr>
          <w:p w:rsidR="006568BA" w:rsidRPr="006568BA" w:rsidRDefault="006568BA" w:rsidP="006568BA">
            <w:pPr>
              <w:jc w:val="center"/>
              <w:rPr>
                <w:rFonts w:ascii="Cambria" w:hAnsi="Cambria"/>
                <w:b/>
                <w:bCs/>
                <w:sz w:val="16"/>
                <w:szCs w:val="16"/>
              </w:rPr>
            </w:pPr>
            <w:r w:rsidRPr="006568BA">
              <w:rPr>
                <w:rFonts w:ascii="Cambria" w:hAnsi="Cambria"/>
                <w:b/>
                <w:bCs/>
                <w:sz w:val="16"/>
                <w:szCs w:val="16"/>
              </w:rPr>
              <w:t>115,00</w:t>
            </w:r>
          </w:p>
        </w:tc>
        <w:tc>
          <w:tcPr>
            <w:tcW w:w="1000" w:type="pct"/>
            <w:shd w:val="clear" w:color="auto" w:fill="auto"/>
            <w:noWrap/>
            <w:vAlign w:val="center"/>
            <w:hideMark/>
          </w:tcPr>
          <w:p w:rsidR="006568BA" w:rsidRPr="006568BA" w:rsidRDefault="006568BA" w:rsidP="006568BA">
            <w:pPr>
              <w:jc w:val="center"/>
              <w:rPr>
                <w:rFonts w:ascii="Cambria" w:hAnsi="Cambria"/>
                <w:b/>
                <w:bCs/>
                <w:sz w:val="16"/>
                <w:szCs w:val="16"/>
              </w:rPr>
            </w:pPr>
            <w:r w:rsidRPr="006568BA">
              <w:rPr>
                <w:rFonts w:ascii="Cambria" w:hAnsi="Cambria"/>
                <w:b/>
                <w:bCs/>
                <w:sz w:val="16"/>
                <w:szCs w:val="16"/>
              </w:rPr>
              <w:t>197,60</w:t>
            </w:r>
          </w:p>
        </w:tc>
      </w:tr>
      <w:tr w:rsidR="006568BA" w:rsidRPr="006568BA" w:rsidTr="006568BA">
        <w:trPr>
          <w:cantSplit/>
          <w:trHeight w:val="170"/>
        </w:trPr>
        <w:tc>
          <w:tcPr>
            <w:tcW w:w="5000" w:type="pct"/>
            <w:gridSpan w:val="5"/>
            <w:shd w:val="clear" w:color="000000" w:fill="F2F2F2"/>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Расчет средневзвешенного значения стоимости</w:t>
            </w:r>
          </w:p>
        </w:tc>
      </w:tr>
      <w:tr w:rsidR="006568BA" w:rsidRPr="006568BA" w:rsidTr="006568BA">
        <w:trPr>
          <w:cantSplit/>
          <w:trHeight w:val="170"/>
        </w:trPr>
        <w:tc>
          <w:tcPr>
            <w:tcW w:w="1000" w:type="pct"/>
            <w:shd w:val="clear" w:color="auto" w:fill="auto"/>
            <w:vAlign w:val="center"/>
            <w:hideMark/>
          </w:tcPr>
          <w:p w:rsidR="006568BA" w:rsidRPr="006568BA" w:rsidRDefault="006568BA" w:rsidP="006568BA">
            <w:pPr>
              <w:rPr>
                <w:rFonts w:ascii="Cambria" w:hAnsi="Cambria"/>
                <w:color w:val="000000"/>
                <w:sz w:val="16"/>
                <w:szCs w:val="16"/>
              </w:rPr>
            </w:pPr>
            <w:r w:rsidRPr="006568BA">
              <w:rPr>
                <w:rFonts w:ascii="Cambria" w:hAnsi="Cambria"/>
                <w:color w:val="000000"/>
                <w:sz w:val="16"/>
                <w:szCs w:val="16"/>
              </w:rPr>
              <w:t>Валовая корректировка</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w:t>
            </w:r>
          </w:p>
        </w:tc>
        <w:tc>
          <w:tcPr>
            <w:tcW w:w="1000" w:type="pct"/>
            <w:shd w:val="clear" w:color="auto" w:fill="auto"/>
            <w:noWrap/>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14,00%</w:t>
            </w:r>
          </w:p>
        </w:tc>
        <w:tc>
          <w:tcPr>
            <w:tcW w:w="1000" w:type="pct"/>
            <w:shd w:val="clear" w:color="auto" w:fill="auto"/>
            <w:noWrap/>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10,00%</w:t>
            </w:r>
          </w:p>
        </w:tc>
        <w:tc>
          <w:tcPr>
            <w:tcW w:w="1000" w:type="pct"/>
            <w:shd w:val="clear" w:color="auto" w:fill="auto"/>
            <w:noWrap/>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14,00%</w:t>
            </w:r>
          </w:p>
        </w:tc>
      </w:tr>
      <w:tr w:rsidR="006568BA" w:rsidRPr="006568BA" w:rsidTr="006568BA">
        <w:trPr>
          <w:cantSplit/>
          <w:trHeight w:val="170"/>
        </w:trPr>
        <w:tc>
          <w:tcPr>
            <w:tcW w:w="1000" w:type="pct"/>
            <w:shd w:val="clear" w:color="auto" w:fill="auto"/>
            <w:vAlign w:val="center"/>
            <w:hideMark/>
          </w:tcPr>
          <w:p w:rsidR="006568BA" w:rsidRPr="006568BA" w:rsidRDefault="006568BA" w:rsidP="006568BA">
            <w:pPr>
              <w:rPr>
                <w:rFonts w:ascii="Cambria" w:hAnsi="Cambria"/>
                <w:color w:val="000000"/>
                <w:sz w:val="16"/>
                <w:szCs w:val="16"/>
              </w:rPr>
            </w:pPr>
            <w:r w:rsidRPr="006568BA">
              <w:rPr>
                <w:rFonts w:ascii="Cambria" w:hAnsi="Cambria"/>
                <w:color w:val="000000"/>
                <w:sz w:val="16"/>
                <w:szCs w:val="16"/>
              </w:rPr>
              <w:t>Вес аналога</w:t>
            </w:r>
          </w:p>
        </w:tc>
        <w:tc>
          <w:tcPr>
            <w:tcW w:w="1000" w:type="pct"/>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w:t>
            </w:r>
          </w:p>
        </w:tc>
        <w:tc>
          <w:tcPr>
            <w:tcW w:w="1000" w:type="pct"/>
            <w:shd w:val="clear" w:color="auto" w:fill="auto"/>
            <w:noWrap/>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31,6%</w:t>
            </w:r>
          </w:p>
        </w:tc>
        <w:tc>
          <w:tcPr>
            <w:tcW w:w="1000" w:type="pct"/>
            <w:shd w:val="clear" w:color="auto" w:fill="auto"/>
            <w:noWrap/>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36,8%</w:t>
            </w:r>
          </w:p>
        </w:tc>
        <w:tc>
          <w:tcPr>
            <w:tcW w:w="1000" w:type="pct"/>
            <w:shd w:val="clear" w:color="auto" w:fill="auto"/>
            <w:noWrap/>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31,6%</w:t>
            </w:r>
          </w:p>
        </w:tc>
      </w:tr>
      <w:tr w:rsidR="006568BA" w:rsidRPr="006568BA" w:rsidTr="006568BA">
        <w:trPr>
          <w:cantSplit/>
          <w:trHeight w:val="170"/>
        </w:trPr>
        <w:tc>
          <w:tcPr>
            <w:tcW w:w="1000" w:type="pct"/>
            <w:shd w:val="clear" w:color="auto" w:fill="auto"/>
            <w:vAlign w:val="center"/>
            <w:hideMark/>
          </w:tcPr>
          <w:p w:rsidR="006568BA" w:rsidRPr="006568BA" w:rsidRDefault="006568BA" w:rsidP="006568BA">
            <w:pPr>
              <w:rPr>
                <w:rFonts w:ascii="Cambria" w:hAnsi="Cambria"/>
                <w:b/>
                <w:bCs/>
                <w:color w:val="000000"/>
                <w:sz w:val="16"/>
                <w:szCs w:val="16"/>
              </w:rPr>
            </w:pPr>
            <w:r w:rsidRPr="006568BA">
              <w:rPr>
                <w:rFonts w:ascii="Cambria" w:hAnsi="Cambria"/>
                <w:b/>
                <w:bCs/>
                <w:color w:val="000000"/>
                <w:sz w:val="16"/>
                <w:szCs w:val="16"/>
              </w:rPr>
              <w:t xml:space="preserve">Средневзвешенное значение, руб./кв. м </w:t>
            </w:r>
          </w:p>
        </w:tc>
        <w:tc>
          <w:tcPr>
            <w:tcW w:w="4000" w:type="pct"/>
            <w:gridSpan w:val="4"/>
            <w:shd w:val="clear" w:color="auto" w:fill="auto"/>
            <w:vAlign w:val="center"/>
            <w:hideMark/>
          </w:tcPr>
          <w:p w:rsidR="006568BA" w:rsidRPr="006568BA" w:rsidRDefault="006568BA" w:rsidP="006568BA">
            <w:pPr>
              <w:jc w:val="center"/>
              <w:rPr>
                <w:rFonts w:ascii="Cambria" w:hAnsi="Cambria"/>
                <w:b/>
                <w:bCs/>
                <w:color w:val="000000"/>
                <w:sz w:val="16"/>
                <w:szCs w:val="16"/>
              </w:rPr>
            </w:pPr>
            <w:r w:rsidRPr="006568BA">
              <w:rPr>
                <w:rFonts w:ascii="Cambria" w:hAnsi="Cambria"/>
                <w:b/>
                <w:bCs/>
                <w:color w:val="000000"/>
                <w:sz w:val="16"/>
                <w:szCs w:val="16"/>
              </w:rPr>
              <w:t>161,61</w:t>
            </w:r>
          </w:p>
        </w:tc>
      </w:tr>
    </w:tbl>
    <w:p w:rsidR="00CE17F5" w:rsidRPr="00EE24D6" w:rsidRDefault="00CE17F5" w:rsidP="00CE17F5">
      <w:pPr>
        <w:spacing w:before="120" w:after="120"/>
        <w:jc w:val="both"/>
        <w:rPr>
          <w:rFonts w:ascii="Bookman Old Style" w:hAnsi="Bookman Old Style"/>
          <w:color w:val="000000"/>
          <w:sz w:val="20"/>
          <w:szCs w:val="20"/>
        </w:rPr>
      </w:pPr>
      <w:r w:rsidRPr="00EE24D6">
        <w:rPr>
          <w:rFonts w:ascii="Bookman Old Style" w:hAnsi="Bookman Old Style"/>
          <w:color w:val="000000"/>
          <w:sz w:val="20"/>
          <w:szCs w:val="20"/>
        </w:rPr>
        <w:t>Обоснование выбора элементов сравнения, расчет корректировок:</w:t>
      </w:r>
    </w:p>
    <w:p w:rsidR="00CE17F5" w:rsidRPr="00EE24D6" w:rsidRDefault="00CE17F5" w:rsidP="00303E37">
      <w:pPr>
        <w:numPr>
          <w:ilvl w:val="1"/>
          <w:numId w:val="60"/>
        </w:numPr>
        <w:spacing w:before="120" w:after="120"/>
        <w:ind w:left="709"/>
        <w:jc w:val="both"/>
        <w:rPr>
          <w:rFonts w:ascii="Bookman Old Style" w:hAnsi="Bookman Old Style"/>
          <w:sz w:val="20"/>
          <w:szCs w:val="20"/>
        </w:rPr>
      </w:pPr>
      <w:r w:rsidRPr="00EE24D6">
        <w:rPr>
          <w:rFonts w:ascii="Bookman Old Style" w:hAnsi="Bookman Old Style"/>
          <w:sz w:val="20"/>
          <w:szCs w:val="20"/>
        </w:rPr>
        <w:t xml:space="preserve">Передаваемые права. Существенное значение имеет идентификация передаваемых прав на недвижимость в каждой сопоставимой сделке выбранной для анализа, поскольку цена сделки всегда основывается на передаваемом интересе в имуществе. </w:t>
      </w:r>
    </w:p>
    <w:p w:rsidR="00CE17F5" w:rsidRPr="00EE24D6" w:rsidRDefault="00CE17F5" w:rsidP="00CE17F5">
      <w:pPr>
        <w:spacing w:before="120" w:after="120"/>
        <w:ind w:left="720"/>
        <w:jc w:val="both"/>
        <w:rPr>
          <w:rFonts w:ascii="Bookman Old Style" w:hAnsi="Bookman Old Style"/>
          <w:sz w:val="20"/>
          <w:szCs w:val="20"/>
        </w:rPr>
      </w:pPr>
      <w:r>
        <w:rPr>
          <w:rFonts w:ascii="Bookman Old Style" w:hAnsi="Bookman Old Style"/>
          <w:sz w:val="20"/>
          <w:szCs w:val="20"/>
        </w:rPr>
        <w:t>Результат оценки используется для проведения торгов по продаже Объекта оценки в составе его элементов. При совершении сделки продажи предусмотрен переход права собственности на оцениваемый земельный участок.</w:t>
      </w:r>
      <w:r w:rsidRPr="00EE24D6">
        <w:rPr>
          <w:rFonts w:ascii="Bookman Old Style" w:hAnsi="Bookman Old Style"/>
          <w:sz w:val="20"/>
          <w:szCs w:val="20"/>
        </w:rPr>
        <w:t xml:space="preserve"> Корректировка аналогов по данному элементу сравнения не требуется.</w:t>
      </w:r>
    </w:p>
    <w:p w:rsidR="00CE17F5" w:rsidRPr="00EE24D6" w:rsidRDefault="00CE17F5" w:rsidP="00303E37">
      <w:pPr>
        <w:numPr>
          <w:ilvl w:val="1"/>
          <w:numId w:val="60"/>
        </w:numPr>
        <w:spacing w:before="120" w:after="120"/>
        <w:ind w:left="709"/>
        <w:jc w:val="both"/>
        <w:rPr>
          <w:rFonts w:ascii="Bookman Old Style" w:hAnsi="Bookman Old Style"/>
          <w:sz w:val="20"/>
          <w:szCs w:val="20"/>
        </w:rPr>
      </w:pPr>
      <w:r w:rsidRPr="00EE24D6">
        <w:rPr>
          <w:rFonts w:ascii="Bookman Old Style" w:hAnsi="Bookman Old Style"/>
          <w:sz w:val="20"/>
          <w:szCs w:val="20"/>
        </w:rPr>
        <w:t xml:space="preserve">Условия финансирования. Различные условия финансирования сделки могут привести к отличию цены, уплаченной за недвижимое имущество, от цены, уплаченной за другое идентичное имущество. </w:t>
      </w:r>
    </w:p>
    <w:p w:rsidR="00CE17F5" w:rsidRPr="00EE24D6" w:rsidRDefault="00CE17F5" w:rsidP="00CE17F5">
      <w:pPr>
        <w:spacing w:before="120" w:after="120"/>
        <w:ind w:left="720"/>
        <w:jc w:val="both"/>
        <w:rPr>
          <w:rFonts w:ascii="Bookman Old Style" w:hAnsi="Bookman Old Style"/>
          <w:sz w:val="20"/>
          <w:szCs w:val="20"/>
        </w:rPr>
      </w:pPr>
      <w:r w:rsidRPr="00EE24D6">
        <w:rPr>
          <w:rFonts w:ascii="Bookman Old Style" w:hAnsi="Bookman Old Style"/>
          <w:sz w:val="20"/>
          <w:szCs w:val="20"/>
        </w:rPr>
        <w:t>Поведенный анализ трансакции позволил отказаться от необходимости расчета данной корректировки.</w:t>
      </w:r>
    </w:p>
    <w:p w:rsidR="00CE17F5" w:rsidRPr="00EE24D6" w:rsidRDefault="00CE17F5" w:rsidP="00303E37">
      <w:pPr>
        <w:numPr>
          <w:ilvl w:val="1"/>
          <w:numId w:val="60"/>
        </w:numPr>
        <w:spacing w:before="120" w:after="120"/>
        <w:ind w:left="709"/>
        <w:jc w:val="both"/>
        <w:rPr>
          <w:rFonts w:ascii="Bookman Old Style" w:hAnsi="Bookman Old Style"/>
          <w:sz w:val="20"/>
          <w:szCs w:val="20"/>
        </w:rPr>
      </w:pPr>
      <w:r w:rsidRPr="00EE24D6">
        <w:rPr>
          <w:rFonts w:ascii="Bookman Old Style" w:hAnsi="Bookman Old Style"/>
          <w:sz w:val="20"/>
          <w:szCs w:val="20"/>
        </w:rPr>
        <w:t xml:space="preserve">Условия рынка. Под корректировкой цен на рыночные условия понимается корректировка цен на время от даты сделки (экспозиции) аналога до даты оценки. На рынке коммерческой недвижимости цены с течением времени изменяются. Причиной этого могут быть инфляционные или дефляционные процессы в экономике. Изменение цен может произойти в результате принятия новых законов, налоговых норм, а так же в связи с колебанием спроса и предложения на недвижимость в целом или ее отдельные типы. Корректировка на условия рынка, вносится в том случае, если аналоги выставлялись на продажу раньше даты оценки объекта. </w:t>
      </w:r>
    </w:p>
    <w:p w:rsidR="00CE17F5" w:rsidRPr="00EE24D6" w:rsidRDefault="00CE17F5" w:rsidP="00CE17F5">
      <w:pPr>
        <w:spacing w:before="120" w:after="120"/>
        <w:ind w:left="709"/>
        <w:jc w:val="both"/>
        <w:rPr>
          <w:rFonts w:ascii="Bookman Old Style" w:hAnsi="Bookman Old Style"/>
          <w:sz w:val="20"/>
          <w:szCs w:val="20"/>
        </w:rPr>
      </w:pPr>
      <w:r w:rsidRPr="00EE24D6">
        <w:rPr>
          <w:rFonts w:ascii="Bookman Old Style" w:hAnsi="Bookman Old Style"/>
          <w:sz w:val="20"/>
          <w:szCs w:val="20"/>
        </w:rPr>
        <w:t>Поскольку в расчетах используется актуальная на дату определения стоимости информация, корректировка по данному фактору не проводилась.</w:t>
      </w:r>
    </w:p>
    <w:p w:rsidR="00CE17F5" w:rsidRPr="00EE24D6" w:rsidRDefault="00CE17F5" w:rsidP="00303E37">
      <w:pPr>
        <w:numPr>
          <w:ilvl w:val="1"/>
          <w:numId w:val="60"/>
        </w:numPr>
        <w:spacing w:before="120" w:after="120"/>
        <w:ind w:left="709"/>
        <w:jc w:val="both"/>
        <w:rPr>
          <w:rFonts w:ascii="Bookman Old Style" w:hAnsi="Bookman Old Style"/>
          <w:sz w:val="20"/>
          <w:szCs w:val="20"/>
        </w:rPr>
      </w:pPr>
      <w:r w:rsidRPr="00EE24D6">
        <w:rPr>
          <w:rFonts w:ascii="Bookman Old Style" w:hAnsi="Bookman Old Style"/>
          <w:sz w:val="20"/>
          <w:szCs w:val="20"/>
        </w:rPr>
        <w:t xml:space="preserve">Условия продажи (Вид сделки). При проведении расчета использованы цены предложения продаж земельных участков. С учетом сложившейся практики, </w:t>
      </w:r>
      <w:r w:rsidRPr="00EE24D6">
        <w:rPr>
          <w:rFonts w:ascii="Bookman Old Style" w:eastAsia="Calibri" w:hAnsi="Bookman Old Style"/>
          <w:color w:val="000000"/>
          <w:sz w:val="20"/>
          <w:szCs w:val="20"/>
        </w:rPr>
        <w:t>чтобы устранить систематическую составляющую погрешности, используется понижающая процентная поправка</w:t>
      </w:r>
      <w:r w:rsidRPr="00EE24D6">
        <w:rPr>
          <w:rFonts w:ascii="Bookman Old Style" w:hAnsi="Bookman Old Style"/>
          <w:sz w:val="20"/>
          <w:szCs w:val="20"/>
        </w:rPr>
        <w:t>.</w:t>
      </w:r>
      <w:r w:rsidRPr="00EE24D6">
        <w:rPr>
          <w:rFonts w:ascii="Bookman Old Style" w:eastAsia="Calibri" w:hAnsi="Bookman Old Style"/>
          <w:color w:val="000000"/>
          <w:sz w:val="20"/>
          <w:szCs w:val="20"/>
        </w:rPr>
        <w:t xml:space="preserve"> Так как фактическая цена сделки может быть скорректирована в ходе предварительных переговоров между покупателем и продавцом – требуется расчет корректировки.</w:t>
      </w:r>
      <w:r w:rsidRPr="00EE24D6">
        <w:rPr>
          <w:rFonts w:ascii="Bookman Old Style" w:hAnsi="Bookman Old Style"/>
          <w:sz w:val="20"/>
          <w:szCs w:val="20"/>
        </w:rPr>
        <w:t xml:space="preserve"> </w:t>
      </w:r>
    </w:p>
    <w:p w:rsidR="00CE17F5" w:rsidRDefault="00CE17F5" w:rsidP="00CE17F5">
      <w:pPr>
        <w:spacing w:before="120" w:after="120"/>
        <w:ind w:left="720"/>
        <w:jc w:val="both"/>
        <w:rPr>
          <w:rFonts w:ascii="Bookman Old Style" w:hAnsi="Bookman Old Style"/>
          <w:sz w:val="20"/>
          <w:szCs w:val="20"/>
        </w:rPr>
      </w:pPr>
      <w:r w:rsidRPr="00EE24D6">
        <w:rPr>
          <w:rFonts w:ascii="Bookman Old Style" w:hAnsi="Bookman Old Style"/>
          <w:sz w:val="20"/>
          <w:szCs w:val="20"/>
        </w:rPr>
        <w:t>Расчет корректировки проведен экспертным методом</w:t>
      </w:r>
      <w:r w:rsidRPr="00EE24D6">
        <w:rPr>
          <w:rFonts w:ascii="Bookman Old Style" w:hAnsi="Bookman Old Style"/>
          <w:sz w:val="20"/>
          <w:szCs w:val="20"/>
          <w:vertAlign w:val="superscript"/>
        </w:rPr>
        <w:footnoteReference w:id="55"/>
      </w:r>
      <w:r w:rsidRPr="00EE24D6">
        <w:rPr>
          <w:rFonts w:ascii="Bookman Old Style" w:hAnsi="Bookman Old Style"/>
          <w:sz w:val="20"/>
          <w:szCs w:val="20"/>
        </w:rPr>
        <w:t xml:space="preserve">. </w:t>
      </w:r>
      <w:r>
        <w:rPr>
          <w:rFonts w:ascii="Bookman Old Style" w:hAnsi="Bookman Old Style"/>
          <w:sz w:val="20"/>
          <w:szCs w:val="20"/>
        </w:rPr>
        <w:t>Значения</w:t>
      </w:r>
      <w:r w:rsidRPr="00EE24D6">
        <w:rPr>
          <w:rFonts w:ascii="Bookman Old Style" w:hAnsi="Bookman Old Style"/>
          <w:sz w:val="20"/>
          <w:szCs w:val="20"/>
        </w:rPr>
        <w:t xml:space="preserve"> диапазона скидок </w:t>
      </w:r>
      <w:r>
        <w:rPr>
          <w:rFonts w:ascii="Bookman Old Style" w:hAnsi="Bookman Old Style"/>
          <w:sz w:val="20"/>
          <w:szCs w:val="20"/>
        </w:rPr>
        <w:t xml:space="preserve">для земельных участков под промышленную застройку </w:t>
      </w:r>
      <w:r w:rsidRPr="00EE24D6">
        <w:rPr>
          <w:rFonts w:ascii="Bookman Old Style" w:hAnsi="Bookman Old Style"/>
          <w:sz w:val="20"/>
          <w:szCs w:val="20"/>
        </w:rPr>
        <w:t xml:space="preserve">составляет </w:t>
      </w:r>
      <w:r w:rsidR="006568BA">
        <w:rPr>
          <w:rFonts w:ascii="Bookman Old Style" w:hAnsi="Bookman Old Style"/>
          <w:sz w:val="20"/>
          <w:szCs w:val="20"/>
        </w:rPr>
        <w:t>9</w:t>
      </w:r>
      <w:r>
        <w:rPr>
          <w:rFonts w:ascii="Bookman Old Style" w:hAnsi="Bookman Old Style"/>
          <w:sz w:val="20"/>
          <w:szCs w:val="20"/>
        </w:rPr>
        <w:t>%-1</w:t>
      </w:r>
      <w:r w:rsidR="006568BA">
        <w:rPr>
          <w:rFonts w:ascii="Bookman Old Style" w:hAnsi="Bookman Old Style"/>
          <w:sz w:val="20"/>
          <w:szCs w:val="20"/>
        </w:rPr>
        <w:t>0</w:t>
      </w:r>
      <w:r>
        <w:rPr>
          <w:rFonts w:ascii="Bookman Old Style" w:hAnsi="Bookman Old Style"/>
          <w:sz w:val="20"/>
          <w:szCs w:val="20"/>
        </w:rPr>
        <w:t>%.</w:t>
      </w:r>
      <w:r w:rsidRPr="00EE24D6">
        <w:rPr>
          <w:rFonts w:ascii="Bookman Old Style" w:hAnsi="Bookman Old Style"/>
          <w:sz w:val="20"/>
          <w:szCs w:val="20"/>
        </w:rPr>
        <w:t xml:space="preserve"> При расчете выбрано значение диапазона равное -1</w:t>
      </w:r>
      <w:r w:rsidR="006568BA">
        <w:rPr>
          <w:rFonts w:ascii="Bookman Old Style" w:hAnsi="Bookman Old Style"/>
          <w:sz w:val="20"/>
          <w:szCs w:val="20"/>
        </w:rPr>
        <w:t>0</w:t>
      </w:r>
      <w:r w:rsidRPr="00EE24D6">
        <w:rPr>
          <w:rFonts w:ascii="Bookman Old Style" w:hAnsi="Bookman Old Style"/>
          <w:sz w:val="20"/>
          <w:szCs w:val="20"/>
        </w:rPr>
        <w:t>%.</w:t>
      </w:r>
      <w:r w:rsidRPr="00D460CB">
        <w:rPr>
          <w:rFonts w:ascii="Bookman Old Style" w:hAnsi="Bookman Old Style"/>
          <w:sz w:val="20"/>
          <w:szCs w:val="20"/>
        </w:rPr>
        <w:t xml:space="preserve"> </w:t>
      </w:r>
    </w:p>
    <w:p w:rsidR="00CE17F5" w:rsidRPr="00EE24D6" w:rsidRDefault="00CE17F5" w:rsidP="00303E37">
      <w:pPr>
        <w:numPr>
          <w:ilvl w:val="1"/>
          <w:numId w:val="60"/>
        </w:numPr>
        <w:spacing w:before="120" w:after="120"/>
        <w:ind w:left="709"/>
        <w:jc w:val="both"/>
        <w:rPr>
          <w:rFonts w:ascii="Bookman Old Style" w:hAnsi="Bookman Old Style"/>
          <w:sz w:val="20"/>
          <w:szCs w:val="20"/>
        </w:rPr>
      </w:pPr>
      <w:r w:rsidRPr="00EE24D6">
        <w:rPr>
          <w:rFonts w:ascii="Bookman Old Style" w:hAnsi="Bookman Old Style"/>
          <w:sz w:val="20"/>
          <w:szCs w:val="20"/>
        </w:rPr>
        <w:t>Местоположение.  При расчете корректировки следует сравнить местоположение объектов имущества в сопоставимых продажах и рассматриваемого имущества, чтобы установить влияет ли местоположение и ближайшие окрестности на уплачиваемые цены.</w:t>
      </w:r>
      <w:r>
        <w:rPr>
          <w:rFonts w:ascii="Bookman Old Style" w:hAnsi="Bookman Old Style"/>
          <w:sz w:val="20"/>
          <w:szCs w:val="20"/>
        </w:rPr>
        <w:t xml:space="preserve"> </w:t>
      </w:r>
      <w:r w:rsidRPr="00CE17F5">
        <w:rPr>
          <w:rFonts w:ascii="Bookman Old Style" w:hAnsi="Bookman Old Style"/>
          <w:sz w:val="20"/>
          <w:szCs w:val="20"/>
        </w:rPr>
        <w:t>Корректировка по данному фактору для объектов-аналогов не применялась</w:t>
      </w:r>
    </w:p>
    <w:p w:rsidR="00CE17F5" w:rsidRPr="00DC37B3" w:rsidRDefault="00CE17F5" w:rsidP="00303E37">
      <w:pPr>
        <w:numPr>
          <w:ilvl w:val="1"/>
          <w:numId w:val="60"/>
        </w:numPr>
        <w:spacing w:before="120" w:after="120"/>
        <w:ind w:left="709"/>
        <w:jc w:val="both"/>
        <w:rPr>
          <w:rFonts w:ascii="Bookman Old Style" w:hAnsi="Bookman Old Style"/>
          <w:sz w:val="20"/>
          <w:szCs w:val="20"/>
        </w:rPr>
      </w:pPr>
      <w:r w:rsidRPr="00DC37B3">
        <w:rPr>
          <w:rFonts w:ascii="Bookman Old Style" w:hAnsi="Bookman Old Style"/>
          <w:sz w:val="20"/>
          <w:szCs w:val="20"/>
        </w:rPr>
        <w:t>Разрешенное использование. На использование имущества влияют зонирование или другие ограничения. Если имеет место отличие в текущем использовании или в НЭИ сопоставимого имущества от рассматриваемого имущества, следует тщательно изучить влияние этого отличия на стоимость.</w:t>
      </w:r>
      <w:r>
        <w:rPr>
          <w:rFonts w:ascii="Bookman Old Style" w:hAnsi="Bookman Old Style"/>
          <w:sz w:val="20"/>
          <w:szCs w:val="20"/>
        </w:rPr>
        <w:t xml:space="preserve"> </w:t>
      </w:r>
      <w:r w:rsidRPr="00CE17F5">
        <w:rPr>
          <w:rFonts w:ascii="Bookman Old Style" w:hAnsi="Bookman Old Style"/>
          <w:sz w:val="20"/>
          <w:szCs w:val="20"/>
        </w:rPr>
        <w:t>Разрешенное использование</w:t>
      </w:r>
      <w:r>
        <w:rPr>
          <w:rFonts w:ascii="Bookman Old Style" w:hAnsi="Bookman Old Style"/>
          <w:sz w:val="20"/>
          <w:szCs w:val="20"/>
        </w:rPr>
        <w:t xml:space="preserve"> объекта оценки и объектов аналогов совпадает. Корректировка не требуется.</w:t>
      </w:r>
    </w:p>
    <w:p w:rsidR="00CE17F5" w:rsidRPr="006568BA" w:rsidRDefault="00CE17F5" w:rsidP="006568BA">
      <w:pPr>
        <w:numPr>
          <w:ilvl w:val="1"/>
          <w:numId w:val="60"/>
        </w:numPr>
        <w:spacing w:before="120" w:after="120"/>
        <w:ind w:left="709"/>
        <w:jc w:val="both"/>
        <w:rPr>
          <w:rFonts w:ascii="Bookman Old Style" w:hAnsi="Bookman Old Style"/>
          <w:sz w:val="20"/>
          <w:szCs w:val="20"/>
        </w:rPr>
      </w:pPr>
      <w:r w:rsidRPr="00EE24D6">
        <w:rPr>
          <w:rFonts w:ascii="Bookman Old Style" w:hAnsi="Bookman Old Style"/>
          <w:sz w:val="20"/>
          <w:szCs w:val="20"/>
        </w:rPr>
        <w:t xml:space="preserve">Физические характеристики. Данная корректировка описывает физическое состояние рассматриваемого имущества и сопоставимых объектов, если состояние объекта оценки и объектов аналогов отличается, необходимо рассмотреть каждое из отличий с учетом </w:t>
      </w:r>
      <w:r w:rsidRPr="00EE24D6">
        <w:rPr>
          <w:rFonts w:ascii="Bookman Old Style" w:hAnsi="Bookman Old Style"/>
          <w:sz w:val="20"/>
          <w:szCs w:val="20"/>
        </w:rPr>
        <w:lastRenderedPageBreak/>
        <w:t xml:space="preserve">влияния на стоимость. </w:t>
      </w:r>
      <w:r w:rsidR="006568BA" w:rsidRPr="006568BA">
        <w:rPr>
          <w:rFonts w:ascii="Bookman Old Style" w:hAnsi="Bookman Old Style"/>
          <w:sz w:val="20"/>
          <w:szCs w:val="20"/>
        </w:rPr>
        <w:t>Объект оценки и объекты-аналоги имеют различия по площади. Как правило, большие по размеру земельные участки стоят несколько дешевле в расчете на единицу площади, чем меньшие по размеру, поэтому в цены аналогов необходимо внести корректировки. Расчет корректировки проведен экспертным методом</w:t>
      </w:r>
      <w:r w:rsidR="006568BA" w:rsidRPr="00EE24D6">
        <w:rPr>
          <w:rFonts w:ascii="Bookman Old Style" w:hAnsi="Bookman Old Style"/>
          <w:sz w:val="20"/>
          <w:szCs w:val="20"/>
          <w:vertAlign w:val="superscript"/>
        </w:rPr>
        <w:footnoteReference w:id="56"/>
      </w:r>
      <w:r w:rsidR="006568BA" w:rsidRPr="00EE24D6">
        <w:rPr>
          <w:rFonts w:ascii="Bookman Old Style" w:hAnsi="Bookman Old Style"/>
          <w:sz w:val="20"/>
          <w:szCs w:val="20"/>
        </w:rPr>
        <w:t>.</w:t>
      </w:r>
      <w:r w:rsidR="006568BA" w:rsidRPr="006568BA">
        <w:rPr>
          <w:rFonts w:ascii="Bookman Old Style" w:hAnsi="Bookman Old Style"/>
          <w:sz w:val="20"/>
          <w:szCs w:val="20"/>
        </w:rPr>
        <w:t xml:space="preserve"> При расчете рыночной стоимости земельного участка площадью &lt;1</w:t>
      </w:r>
      <w:r w:rsidR="006568BA">
        <w:rPr>
          <w:rFonts w:ascii="Bookman Old Style" w:hAnsi="Bookman Old Style"/>
          <w:sz w:val="20"/>
          <w:szCs w:val="20"/>
        </w:rPr>
        <w:t>га повышающий</w:t>
      </w:r>
      <w:r w:rsidR="006568BA" w:rsidRPr="006568BA">
        <w:rPr>
          <w:rFonts w:ascii="Bookman Old Style" w:hAnsi="Bookman Old Style"/>
          <w:sz w:val="20"/>
          <w:szCs w:val="20"/>
        </w:rPr>
        <w:t xml:space="preserve"> корректирующий коэффициент по цене предложений для Аналога № </w:t>
      </w:r>
      <w:r w:rsidR="006568BA">
        <w:rPr>
          <w:rFonts w:ascii="Bookman Old Style" w:hAnsi="Bookman Old Style"/>
          <w:sz w:val="20"/>
          <w:szCs w:val="20"/>
        </w:rPr>
        <w:t>1 № 3 составляет +</w:t>
      </w:r>
      <w:r w:rsidR="006568BA" w:rsidRPr="006568BA">
        <w:rPr>
          <w:rFonts w:ascii="Bookman Old Style" w:hAnsi="Bookman Old Style"/>
          <w:sz w:val="20"/>
          <w:szCs w:val="20"/>
        </w:rPr>
        <w:t>4,0%</w:t>
      </w:r>
      <w:r w:rsidR="006568BA">
        <w:rPr>
          <w:rFonts w:ascii="Bookman Old Style" w:hAnsi="Bookman Old Style"/>
          <w:sz w:val="20"/>
          <w:szCs w:val="20"/>
        </w:rPr>
        <w:t xml:space="preserve">, для </w:t>
      </w:r>
      <w:r w:rsidR="006568BA" w:rsidRPr="006568BA">
        <w:rPr>
          <w:rFonts w:ascii="Bookman Old Style" w:hAnsi="Bookman Old Style"/>
          <w:sz w:val="20"/>
          <w:szCs w:val="20"/>
        </w:rPr>
        <w:t>земельного участка площадью 1</w:t>
      </w:r>
      <w:r w:rsidR="006568BA">
        <w:rPr>
          <w:rFonts w:ascii="Bookman Old Style" w:hAnsi="Bookman Old Style"/>
          <w:sz w:val="20"/>
          <w:szCs w:val="20"/>
        </w:rPr>
        <w:t>-2,5</w:t>
      </w:r>
      <w:r w:rsidR="006568BA" w:rsidRPr="006568BA">
        <w:rPr>
          <w:rFonts w:ascii="Bookman Old Style" w:hAnsi="Bookman Old Style"/>
          <w:sz w:val="20"/>
          <w:szCs w:val="20"/>
        </w:rPr>
        <w:t xml:space="preserve">га понижающий корректирующий коэффициент по цене предложений для Аналога № 1 № 3 составляет </w:t>
      </w:r>
      <w:r w:rsidR="006568BA">
        <w:rPr>
          <w:rFonts w:ascii="Bookman Old Style" w:hAnsi="Bookman Old Style"/>
          <w:sz w:val="20"/>
          <w:szCs w:val="20"/>
        </w:rPr>
        <w:t>-</w:t>
      </w:r>
      <w:r w:rsidR="006568BA" w:rsidRPr="006568BA">
        <w:rPr>
          <w:rFonts w:ascii="Bookman Old Style" w:hAnsi="Bookman Old Style"/>
          <w:sz w:val="20"/>
          <w:szCs w:val="20"/>
        </w:rPr>
        <w:t>4,0%.</w:t>
      </w:r>
    </w:p>
    <w:p w:rsidR="00CE17F5" w:rsidRDefault="00CE17F5" w:rsidP="00303E37">
      <w:pPr>
        <w:numPr>
          <w:ilvl w:val="1"/>
          <w:numId w:val="60"/>
        </w:numPr>
        <w:spacing w:before="120" w:after="120"/>
        <w:ind w:left="709"/>
        <w:jc w:val="both"/>
        <w:rPr>
          <w:rFonts w:ascii="Bookman Old Style" w:hAnsi="Bookman Old Style"/>
          <w:sz w:val="20"/>
          <w:szCs w:val="20"/>
        </w:rPr>
      </w:pPr>
      <w:r w:rsidRPr="00EE24D6">
        <w:rPr>
          <w:rFonts w:ascii="Bookman Old Style" w:hAnsi="Bookman Old Style"/>
          <w:sz w:val="20"/>
          <w:szCs w:val="20"/>
        </w:rPr>
        <w:t>Обоснование схемы согласования результатов. Расчет средневзвешенного значения рыночной стоимости</w:t>
      </w:r>
      <w:r>
        <w:rPr>
          <w:rFonts w:ascii="Bookman Old Style" w:hAnsi="Bookman Old Style"/>
          <w:sz w:val="20"/>
          <w:szCs w:val="20"/>
        </w:rPr>
        <w:t xml:space="preserve"> земельного участка</w:t>
      </w:r>
      <w:r w:rsidRPr="00EE24D6">
        <w:rPr>
          <w:rFonts w:ascii="Bookman Old Style" w:hAnsi="Bookman Old Style"/>
          <w:sz w:val="20"/>
          <w:szCs w:val="20"/>
        </w:rPr>
        <w:t xml:space="preserve"> Объекта оценки. </w:t>
      </w:r>
    </w:p>
    <w:p w:rsidR="00CE17F5" w:rsidRPr="00EE24D6" w:rsidRDefault="00CE17F5" w:rsidP="00CE17F5">
      <w:pPr>
        <w:spacing w:before="120" w:after="120"/>
        <w:ind w:left="709"/>
        <w:jc w:val="both"/>
        <w:rPr>
          <w:rFonts w:ascii="Bookman Old Style" w:hAnsi="Bookman Old Style"/>
          <w:sz w:val="20"/>
          <w:szCs w:val="20"/>
        </w:rPr>
      </w:pPr>
      <w:r w:rsidRPr="00EE24D6">
        <w:rPr>
          <w:rFonts w:ascii="Bookman Old Style" w:hAnsi="Bookman Old Style"/>
          <w:sz w:val="20"/>
          <w:szCs w:val="20"/>
        </w:rPr>
        <w:t xml:space="preserve">Для объектов аналогов сумма внесенных корректировок, по которым, значительна от базовой стоимости предложения, присвоены меньшие весовые значения. Данный факт объясняется снижением относительной ошибки в расчете. При этом необходимо отметить, что валовая корректировка рассчитывается по модулю. </w:t>
      </w:r>
    </w:p>
    <w:p w:rsidR="00CE17F5" w:rsidRPr="00EE24D6" w:rsidRDefault="00CE17F5" w:rsidP="00CE17F5">
      <w:pPr>
        <w:spacing w:before="120" w:after="120"/>
        <w:ind w:left="720"/>
        <w:rPr>
          <w:rFonts w:ascii="Bookman Old Style" w:hAnsi="Bookman Old Style"/>
          <w:sz w:val="20"/>
          <w:szCs w:val="20"/>
        </w:rPr>
      </w:pPr>
      <w:r w:rsidRPr="00EE24D6">
        <w:rPr>
          <w:rFonts w:ascii="Bookman Old Style" w:hAnsi="Bookman Old Style"/>
          <w:sz w:val="20"/>
          <w:szCs w:val="20"/>
        </w:rPr>
        <w:t>Вес аналога рассчитывается по формуле:</w:t>
      </w:r>
    </w:p>
    <w:p w:rsidR="00CE17F5" w:rsidRPr="00EE24D6" w:rsidRDefault="00CE17F5" w:rsidP="00CE17F5">
      <w:pPr>
        <w:spacing w:before="120" w:after="120"/>
        <w:ind w:left="720"/>
        <w:rPr>
          <w:rFonts w:ascii="Bookman Old Style" w:hAnsi="Bookman Old Style"/>
          <w:i/>
          <w:sz w:val="20"/>
          <w:szCs w:val="20"/>
          <w:lang w:val="en-GB"/>
        </w:rPr>
      </w:pPr>
      <m:oMathPara>
        <m:oMath>
          <m:r>
            <w:rPr>
              <w:rFonts w:ascii="Cambria Math" w:hAnsi="Cambria Math"/>
              <w:sz w:val="20"/>
              <w:szCs w:val="20"/>
            </w:rPr>
            <m:t>W=</m:t>
          </m:r>
          <m:d>
            <m:dPr>
              <m:ctrlPr>
                <w:rPr>
                  <w:rFonts w:ascii="Cambria Math" w:hAnsi="Cambria Math"/>
                  <w:i/>
                  <w:sz w:val="20"/>
                  <w:szCs w:val="20"/>
                </w:rPr>
              </m:ctrlPr>
            </m:dPr>
            <m:e>
              <m:r>
                <w:rPr>
                  <w:rFonts w:ascii="Cambria Math" w:hAnsi="Cambria Math"/>
                  <w:sz w:val="20"/>
                  <w:szCs w:val="20"/>
                </w:rPr>
                <m:t>1-</m:t>
              </m:r>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n</m:t>
                      </m:r>
                    </m:sub>
                  </m:sSub>
                </m:num>
                <m:den>
                  <m:nary>
                    <m:naryPr>
                      <m:chr m:val="∑"/>
                      <m:limLoc m:val="undOvr"/>
                      <m:subHide m:val="on"/>
                      <m:supHide m:val="on"/>
                      <m:ctrlPr>
                        <w:rPr>
                          <w:rFonts w:ascii="Cambria Math" w:hAnsi="Cambria Math"/>
                          <w:i/>
                          <w:sz w:val="20"/>
                          <w:szCs w:val="20"/>
                        </w:rPr>
                      </m:ctrlPr>
                    </m:naryPr>
                    <m:sub/>
                    <m:sup/>
                    <m:e>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n</m:t>
                          </m:r>
                        </m:sub>
                      </m:sSub>
                    </m:e>
                  </m:nary>
                </m:den>
              </m:f>
            </m:e>
          </m:d>
          <m:r>
            <w:rPr>
              <w:rFonts w:ascii="Cambria Math" w:hAnsi="Cambria Math"/>
              <w:sz w:val="20"/>
              <w:szCs w:val="20"/>
            </w:rPr>
            <m:t>÷</m:t>
          </m:r>
          <m:d>
            <m:dPr>
              <m:ctrlPr>
                <w:rPr>
                  <w:rFonts w:ascii="Cambria Math" w:hAnsi="Cambria Math"/>
                  <w:i/>
                  <w:sz w:val="20"/>
                  <w:szCs w:val="20"/>
                </w:rPr>
              </m:ctrlPr>
            </m:dPr>
            <m:e>
              <m:r>
                <w:rPr>
                  <w:rFonts w:ascii="Cambria Math" w:hAnsi="Cambria Math"/>
                  <w:sz w:val="20"/>
                  <w:szCs w:val="20"/>
                </w:rPr>
                <m:t>n-1</m:t>
              </m:r>
            </m:e>
          </m:d>
        </m:oMath>
      </m:oMathPara>
    </w:p>
    <w:p w:rsidR="00CE17F5" w:rsidRPr="00EE24D6" w:rsidRDefault="00CE17F5" w:rsidP="00CE17F5">
      <w:pPr>
        <w:spacing w:before="120" w:after="120"/>
        <w:ind w:left="720"/>
        <w:rPr>
          <w:rFonts w:ascii="Bookman Old Style" w:hAnsi="Bookman Old Style"/>
          <w:sz w:val="20"/>
          <w:szCs w:val="20"/>
        </w:rPr>
      </w:pPr>
      <w:r w:rsidRPr="00EE24D6">
        <w:rPr>
          <w:rFonts w:ascii="Bookman Old Style" w:hAnsi="Bookman Old Style"/>
          <w:sz w:val="20"/>
          <w:szCs w:val="20"/>
        </w:rPr>
        <w:t>где:</w:t>
      </w:r>
    </w:p>
    <w:p w:rsidR="00CE17F5" w:rsidRPr="00EE24D6" w:rsidRDefault="00CE17F5" w:rsidP="00CE17F5">
      <w:pPr>
        <w:spacing w:before="120" w:after="120"/>
        <w:ind w:left="720"/>
        <w:rPr>
          <w:rFonts w:ascii="Bookman Old Style" w:hAnsi="Bookman Old Style"/>
          <w:sz w:val="20"/>
          <w:szCs w:val="20"/>
        </w:rPr>
      </w:pPr>
      <w:r w:rsidRPr="00EE24D6">
        <w:rPr>
          <w:rFonts w:ascii="Bookman Old Style" w:hAnsi="Bookman Old Style"/>
          <w:sz w:val="20"/>
          <w:szCs w:val="20"/>
          <w:lang w:val="en-GB"/>
        </w:rPr>
        <w:t>W</w:t>
      </w:r>
      <w:r w:rsidRPr="00EE24D6">
        <w:rPr>
          <w:rFonts w:ascii="Bookman Old Style" w:hAnsi="Bookman Old Style"/>
          <w:sz w:val="20"/>
          <w:szCs w:val="20"/>
        </w:rPr>
        <w:t xml:space="preserve"> – вес аналога;</w:t>
      </w:r>
    </w:p>
    <w:p w:rsidR="00CE17F5" w:rsidRPr="00EE24D6" w:rsidRDefault="00CE17F5" w:rsidP="00CE17F5">
      <w:pPr>
        <w:spacing w:before="120" w:after="120"/>
        <w:ind w:left="720"/>
        <w:rPr>
          <w:rFonts w:ascii="Bookman Old Style" w:hAnsi="Bookman Old Style"/>
          <w:sz w:val="20"/>
          <w:szCs w:val="20"/>
        </w:rPr>
      </w:pPr>
      <w:r w:rsidRPr="00EE24D6">
        <w:rPr>
          <w:rFonts w:ascii="Bookman Old Style" w:hAnsi="Bookman Old Style"/>
          <w:sz w:val="20"/>
          <w:szCs w:val="20"/>
          <w:lang w:val="en-GB"/>
        </w:rPr>
        <w:t>Vn</w:t>
      </w:r>
      <w:r w:rsidRPr="00EE24D6">
        <w:rPr>
          <w:rFonts w:ascii="Bookman Old Style" w:hAnsi="Bookman Old Style"/>
          <w:sz w:val="20"/>
          <w:szCs w:val="20"/>
        </w:rPr>
        <w:t xml:space="preserve"> – валовая корректировка аналога;</w:t>
      </w:r>
    </w:p>
    <w:p w:rsidR="00CE17F5" w:rsidRPr="00EE24D6" w:rsidRDefault="00CE17F5" w:rsidP="00CE17F5">
      <w:pPr>
        <w:spacing w:before="120" w:after="120"/>
        <w:ind w:left="720"/>
        <w:rPr>
          <w:rFonts w:ascii="Bookman Old Style" w:hAnsi="Bookman Old Style"/>
          <w:sz w:val="20"/>
          <w:szCs w:val="20"/>
        </w:rPr>
      </w:pPr>
      <w:r w:rsidRPr="00EE24D6">
        <w:rPr>
          <w:rFonts w:ascii="Bookman Old Style" w:hAnsi="Bookman Old Style"/>
          <w:sz w:val="20"/>
          <w:szCs w:val="20"/>
        </w:rPr>
        <w:t>∑</w:t>
      </w:r>
      <w:r w:rsidRPr="00EE24D6">
        <w:rPr>
          <w:rFonts w:ascii="Bookman Old Style" w:hAnsi="Bookman Old Style"/>
          <w:sz w:val="20"/>
          <w:szCs w:val="20"/>
          <w:lang w:val="en-GB"/>
        </w:rPr>
        <w:t>Vn</w:t>
      </w:r>
      <w:r w:rsidRPr="00EE24D6">
        <w:rPr>
          <w:rFonts w:ascii="Bookman Old Style" w:hAnsi="Bookman Old Style"/>
          <w:sz w:val="20"/>
          <w:szCs w:val="20"/>
        </w:rPr>
        <w:t xml:space="preserve"> – сумма валовых корректировок используемых аналогов;</w:t>
      </w:r>
    </w:p>
    <w:p w:rsidR="00CE17F5" w:rsidRPr="00EE24D6" w:rsidRDefault="00CE17F5" w:rsidP="00CE17F5">
      <w:pPr>
        <w:spacing w:before="120" w:after="120"/>
        <w:ind w:left="720"/>
        <w:rPr>
          <w:rFonts w:ascii="Bookman Old Style" w:hAnsi="Bookman Old Style"/>
          <w:sz w:val="20"/>
          <w:szCs w:val="20"/>
        </w:rPr>
      </w:pPr>
      <w:r w:rsidRPr="00EE24D6">
        <w:rPr>
          <w:rFonts w:ascii="Bookman Old Style" w:hAnsi="Bookman Old Style"/>
          <w:sz w:val="20"/>
          <w:szCs w:val="20"/>
        </w:rPr>
        <w:t>(</w:t>
      </w:r>
      <w:r w:rsidRPr="00EE24D6">
        <w:rPr>
          <w:rFonts w:ascii="Bookman Old Style" w:hAnsi="Bookman Old Style"/>
          <w:sz w:val="20"/>
          <w:szCs w:val="20"/>
          <w:lang w:val="en-GB"/>
        </w:rPr>
        <w:t>n</w:t>
      </w:r>
      <w:r w:rsidRPr="00EE24D6">
        <w:rPr>
          <w:rFonts w:ascii="Bookman Old Style" w:hAnsi="Bookman Old Style"/>
          <w:sz w:val="20"/>
          <w:szCs w:val="20"/>
        </w:rPr>
        <w:t>-1) – количество аналогов уменьшенное на 1.</w:t>
      </w:r>
    </w:p>
    <w:p w:rsidR="00CE17F5" w:rsidRDefault="00CE17F5" w:rsidP="00CE17F5">
      <w:pPr>
        <w:spacing w:before="120" w:after="120"/>
        <w:ind w:firstLine="709"/>
        <w:jc w:val="both"/>
        <w:rPr>
          <w:rFonts w:ascii="Bookman Old Style" w:hAnsi="Bookman Old Style"/>
          <w:sz w:val="20"/>
          <w:szCs w:val="20"/>
        </w:rPr>
      </w:pPr>
      <w:r w:rsidRPr="00EE24D6">
        <w:rPr>
          <w:rFonts w:ascii="Bookman Old Style" w:hAnsi="Bookman Old Style"/>
          <w:sz w:val="20"/>
          <w:szCs w:val="20"/>
        </w:rPr>
        <w:t xml:space="preserve">В соответствии с проведенным расчетом стоимости в рамках сравнительного подхода, была определена рыночная стоимость </w:t>
      </w:r>
      <w:r>
        <w:rPr>
          <w:rFonts w:ascii="Bookman Old Style" w:hAnsi="Bookman Old Style"/>
          <w:sz w:val="20"/>
          <w:szCs w:val="20"/>
        </w:rPr>
        <w:t>земельного участка Объекта оценки</w:t>
      </w:r>
      <w:r w:rsidRPr="00EE24D6">
        <w:rPr>
          <w:rFonts w:ascii="Bookman Old Style" w:hAnsi="Bookman Old Style"/>
          <w:sz w:val="20"/>
          <w:szCs w:val="20"/>
        </w:rPr>
        <w:t xml:space="preserve">. </w:t>
      </w:r>
    </w:p>
    <w:p w:rsidR="006A199E" w:rsidRPr="00BF325B" w:rsidRDefault="006A199E" w:rsidP="006A199E">
      <w:pPr>
        <w:keepNext/>
        <w:spacing w:before="120" w:after="120"/>
        <w:jc w:val="both"/>
        <w:outlineLvl w:val="2"/>
        <w:rPr>
          <w:rFonts w:ascii="Bookman Old Style" w:hAnsi="Bookman Old Style"/>
          <w:b/>
          <w:bCs/>
          <w:sz w:val="20"/>
          <w:szCs w:val="20"/>
        </w:rPr>
      </w:pPr>
      <w:bookmarkStart w:id="280" w:name="_Toc417476543"/>
      <w:bookmarkStart w:id="281" w:name="_Toc419473031"/>
      <w:bookmarkStart w:id="282" w:name="_Toc461206410"/>
      <w:r w:rsidRPr="00BF325B">
        <w:rPr>
          <w:rFonts w:ascii="Bookman Old Style" w:hAnsi="Bookman Old Style"/>
          <w:b/>
          <w:bCs/>
          <w:sz w:val="20"/>
          <w:szCs w:val="20"/>
        </w:rPr>
        <w:t>5.4.</w:t>
      </w:r>
      <w:r w:rsidR="00CE17F5" w:rsidRPr="00BF325B">
        <w:rPr>
          <w:rFonts w:ascii="Bookman Old Style" w:hAnsi="Bookman Old Style"/>
          <w:b/>
          <w:bCs/>
          <w:sz w:val="20"/>
          <w:szCs w:val="20"/>
        </w:rPr>
        <w:t>6</w:t>
      </w:r>
      <w:r w:rsidRPr="00BF325B">
        <w:rPr>
          <w:rFonts w:ascii="Bookman Old Style" w:hAnsi="Bookman Old Style"/>
          <w:b/>
          <w:bCs/>
          <w:sz w:val="20"/>
          <w:szCs w:val="20"/>
        </w:rPr>
        <w:t xml:space="preserve">. </w:t>
      </w:r>
      <w:r w:rsidRPr="00BF325B">
        <w:rPr>
          <w:rFonts w:ascii="Bookman Old Style" w:hAnsi="Bookman Old Style"/>
          <w:b/>
          <w:sz w:val="20"/>
          <w:szCs w:val="20"/>
        </w:rPr>
        <w:t>Результаты расчета стоимости недвижимого имущества сравнительным подходом</w:t>
      </w:r>
      <w:bookmarkEnd w:id="280"/>
      <w:bookmarkEnd w:id="281"/>
      <w:bookmarkEnd w:id="282"/>
    </w:p>
    <w:p w:rsidR="006A199E" w:rsidRPr="00BF325B" w:rsidRDefault="006A199E" w:rsidP="006A199E">
      <w:pPr>
        <w:spacing w:before="120" w:after="120"/>
        <w:ind w:firstLine="708"/>
        <w:jc w:val="both"/>
        <w:rPr>
          <w:rFonts w:ascii="Bookman Old Style" w:eastAsia="Calibri" w:hAnsi="Bookman Old Style"/>
          <w:sz w:val="20"/>
          <w:szCs w:val="20"/>
        </w:rPr>
      </w:pPr>
      <w:r w:rsidRPr="00BF325B">
        <w:rPr>
          <w:rFonts w:ascii="Bookman Old Style" w:eastAsia="Calibri" w:hAnsi="Bookman Old Style"/>
          <w:sz w:val="20"/>
          <w:szCs w:val="20"/>
        </w:rPr>
        <w:t>Используя результаты расчета рыночной стоимости 1 кв.м. площади оцениваемых объектов определенной с учетом их количественных и качественных характеристик, а также данные о площади объектов, проведен расчет рыночной стоимости элементов Объекта оценки сравнительным подходом.</w:t>
      </w:r>
    </w:p>
    <w:p w:rsidR="006A199E" w:rsidRPr="00BF325B" w:rsidRDefault="006A199E" w:rsidP="006A199E">
      <w:pPr>
        <w:spacing w:before="120" w:after="120"/>
        <w:ind w:firstLine="709"/>
        <w:jc w:val="both"/>
        <w:rPr>
          <w:rFonts w:ascii="Bookman Old Style" w:hAnsi="Bookman Old Style"/>
          <w:sz w:val="20"/>
          <w:szCs w:val="20"/>
        </w:rPr>
      </w:pPr>
      <w:r w:rsidRPr="00BF325B">
        <w:rPr>
          <w:rFonts w:ascii="Bookman Old Style" w:hAnsi="Bookman Old Style"/>
          <w:sz w:val="20"/>
          <w:szCs w:val="20"/>
        </w:rPr>
        <w:t>Расчет проведен по формуле:</w:t>
      </w:r>
    </w:p>
    <w:p w:rsidR="006A199E" w:rsidRPr="00BF325B" w:rsidRDefault="006C4CCF" w:rsidP="006A199E">
      <w:pPr>
        <w:spacing w:before="120" w:after="120"/>
        <w:jc w:val="both"/>
        <w:rPr>
          <w:rFonts w:ascii="Bookman Old Style" w:hAnsi="Bookman Old Style"/>
          <w:color w:val="000000"/>
          <w:sz w:val="20"/>
          <w:szCs w:val="20"/>
        </w:rPr>
      </w:pPr>
      <m:oMathPara>
        <m:oMath>
          <m:sSub>
            <m:sSubPr>
              <m:ctrlPr>
                <w:rPr>
                  <w:rFonts w:ascii="Cambria Math" w:hAnsi="Cambria Math"/>
                  <w:i/>
                  <w:color w:val="000000"/>
                  <w:sz w:val="20"/>
                  <w:szCs w:val="20"/>
                </w:rPr>
              </m:ctrlPr>
            </m:sSubPr>
            <m:e>
              <m:r>
                <w:rPr>
                  <w:rFonts w:ascii="Cambria Math" w:hAnsi="Cambria Math"/>
                  <w:color w:val="000000"/>
                  <w:sz w:val="20"/>
                  <w:szCs w:val="20"/>
                </w:rPr>
                <m:t>C</m:t>
              </m:r>
            </m:e>
            <m:sub>
              <m:r>
                <w:rPr>
                  <w:rFonts w:ascii="Cambria Math" w:hAnsi="Cambria Math"/>
                  <w:color w:val="000000"/>
                  <w:sz w:val="20"/>
                  <w:szCs w:val="20"/>
                </w:rPr>
                <m:t>ОО</m:t>
              </m:r>
            </m:sub>
          </m:sSub>
          <m:r>
            <w:rPr>
              <w:rFonts w:ascii="Cambria Math" w:hAnsi="Cambria Math"/>
              <w:color w:val="000000"/>
              <w:sz w:val="20"/>
              <w:szCs w:val="20"/>
            </w:rPr>
            <m:t>=</m:t>
          </m:r>
          <m:nary>
            <m:naryPr>
              <m:chr m:val="∑"/>
              <m:limLoc m:val="undOvr"/>
              <m:subHide m:val="on"/>
              <m:supHide m:val="on"/>
              <m:ctrlPr>
                <w:rPr>
                  <w:rFonts w:ascii="Cambria Math" w:hAnsi="Cambria Math"/>
                  <w:i/>
                  <w:color w:val="000000"/>
                  <w:sz w:val="20"/>
                  <w:szCs w:val="20"/>
                </w:rPr>
              </m:ctrlPr>
            </m:naryPr>
            <m:sub/>
            <m:sup/>
            <m:e>
              <m:d>
                <m:dPr>
                  <m:ctrlPr>
                    <w:rPr>
                      <w:rFonts w:ascii="Cambria Math" w:hAnsi="Cambria Math"/>
                      <w:i/>
                      <w:color w:val="000000"/>
                      <w:sz w:val="20"/>
                      <w:szCs w:val="20"/>
                    </w:rPr>
                  </m:ctrlPr>
                </m:dPr>
                <m:e>
                  <m:sSub>
                    <m:sSubPr>
                      <m:ctrlPr>
                        <w:rPr>
                          <w:rFonts w:ascii="Cambria Math" w:hAnsi="Cambria Math"/>
                          <w:i/>
                          <w:color w:val="000000"/>
                          <w:sz w:val="20"/>
                          <w:szCs w:val="20"/>
                        </w:rPr>
                      </m:ctrlPr>
                    </m:sSubPr>
                    <m:e>
                      <m:r>
                        <w:rPr>
                          <w:rFonts w:ascii="Cambria Math" w:hAnsi="Cambria Math"/>
                          <w:color w:val="000000"/>
                          <w:sz w:val="20"/>
                          <w:szCs w:val="20"/>
                          <w:lang w:val="en-US"/>
                        </w:rPr>
                        <m:t>S</m:t>
                      </m:r>
                    </m:e>
                    <m:sub>
                      <m:r>
                        <w:rPr>
                          <w:rFonts w:ascii="Cambria Math" w:hAnsi="Cambria Math"/>
                          <w:color w:val="000000"/>
                          <w:sz w:val="20"/>
                          <w:szCs w:val="20"/>
                        </w:rPr>
                        <m:t>элемента ОО</m:t>
                      </m:r>
                    </m:sub>
                  </m:sSub>
                  <m:r>
                    <w:rPr>
                      <w:rFonts w:ascii="Cambria Math" w:hAnsi="Cambria Math"/>
                      <w:color w:val="000000"/>
                      <w:sz w:val="20"/>
                      <w:szCs w:val="20"/>
                    </w:rPr>
                    <m:t>×</m:t>
                  </m:r>
                  <m:sSub>
                    <m:sSubPr>
                      <m:ctrlPr>
                        <w:rPr>
                          <w:rFonts w:ascii="Cambria Math" w:hAnsi="Cambria Math"/>
                          <w:i/>
                          <w:color w:val="000000"/>
                          <w:sz w:val="20"/>
                          <w:szCs w:val="20"/>
                        </w:rPr>
                      </m:ctrlPr>
                    </m:sSubPr>
                    <m:e>
                      <m:r>
                        <w:rPr>
                          <w:rFonts w:ascii="Cambria Math" w:hAnsi="Cambria Math"/>
                          <w:color w:val="000000"/>
                          <w:sz w:val="20"/>
                          <w:szCs w:val="20"/>
                          <w:lang w:val="en-US"/>
                        </w:rPr>
                        <m:t>C</m:t>
                      </m:r>
                    </m:e>
                    <m:sub>
                      <m:r>
                        <w:rPr>
                          <w:rFonts w:ascii="Cambria Math" w:hAnsi="Cambria Math"/>
                          <w:color w:val="000000"/>
                          <w:sz w:val="20"/>
                          <w:szCs w:val="20"/>
                        </w:rPr>
                        <m:t>1 кв.м.</m:t>
                      </m:r>
                    </m:sub>
                  </m:sSub>
                </m:e>
              </m:d>
            </m:e>
          </m:nary>
        </m:oMath>
      </m:oMathPara>
    </w:p>
    <w:p w:rsidR="006A199E" w:rsidRPr="00BF325B" w:rsidRDefault="006A199E" w:rsidP="006A199E">
      <w:pPr>
        <w:spacing w:before="120" w:after="120"/>
        <w:ind w:left="709"/>
        <w:jc w:val="both"/>
        <w:rPr>
          <w:rFonts w:ascii="Bookman Old Style" w:hAnsi="Bookman Old Style"/>
          <w:color w:val="000000"/>
          <w:sz w:val="20"/>
          <w:szCs w:val="20"/>
        </w:rPr>
      </w:pPr>
      <w:r w:rsidRPr="00BF325B">
        <w:rPr>
          <w:rFonts w:ascii="Bookman Old Style" w:hAnsi="Bookman Old Style"/>
          <w:color w:val="000000"/>
          <w:sz w:val="20"/>
          <w:szCs w:val="20"/>
        </w:rPr>
        <w:t>Где:</w:t>
      </w:r>
    </w:p>
    <w:p w:rsidR="006A199E" w:rsidRPr="00BF325B" w:rsidRDefault="006C4CCF" w:rsidP="006A199E">
      <w:pPr>
        <w:spacing w:before="120" w:after="120"/>
        <w:ind w:left="709"/>
        <w:jc w:val="both"/>
        <w:rPr>
          <w:rFonts w:ascii="Bookman Old Style" w:hAnsi="Bookman Old Style"/>
          <w:color w:val="000000"/>
          <w:sz w:val="20"/>
          <w:szCs w:val="20"/>
        </w:rPr>
      </w:pPr>
      <m:oMath>
        <m:sSub>
          <m:sSubPr>
            <m:ctrlPr>
              <w:rPr>
                <w:rFonts w:ascii="Cambria Math" w:hAnsi="Cambria Math"/>
                <w:i/>
                <w:color w:val="000000"/>
                <w:sz w:val="20"/>
                <w:szCs w:val="20"/>
              </w:rPr>
            </m:ctrlPr>
          </m:sSubPr>
          <m:e>
            <m:r>
              <w:rPr>
                <w:rFonts w:ascii="Cambria Math" w:hAnsi="Cambria Math"/>
                <w:color w:val="000000"/>
                <w:sz w:val="20"/>
                <w:szCs w:val="20"/>
              </w:rPr>
              <m:t>C</m:t>
            </m:r>
          </m:e>
          <m:sub>
            <m:r>
              <w:rPr>
                <w:rFonts w:ascii="Cambria Math" w:hAnsi="Cambria Math"/>
                <w:color w:val="000000"/>
                <w:sz w:val="20"/>
                <w:szCs w:val="20"/>
              </w:rPr>
              <m:t>ОО</m:t>
            </m:r>
          </m:sub>
        </m:sSub>
      </m:oMath>
      <w:r w:rsidR="006A199E" w:rsidRPr="00BF325B">
        <w:rPr>
          <w:rFonts w:ascii="Bookman Old Style" w:hAnsi="Bookman Old Style"/>
          <w:color w:val="000000"/>
          <w:sz w:val="20"/>
          <w:szCs w:val="20"/>
        </w:rPr>
        <w:t xml:space="preserve"> – стоимость Объекта оценки;</w:t>
      </w:r>
    </w:p>
    <w:p w:rsidR="006A199E" w:rsidRPr="00BF325B" w:rsidRDefault="006C4CCF" w:rsidP="006A199E">
      <w:pPr>
        <w:spacing w:before="120" w:after="120"/>
        <w:ind w:left="709"/>
        <w:jc w:val="both"/>
        <w:rPr>
          <w:rFonts w:ascii="Bookman Old Style" w:hAnsi="Bookman Old Style"/>
          <w:color w:val="000000"/>
          <w:sz w:val="20"/>
          <w:szCs w:val="20"/>
        </w:rPr>
      </w:pPr>
      <m:oMath>
        <m:sSub>
          <m:sSubPr>
            <m:ctrlPr>
              <w:rPr>
                <w:rFonts w:ascii="Cambria Math" w:hAnsi="Cambria Math"/>
                <w:i/>
                <w:color w:val="000000"/>
                <w:sz w:val="20"/>
                <w:szCs w:val="20"/>
              </w:rPr>
            </m:ctrlPr>
          </m:sSubPr>
          <m:e>
            <m:r>
              <w:rPr>
                <w:rFonts w:ascii="Cambria Math" w:hAnsi="Cambria Math"/>
                <w:color w:val="000000"/>
                <w:sz w:val="20"/>
                <w:szCs w:val="20"/>
                <w:lang w:val="en-US"/>
              </w:rPr>
              <m:t>S</m:t>
            </m:r>
          </m:e>
          <m:sub>
            <m:r>
              <w:rPr>
                <w:rFonts w:ascii="Cambria Math" w:hAnsi="Cambria Math"/>
                <w:color w:val="000000"/>
                <w:sz w:val="20"/>
                <w:szCs w:val="20"/>
              </w:rPr>
              <m:t>элемента ОО</m:t>
            </m:r>
          </m:sub>
        </m:sSub>
        <m:r>
          <w:rPr>
            <w:rFonts w:ascii="Cambria Math" w:hAnsi="Cambria Math"/>
            <w:color w:val="000000"/>
            <w:sz w:val="20"/>
            <w:szCs w:val="20"/>
          </w:rPr>
          <m:t xml:space="preserve">- </m:t>
        </m:r>
      </m:oMath>
      <w:r w:rsidR="006A199E" w:rsidRPr="00BF325B">
        <w:rPr>
          <w:rFonts w:ascii="Bookman Old Style" w:hAnsi="Bookman Old Style"/>
          <w:color w:val="000000"/>
          <w:sz w:val="20"/>
          <w:szCs w:val="20"/>
        </w:rPr>
        <w:t>площадь каждого элемента Объекта оценки;</w:t>
      </w:r>
    </w:p>
    <w:p w:rsidR="006A199E" w:rsidRPr="00BF325B" w:rsidRDefault="006C4CCF" w:rsidP="006A199E">
      <w:pPr>
        <w:spacing w:before="120" w:after="120"/>
        <w:ind w:left="709"/>
        <w:jc w:val="both"/>
        <w:rPr>
          <w:rFonts w:ascii="Bookman Old Style" w:hAnsi="Bookman Old Style"/>
          <w:color w:val="000000"/>
          <w:sz w:val="20"/>
          <w:szCs w:val="20"/>
        </w:rPr>
      </w:pPr>
      <m:oMath>
        <m:sSub>
          <m:sSubPr>
            <m:ctrlPr>
              <w:rPr>
                <w:rFonts w:ascii="Cambria Math" w:hAnsi="Cambria Math"/>
                <w:i/>
                <w:color w:val="000000"/>
                <w:sz w:val="20"/>
                <w:szCs w:val="20"/>
              </w:rPr>
            </m:ctrlPr>
          </m:sSubPr>
          <m:e>
            <m:r>
              <w:rPr>
                <w:rFonts w:ascii="Cambria Math" w:hAnsi="Cambria Math"/>
                <w:color w:val="000000"/>
                <w:sz w:val="20"/>
                <w:szCs w:val="20"/>
                <w:lang w:val="en-US"/>
              </w:rPr>
              <m:t>C</m:t>
            </m:r>
          </m:e>
          <m:sub>
            <m:r>
              <w:rPr>
                <w:rFonts w:ascii="Cambria Math" w:hAnsi="Cambria Math"/>
                <w:color w:val="000000"/>
                <w:sz w:val="20"/>
                <w:szCs w:val="20"/>
              </w:rPr>
              <m:t>1 кв.м.</m:t>
            </m:r>
          </m:sub>
        </m:sSub>
      </m:oMath>
      <w:r w:rsidR="006A199E" w:rsidRPr="00BF325B">
        <w:rPr>
          <w:rFonts w:ascii="Bookman Old Style" w:hAnsi="Bookman Old Style"/>
          <w:color w:val="000000"/>
          <w:sz w:val="20"/>
          <w:szCs w:val="20"/>
        </w:rPr>
        <w:t xml:space="preserve"> – стоимость 1 кв.м. элемента Объекта оценки.</w:t>
      </w:r>
    </w:p>
    <w:p w:rsidR="006A199E" w:rsidRDefault="006A199E" w:rsidP="006A199E">
      <w:pPr>
        <w:spacing w:before="120" w:after="120"/>
        <w:jc w:val="both"/>
        <w:rPr>
          <w:rFonts w:ascii="Bookman Old Style" w:hAnsi="Bookman Old Style"/>
          <w:color w:val="000000"/>
          <w:sz w:val="20"/>
          <w:szCs w:val="20"/>
        </w:rPr>
      </w:pPr>
      <w:r w:rsidRPr="00BF325B">
        <w:rPr>
          <w:rFonts w:ascii="Bookman Old Style" w:hAnsi="Bookman Old Style"/>
          <w:color w:val="000000"/>
          <w:sz w:val="20"/>
          <w:szCs w:val="20"/>
        </w:rPr>
        <w:tab/>
        <w:t>В результате расчет получены следующие результаты.</w:t>
      </w:r>
    </w:p>
    <w:p w:rsidR="006A199E" w:rsidRPr="006A199E" w:rsidRDefault="006A199E" w:rsidP="006A199E">
      <w:pPr>
        <w:spacing w:before="120"/>
        <w:jc w:val="right"/>
        <w:rPr>
          <w:rFonts w:ascii="Bookman Old Style" w:hAnsi="Bookman Old Style"/>
          <w:b/>
          <w:color w:val="000000"/>
          <w:sz w:val="20"/>
          <w:szCs w:val="20"/>
        </w:rPr>
      </w:pPr>
      <w:r w:rsidRPr="00BF325B">
        <w:rPr>
          <w:rFonts w:ascii="Bookman Old Style" w:hAnsi="Bookman Old Style"/>
          <w:b/>
          <w:color w:val="000000"/>
          <w:sz w:val="20"/>
          <w:szCs w:val="20"/>
        </w:rPr>
        <w:t>Таблица 5.4.</w:t>
      </w:r>
      <w:r w:rsidR="00BF325B">
        <w:rPr>
          <w:rFonts w:ascii="Bookman Old Style" w:hAnsi="Bookman Old Style"/>
          <w:b/>
          <w:color w:val="000000"/>
          <w:sz w:val="20"/>
          <w:szCs w:val="20"/>
        </w:rPr>
        <w:t>6</w:t>
      </w:r>
      <w:r w:rsidRPr="00BF325B">
        <w:rPr>
          <w:rFonts w:ascii="Bookman Old Style" w:hAnsi="Bookman Old Style"/>
          <w:b/>
          <w:color w:val="000000"/>
          <w:sz w:val="20"/>
          <w:szCs w:val="20"/>
        </w:rPr>
        <w:t>.1. Рыночная стоимость объектов</w:t>
      </w:r>
      <w:r w:rsidRPr="006A199E">
        <w:rPr>
          <w:rFonts w:ascii="Bookman Old Style" w:hAnsi="Bookman Old Style"/>
          <w:b/>
          <w:color w:val="000000"/>
          <w:sz w:val="20"/>
          <w:szCs w:val="20"/>
        </w:rPr>
        <w:t xml:space="preserve"> </w:t>
      </w:r>
    </w:p>
    <w:tbl>
      <w:tblPr>
        <w:tblW w:w="48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03"/>
        <w:gridCol w:w="3191"/>
        <w:gridCol w:w="1150"/>
        <w:gridCol w:w="1117"/>
        <w:gridCol w:w="1261"/>
        <w:gridCol w:w="1345"/>
        <w:gridCol w:w="1418"/>
      </w:tblGrid>
      <w:tr w:rsidR="00BF325B" w:rsidRPr="006A199E" w:rsidTr="006568BA">
        <w:trPr>
          <w:cantSplit/>
          <w:trHeight w:val="170"/>
        </w:trPr>
        <w:tc>
          <w:tcPr>
            <w:tcW w:w="299" w:type="pct"/>
            <w:shd w:val="clear" w:color="000000" w:fill="F2F2F2"/>
            <w:noWrap/>
            <w:vAlign w:val="center"/>
            <w:hideMark/>
          </w:tcPr>
          <w:p w:rsidR="00BF325B" w:rsidRPr="006A199E" w:rsidRDefault="00BF325B" w:rsidP="00BF325B">
            <w:pPr>
              <w:jc w:val="center"/>
              <w:rPr>
                <w:rFonts w:ascii="Cambria" w:hAnsi="Cambria"/>
                <w:color w:val="000000"/>
                <w:sz w:val="16"/>
                <w:szCs w:val="16"/>
              </w:rPr>
            </w:pPr>
            <w:r w:rsidRPr="006A199E">
              <w:rPr>
                <w:rFonts w:ascii="Cambria" w:hAnsi="Cambria"/>
                <w:color w:val="000000"/>
                <w:sz w:val="16"/>
                <w:szCs w:val="16"/>
              </w:rPr>
              <w:t xml:space="preserve">№ </w:t>
            </w:r>
            <w:r>
              <w:rPr>
                <w:rFonts w:ascii="Cambria" w:hAnsi="Cambria"/>
                <w:color w:val="000000"/>
                <w:sz w:val="16"/>
                <w:szCs w:val="16"/>
              </w:rPr>
              <w:t>п/п</w:t>
            </w:r>
            <w:r w:rsidRPr="006A199E">
              <w:rPr>
                <w:rFonts w:ascii="Cambria" w:hAnsi="Cambria"/>
                <w:color w:val="000000"/>
                <w:sz w:val="16"/>
                <w:szCs w:val="16"/>
              </w:rPr>
              <w:t>.</w:t>
            </w:r>
          </w:p>
        </w:tc>
        <w:tc>
          <w:tcPr>
            <w:tcW w:w="1582" w:type="pct"/>
            <w:shd w:val="clear" w:color="000000" w:fill="F2F2F2"/>
            <w:vAlign w:val="center"/>
            <w:hideMark/>
          </w:tcPr>
          <w:p w:rsidR="00BF325B" w:rsidRPr="006A199E" w:rsidRDefault="00BF325B" w:rsidP="006A199E">
            <w:pPr>
              <w:jc w:val="center"/>
              <w:rPr>
                <w:rFonts w:ascii="Cambria" w:hAnsi="Cambria"/>
                <w:color w:val="000000"/>
                <w:sz w:val="16"/>
                <w:szCs w:val="16"/>
              </w:rPr>
            </w:pPr>
            <w:r w:rsidRPr="006A199E">
              <w:rPr>
                <w:rFonts w:ascii="Cambria" w:hAnsi="Cambria"/>
                <w:color w:val="000000"/>
                <w:sz w:val="16"/>
                <w:szCs w:val="16"/>
              </w:rPr>
              <w:t>Наименование объекта по данным бухгалтерского учета</w:t>
            </w:r>
          </w:p>
        </w:tc>
        <w:tc>
          <w:tcPr>
            <w:tcW w:w="570" w:type="pct"/>
            <w:shd w:val="clear" w:color="000000" w:fill="F2F2F2"/>
            <w:vAlign w:val="center"/>
          </w:tcPr>
          <w:p w:rsidR="00BF325B" w:rsidRPr="006A199E" w:rsidRDefault="00BF325B" w:rsidP="00BF325B">
            <w:pPr>
              <w:jc w:val="center"/>
              <w:rPr>
                <w:rFonts w:ascii="Cambria" w:hAnsi="Cambria"/>
                <w:color w:val="000000"/>
                <w:sz w:val="16"/>
                <w:szCs w:val="16"/>
              </w:rPr>
            </w:pPr>
            <w:r>
              <w:rPr>
                <w:rFonts w:ascii="Cambria" w:hAnsi="Cambria"/>
                <w:color w:val="000000"/>
                <w:sz w:val="16"/>
                <w:szCs w:val="16"/>
              </w:rPr>
              <w:t>Назначение</w:t>
            </w:r>
          </w:p>
        </w:tc>
        <w:tc>
          <w:tcPr>
            <w:tcW w:w="554" w:type="pct"/>
            <w:shd w:val="clear" w:color="000000" w:fill="F2F2F2"/>
            <w:vAlign w:val="center"/>
            <w:hideMark/>
          </w:tcPr>
          <w:p w:rsidR="00BF325B" w:rsidRPr="006A199E" w:rsidRDefault="00BF325B" w:rsidP="006A199E">
            <w:pPr>
              <w:jc w:val="center"/>
              <w:rPr>
                <w:rFonts w:ascii="Cambria" w:hAnsi="Cambria"/>
                <w:color w:val="000000"/>
                <w:sz w:val="16"/>
                <w:szCs w:val="16"/>
              </w:rPr>
            </w:pPr>
            <w:r w:rsidRPr="006A199E">
              <w:rPr>
                <w:rFonts w:ascii="Cambria" w:hAnsi="Cambria"/>
                <w:color w:val="000000"/>
                <w:sz w:val="16"/>
                <w:szCs w:val="16"/>
              </w:rPr>
              <w:t>Общая площадь, кв.м.</w:t>
            </w:r>
          </w:p>
        </w:tc>
        <w:tc>
          <w:tcPr>
            <w:tcW w:w="625" w:type="pct"/>
            <w:shd w:val="clear" w:color="000000" w:fill="F2F2F2"/>
            <w:vAlign w:val="center"/>
            <w:hideMark/>
          </w:tcPr>
          <w:p w:rsidR="00BF325B" w:rsidRPr="006A199E" w:rsidRDefault="00BF325B" w:rsidP="006A199E">
            <w:pPr>
              <w:jc w:val="center"/>
              <w:rPr>
                <w:rFonts w:ascii="Cambria" w:hAnsi="Cambria"/>
                <w:color w:val="000000"/>
                <w:sz w:val="16"/>
                <w:szCs w:val="16"/>
              </w:rPr>
            </w:pPr>
            <w:r w:rsidRPr="006A199E">
              <w:rPr>
                <w:rFonts w:ascii="Cambria" w:hAnsi="Cambria"/>
                <w:color w:val="000000"/>
                <w:sz w:val="16"/>
                <w:szCs w:val="16"/>
              </w:rPr>
              <w:t>Стоимость руб. 1 кв.м.</w:t>
            </w:r>
          </w:p>
        </w:tc>
        <w:tc>
          <w:tcPr>
            <w:tcW w:w="667" w:type="pct"/>
            <w:shd w:val="clear" w:color="000000" w:fill="F2F2F2"/>
            <w:vAlign w:val="center"/>
            <w:hideMark/>
          </w:tcPr>
          <w:p w:rsidR="00BF325B" w:rsidRPr="006A199E" w:rsidRDefault="00BF325B" w:rsidP="006A199E">
            <w:pPr>
              <w:jc w:val="center"/>
              <w:rPr>
                <w:rFonts w:ascii="Cambria" w:hAnsi="Cambria"/>
                <w:color w:val="000000"/>
                <w:sz w:val="16"/>
                <w:szCs w:val="16"/>
              </w:rPr>
            </w:pPr>
            <w:r w:rsidRPr="006A199E">
              <w:rPr>
                <w:rFonts w:ascii="Cambria" w:hAnsi="Cambria"/>
                <w:color w:val="000000"/>
                <w:sz w:val="16"/>
                <w:szCs w:val="16"/>
              </w:rPr>
              <w:t>Стоимость объекта</w:t>
            </w:r>
            <w:r>
              <w:t xml:space="preserve"> </w:t>
            </w:r>
            <w:r w:rsidRPr="006A199E">
              <w:rPr>
                <w:rFonts w:ascii="Cambria" w:hAnsi="Cambria"/>
                <w:color w:val="000000"/>
                <w:sz w:val="16"/>
                <w:szCs w:val="16"/>
              </w:rPr>
              <w:t xml:space="preserve">НДС не облагается, руб. </w:t>
            </w:r>
          </w:p>
        </w:tc>
        <w:tc>
          <w:tcPr>
            <w:tcW w:w="703" w:type="pct"/>
            <w:shd w:val="clear" w:color="000000" w:fill="F2F2F2"/>
            <w:vAlign w:val="center"/>
            <w:hideMark/>
          </w:tcPr>
          <w:p w:rsidR="00BF325B" w:rsidRPr="006A199E" w:rsidRDefault="00BF325B" w:rsidP="006A199E">
            <w:pPr>
              <w:jc w:val="center"/>
              <w:rPr>
                <w:rFonts w:ascii="Cambria" w:hAnsi="Cambria"/>
                <w:color w:val="000000"/>
                <w:sz w:val="16"/>
                <w:szCs w:val="16"/>
              </w:rPr>
            </w:pPr>
            <w:r w:rsidRPr="006A199E">
              <w:rPr>
                <w:rFonts w:ascii="Cambria" w:hAnsi="Cambria"/>
                <w:color w:val="000000"/>
                <w:sz w:val="16"/>
                <w:szCs w:val="16"/>
              </w:rPr>
              <w:t>Стоимость объекта  НДС не облагается, руб. (округленно)</w:t>
            </w:r>
          </w:p>
        </w:tc>
      </w:tr>
      <w:tr w:rsidR="00BF325B" w:rsidRPr="006A199E" w:rsidTr="006568BA">
        <w:trPr>
          <w:cantSplit/>
          <w:trHeight w:val="650"/>
        </w:trPr>
        <w:tc>
          <w:tcPr>
            <w:tcW w:w="299" w:type="pct"/>
            <w:vMerge w:val="restart"/>
            <w:shd w:val="clear" w:color="auto" w:fill="auto"/>
            <w:noWrap/>
            <w:vAlign w:val="center"/>
            <w:hideMark/>
          </w:tcPr>
          <w:p w:rsidR="00BF325B" w:rsidRPr="006A199E" w:rsidRDefault="00BF325B" w:rsidP="006A199E">
            <w:pPr>
              <w:jc w:val="center"/>
              <w:rPr>
                <w:rFonts w:ascii="Cambria" w:hAnsi="Cambria"/>
                <w:color w:val="000000"/>
                <w:sz w:val="16"/>
                <w:szCs w:val="16"/>
              </w:rPr>
            </w:pPr>
            <w:r>
              <w:rPr>
                <w:rFonts w:ascii="Cambria" w:hAnsi="Cambria"/>
                <w:color w:val="000000"/>
                <w:sz w:val="16"/>
                <w:szCs w:val="16"/>
              </w:rPr>
              <w:t>1</w:t>
            </w:r>
          </w:p>
        </w:tc>
        <w:tc>
          <w:tcPr>
            <w:tcW w:w="1582" w:type="pct"/>
            <w:vMerge w:val="restart"/>
            <w:shd w:val="clear" w:color="auto" w:fill="auto"/>
            <w:vAlign w:val="center"/>
            <w:hideMark/>
          </w:tcPr>
          <w:p w:rsidR="00BF325B" w:rsidRDefault="00BF325B" w:rsidP="00D70166">
            <w:pPr>
              <w:rPr>
                <w:rFonts w:ascii="Cambria" w:hAnsi="Cambria"/>
                <w:sz w:val="16"/>
                <w:szCs w:val="16"/>
              </w:rPr>
            </w:pPr>
            <w:r w:rsidRPr="00BF325B">
              <w:rPr>
                <w:rFonts w:ascii="Cambria" w:hAnsi="Cambria"/>
                <w:sz w:val="16"/>
                <w:szCs w:val="16"/>
              </w:rPr>
              <w:t>Нежилое здание, назначение: 2- этажный (подземных этажей -1), общая площадь 4216,7 кв. м.,  инв.№ 04:401:001:015107160:0001, лит. В3, в,в1,В2,В4,В5,В6, адрес: г. Красноярск, ул. Айвазовского, 37 «А» Кадастровый номер: 24:50:0500203:386</w:t>
            </w:r>
          </w:p>
        </w:tc>
        <w:tc>
          <w:tcPr>
            <w:tcW w:w="570" w:type="pct"/>
            <w:vAlign w:val="center"/>
          </w:tcPr>
          <w:p w:rsidR="00BF325B" w:rsidRDefault="00BF325B" w:rsidP="00BF325B">
            <w:pPr>
              <w:jc w:val="center"/>
              <w:rPr>
                <w:rFonts w:ascii="Cambria" w:hAnsi="Cambria"/>
                <w:color w:val="000000"/>
                <w:sz w:val="16"/>
                <w:szCs w:val="16"/>
              </w:rPr>
            </w:pPr>
            <w:r>
              <w:rPr>
                <w:rFonts w:ascii="Cambria" w:hAnsi="Cambria"/>
                <w:color w:val="000000"/>
                <w:sz w:val="16"/>
                <w:szCs w:val="16"/>
              </w:rPr>
              <w:t>ПСН</w:t>
            </w:r>
          </w:p>
        </w:tc>
        <w:tc>
          <w:tcPr>
            <w:tcW w:w="554" w:type="pct"/>
            <w:shd w:val="clear" w:color="auto" w:fill="auto"/>
            <w:noWrap/>
            <w:vAlign w:val="center"/>
            <w:hideMark/>
          </w:tcPr>
          <w:p w:rsidR="00BF325B" w:rsidRPr="006A199E" w:rsidRDefault="00BF325B" w:rsidP="006A199E">
            <w:pPr>
              <w:jc w:val="center"/>
              <w:rPr>
                <w:rFonts w:ascii="Cambria" w:hAnsi="Cambria"/>
                <w:color w:val="000000"/>
                <w:sz w:val="16"/>
                <w:szCs w:val="16"/>
              </w:rPr>
            </w:pPr>
            <w:r>
              <w:rPr>
                <w:rFonts w:ascii="Cambria" w:hAnsi="Cambria"/>
                <w:color w:val="000000"/>
                <w:sz w:val="16"/>
                <w:szCs w:val="16"/>
              </w:rPr>
              <w:t>3771,30</w:t>
            </w:r>
          </w:p>
        </w:tc>
        <w:tc>
          <w:tcPr>
            <w:tcW w:w="625" w:type="pct"/>
            <w:shd w:val="clear" w:color="auto" w:fill="auto"/>
            <w:noWrap/>
            <w:vAlign w:val="center"/>
          </w:tcPr>
          <w:p w:rsidR="00BF325B" w:rsidRDefault="006568BA">
            <w:pPr>
              <w:jc w:val="center"/>
              <w:rPr>
                <w:rFonts w:ascii="Cambria" w:hAnsi="Cambria"/>
                <w:sz w:val="16"/>
                <w:szCs w:val="16"/>
              </w:rPr>
            </w:pPr>
            <w:r>
              <w:rPr>
                <w:rFonts w:ascii="Cambria" w:hAnsi="Cambria"/>
                <w:sz w:val="16"/>
                <w:szCs w:val="16"/>
              </w:rPr>
              <w:t>14 130</w:t>
            </w:r>
          </w:p>
        </w:tc>
        <w:tc>
          <w:tcPr>
            <w:tcW w:w="667" w:type="pct"/>
            <w:shd w:val="clear" w:color="auto" w:fill="auto"/>
            <w:noWrap/>
            <w:vAlign w:val="center"/>
          </w:tcPr>
          <w:p w:rsidR="00BF325B" w:rsidRDefault="006568BA" w:rsidP="006A199E">
            <w:pPr>
              <w:jc w:val="center"/>
              <w:rPr>
                <w:rFonts w:ascii="Cambria" w:hAnsi="Cambria"/>
                <w:sz w:val="16"/>
                <w:szCs w:val="16"/>
              </w:rPr>
            </w:pPr>
            <w:r w:rsidRPr="006568BA">
              <w:rPr>
                <w:rFonts w:ascii="Cambria" w:hAnsi="Cambria"/>
                <w:sz w:val="16"/>
                <w:szCs w:val="16"/>
              </w:rPr>
              <w:t>53 288 081</w:t>
            </w:r>
          </w:p>
        </w:tc>
        <w:tc>
          <w:tcPr>
            <w:tcW w:w="703" w:type="pct"/>
            <w:shd w:val="clear" w:color="auto" w:fill="auto"/>
            <w:noWrap/>
            <w:vAlign w:val="center"/>
          </w:tcPr>
          <w:p w:rsidR="00BF325B" w:rsidRDefault="006568BA">
            <w:pPr>
              <w:jc w:val="center"/>
              <w:rPr>
                <w:rFonts w:ascii="Cambria" w:hAnsi="Cambria"/>
                <w:sz w:val="16"/>
                <w:szCs w:val="16"/>
              </w:rPr>
            </w:pPr>
            <w:r w:rsidRPr="006568BA">
              <w:rPr>
                <w:rFonts w:ascii="Cambria" w:hAnsi="Cambria"/>
                <w:sz w:val="16"/>
                <w:szCs w:val="16"/>
              </w:rPr>
              <w:t>53 288 100</w:t>
            </w:r>
          </w:p>
        </w:tc>
      </w:tr>
      <w:tr w:rsidR="00BF325B" w:rsidRPr="006A199E" w:rsidTr="006568BA">
        <w:trPr>
          <w:cantSplit/>
          <w:trHeight w:val="170"/>
        </w:trPr>
        <w:tc>
          <w:tcPr>
            <w:tcW w:w="299" w:type="pct"/>
            <w:vMerge/>
            <w:shd w:val="clear" w:color="auto" w:fill="auto"/>
            <w:noWrap/>
            <w:vAlign w:val="center"/>
            <w:hideMark/>
          </w:tcPr>
          <w:p w:rsidR="00BF325B" w:rsidRPr="006A199E" w:rsidRDefault="00BF325B" w:rsidP="006A199E">
            <w:pPr>
              <w:jc w:val="center"/>
              <w:rPr>
                <w:rFonts w:ascii="Cambria" w:hAnsi="Cambria"/>
                <w:color w:val="000000"/>
                <w:sz w:val="16"/>
                <w:szCs w:val="16"/>
              </w:rPr>
            </w:pPr>
          </w:p>
        </w:tc>
        <w:tc>
          <w:tcPr>
            <w:tcW w:w="1582" w:type="pct"/>
            <w:vMerge/>
            <w:shd w:val="clear" w:color="auto" w:fill="auto"/>
            <w:vAlign w:val="center"/>
            <w:hideMark/>
          </w:tcPr>
          <w:p w:rsidR="00BF325B" w:rsidRDefault="00BF325B">
            <w:pPr>
              <w:rPr>
                <w:rFonts w:ascii="Cambria" w:hAnsi="Cambria"/>
                <w:sz w:val="16"/>
                <w:szCs w:val="16"/>
              </w:rPr>
            </w:pPr>
          </w:p>
        </w:tc>
        <w:tc>
          <w:tcPr>
            <w:tcW w:w="570" w:type="pct"/>
            <w:vAlign w:val="center"/>
          </w:tcPr>
          <w:p w:rsidR="00BF325B" w:rsidRDefault="00BF325B" w:rsidP="00BF325B">
            <w:pPr>
              <w:jc w:val="center"/>
              <w:rPr>
                <w:rFonts w:ascii="Cambria" w:hAnsi="Cambria"/>
                <w:color w:val="000000"/>
                <w:sz w:val="16"/>
                <w:szCs w:val="16"/>
              </w:rPr>
            </w:pPr>
            <w:r>
              <w:rPr>
                <w:rFonts w:ascii="Cambria" w:hAnsi="Cambria"/>
                <w:color w:val="000000"/>
                <w:sz w:val="16"/>
                <w:szCs w:val="16"/>
              </w:rPr>
              <w:t>АДМ</w:t>
            </w:r>
          </w:p>
        </w:tc>
        <w:tc>
          <w:tcPr>
            <w:tcW w:w="554" w:type="pct"/>
            <w:shd w:val="clear" w:color="auto" w:fill="auto"/>
            <w:noWrap/>
            <w:vAlign w:val="center"/>
          </w:tcPr>
          <w:p w:rsidR="00BF325B" w:rsidRPr="006A199E" w:rsidRDefault="00BF325B" w:rsidP="006A199E">
            <w:pPr>
              <w:jc w:val="center"/>
              <w:rPr>
                <w:rFonts w:ascii="Cambria" w:hAnsi="Cambria"/>
                <w:color w:val="000000"/>
                <w:sz w:val="16"/>
                <w:szCs w:val="16"/>
              </w:rPr>
            </w:pPr>
            <w:r>
              <w:rPr>
                <w:rFonts w:ascii="Cambria" w:hAnsi="Cambria"/>
                <w:color w:val="000000"/>
                <w:sz w:val="16"/>
                <w:szCs w:val="16"/>
              </w:rPr>
              <w:t>445,40</w:t>
            </w:r>
          </w:p>
        </w:tc>
        <w:tc>
          <w:tcPr>
            <w:tcW w:w="625" w:type="pct"/>
            <w:shd w:val="clear" w:color="auto" w:fill="auto"/>
            <w:noWrap/>
            <w:vAlign w:val="center"/>
          </w:tcPr>
          <w:p w:rsidR="00BF325B" w:rsidRDefault="006568BA">
            <w:pPr>
              <w:jc w:val="center"/>
              <w:rPr>
                <w:rFonts w:ascii="Cambria" w:hAnsi="Cambria"/>
                <w:sz w:val="16"/>
                <w:szCs w:val="16"/>
              </w:rPr>
            </w:pPr>
            <w:r>
              <w:rPr>
                <w:rFonts w:ascii="Cambria" w:hAnsi="Cambria"/>
                <w:sz w:val="16"/>
                <w:szCs w:val="16"/>
              </w:rPr>
              <w:t>32 052</w:t>
            </w:r>
          </w:p>
        </w:tc>
        <w:tc>
          <w:tcPr>
            <w:tcW w:w="667" w:type="pct"/>
            <w:shd w:val="clear" w:color="auto" w:fill="auto"/>
            <w:noWrap/>
            <w:vAlign w:val="center"/>
          </w:tcPr>
          <w:p w:rsidR="00BF325B" w:rsidRDefault="006568BA" w:rsidP="006A199E">
            <w:pPr>
              <w:jc w:val="center"/>
              <w:rPr>
                <w:rFonts w:ascii="Cambria" w:hAnsi="Cambria"/>
                <w:sz w:val="16"/>
                <w:szCs w:val="16"/>
              </w:rPr>
            </w:pPr>
            <w:r w:rsidRPr="006568BA">
              <w:rPr>
                <w:rFonts w:ascii="Cambria" w:hAnsi="Cambria"/>
                <w:sz w:val="16"/>
                <w:szCs w:val="16"/>
              </w:rPr>
              <w:t>14 275 762</w:t>
            </w:r>
          </w:p>
        </w:tc>
        <w:tc>
          <w:tcPr>
            <w:tcW w:w="703" w:type="pct"/>
            <w:shd w:val="clear" w:color="auto" w:fill="auto"/>
            <w:noWrap/>
            <w:vAlign w:val="center"/>
          </w:tcPr>
          <w:p w:rsidR="00BF325B" w:rsidRDefault="006568BA">
            <w:pPr>
              <w:jc w:val="center"/>
              <w:rPr>
                <w:rFonts w:ascii="Cambria" w:hAnsi="Cambria"/>
                <w:sz w:val="16"/>
                <w:szCs w:val="16"/>
              </w:rPr>
            </w:pPr>
            <w:r w:rsidRPr="006568BA">
              <w:rPr>
                <w:rFonts w:ascii="Cambria" w:hAnsi="Cambria"/>
                <w:sz w:val="16"/>
                <w:szCs w:val="16"/>
              </w:rPr>
              <w:t>14 275 800</w:t>
            </w:r>
          </w:p>
        </w:tc>
      </w:tr>
      <w:tr w:rsidR="00BF325B" w:rsidRPr="006A199E" w:rsidTr="006568BA">
        <w:trPr>
          <w:cantSplit/>
          <w:trHeight w:val="170"/>
        </w:trPr>
        <w:tc>
          <w:tcPr>
            <w:tcW w:w="299" w:type="pct"/>
            <w:shd w:val="clear" w:color="auto" w:fill="auto"/>
            <w:noWrap/>
            <w:vAlign w:val="center"/>
            <w:hideMark/>
          </w:tcPr>
          <w:p w:rsidR="00BF325B" w:rsidRPr="006A199E" w:rsidRDefault="00BF325B" w:rsidP="006A199E">
            <w:pPr>
              <w:jc w:val="center"/>
              <w:rPr>
                <w:rFonts w:ascii="Cambria" w:hAnsi="Cambria"/>
                <w:color w:val="000000"/>
                <w:sz w:val="16"/>
                <w:szCs w:val="16"/>
              </w:rPr>
            </w:pPr>
            <w:r>
              <w:rPr>
                <w:rFonts w:ascii="Cambria" w:hAnsi="Cambria"/>
                <w:color w:val="000000"/>
                <w:sz w:val="16"/>
                <w:szCs w:val="16"/>
              </w:rPr>
              <w:lastRenderedPageBreak/>
              <w:t>2</w:t>
            </w:r>
          </w:p>
        </w:tc>
        <w:tc>
          <w:tcPr>
            <w:tcW w:w="1582" w:type="pct"/>
            <w:shd w:val="clear" w:color="auto" w:fill="auto"/>
            <w:vAlign w:val="center"/>
            <w:hideMark/>
          </w:tcPr>
          <w:p w:rsidR="00BF325B" w:rsidRDefault="00BF325B">
            <w:pPr>
              <w:rPr>
                <w:rFonts w:ascii="Cambria" w:hAnsi="Cambria"/>
                <w:sz w:val="16"/>
                <w:szCs w:val="16"/>
              </w:rPr>
            </w:pPr>
            <w:r w:rsidRPr="00BF325B">
              <w:rPr>
                <w:rFonts w:ascii="Cambria" w:hAnsi="Cambria"/>
                <w:sz w:val="16"/>
                <w:szCs w:val="16"/>
              </w:rPr>
              <w:t>Холодный склад, назначение: нежилое, 1- этажный,  общая площадь 1002,2 кв. метра, инв. № 01:3396:013795, лит. В1, адрес: г. Красноярск, ул. Айвазовского, 37 «А», строение 3. Кадастровый номер: 24:50:0500203:398</w:t>
            </w:r>
          </w:p>
        </w:tc>
        <w:tc>
          <w:tcPr>
            <w:tcW w:w="570" w:type="pct"/>
            <w:vAlign w:val="center"/>
          </w:tcPr>
          <w:p w:rsidR="00BF325B" w:rsidRDefault="00BF325B" w:rsidP="00BF325B">
            <w:pPr>
              <w:jc w:val="center"/>
              <w:rPr>
                <w:rFonts w:ascii="Cambria" w:hAnsi="Cambria"/>
                <w:color w:val="000000"/>
                <w:sz w:val="16"/>
                <w:szCs w:val="16"/>
              </w:rPr>
            </w:pPr>
            <w:r>
              <w:rPr>
                <w:rFonts w:ascii="Cambria" w:hAnsi="Cambria"/>
                <w:color w:val="000000"/>
                <w:sz w:val="16"/>
                <w:szCs w:val="16"/>
              </w:rPr>
              <w:t>ПСН</w:t>
            </w:r>
          </w:p>
        </w:tc>
        <w:tc>
          <w:tcPr>
            <w:tcW w:w="554" w:type="pct"/>
            <w:shd w:val="clear" w:color="auto" w:fill="auto"/>
            <w:noWrap/>
            <w:vAlign w:val="center"/>
          </w:tcPr>
          <w:p w:rsidR="00BF325B" w:rsidRPr="006A199E" w:rsidRDefault="00BF325B" w:rsidP="00BF325B">
            <w:pPr>
              <w:jc w:val="center"/>
              <w:rPr>
                <w:rFonts w:ascii="Cambria" w:hAnsi="Cambria"/>
                <w:color w:val="000000"/>
                <w:sz w:val="16"/>
                <w:szCs w:val="16"/>
              </w:rPr>
            </w:pPr>
            <w:r>
              <w:rPr>
                <w:rFonts w:ascii="Cambria" w:hAnsi="Cambria"/>
                <w:color w:val="000000"/>
                <w:sz w:val="16"/>
                <w:szCs w:val="16"/>
              </w:rPr>
              <w:t>1 002,2</w:t>
            </w:r>
          </w:p>
        </w:tc>
        <w:tc>
          <w:tcPr>
            <w:tcW w:w="625" w:type="pct"/>
            <w:shd w:val="clear" w:color="auto" w:fill="auto"/>
            <w:noWrap/>
            <w:vAlign w:val="center"/>
          </w:tcPr>
          <w:p w:rsidR="00BF325B" w:rsidRDefault="006568BA" w:rsidP="006568BA">
            <w:pPr>
              <w:jc w:val="center"/>
              <w:rPr>
                <w:rFonts w:ascii="Cambria" w:hAnsi="Cambria"/>
                <w:sz w:val="16"/>
                <w:szCs w:val="16"/>
              </w:rPr>
            </w:pPr>
            <w:r>
              <w:rPr>
                <w:rFonts w:ascii="Cambria" w:hAnsi="Cambria"/>
                <w:sz w:val="16"/>
                <w:szCs w:val="16"/>
              </w:rPr>
              <w:t>9 436</w:t>
            </w:r>
          </w:p>
        </w:tc>
        <w:tc>
          <w:tcPr>
            <w:tcW w:w="667" w:type="pct"/>
            <w:shd w:val="clear" w:color="auto" w:fill="auto"/>
            <w:noWrap/>
            <w:vAlign w:val="center"/>
          </w:tcPr>
          <w:p w:rsidR="00BF325B" w:rsidRDefault="006568BA" w:rsidP="006A199E">
            <w:pPr>
              <w:jc w:val="center"/>
              <w:rPr>
                <w:rFonts w:ascii="Cambria" w:hAnsi="Cambria"/>
                <w:sz w:val="16"/>
                <w:szCs w:val="16"/>
              </w:rPr>
            </w:pPr>
            <w:r w:rsidRPr="006568BA">
              <w:rPr>
                <w:rFonts w:ascii="Cambria" w:hAnsi="Cambria"/>
                <w:sz w:val="16"/>
                <w:szCs w:val="16"/>
              </w:rPr>
              <w:t>9 456 750</w:t>
            </w:r>
          </w:p>
        </w:tc>
        <w:tc>
          <w:tcPr>
            <w:tcW w:w="703" w:type="pct"/>
            <w:shd w:val="clear" w:color="auto" w:fill="auto"/>
            <w:noWrap/>
            <w:vAlign w:val="center"/>
          </w:tcPr>
          <w:p w:rsidR="00BF325B" w:rsidRDefault="006568BA">
            <w:pPr>
              <w:jc w:val="center"/>
              <w:rPr>
                <w:rFonts w:ascii="Cambria" w:hAnsi="Cambria"/>
                <w:sz w:val="16"/>
                <w:szCs w:val="16"/>
              </w:rPr>
            </w:pPr>
            <w:r w:rsidRPr="006568BA">
              <w:rPr>
                <w:rFonts w:ascii="Cambria" w:hAnsi="Cambria"/>
                <w:sz w:val="16"/>
                <w:szCs w:val="16"/>
              </w:rPr>
              <w:t>9 456 700</w:t>
            </w:r>
          </w:p>
        </w:tc>
      </w:tr>
      <w:tr w:rsidR="00BF325B" w:rsidRPr="006A199E" w:rsidTr="006568BA">
        <w:trPr>
          <w:cantSplit/>
          <w:trHeight w:val="170"/>
        </w:trPr>
        <w:tc>
          <w:tcPr>
            <w:tcW w:w="299" w:type="pct"/>
            <w:shd w:val="clear" w:color="auto" w:fill="auto"/>
            <w:noWrap/>
            <w:vAlign w:val="center"/>
          </w:tcPr>
          <w:p w:rsidR="00BF325B" w:rsidRDefault="00BF325B" w:rsidP="006A199E">
            <w:pPr>
              <w:jc w:val="center"/>
              <w:rPr>
                <w:rFonts w:ascii="Cambria" w:hAnsi="Cambria"/>
                <w:color w:val="000000"/>
                <w:sz w:val="16"/>
                <w:szCs w:val="16"/>
              </w:rPr>
            </w:pPr>
            <w:r>
              <w:rPr>
                <w:rFonts w:ascii="Cambria" w:hAnsi="Cambria"/>
                <w:color w:val="000000"/>
                <w:sz w:val="16"/>
                <w:szCs w:val="16"/>
              </w:rPr>
              <w:t>3</w:t>
            </w:r>
          </w:p>
        </w:tc>
        <w:tc>
          <w:tcPr>
            <w:tcW w:w="1582" w:type="pct"/>
            <w:shd w:val="clear" w:color="auto" w:fill="auto"/>
            <w:vAlign w:val="center"/>
          </w:tcPr>
          <w:p w:rsidR="00BF325B" w:rsidRDefault="00BF325B">
            <w:pPr>
              <w:rPr>
                <w:rFonts w:ascii="Cambria" w:hAnsi="Cambria"/>
                <w:color w:val="000000"/>
                <w:sz w:val="18"/>
                <w:szCs w:val="18"/>
              </w:rPr>
            </w:pPr>
            <w:r>
              <w:rPr>
                <w:rFonts w:ascii="Cambria" w:hAnsi="Cambria"/>
                <w:color w:val="000000"/>
                <w:sz w:val="18"/>
                <w:szCs w:val="18"/>
              </w:rPr>
              <w:t>Склад готовой продукции, назначение: нежилое, 1-этажный, общая площадь 1497,2 кв. м.,  инв. № 01:3237:012895, лит. В3,  адрес: г. Красноярск, ул. Айвазовского,37 «А», строен. 1, Кадастровый номер 24:50:0000000:0:105432</w:t>
            </w:r>
          </w:p>
        </w:tc>
        <w:tc>
          <w:tcPr>
            <w:tcW w:w="570" w:type="pct"/>
            <w:vAlign w:val="center"/>
          </w:tcPr>
          <w:p w:rsidR="00BF325B" w:rsidRDefault="00BF325B" w:rsidP="00BF325B">
            <w:pPr>
              <w:jc w:val="center"/>
              <w:rPr>
                <w:rFonts w:ascii="Cambria" w:hAnsi="Cambria"/>
                <w:color w:val="000000"/>
                <w:sz w:val="16"/>
                <w:szCs w:val="16"/>
              </w:rPr>
            </w:pPr>
            <w:r>
              <w:rPr>
                <w:rFonts w:ascii="Cambria" w:hAnsi="Cambria"/>
                <w:color w:val="000000"/>
                <w:sz w:val="16"/>
                <w:szCs w:val="16"/>
              </w:rPr>
              <w:t>ПСН</w:t>
            </w:r>
          </w:p>
        </w:tc>
        <w:tc>
          <w:tcPr>
            <w:tcW w:w="554" w:type="pct"/>
            <w:shd w:val="clear" w:color="auto" w:fill="auto"/>
            <w:noWrap/>
            <w:vAlign w:val="center"/>
          </w:tcPr>
          <w:p w:rsidR="00BF325B" w:rsidRPr="006A199E" w:rsidRDefault="00BF325B" w:rsidP="006A199E">
            <w:pPr>
              <w:jc w:val="center"/>
              <w:rPr>
                <w:rFonts w:ascii="Cambria" w:hAnsi="Cambria"/>
                <w:color w:val="000000"/>
                <w:sz w:val="16"/>
                <w:szCs w:val="16"/>
              </w:rPr>
            </w:pPr>
            <w:r>
              <w:rPr>
                <w:rFonts w:ascii="Cambria" w:hAnsi="Cambria"/>
                <w:color w:val="000000"/>
                <w:sz w:val="16"/>
                <w:szCs w:val="16"/>
              </w:rPr>
              <w:t>1 497,2</w:t>
            </w:r>
          </w:p>
        </w:tc>
        <w:tc>
          <w:tcPr>
            <w:tcW w:w="625" w:type="pct"/>
            <w:shd w:val="clear" w:color="auto" w:fill="auto"/>
            <w:noWrap/>
            <w:vAlign w:val="center"/>
          </w:tcPr>
          <w:p w:rsidR="00BF325B" w:rsidRDefault="006568BA">
            <w:pPr>
              <w:jc w:val="center"/>
              <w:rPr>
                <w:rFonts w:ascii="Cambria" w:hAnsi="Cambria"/>
                <w:sz w:val="16"/>
                <w:szCs w:val="16"/>
              </w:rPr>
            </w:pPr>
            <w:r w:rsidRPr="006568BA">
              <w:rPr>
                <w:rFonts w:ascii="Cambria" w:hAnsi="Cambria"/>
                <w:sz w:val="16"/>
                <w:szCs w:val="16"/>
              </w:rPr>
              <w:t>14 130</w:t>
            </w:r>
          </w:p>
        </w:tc>
        <w:tc>
          <w:tcPr>
            <w:tcW w:w="667" w:type="pct"/>
            <w:shd w:val="clear" w:color="auto" w:fill="auto"/>
            <w:noWrap/>
            <w:vAlign w:val="center"/>
          </w:tcPr>
          <w:p w:rsidR="00BF325B" w:rsidRDefault="006568BA" w:rsidP="006A199E">
            <w:pPr>
              <w:jc w:val="center"/>
              <w:rPr>
                <w:rFonts w:ascii="Cambria" w:hAnsi="Cambria"/>
                <w:sz w:val="16"/>
                <w:szCs w:val="16"/>
              </w:rPr>
            </w:pPr>
            <w:r w:rsidRPr="006568BA">
              <w:rPr>
                <w:rFonts w:ascii="Cambria" w:hAnsi="Cambria"/>
                <w:sz w:val="16"/>
                <w:szCs w:val="16"/>
              </w:rPr>
              <w:t>21 155 282</w:t>
            </w:r>
          </w:p>
        </w:tc>
        <w:tc>
          <w:tcPr>
            <w:tcW w:w="703" w:type="pct"/>
            <w:shd w:val="clear" w:color="auto" w:fill="auto"/>
            <w:noWrap/>
            <w:vAlign w:val="center"/>
          </w:tcPr>
          <w:p w:rsidR="00BF325B" w:rsidRDefault="006568BA">
            <w:pPr>
              <w:jc w:val="center"/>
              <w:rPr>
                <w:rFonts w:ascii="Cambria" w:hAnsi="Cambria"/>
                <w:sz w:val="16"/>
                <w:szCs w:val="16"/>
              </w:rPr>
            </w:pPr>
            <w:r w:rsidRPr="006568BA">
              <w:rPr>
                <w:rFonts w:ascii="Cambria" w:hAnsi="Cambria"/>
                <w:sz w:val="16"/>
                <w:szCs w:val="16"/>
              </w:rPr>
              <w:t>21 155 300</w:t>
            </w:r>
          </w:p>
        </w:tc>
      </w:tr>
      <w:tr w:rsidR="00BF325B" w:rsidRPr="006A199E" w:rsidTr="006568BA">
        <w:trPr>
          <w:cantSplit/>
          <w:trHeight w:val="170"/>
        </w:trPr>
        <w:tc>
          <w:tcPr>
            <w:tcW w:w="299" w:type="pct"/>
            <w:shd w:val="clear" w:color="auto" w:fill="auto"/>
            <w:noWrap/>
            <w:vAlign w:val="center"/>
          </w:tcPr>
          <w:p w:rsidR="00BF325B" w:rsidRDefault="00BF325B" w:rsidP="006A199E">
            <w:pPr>
              <w:jc w:val="center"/>
              <w:rPr>
                <w:rFonts w:ascii="Cambria" w:hAnsi="Cambria"/>
                <w:color w:val="000000"/>
                <w:sz w:val="16"/>
                <w:szCs w:val="16"/>
              </w:rPr>
            </w:pPr>
            <w:r>
              <w:rPr>
                <w:rFonts w:ascii="Cambria" w:hAnsi="Cambria"/>
                <w:color w:val="000000"/>
                <w:sz w:val="16"/>
                <w:szCs w:val="16"/>
              </w:rPr>
              <w:t>4</w:t>
            </w:r>
          </w:p>
        </w:tc>
        <w:tc>
          <w:tcPr>
            <w:tcW w:w="1582" w:type="pct"/>
            <w:shd w:val="clear" w:color="auto" w:fill="auto"/>
            <w:vAlign w:val="center"/>
          </w:tcPr>
          <w:p w:rsidR="00BF325B" w:rsidRDefault="00BF325B">
            <w:pPr>
              <w:rPr>
                <w:rFonts w:ascii="Cambria" w:hAnsi="Cambria"/>
                <w:color w:val="000000"/>
                <w:sz w:val="18"/>
                <w:szCs w:val="18"/>
              </w:rPr>
            </w:pPr>
            <w:r>
              <w:rPr>
                <w:rFonts w:ascii="Cambria" w:hAnsi="Cambria"/>
                <w:color w:val="000000"/>
                <w:sz w:val="18"/>
                <w:szCs w:val="18"/>
              </w:rPr>
              <w:t>Земельный участок, категория земель: земли населенных пунктов, разрешенное использование: занимаемый производственной базой, общая площадь 12774 кв. м., адрес: г. Красноярск, ул. Айвазовского,37 «А», кадастровый номер: 24:50:0500203:458</w:t>
            </w:r>
          </w:p>
        </w:tc>
        <w:tc>
          <w:tcPr>
            <w:tcW w:w="570" w:type="pct"/>
            <w:vAlign w:val="center"/>
          </w:tcPr>
          <w:p w:rsidR="00BF325B" w:rsidRDefault="00BF325B" w:rsidP="00BF325B">
            <w:pPr>
              <w:jc w:val="center"/>
              <w:rPr>
                <w:rFonts w:ascii="Cambria" w:hAnsi="Cambria"/>
                <w:color w:val="000000"/>
                <w:sz w:val="16"/>
                <w:szCs w:val="16"/>
              </w:rPr>
            </w:pPr>
            <w:r>
              <w:rPr>
                <w:rFonts w:ascii="Cambria" w:hAnsi="Cambria"/>
                <w:color w:val="000000"/>
                <w:sz w:val="16"/>
                <w:szCs w:val="16"/>
              </w:rPr>
              <w:t>ПСН</w:t>
            </w:r>
          </w:p>
        </w:tc>
        <w:tc>
          <w:tcPr>
            <w:tcW w:w="554" w:type="pct"/>
            <w:shd w:val="clear" w:color="auto" w:fill="auto"/>
            <w:noWrap/>
            <w:vAlign w:val="center"/>
          </w:tcPr>
          <w:p w:rsidR="00BF325B" w:rsidRPr="006A199E" w:rsidRDefault="00BF325B" w:rsidP="006A199E">
            <w:pPr>
              <w:jc w:val="center"/>
              <w:rPr>
                <w:rFonts w:ascii="Cambria" w:hAnsi="Cambria"/>
                <w:color w:val="000000"/>
                <w:sz w:val="16"/>
                <w:szCs w:val="16"/>
              </w:rPr>
            </w:pPr>
            <w:r>
              <w:rPr>
                <w:rFonts w:ascii="Cambria" w:hAnsi="Cambria"/>
                <w:color w:val="000000"/>
                <w:sz w:val="16"/>
                <w:szCs w:val="16"/>
              </w:rPr>
              <w:t>12 774</w:t>
            </w:r>
          </w:p>
        </w:tc>
        <w:tc>
          <w:tcPr>
            <w:tcW w:w="625" w:type="pct"/>
            <w:shd w:val="clear" w:color="auto" w:fill="auto"/>
            <w:noWrap/>
            <w:vAlign w:val="center"/>
          </w:tcPr>
          <w:p w:rsidR="00BF325B" w:rsidRDefault="006568BA">
            <w:pPr>
              <w:jc w:val="center"/>
              <w:rPr>
                <w:rFonts w:ascii="Cambria" w:hAnsi="Cambria"/>
                <w:sz w:val="16"/>
                <w:szCs w:val="16"/>
              </w:rPr>
            </w:pPr>
            <w:r>
              <w:rPr>
                <w:rFonts w:ascii="Cambria" w:hAnsi="Cambria"/>
                <w:sz w:val="16"/>
                <w:szCs w:val="16"/>
              </w:rPr>
              <w:t>160,62</w:t>
            </w:r>
          </w:p>
        </w:tc>
        <w:tc>
          <w:tcPr>
            <w:tcW w:w="667" w:type="pct"/>
            <w:shd w:val="clear" w:color="auto" w:fill="auto"/>
            <w:noWrap/>
            <w:vAlign w:val="center"/>
          </w:tcPr>
          <w:p w:rsidR="00BF325B" w:rsidRDefault="006568BA" w:rsidP="006A199E">
            <w:pPr>
              <w:jc w:val="center"/>
              <w:rPr>
                <w:rFonts w:ascii="Cambria" w:hAnsi="Cambria"/>
                <w:sz w:val="16"/>
                <w:szCs w:val="16"/>
              </w:rPr>
            </w:pPr>
            <w:r w:rsidRPr="006568BA">
              <w:rPr>
                <w:rFonts w:ascii="Cambria" w:hAnsi="Cambria"/>
                <w:sz w:val="16"/>
                <w:szCs w:val="16"/>
              </w:rPr>
              <w:t>2 051 701</w:t>
            </w:r>
          </w:p>
        </w:tc>
        <w:tc>
          <w:tcPr>
            <w:tcW w:w="703" w:type="pct"/>
            <w:shd w:val="clear" w:color="auto" w:fill="auto"/>
            <w:noWrap/>
            <w:vAlign w:val="center"/>
          </w:tcPr>
          <w:p w:rsidR="00BF325B" w:rsidRDefault="006568BA">
            <w:pPr>
              <w:jc w:val="center"/>
              <w:rPr>
                <w:rFonts w:ascii="Cambria" w:hAnsi="Cambria"/>
                <w:sz w:val="16"/>
                <w:szCs w:val="16"/>
              </w:rPr>
            </w:pPr>
            <w:r w:rsidRPr="006568BA">
              <w:rPr>
                <w:rFonts w:ascii="Cambria" w:hAnsi="Cambria"/>
                <w:sz w:val="16"/>
                <w:szCs w:val="16"/>
              </w:rPr>
              <w:t>2 051 700,0</w:t>
            </w:r>
          </w:p>
        </w:tc>
      </w:tr>
    </w:tbl>
    <w:p w:rsidR="006A199E" w:rsidRPr="006A199E" w:rsidRDefault="006A199E" w:rsidP="006A199E">
      <w:pPr>
        <w:keepNext/>
        <w:spacing w:before="120" w:after="120"/>
        <w:jc w:val="both"/>
        <w:outlineLvl w:val="1"/>
        <w:rPr>
          <w:rFonts w:ascii="Bookman Old Style" w:hAnsi="Bookman Old Style"/>
          <w:b/>
          <w:sz w:val="20"/>
          <w:szCs w:val="20"/>
        </w:rPr>
      </w:pPr>
      <w:bookmarkStart w:id="283" w:name="_Toc419473033"/>
      <w:bookmarkStart w:id="284" w:name="_Toc461206411"/>
      <w:r w:rsidRPr="006A199E">
        <w:rPr>
          <w:rFonts w:ascii="Bookman Old Style" w:hAnsi="Bookman Old Style"/>
          <w:b/>
          <w:sz w:val="20"/>
          <w:szCs w:val="20"/>
        </w:rPr>
        <w:t>5.5</w:t>
      </w:r>
      <w:r>
        <w:rPr>
          <w:rFonts w:ascii="Bookman Old Style" w:hAnsi="Bookman Old Style"/>
          <w:b/>
          <w:sz w:val="20"/>
          <w:szCs w:val="20"/>
        </w:rPr>
        <w:t>.</w:t>
      </w:r>
      <w:r w:rsidRPr="006A199E">
        <w:rPr>
          <w:rFonts w:ascii="Bookman Old Style" w:hAnsi="Bookman Old Style"/>
          <w:b/>
          <w:sz w:val="20"/>
          <w:szCs w:val="20"/>
        </w:rPr>
        <w:t xml:space="preserve"> ОПРЕДЕЛЕНИЕ СТОИМОСТИ ИМУЩЕСТВА ДОХОДНЫМ ПОДХОДОМ</w:t>
      </w:r>
      <w:bookmarkEnd w:id="283"/>
      <w:bookmarkEnd w:id="284"/>
    </w:p>
    <w:p w:rsidR="006A199E" w:rsidRPr="006A199E" w:rsidRDefault="006A199E" w:rsidP="006A199E">
      <w:pPr>
        <w:keepNext/>
        <w:spacing w:before="120" w:after="120"/>
        <w:jc w:val="both"/>
        <w:outlineLvl w:val="2"/>
        <w:rPr>
          <w:rFonts w:ascii="Bookman Old Style" w:hAnsi="Bookman Old Style"/>
          <w:b/>
          <w:bCs/>
          <w:sz w:val="20"/>
          <w:szCs w:val="20"/>
        </w:rPr>
      </w:pPr>
      <w:bookmarkStart w:id="285" w:name="_Toc419473034"/>
      <w:bookmarkStart w:id="286" w:name="_Toc461206412"/>
      <w:r w:rsidRPr="006A199E">
        <w:rPr>
          <w:rFonts w:ascii="Bookman Old Style" w:hAnsi="Bookman Old Style"/>
          <w:b/>
          <w:bCs/>
          <w:sz w:val="20"/>
          <w:szCs w:val="20"/>
        </w:rPr>
        <w:t>5.5.1. Выбор метода оценки</w:t>
      </w:r>
      <w:bookmarkEnd w:id="285"/>
      <w:bookmarkEnd w:id="286"/>
      <w:r w:rsidRPr="006A199E">
        <w:rPr>
          <w:rFonts w:ascii="Bookman Old Style" w:hAnsi="Bookman Old Style"/>
          <w:b/>
          <w:bCs/>
          <w:sz w:val="20"/>
          <w:szCs w:val="20"/>
        </w:rPr>
        <w:t xml:space="preserve"> </w:t>
      </w:r>
    </w:p>
    <w:p w:rsidR="006A199E" w:rsidRPr="006A199E" w:rsidRDefault="006A199E" w:rsidP="006A199E">
      <w:pPr>
        <w:spacing w:before="120" w:after="120"/>
        <w:rPr>
          <w:rFonts w:ascii="Bookman Old Style" w:hAnsi="Bookman Old Style"/>
          <w:sz w:val="20"/>
          <w:szCs w:val="20"/>
        </w:rPr>
      </w:pPr>
      <w:r w:rsidRPr="006A199E">
        <w:rPr>
          <w:rFonts w:ascii="Bookman Old Style" w:hAnsi="Bookman Old Style"/>
          <w:sz w:val="20"/>
          <w:szCs w:val="20"/>
        </w:rPr>
        <w:t>Согласно, ФСО № 1 пункт 13</w:t>
      </w:r>
      <w:r w:rsidRPr="006A199E">
        <w:rPr>
          <w:rFonts w:ascii="Bookman Old Style" w:hAnsi="Bookman Old Style"/>
          <w:sz w:val="20"/>
          <w:szCs w:val="20"/>
          <w:vertAlign w:val="superscript"/>
        </w:rPr>
        <w:footnoteReference w:id="57"/>
      </w:r>
      <w:r w:rsidRPr="006A199E">
        <w:rPr>
          <w:rFonts w:ascii="Bookman Old Style" w:hAnsi="Bookman Old Style"/>
          <w:sz w:val="20"/>
          <w:szCs w:val="20"/>
        </w:rPr>
        <w:t>:</w:t>
      </w:r>
    </w:p>
    <w:p w:rsidR="006A199E" w:rsidRDefault="006A199E" w:rsidP="006A199E">
      <w:pPr>
        <w:spacing w:before="120" w:after="120"/>
        <w:ind w:firstLine="708"/>
        <w:jc w:val="both"/>
        <w:rPr>
          <w:rFonts w:ascii="Bookman Old Style" w:hAnsi="Bookman Old Style"/>
          <w:sz w:val="20"/>
          <w:szCs w:val="20"/>
        </w:rPr>
      </w:pPr>
      <w:r w:rsidRPr="006A199E">
        <w:rPr>
          <w:rFonts w:ascii="Bookman Old Style" w:hAnsi="Bookman Old Style"/>
          <w:sz w:val="20"/>
          <w:szCs w:val="20"/>
        </w:rPr>
        <w:t>«Доходный подход - совокупность методов оценки стоимости объекта оценки, основанных на определении ожидаемых доходов от использования объекта оценки».</w:t>
      </w:r>
    </w:p>
    <w:p w:rsidR="006A199E" w:rsidRPr="006A199E" w:rsidRDefault="006A199E" w:rsidP="006A199E">
      <w:pPr>
        <w:spacing w:before="120" w:after="120"/>
        <w:ind w:firstLine="708"/>
        <w:jc w:val="both"/>
        <w:rPr>
          <w:rFonts w:ascii="Bookman Old Style" w:hAnsi="Bookman Old Style"/>
          <w:sz w:val="20"/>
          <w:szCs w:val="20"/>
        </w:rPr>
      </w:pPr>
      <w:r w:rsidRPr="006A199E">
        <w:rPr>
          <w:rFonts w:ascii="Bookman Old Style" w:hAnsi="Bookman Old Style"/>
          <w:sz w:val="20"/>
          <w:szCs w:val="20"/>
        </w:rPr>
        <w:t>ФСО № 1 пункт 21:</w:t>
      </w:r>
    </w:p>
    <w:p w:rsidR="006A199E" w:rsidRDefault="006A199E" w:rsidP="006A199E">
      <w:pPr>
        <w:spacing w:before="120" w:after="120"/>
        <w:ind w:firstLine="708"/>
        <w:jc w:val="both"/>
        <w:rPr>
          <w:rFonts w:ascii="Bookman Old Style" w:hAnsi="Bookman Old Style"/>
          <w:bCs/>
          <w:sz w:val="20"/>
          <w:szCs w:val="20"/>
        </w:rPr>
      </w:pPr>
      <w:r w:rsidRPr="006A199E">
        <w:rPr>
          <w:rFonts w:ascii="Bookman Old Style" w:hAnsi="Bookman Old Style"/>
          <w:bCs/>
          <w:sz w:val="20"/>
          <w:szCs w:val="20"/>
        </w:rPr>
        <w:t>«Доходный подход применяется, когда существует достоверная информация, позволяющая прогнозировать будущие доходы, которые объект оценки способен приносить, а также связанные с объектом оценки расходы. При применении доходного подхода оценщик определяет величину будущих доходов и расходов и моменты их получения.</w:t>
      </w:r>
    </w:p>
    <w:p w:rsidR="006A199E" w:rsidRPr="006A199E" w:rsidRDefault="006A199E" w:rsidP="006A199E">
      <w:pPr>
        <w:spacing w:before="120" w:after="120"/>
        <w:ind w:firstLine="708"/>
        <w:jc w:val="both"/>
        <w:rPr>
          <w:rFonts w:ascii="Bookman Old Style" w:hAnsi="Bookman Old Style"/>
          <w:bCs/>
          <w:sz w:val="20"/>
          <w:szCs w:val="20"/>
        </w:rPr>
      </w:pPr>
      <w:r w:rsidRPr="006A199E">
        <w:rPr>
          <w:rFonts w:ascii="Bookman Old Style" w:hAnsi="Bookman Old Style"/>
          <w:bCs/>
          <w:sz w:val="20"/>
          <w:szCs w:val="20"/>
        </w:rPr>
        <w:t>Применяя доходный подход к оценке, оценщик должен:</w:t>
      </w:r>
    </w:p>
    <w:p w:rsidR="006A199E" w:rsidRPr="006A199E" w:rsidRDefault="006A199E" w:rsidP="00303E37">
      <w:pPr>
        <w:numPr>
          <w:ilvl w:val="0"/>
          <w:numId w:val="45"/>
        </w:numPr>
        <w:spacing w:before="120" w:after="120"/>
        <w:ind w:left="714" w:hanging="357"/>
        <w:jc w:val="both"/>
        <w:rPr>
          <w:rFonts w:ascii="Bookman Old Style" w:hAnsi="Bookman Old Style"/>
          <w:bCs/>
          <w:sz w:val="20"/>
          <w:szCs w:val="20"/>
        </w:rPr>
      </w:pPr>
      <w:bookmarkStart w:id="287" w:name="_Toc285494280"/>
      <w:r w:rsidRPr="006A199E">
        <w:rPr>
          <w:rFonts w:ascii="Bookman Old Style" w:hAnsi="Bookman Old Style"/>
          <w:bCs/>
          <w:sz w:val="20"/>
          <w:szCs w:val="20"/>
        </w:rPr>
        <w:t>установить период прогнозирования. Под периодом прогнозирования понимается период в будущем, на который от даты оценки производится прогнозирование количественных характеристик факторов, влияющих на величину будущих доходов;</w:t>
      </w:r>
      <w:bookmarkEnd w:id="287"/>
    </w:p>
    <w:p w:rsidR="006A199E" w:rsidRPr="006A199E" w:rsidRDefault="006A199E" w:rsidP="00303E37">
      <w:pPr>
        <w:numPr>
          <w:ilvl w:val="0"/>
          <w:numId w:val="45"/>
        </w:numPr>
        <w:spacing w:before="120" w:after="120"/>
        <w:ind w:left="714" w:hanging="357"/>
        <w:jc w:val="both"/>
        <w:rPr>
          <w:rFonts w:ascii="Bookman Old Style" w:hAnsi="Bookman Old Style"/>
          <w:bCs/>
          <w:sz w:val="20"/>
          <w:szCs w:val="20"/>
        </w:rPr>
      </w:pPr>
      <w:bookmarkStart w:id="288" w:name="_Toc285494281"/>
      <w:r w:rsidRPr="006A199E">
        <w:rPr>
          <w:rFonts w:ascii="Bookman Old Style" w:hAnsi="Bookman Old Style"/>
          <w:bCs/>
          <w:sz w:val="20"/>
          <w:szCs w:val="20"/>
        </w:rPr>
        <w:t>исследовать способность объекта оценки приносить поток доходов в течение периода прогнозирования, а также сделать заключение о способности объекта приносить поток доходов в период после периода прогнозирования;</w:t>
      </w:r>
      <w:bookmarkEnd w:id="288"/>
    </w:p>
    <w:p w:rsidR="006A199E" w:rsidRPr="006A199E" w:rsidRDefault="006A199E" w:rsidP="00303E37">
      <w:pPr>
        <w:numPr>
          <w:ilvl w:val="0"/>
          <w:numId w:val="45"/>
        </w:numPr>
        <w:spacing w:before="120" w:after="120"/>
        <w:ind w:left="714" w:hanging="357"/>
        <w:jc w:val="both"/>
        <w:rPr>
          <w:rFonts w:ascii="Bookman Old Style" w:hAnsi="Bookman Old Style"/>
          <w:bCs/>
          <w:sz w:val="20"/>
          <w:szCs w:val="20"/>
        </w:rPr>
      </w:pPr>
      <w:bookmarkStart w:id="289" w:name="_Toc285494282"/>
      <w:r w:rsidRPr="006A199E">
        <w:rPr>
          <w:rFonts w:ascii="Bookman Old Style" w:hAnsi="Bookman Old Style"/>
          <w:bCs/>
          <w:sz w:val="20"/>
          <w:szCs w:val="20"/>
        </w:rPr>
        <w:t>определить ставку дисконтирования, отражающую доходность вложений в сопоставимые с объектом оценки по уровню риска объекты инвестирования, используемую для приведения будущих потоков доходов к дате оценки;</w:t>
      </w:r>
      <w:bookmarkEnd w:id="289"/>
    </w:p>
    <w:p w:rsidR="006A199E" w:rsidRPr="006A199E" w:rsidRDefault="006A199E" w:rsidP="00303E37">
      <w:pPr>
        <w:numPr>
          <w:ilvl w:val="0"/>
          <w:numId w:val="45"/>
        </w:numPr>
        <w:spacing w:before="120" w:after="120"/>
        <w:ind w:left="714" w:hanging="357"/>
        <w:jc w:val="both"/>
        <w:rPr>
          <w:rFonts w:ascii="Bookman Old Style" w:hAnsi="Bookman Old Style"/>
          <w:bCs/>
          <w:sz w:val="20"/>
          <w:szCs w:val="20"/>
        </w:rPr>
      </w:pPr>
      <w:bookmarkStart w:id="290" w:name="_Toc285494283"/>
      <w:r w:rsidRPr="006A199E">
        <w:rPr>
          <w:rFonts w:ascii="Bookman Old Style" w:hAnsi="Bookman Old Style"/>
          <w:bCs/>
          <w:sz w:val="20"/>
          <w:szCs w:val="20"/>
        </w:rPr>
        <w:t>осуществить процедуру приведения потока ожидаемых доходов в период прогнозирования, а также доходов после периода прогнозирования в стоимость на дату оценки».</w:t>
      </w:r>
      <w:bookmarkEnd w:id="290"/>
    </w:p>
    <w:p w:rsidR="006A199E" w:rsidRPr="006A199E" w:rsidRDefault="006A199E" w:rsidP="006A199E">
      <w:pPr>
        <w:spacing w:before="120" w:after="120"/>
        <w:ind w:firstLine="708"/>
        <w:jc w:val="both"/>
        <w:rPr>
          <w:rFonts w:ascii="Bookman Old Style" w:hAnsi="Bookman Old Style"/>
          <w:sz w:val="20"/>
          <w:szCs w:val="20"/>
        </w:rPr>
      </w:pPr>
      <w:r w:rsidRPr="006A199E">
        <w:rPr>
          <w:rFonts w:ascii="Bookman Old Style" w:hAnsi="Bookman Old Style"/>
          <w:sz w:val="20"/>
          <w:szCs w:val="20"/>
        </w:rPr>
        <w:t>Основываясь на вышеперечисленных факторах, проведен расчет рыночной стоимости Объекта оценки.</w:t>
      </w:r>
    </w:p>
    <w:p w:rsidR="006A199E" w:rsidRPr="006A199E" w:rsidRDefault="006A199E" w:rsidP="006A199E">
      <w:pPr>
        <w:spacing w:before="120" w:after="120"/>
        <w:ind w:firstLine="708"/>
        <w:jc w:val="both"/>
        <w:rPr>
          <w:rFonts w:ascii="Bookman Old Style" w:hAnsi="Bookman Old Style"/>
          <w:sz w:val="20"/>
          <w:szCs w:val="20"/>
        </w:rPr>
      </w:pPr>
      <w:r w:rsidRPr="006A199E">
        <w:rPr>
          <w:rFonts w:ascii="Bookman Old Style" w:hAnsi="Bookman Old Style"/>
          <w:sz w:val="20"/>
          <w:szCs w:val="20"/>
        </w:rPr>
        <w:t>Для реализации методов доходного подхода, оценщик применил:</w:t>
      </w:r>
    </w:p>
    <w:p w:rsidR="006A199E" w:rsidRPr="006A199E" w:rsidRDefault="006A199E" w:rsidP="00303E37">
      <w:pPr>
        <w:numPr>
          <w:ilvl w:val="0"/>
          <w:numId w:val="14"/>
        </w:numPr>
        <w:spacing w:before="120" w:after="120"/>
        <w:ind w:left="714" w:hanging="357"/>
        <w:jc w:val="both"/>
        <w:rPr>
          <w:rFonts w:ascii="Bookman Old Style" w:hAnsi="Bookman Old Style"/>
          <w:sz w:val="20"/>
          <w:szCs w:val="20"/>
        </w:rPr>
      </w:pPr>
      <w:r w:rsidRPr="006A199E">
        <w:rPr>
          <w:rFonts w:ascii="Bookman Old Style" w:hAnsi="Bookman Old Style"/>
          <w:sz w:val="20"/>
          <w:szCs w:val="20"/>
        </w:rPr>
        <w:t>«метод капитализации по расчетной модели»;</w:t>
      </w:r>
    </w:p>
    <w:p w:rsidR="00BF325B" w:rsidRPr="009328E0" w:rsidRDefault="00BF325B" w:rsidP="00BF325B">
      <w:pPr>
        <w:spacing w:before="120" w:after="120"/>
        <w:ind w:firstLine="709"/>
        <w:jc w:val="both"/>
        <w:rPr>
          <w:rFonts w:ascii="Bookman Old Style" w:hAnsi="Bookman Old Style"/>
          <w:sz w:val="20"/>
          <w:szCs w:val="20"/>
        </w:rPr>
      </w:pPr>
      <w:r w:rsidRPr="009328E0">
        <w:rPr>
          <w:rFonts w:ascii="Bookman Old Style" w:hAnsi="Bookman Old Style"/>
          <w:sz w:val="20"/>
          <w:szCs w:val="20"/>
        </w:rPr>
        <w:t>Метод предполагает следующую последовательность действий: для оценки рыночной стоимости типичный годовой доход преобразуется в стоимость с использованием формализованных расчетных моделей дохода и стоимости, на основе анализа изменения тенденций в будущем.</w:t>
      </w:r>
    </w:p>
    <w:p w:rsidR="00BF325B" w:rsidRPr="009328E0" w:rsidRDefault="00BF325B" w:rsidP="00BF325B">
      <w:pPr>
        <w:spacing w:before="120" w:after="120"/>
        <w:ind w:firstLine="709"/>
        <w:jc w:val="both"/>
        <w:rPr>
          <w:rFonts w:ascii="Bookman Old Style" w:hAnsi="Bookman Old Style"/>
          <w:sz w:val="20"/>
          <w:szCs w:val="20"/>
        </w:rPr>
      </w:pPr>
      <w:r w:rsidRPr="009328E0">
        <w:rPr>
          <w:rFonts w:ascii="Bookman Old Style" w:hAnsi="Bookman Old Style"/>
          <w:sz w:val="20"/>
          <w:szCs w:val="20"/>
        </w:rPr>
        <w:t xml:space="preserve">Допущения о ограничения использования метода: </w:t>
      </w:r>
    </w:p>
    <w:p w:rsidR="00BF325B" w:rsidRPr="009328E0" w:rsidRDefault="00BF325B" w:rsidP="00303E37">
      <w:pPr>
        <w:numPr>
          <w:ilvl w:val="0"/>
          <w:numId w:val="61"/>
        </w:numPr>
        <w:spacing w:before="120" w:after="120"/>
        <w:rPr>
          <w:rFonts w:ascii="Bookman Old Style" w:hAnsi="Bookman Old Style"/>
          <w:sz w:val="20"/>
          <w:szCs w:val="20"/>
        </w:rPr>
      </w:pPr>
      <w:r w:rsidRPr="009328E0">
        <w:rPr>
          <w:rFonts w:ascii="Bookman Old Style" w:hAnsi="Bookman Old Style"/>
          <w:sz w:val="20"/>
          <w:szCs w:val="20"/>
        </w:rPr>
        <w:lastRenderedPageBreak/>
        <w:t xml:space="preserve">Применяемая в расчете модель Инвуда получена из традиционной формулы дисконтирования денежного потока и при одинаковых допущениях приводит к одним и тем же результатам. </w:t>
      </w:r>
    </w:p>
    <w:p w:rsidR="00BF325B" w:rsidRPr="009328E0" w:rsidRDefault="00BF325B" w:rsidP="00303E37">
      <w:pPr>
        <w:numPr>
          <w:ilvl w:val="0"/>
          <w:numId w:val="61"/>
        </w:numPr>
        <w:spacing w:before="120" w:after="120"/>
        <w:jc w:val="both"/>
        <w:rPr>
          <w:rFonts w:ascii="Bookman Old Style" w:hAnsi="Bookman Old Style"/>
          <w:sz w:val="20"/>
          <w:szCs w:val="20"/>
        </w:rPr>
      </w:pPr>
      <w:r w:rsidRPr="009328E0">
        <w:rPr>
          <w:rFonts w:ascii="Bookman Old Style" w:hAnsi="Bookman Old Style"/>
          <w:sz w:val="20"/>
          <w:szCs w:val="20"/>
        </w:rPr>
        <w:t>В качестве прогнозного периода принимается ожидаемый срок эксплуатации объекта.</w:t>
      </w:r>
    </w:p>
    <w:p w:rsidR="00BF325B" w:rsidRPr="009328E0" w:rsidRDefault="00BF325B" w:rsidP="00303E37">
      <w:pPr>
        <w:numPr>
          <w:ilvl w:val="0"/>
          <w:numId w:val="61"/>
        </w:numPr>
        <w:spacing w:before="120" w:after="120"/>
        <w:jc w:val="both"/>
        <w:rPr>
          <w:rFonts w:ascii="Bookman Old Style" w:hAnsi="Bookman Old Style"/>
          <w:sz w:val="20"/>
          <w:szCs w:val="20"/>
        </w:rPr>
      </w:pPr>
      <w:r>
        <w:rPr>
          <w:rFonts w:ascii="Bookman Old Style" w:hAnsi="Bookman Old Style"/>
          <w:sz w:val="20"/>
          <w:szCs w:val="20"/>
        </w:rPr>
        <w:t>В течение</w:t>
      </w:r>
      <w:r w:rsidRPr="009328E0">
        <w:rPr>
          <w:rFonts w:ascii="Bookman Old Style" w:hAnsi="Bookman Old Style"/>
          <w:sz w:val="20"/>
          <w:szCs w:val="20"/>
        </w:rPr>
        <w:t xml:space="preserve"> всего срока эксплуатации объект приносит постоянный доход.</w:t>
      </w:r>
    </w:p>
    <w:p w:rsidR="00BF325B" w:rsidRPr="009328E0" w:rsidRDefault="00BF325B" w:rsidP="00303E37">
      <w:pPr>
        <w:numPr>
          <w:ilvl w:val="0"/>
          <w:numId w:val="61"/>
        </w:numPr>
        <w:spacing w:before="120" w:after="120"/>
        <w:jc w:val="both"/>
        <w:rPr>
          <w:rFonts w:ascii="Bookman Old Style" w:hAnsi="Bookman Old Style"/>
          <w:sz w:val="20"/>
          <w:szCs w:val="20"/>
        </w:rPr>
      </w:pPr>
      <w:r w:rsidRPr="009328E0">
        <w:rPr>
          <w:rFonts w:ascii="Bookman Old Style" w:hAnsi="Bookman Old Style"/>
          <w:sz w:val="20"/>
          <w:szCs w:val="20"/>
        </w:rPr>
        <w:t>Ежегодные платежи образованные чистым операционным доходом поступают в конце каждого периода.</w:t>
      </w:r>
    </w:p>
    <w:p w:rsidR="00BF325B" w:rsidRPr="009328E0" w:rsidRDefault="00BF325B" w:rsidP="00303E37">
      <w:pPr>
        <w:numPr>
          <w:ilvl w:val="0"/>
          <w:numId w:val="61"/>
        </w:numPr>
        <w:spacing w:before="120" w:after="120"/>
        <w:jc w:val="both"/>
        <w:rPr>
          <w:rFonts w:ascii="Bookman Old Style" w:hAnsi="Bookman Old Style"/>
          <w:sz w:val="20"/>
          <w:szCs w:val="20"/>
        </w:rPr>
      </w:pPr>
      <w:r w:rsidRPr="009328E0">
        <w:rPr>
          <w:rFonts w:ascii="Bookman Old Style" w:hAnsi="Bookman Old Style"/>
          <w:sz w:val="20"/>
          <w:szCs w:val="20"/>
        </w:rPr>
        <w:t>По окончании срока эксплуатации объект полностью утрачивает свою стоимость.</w:t>
      </w:r>
    </w:p>
    <w:p w:rsidR="00BF325B" w:rsidRPr="009328E0" w:rsidRDefault="00BF325B" w:rsidP="00BF325B">
      <w:pPr>
        <w:spacing w:before="120" w:after="120"/>
        <w:ind w:firstLine="709"/>
        <w:jc w:val="both"/>
        <w:rPr>
          <w:rFonts w:ascii="Bookman Old Style" w:hAnsi="Bookman Old Style"/>
          <w:sz w:val="20"/>
          <w:szCs w:val="20"/>
        </w:rPr>
      </w:pPr>
      <w:r w:rsidRPr="009328E0">
        <w:rPr>
          <w:rFonts w:ascii="Bookman Old Style" w:hAnsi="Bookman Old Style"/>
          <w:sz w:val="20"/>
          <w:szCs w:val="20"/>
        </w:rPr>
        <w:t>Выбор метода оценки объясняется наличием достаточной и достоверной информации для его реализации.</w:t>
      </w:r>
    </w:p>
    <w:p w:rsidR="00BF325B" w:rsidRPr="009328E0" w:rsidRDefault="00BF325B" w:rsidP="00BF325B">
      <w:pPr>
        <w:spacing w:before="120" w:after="120"/>
        <w:jc w:val="both"/>
        <w:rPr>
          <w:rFonts w:ascii="Bookman Old Style" w:hAnsi="Bookman Old Style"/>
          <w:sz w:val="20"/>
          <w:szCs w:val="20"/>
        </w:rPr>
      </w:pPr>
      <w:r w:rsidRPr="009328E0">
        <w:rPr>
          <w:rFonts w:ascii="Bookman Old Style" w:hAnsi="Bookman Old Style"/>
          <w:sz w:val="20"/>
          <w:szCs w:val="20"/>
        </w:rPr>
        <w:tab/>
        <w:t>Исходя из общего случая определения стоимости по данному методу, применима формула</w:t>
      </w:r>
      <w:r w:rsidRPr="009328E0">
        <w:rPr>
          <w:rFonts w:ascii="Bookman Old Style" w:hAnsi="Bookman Old Style"/>
          <w:sz w:val="20"/>
          <w:szCs w:val="20"/>
          <w:vertAlign w:val="superscript"/>
        </w:rPr>
        <w:footnoteReference w:id="58"/>
      </w:r>
      <w:r w:rsidRPr="009328E0">
        <w:rPr>
          <w:rFonts w:ascii="Bookman Old Style" w:hAnsi="Bookman Old Style"/>
          <w:sz w:val="20"/>
          <w:szCs w:val="20"/>
        </w:rPr>
        <w:t>:</w:t>
      </w:r>
    </w:p>
    <w:p w:rsidR="00BF325B" w:rsidRPr="009328E0" w:rsidRDefault="00BF325B" w:rsidP="00BF325B">
      <w:pPr>
        <w:spacing w:before="120" w:after="120"/>
        <w:jc w:val="center"/>
        <w:rPr>
          <w:rFonts w:ascii="Bookman Old Style" w:hAnsi="Bookman Old Style"/>
          <w:sz w:val="20"/>
          <w:szCs w:val="20"/>
        </w:rPr>
      </w:pPr>
      <m:oMathPara>
        <m:oMath>
          <m:r>
            <w:rPr>
              <w:rFonts w:ascii="Cambria Math" w:hAnsi="Cambria Math"/>
              <w:sz w:val="20"/>
              <w:szCs w:val="20"/>
            </w:rPr>
            <m:t>V=</m:t>
          </m:r>
          <m:f>
            <m:fPr>
              <m:ctrlPr>
                <w:rPr>
                  <w:rFonts w:ascii="Cambria Math" w:hAnsi="Cambria Math"/>
                  <w:i/>
                </w:rPr>
              </m:ctrlPr>
            </m:fPr>
            <m:num>
              <m:r>
                <w:rPr>
                  <w:rFonts w:ascii="Cambria Math" w:hAnsi="Cambria Math"/>
                  <w:sz w:val="20"/>
                  <w:szCs w:val="20"/>
                </w:rPr>
                <m:t>I</m:t>
              </m:r>
            </m:num>
            <m:den>
              <m:r>
                <w:rPr>
                  <w:rFonts w:ascii="Cambria Math" w:hAnsi="Cambria Math"/>
                  <w:sz w:val="20"/>
                  <w:szCs w:val="20"/>
                  <w:lang w:val="en-US"/>
                </w:rPr>
                <m:t>R</m:t>
              </m:r>
            </m:den>
          </m:f>
          <m:r>
            <w:rPr>
              <w:rFonts w:ascii="Cambria Math" w:hAnsi="Cambria Math"/>
              <w:sz w:val="20"/>
              <w:szCs w:val="20"/>
            </w:rPr>
            <m:t>=</m:t>
          </m:r>
          <m:f>
            <m:fPr>
              <m:ctrlPr>
                <w:rPr>
                  <w:rFonts w:ascii="Cambria Math" w:hAnsi="Cambria Math"/>
                  <w:i/>
                </w:rPr>
              </m:ctrlPr>
            </m:fPr>
            <m:num>
              <m:r>
                <w:rPr>
                  <w:rFonts w:ascii="Cambria Math" w:hAnsi="Cambria Math"/>
                  <w:sz w:val="20"/>
                  <w:szCs w:val="20"/>
                </w:rPr>
                <m:t>I</m:t>
              </m:r>
            </m:num>
            <m:den>
              <m:r>
                <w:rPr>
                  <w:rFonts w:ascii="Cambria Math" w:hAnsi="Cambria Math"/>
                  <w:sz w:val="20"/>
                  <w:szCs w:val="20"/>
                </w:rPr>
                <m:t>r+</m:t>
              </m:r>
              <m:r>
                <w:rPr>
                  <w:rFonts w:ascii="Cambria Math" w:hAnsi="Cambria Math"/>
                  <w:sz w:val="20"/>
                  <w:szCs w:val="20"/>
                  <w:lang w:val="en-US"/>
                </w:rPr>
                <m:t>SFF(k,</m:t>
              </m:r>
              <m:sSub>
                <m:sSubPr>
                  <m:ctrlPr>
                    <w:rPr>
                      <w:rFonts w:ascii="Cambria Math" w:hAnsi="Cambria Math"/>
                      <w:i/>
                      <w:lang w:val="en-US"/>
                    </w:rPr>
                  </m:ctrlPr>
                </m:sSubPr>
                <m:e>
                  <m:r>
                    <w:rPr>
                      <w:rFonts w:ascii="Cambria Math" w:hAnsi="Cambria Math"/>
                      <w:sz w:val="20"/>
                      <w:szCs w:val="20"/>
                      <w:lang w:val="en-US"/>
                    </w:rPr>
                    <m:t>i</m:t>
                  </m:r>
                </m:e>
                <m:sub>
                  <m:r>
                    <w:rPr>
                      <w:rFonts w:ascii="Cambria Math" w:hAnsi="Cambria Math"/>
                      <w:sz w:val="20"/>
                      <w:szCs w:val="20"/>
                      <w:lang w:val="en-US"/>
                    </w:rPr>
                    <m:t>p</m:t>
                  </m:r>
                </m:sub>
              </m:sSub>
              <m:r>
                <w:rPr>
                  <w:rFonts w:ascii="Cambria Math" w:hAnsi="Cambria Math"/>
                  <w:sz w:val="20"/>
                  <w:szCs w:val="20"/>
                  <w:lang w:val="en-US"/>
                </w:rPr>
                <m:t>)</m:t>
              </m:r>
            </m:den>
          </m:f>
        </m:oMath>
      </m:oMathPara>
    </w:p>
    <w:p w:rsidR="00BF325B" w:rsidRPr="009328E0" w:rsidRDefault="00BF325B" w:rsidP="00BF325B">
      <w:pPr>
        <w:spacing w:before="120" w:after="120"/>
        <w:ind w:firstLine="708"/>
        <w:jc w:val="both"/>
        <w:rPr>
          <w:rFonts w:ascii="Bookman Old Style" w:hAnsi="Bookman Old Style"/>
          <w:sz w:val="20"/>
          <w:szCs w:val="20"/>
        </w:rPr>
      </w:pPr>
      <w:r w:rsidRPr="009328E0">
        <w:rPr>
          <w:rFonts w:ascii="Bookman Old Style" w:hAnsi="Bookman Old Style"/>
          <w:sz w:val="20"/>
          <w:szCs w:val="20"/>
        </w:rPr>
        <w:t xml:space="preserve">Где: </w:t>
      </w:r>
    </w:p>
    <w:p w:rsidR="00BF325B" w:rsidRPr="009328E0" w:rsidRDefault="00BF325B" w:rsidP="00BF325B">
      <w:pPr>
        <w:spacing w:before="120" w:after="120"/>
        <w:ind w:firstLine="708"/>
        <w:rPr>
          <w:rFonts w:ascii="Bookman Old Style" w:hAnsi="Bookman Old Style"/>
          <w:sz w:val="20"/>
          <w:szCs w:val="20"/>
        </w:rPr>
      </w:pPr>
      <w:r w:rsidRPr="009328E0">
        <w:rPr>
          <w:rFonts w:ascii="Bookman Old Style" w:hAnsi="Bookman Old Style"/>
          <w:sz w:val="20"/>
          <w:szCs w:val="20"/>
          <w:lang w:val="en-US"/>
        </w:rPr>
        <w:t>V</w:t>
      </w:r>
      <w:r w:rsidRPr="009328E0">
        <w:rPr>
          <w:rFonts w:ascii="Bookman Old Style" w:hAnsi="Bookman Old Style"/>
          <w:sz w:val="20"/>
          <w:szCs w:val="20"/>
        </w:rPr>
        <w:t xml:space="preserve"> – стоимость оцениваемого объекта;</w:t>
      </w:r>
    </w:p>
    <w:p w:rsidR="00BF325B" w:rsidRPr="009328E0" w:rsidRDefault="00BF325B" w:rsidP="00BF325B">
      <w:pPr>
        <w:spacing w:before="120" w:after="120"/>
        <w:ind w:firstLine="708"/>
        <w:rPr>
          <w:rFonts w:ascii="Bookman Old Style" w:hAnsi="Bookman Old Style"/>
          <w:sz w:val="20"/>
          <w:szCs w:val="20"/>
        </w:rPr>
      </w:pPr>
      <w:r w:rsidRPr="009328E0">
        <w:rPr>
          <w:rFonts w:ascii="Bookman Old Style" w:hAnsi="Bookman Old Style"/>
          <w:sz w:val="20"/>
          <w:szCs w:val="20"/>
          <w:lang w:val="en-US"/>
        </w:rPr>
        <w:t>I</w:t>
      </w:r>
      <w:r w:rsidRPr="009328E0">
        <w:rPr>
          <w:rFonts w:ascii="Bookman Old Style" w:hAnsi="Bookman Old Style"/>
          <w:sz w:val="20"/>
          <w:szCs w:val="20"/>
        </w:rPr>
        <w:t xml:space="preserve"> – чистый операционный доход от эксплуатации недвижимости;</w:t>
      </w:r>
    </w:p>
    <w:p w:rsidR="00BF325B" w:rsidRPr="009328E0" w:rsidRDefault="00BF325B" w:rsidP="00BF325B">
      <w:pPr>
        <w:spacing w:before="120" w:after="120"/>
        <w:ind w:firstLine="708"/>
        <w:rPr>
          <w:rFonts w:ascii="Bookman Old Style" w:hAnsi="Bookman Old Style"/>
          <w:sz w:val="20"/>
          <w:szCs w:val="20"/>
        </w:rPr>
      </w:pPr>
      <w:r w:rsidRPr="009328E0">
        <w:rPr>
          <w:rFonts w:ascii="Bookman Old Style" w:hAnsi="Bookman Old Style"/>
          <w:sz w:val="20"/>
          <w:szCs w:val="20"/>
          <w:lang w:val="en-US"/>
        </w:rPr>
        <w:t>SFF</w:t>
      </w:r>
      <w:r w:rsidRPr="009328E0">
        <w:rPr>
          <w:rFonts w:ascii="Bookman Old Style" w:hAnsi="Bookman Old Style"/>
          <w:sz w:val="20"/>
          <w:szCs w:val="20"/>
        </w:rPr>
        <w:t>(</w:t>
      </w:r>
      <w:r w:rsidRPr="009328E0">
        <w:rPr>
          <w:rFonts w:ascii="Bookman Old Style" w:hAnsi="Bookman Old Style"/>
          <w:sz w:val="20"/>
          <w:szCs w:val="20"/>
          <w:lang w:val="en-US"/>
        </w:rPr>
        <w:t>k</w:t>
      </w:r>
      <w:r w:rsidRPr="009328E0">
        <w:rPr>
          <w:rFonts w:ascii="Bookman Old Style" w:hAnsi="Bookman Old Style"/>
          <w:sz w:val="20"/>
          <w:szCs w:val="20"/>
        </w:rPr>
        <w:t>,</w:t>
      </w:r>
      <w:r w:rsidRPr="009328E0">
        <w:rPr>
          <w:rFonts w:ascii="Bookman Old Style" w:hAnsi="Bookman Old Style"/>
          <w:sz w:val="20"/>
          <w:szCs w:val="20"/>
          <w:lang w:val="en-US"/>
        </w:rPr>
        <w:t>i</w:t>
      </w:r>
      <w:r w:rsidRPr="009328E0">
        <w:rPr>
          <w:rFonts w:ascii="Bookman Old Style" w:hAnsi="Bookman Old Style"/>
          <w:sz w:val="20"/>
          <w:szCs w:val="20"/>
          <w:vertAlign w:val="subscript"/>
          <w:lang w:val="en-US"/>
        </w:rPr>
        <w:t>p</w:t>
      </w:r>
      <w:r w:rsidRPr="009328E0">
        <w:rPr>
          <w:rFonts w:ascii="Bookman Old Style" w:hAnsi="Bookman Old Style"/>
          <w:sz w:val="20"/>
          <w:szCs w:val="20"/>
        </w:rPr>
        <w:t>) – фактор фонда возмещения;</w:t>
      </w:r>
    </w:p>
    <w:p w:rsidR="00BF325B" w:rsidRPr="009328E0" w:rsidRDefault="00BF325B" w:rsidP="00BF325B">
      <w:pPr>
        <w:spacing w:before="120" w:after="120"/>
        <w:ind w:firstLine="708"/>
        <w:rPr>
          <w:rFonts w:ascii="Bookman Old Style" w:hAnsi="Bookman Old Style"/>
          <w:sz w:val="20"/>
          <w:szCs w:val="20"/>
        </w:rPr>
      </w:pPr>
      <w:r w:rsidRPr="009328E0">
        <w:rPr>
          <w:rFonts w:ascii="Bookman Old Style" w:hAnsi="Bookman Old Style"/>
          <w:sz w:val="20"/>
          <w:szCs w:val="20"/>
          <w:lang w:val="en-US"/>
        </w:rPr>
        <w:t>r</w:t>
      </w:r>
      <w:r w:rsidRPr="009328E0">
        <w:rPr>
          <w:rFonts w:ascii="Bookman Old Style" w:hAnsi="Bookman Old Style"/>
          <w:sz w:val="20"/>
          <w:szCs w:val="20"/>
        </w:rPr>
        <w:t xml:space="preserve"> – текущая доходность;</w:t>
      </w:r>
    </w:p>
    <w:p w:rsidR="00BF325B" w:rsidRPr="009328E0" w:rsidRDefault="00BF325B" w:rsidP="00BF325B">
      <w:pPr>
        <w:spacing w:before="120" w:after="120"/>
        <w:ind w:firstLine="708"/>
        <w:rPr>
          <w:rFonts w:ascii="Bookman Old Style" w:hAnsi="Bookman Old Style"/>
          <w:sz w:val="20"/>
          <w:szCs w:val="20"/>
        </w:rPr>
      </w:pPr>
      <w:r w:rsidRPr="009328E0">
        <w:rPr>
          <w:rFonts w:ascii="Bookman Old Style" w:hAnsi="Bookman Old Style"/>
          <w:sz w:val="20"/>
          <w:szCs w:val="20"/>
          <w:lang w:val="en-US"/>
        </w:rPr>
        <w:t>R</w:t>
      </w:r>
      <w:r w:rsidRPr="009328E0">
        <w:rPr>
          <w:rFonts w:ascii="Bookman Old Style" w:hAnsi="Bookman Old Style"/>
          <w:sz w:val="20"/>
          <w:szCs w:val="20"/>
        </w:rPr>
        <w:t xml:space="preserve"> – коэффициент капитализации.</w:t>
      </w:r>
    </w:p>
    <w:p w:rsidR="006A199E" w:rsidRPr="006A199E" w:rsidRDefault="006A199E" w:rsidP="006A199E">
      <w:pPr>
        <w:keepNext/>
        <w:spacing w:before="100" w:after="100"/>
        <w:jc w:val="both"/>
        <w:outlineLvl w:val="2"/>
        <w:rPr>
          <w:rFonts w:ascii="Bookman Old Style" w:hAnsi="Bookman Old Style"/>
          <w:b/>
          <w:bCs/>
          <w:sz w:val="20"/>
          <w:szCs w:val="20"/>
        </w:rPr>
      </w:pPr>
      <w:bookmarkStart w:id="291" w:name="_Toc461206413"/>
      <w:bookmarkStart w:id="292" w:name="_Toc419473035"/>
      <w:r w:rsidRPr="006A199E">
        <w:rPr>
          <w:rFonts w:ascii="Bookman Old Style" w:hAnsi="Bookman Old Style"/>
          <w:b/>
          <w:bCs/>
          <w:sz w:val="20"/>
          <w:szCs w:val="20"/>
        </w:rPr>
        <w:t xml:space="preserve">5.5.2. Расчет арендной ставки </w:t>
      </w:r>
      <w:r>
        <w:rPr>
          <w:rFonts w:ascii="Bookman Old Style" w:hAnsi="Bookman Old Style"/>
          <w:b/>
          <w:bCs/>
          <w:sz w:val="20"/>
          <w:szCs w:val="20"/>
        </w:rPr>
        <w:t>нежилых помещений</w:t>
      </w:r>
      <w:bookmarkEnd w:id="291"/>
      <w:r>
        <w:rPr>
          <w:rFonts w:ascii="Bookman Old Style" w:hAnsi="Bookman Old Style"/>
          <w:b/>
          <w:bCs/>
          <w:sz w:val="20"/>
          <w:szCs w:val="20"/>
        </w:rPr>
        <w:t xml:space="preserve"> </w:t>
      </w:r>
      <w:bookmarkEnd w:id="292"/>
    </w:p>
    <w:p w:rsidR="006A199E" w:rsidRPr="006A199E" w:rsidRDefault="006A199E" w:rsidP="006A199E">
      <w:pPr>
        <w:overflowPunct w:val="0"/>
        <w:autoSpaceDE w:val="0"/>
        <w:autoSpaceDN w:val="0"/>
        <w:adjustRightInd w:val="0"/>
        <w:spacing w:before="100" w:after="100"/>
        <w:ind w:firstLine="708"/>
        <w:jc w:val="both"/>
        <w:rPr>
          <w:rFonts w:ascii="Bookman Old Style" w:hAnsi="Bookman Old Style"/>
          <w:sz w:val="20"/>
          <w:szCs w:val="20"/>
        </w:rPr>
      </w:pPr>
      <w:r w:rsidRPr="006A199E">
        <w:rPr>
          <w:rFonts w:ascii="Bookman Old Style" w:hAnsi="Bookman Old Style"/>
          <w:sz w:val="20"/>
          <w:szCs w:val="20"/>
        </w:rPr>
        <w:t xml:space="preserve">Для определения величины арендной ставки оценщик применил метод </w:t>
      </w:r>
      <w:r w:rsidRPr="006A199E">
        <w:rPr>
          <w:rFonts w:ascii="Bookman Old Style" w:hAnsi="Bookman Old Style"/>
          <w:i/>
          <w:sz w:val="20"/>
          <w:szCs w:val="20"/>
        </w:rPr>
        <w:t xml:space="preserve">«сравнения продаж». </w:t>
      </w:r>
      <w:r w:rsidRPr="006A199E">
        <w:rPr>
          <w:rFonts w:ascii="Bookman Old Style" w:hAnsi="Bookman Old Style"/>
          <w:sz w:val="20"/>
          <w:szCs w:val="20"/>
        </w:rPr>
        <w:t xml:space="preserve">Для этого составлена выборка объектов аналогов, представленных на открытом рынке </w:t>
      </w:r>
      <w:r w:rsidR="00BF325B">
        <w:rPr>
          <w:rFonts w:ascii="Bookman Old Style" w:hAnsi="Bookman Old Style"/>
          <w:sz w:val="20"/>
          <w:szCs w:val="20"/>
        </w:rPr>
        <w:t>Ленинского</w:t>
      </w:r>
      <w:r>
        <w:rPr>
          <w:rFonts w:ascii="Bookman Old Style" w:hAnsi="Bookman Old Style"/>
          <w:sz w:val="20"/>
          <w:szCs w:val="20"/>
        </w:rPr>
        <w:t xml:space="preserve"> района </w:t>
      </w:r>
      <w:r w:rsidRPr="006A199E">
        <w:rPr>
          <w:rFonts w:ascii="Bookman Old Style" w:hAnsi="Bookman Old Style"/>
          <w:sz w:val="20"/>
          <w:szCs w:val="20"/>
        </w:rPr>
        <w:t>г. Красноярска в виде публичной оферты на дату оценки</w:t>
      </w:r>
      <w:r w:rsidRPr="006A199E">
        <w:rPr>
          <w:rFonts w:ascii="Bookman Old Style" w:hAnsi="Bookman Old Style"/>
          <w:sz w:val="20"/>
          <w:szCs w:val="20"/>
          <w:vertAlign w:val="superscript"/>
        </w:rPr>
        <w:footnoteReference w:id="59"/>
      </w:r>
      <w:r w:rsidRPr="006A199E">
        <w:rPr>
          <w:rFonts w:ascii="Bookman Old Style" w:hAnsi="Bookman Old Style"/>
          <w:sz w:val="20"/>
          <w:szCs w:val="20"/>
        </w:rPr>
        <w:t xml:space="preserve"> в месте положения Объекта оценки.</w:t>
      </w:r>
    </w:p>
    <w:p w:rsidR="006A199E" w:rsidRDefault="006A199E" w:rsidP="00BF325B">
      <w:pPr>
        <w:overflowPunct w:val="0"/>
        <w:autoSpaceDE w:val="0"/>
        <w:autoSpaceDN w:val="0"/>
        <w:adjustRightInd w:val="0"/>
        <w:spacing w:before="100" w:after="100"/>
        <w:ind w:firstLine="708"/>
        <w:jc w:val="right"/>
        <w:rPr>
          <w:rFonts w:ascii="Bookman Old Style" w:hAnsi="Bookman Old Style"/>
          <w:b/>
          <w:bCs/>
          <w:sz w:val="20"/>
          <w:szCs w:val="20"/>
        </w:rPr>
      </w:pPr>
      <w:r w:rsidRPr="006A199E">
        <w:rPr>
          <w:rFonts w:ascii="Bookman Old Style" w:hAnsi="Bookman Old Style"/>
          <w:b/>
          <w:sz w:val="20"/>
          <w:szCs w:val="20"/>
        </w:rPr>
        <w:t xml:space="preserve">Таблица </w:t>
      </w:r>
      <w:r w:rsidRPr="006A199E">
        <w:rPr>
          <w:rFonts w:ascii="Bookman Old Style" w:hAnsi="Bookman Old Style"/>
          <w:b/>
          <w:bCs/>
          <w:sz w:val="20"/>
          <w:szCs w:val="20"/>
        </w:rPr>
        <w:t>5.5.2.1</w:t>
      </w:r>
      <w:r w:rsidRPr="006A199E">
        <w:rPr>
          <w:rFonts w:ascii="Bookman Old Style" w:hAnsi="Bookman Old Style"/>
          <w:b/>
          <w:sz w:val="20"/>
          <w:szCs w:val="20"/>
        </w:rPr>
        <w:t xml:space="preserve">. Расчет средней арендной ставки </w:t>
      </w:r>
      <w:r w:rsidR="00BF325B" w:rsidRPr="00BF325B">
        <w:rPr>
          <w:rFonts w:ascii="Bookman Old Style" w:hAnsi="Bookman Old Style"/>
          <w:b/>
          <w:bCs/>
          <w:sz w:val="20"/>
          <w:szCs w:val="20"/>
        </w:rPr>
        <w:t xml:space="preserve">нежилого помещения </w:t>
      </w:r>
      <w:r w:rsidR="00BF325B">
        <w:rPr>
          <w:rFonts w:ascii="Bookman Old Style" w:hAnsi="Bookman Old Style"/>
          <w:b/>
          <w:bCs/>
          <w:sz w:val="20"/>
          <w:szCs w:val="20"/>
        </w:rPr>
        <w:t>п</w:t>
      </w:r>
      <w:r w:rsidR="00BF325B" w:rsidRPr="00BF325B">
        <w:rPr>
          <w:rFonts w:ascii="Bookman Old Style" w:hAnsi="Bookman Old Style"/>
          <w:b/>
          <w:bCs/>
          <w:sz w:val="20"/>
          <w:szCs w:val="20"/>
        </w:rPr>
        <w:t>роизводственно-складского назначения площадью &gt;1000 кв.м.</w:t>
      </w:r>
    </w:p>
    <w:tbl>
      <w:tblPr>
        <w:tblW w:w="51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23"/>
        <w:gridCol w:w="1632"/>
        <w:gridCol w:w="1783"/>
        <w:gridCol w:w="1822"/>
        <w:gridCol w:w="1877"/>
        <w:gridCol w:w="1703"/>
      </w:tblGrid>
      <w:tr w:rsidR="00BF325B" w:rsidRPr="00BF325B" w:rsidTr="00BF325B">
        <w:trPr>
          <w:cantSplit/>
          <w:trHeight w:val="170"/>
        </w:trPr>
        <w:tc>
          <w:tcPr>
            <w:tcW w:w="895" w:type="pct"/>
            <w:shd w:val="clear" w:color="auto" w:fill="F2F2F2" w:themeFill="background1" w:themeFillShade="F2"/>
            <w:vAlign w:val="center"/>
            <w:hideMark/>
          </w:tcPr>
          <w:p w:rsidR="00BF325B" w:rsidRPr="00BF325B" w:rsidRDefault="00BF325B" w:rsidP="00BF325B">
            <w:pPr>
              <w:jc w:val="center"/>
              <w:rPr>
                <w:rFonts w:ascii="Cambria" w:hAnsi="Cambria"/>
                <w:b/>
                <w:bCs/>
                <w:color w:val="000000"/>
                <w:sz w:val="16"/>
                <w:szCs w:val="16"/>
              </w:rPr>
            </w:pPr>
            <w:r w:rsidRPr="00BF325B">
              <w:rPr>
                <w:rFonts w:ascii="Cambria" w:hAnsi="Cambria"/>
                <w:b/>
                <w:bCs/>
                <w:color w:val="000000"/>
                <w:sz w:val="16"/>
                <w:szCs w:val="16"/>
              </w:rPr>
              <w:t>Показатель</w:t>
            </w:r>
          </w:p>
        </w:tc>
        <w:tc>
          <w:tcPr>
            <w:tcW w:w="760" w:type="pct"/>
            <w:shd w:val="clear" w:color="auto" w:fill="F2F2F2" w:themeFill="background1" w:themeFillShade="F2"/>
            <w:noWrap/>
            <w:vAlign w:val="center"/>
            <w:hideMark/>
          </w:tcPr>
          <w:p w:rsidR="00BF325B" w:rsidRPr="00BF325B" w:rsidRDefault="00BF325B" w:rsidP="00BF325B">
            <w:pPr>
              <w:jc w:val="center"/>
              <w:rPr>
                <w:rFonts w:ascii="Cambria" w:hAnsi="Cambria"/>
                <w:b/>
                <w:bCs/>
                <w:color w:val="000000"/>
                <w:sz w:val="16"/>
                <w:szCs w:val="16"/>
              </w:rPr>
            </w:pPr>
            <w:r w:rsidRPr="00BF325B">
              <w:rPr>
                <w:rFonts w:ascii="Cambria" w:hAnsi="Cambria"/>
                <w:b/>
                <w:bCs/>
                <w:color w:val="000000"/>
                <w:sz w:val="16"/>
                <w:szCs w:val="16"/>
              </w:rPr>
              <w:t>Объект оценки</w:t>
            </w:r>
          </w:p>
        </w:tc>
        <w:tc>
          <w:tcPr>
            <w:tcW w:w="830" w:type="pct"/>
            <w:shd w:val="clear" w:color="auto" w:fill="F2F2F2" w:themeFill="background1" w:themeFillShade="F2"/>
            <w:noWrap/>
            <w:vAlign w:val="center"/>
            <w:hideMark/>
          </w:tcPr>
          <w:p w:rsidR="00BF325B" w:rsidRPr="00BF325B" w:rsidRDefault="00BF325B" w:rsidP="00BF325B">
            <w:pPr>
              <w:jc w:val="center"/>
              <w:rPr>
                <w:rFonts w:ascii="Cambria" w:hAnsi="Cambria"/>
                <w:b/>
                <w:bCs/>
                <w:color w:val="000000"/>
                <w:sz w:val="16"/>
                <w:szCs w:val="16"/>
              </w:rPr>
            </w:pPr>
            <w:r w:rsidRPr="00BF325B">
              <w:rPr>
                <w:rFonts w:ascii="Cambria" w:hAnsi="Cambria"/>
                <w:b/>
                <w:bCs/>
                <w:color w:val="000000"/>
                <w:sz w:val="16"/>
                <w:szCs w:val="16"/>
              </w:rPr>
              <w:t>Аналог 1</w:t>
            </w:r>
          </w:p>
        </w:tc>
        <w:tc>
          <w:tcPr>
            <w:tcW w:w="848" w:type="pct"/>
            <w:shd w:val="clear" w:color="auto" w:fill="F2F2F2" w:themeFill="background1" w:themeFillShade="F2"/>
            <w:noWrap/>
            <w:vAlign w:val="center"/>
            <w:hideMark/>
          </w:tcPr>
          <w:p w:rsidR="00BF325B" w:rsidRPr="00BF325B" w:rsidRDefault="00BF325B" w:rsidP="00BF325B">
            <w:pPr>
              <w:jc w:val="center"/>
              <w:rPr>
                <w:rFonts w:ascii="Cambria" w:hAnsi="Cambria"/>
                <w:b/>
                <w:bCs/>
                <w:color w:val="000000"/>
                <w:sz w:val="16"/>
                <w:szCs w:val="16"/>
              </w:rPr>
            </w:pPr>
            <w:r w:rsidRPr="00BF325B">
              <w:rPr>
                <w:rFonts w:ascii="Cambria" w:hAnsi="Cambria"/>
                <w:b/>
                <w:bCs/>
                <w:color w:val="000000"/>
                <w:sz w:val="16"/>
                <w:szCs w:val="16"/>
              </w:rPr>
              <w:t>Аналог 2</w:t>
            </w:r>
          </w:p>
        </w:tc>
        <w:tc>
          <w:tcPr>
            <w:tcW w:w="874" w:type="pct"/>
            <w:shd w:val="clear" w:color="auto" w:fill="F2F2F2" w:themeFill="background1" w:themeFillShade="F2"/>
            <w:noWrap/>
            <w:vAlign w:val="center"/>
            <w:hideMark/>
          </w:tcPr>
          <w:p w:rsidR="00BF325B" w:rsidRPr="00BF325B" w:rsidRDefault="00BF325B" w:rsidP="00BF325B">
            <w:pPr>
              <w:jc w:val="center"/>
              <w:rPr>
                <w:rFonts w:ascii="Cambria" w:hAnsi="Cambria"/>
                <w:b/>
                <w:bCs/>
                <w:color w:val="000000"/>
                <w:sz w:val="16"/>
                <w:szCs w:val="16"/>
              </w:rPr>
            </w:pPr>
            <w:r w:rsidRPr="00BF325B">
              <w:rPr>
                <w:rFonts w:ascii="Cambria" w:hAnsi="Cambria"/>
                <w:b/>
                <w:bCs/>
                <w:color w:val="000000"/>
                <w:sz w:val="16"/>
                <w:szCs w:val="16"/>
              </w:rPr>
              <w:t>Аналог 3</w:t>
            </w:r>
          </w:p>
        </w:tc>
        <w:tc>
          <w:tcPr>
            <w:tcW w:w="793" w:type="pct"/>
            <w:shd w:val="clear" w:color="auto" w:fill="F2F2F2" w:themeFill="background1" w:themeFillShade="F2"/>
            <w:noWrap/>
            <w:vAlign w:val="center"/>
            <w:hideMark/>
          </w:tcPr>
          <w:p w:rsidR="00BF325B" w:rsidRPr="00BF325B" w:rsidRDefault="00BF325B" w:rsidP="00BF325B">
            <w:pPr>
              <w:jc w:val="center"/>
              <w:rPr>
                <w:rFonts w:ascii="Cambria" w:hAnsi="Cambria"/>
                <w:b/>
                <w:bCs/>
                <w:color w:val="000000"/>
                <w:sz w:val="16"/>
                <w:szCs w:val="16"/>
              </w:rPr>
            </w:pPr>
            <w:r w:rsidRPr="00BF325B">
              <w:rPr>
                <w:rFonts w:ascii="Cambria" w:hAnsi="Cambria"/>
                <w:b/>
                <w:bCs/>
                <w:color w:val="000000"/>
                <w:sz w:val="16"/>
                <w:szCs w:val="16"/>
              </w:rPr>
              <w:t>Аналог 4</w:t>
            </w:r>
          </w:p>
        </w:tc>
      </w:tr>
      <w:tr w:rsidR="00BF325B" w:rsidRPr="00BF325B" w:rsidTr="00BF325B">
        <w:trPr>
          <w:cantSplit/>
          <w:trHeight w:val="170"/>
        </w:trPr>
        <w:tc>
          <w:tcPr>
            <w:tcW w:w="895" w:type="pct"/>
            <w:shd w:val="clear" w:color="auto" w:fill="auto"/>
            <w:vAlign w:val="center"/>
            <w:hideMark/>
          </w:tcPr>
          <w:p w:rsidR="00BF325B" w:rsidRPr="00BF325B" w:rsidRDefault="00BF325B" w:rsidP="00BF325B">
            <w:pPr>
              <w:rPr>
                <w:rFonts w:ascii="Cambria" w:hAnsi="Cambria"/>
                <w:color w:val="000000"/>
                <w:sz w:val="16"/>
                <w:szCs w:val="16"/>
              </w:rPr>
            </w:pPr>
            <w:r w:rsidRPr="00BF325B">
              <w:rPr>
                <w:rFonts w:ascii="Cambria" w:hAnsi="Cambria"/>
                <w:color w:val="000000"/>
                <w:sz w:val="16"/>
                <w:szCs w:val="16"/>
              </w:rPr>
              <w:t>Источник информации</w:t>
            </w:r>
          </w:p>
        </w:tc>
        <w:tc>
          <w:tcPr>
            <w:tcW w:w="760" w:type="pct"/>
            <w:shd w:val="clear" w:color="auto" w:fill="auto"/>
            <w:noWrap/>
            <w:vAlign w:val="center"/>
            <w:hideMark/>
          </w:tcPr>
          <w:p w:rsidR="00BF325B" w:rsidRPr="00BF325B" w:rsidRDefault="00BF325B" w:rsidP="00BF325B">
            <w:pPr>
              <w:jc w:val="center"/>
              <w:rPr>
                <w:rFonts w:ascii="Cambria" w:hAnsi="Cambria"/>
                <w:sz w:val="16"/>
                <w:szCs w:val="16"/>
              </w:rPr>
            </w:pPr>
            <w:r w:rsidRPr="00BF325B">
              <w:rPr>
                <w:rFonts w:ascii="Cambria" w:hAnsi="Cambria"/>
                <w:sz w:val="16"/>
                <w:szCs w:val="16"/>
              </w:rPr>
              <w:t>-</w:t>
            </w:r>
          </w:p>
        </w:tc>
        <w:tc>
          <w:tcPr>
            <w:tcW w:w="830" w:type="pct"/>
            <w:shd w:val="clear" w:color="auto" w:fill="auto"/>
            <w:vAlign w:val="center"/>
            <w:hideMark/>
          </w:tcPr>
          <w:p w:rsidR="00BF325B" w:rsidRPr="00BF325B" w:rsidRDefault="00BF325B" w:rsidP="00BF325B">
            <w:pPr>
              <w:jc w:val="center"/>
              <w:rPr>
                <w:rFonts w:ascii="Cambria" w:hAnsi="Cambria"/>
                <w:sz w:val="16"/>
                <w:szCs w:val="16"/>
              </w:rPr>
            </w:pPr>
            <w:r w:rsidRPr="00BF325B">
              <w:rPr>
                <w:rFonts w:ascii="Cambria" w:hAnsi="Cambria"/>
                <w:sz w:val="16"/>
                <w:szCs w:val="16"/>
              </w:rPr>
              <w:t>Сайт бесплатных объявлений Авито</w:t>
            </w:r>
          </w:p>
        </w:tc>
        <w:tc>
          <w:tcPr>
            <w:tcW w:w="848" w:type="pct"/>
            <w:shd w:val="clear" w:color="auto" w:fill="auto"/>
            <w:vAlign w:val="center"/>
            <w:hideMark/>
          </w:tcPr>
          <w:p w:rsidR="00BF325B" w:rsidRPr="00BF325B" w:rsidRDefault="00BF325B" w:rsidP="00BF325B">
            <w:pPr>
              <w:jc w:val="center"/>
              <w:rPr>
                <w:rFonts w:ascii="Cambria" w:hAnsi="Cambria"/>
                <w:sz w:val="16"/>
                <w:szCs w:val="16"/>
              </w:rPr>
            </w:pPr>
            <w:r w:rsidRPr="00BF325B">
              <w:rPr>
                <w:rFonts w:ascii="Cambria" w:hAnsi="Cambria"/>
                <w:sz w:val="16"/>
                <w:szCs w:val="16"/>
              </w:rPr>
              <w:t>Сайт бесплатных объявлений Авито</w:t>
            </w:r>
          </w:p>
        </w:tc>
        <w:tc>
          <w:tcPr>
            <w:tcW w:w="874" w:type="pct"/>
            <w:shd w:val="clear" w:color="auto" w:fill="auto"/>
            <w:vAlign w:val="center"/>
            <w:hideMark/>
          </w:tcPr>
          <w:p w:rsidR="00BF325B" w:rsidRPr="00BF325B" w:rsidRDefault="00BF325B" w:rsidP="00BF325B">
            <w:pPr>
              <w:jc w:val="center"/>
              <w:rPr>
                <w:rFonts w:ascii="Cambria" w:hAnsi="Cambria"/>
                <w:sz w:val="16"/>
                <w:szCs w:val="16"/>
              </w:rPr>
            </w:pPr>
            <w:r w:rsidRPr="00BF325B">
              <w:rPr>
                <w:rFonts w:ascii="Cambria" w:hAnsi="Cambria"/>
                <w:sz w:val="16"/>
                <w:szCs w:val="16"/>
              </w:rPr>
              <w:t>Сайт бесплатных объявлений Авито</w:t>
            </w:r>
          </w:p>
        </w:tc>
        <w:tc>
          <w:tcPr>
            <w:tcW w:w="793" w:type="pct"/>
            <w:shd w:val="clear" w:color="auto" w:fill="auto"/>
            <w:vAlign w:val="center"/>
            <w:hideMark/>
          </w:tcPr>
          <w:p w:rsidR="00BF325B" w:rsidRPr="00BF325B" w:rsidRDefault="00BF325B" w:rsidP="00BF325B">
            <w:pPr>
              <w:jc w:val="center"/>
              <w:rPr>
                <w:rFonts w:ascii="Cambria" w:hAnsi="Cambria"/>
                <w:sz w:val="16"/>
                <w:szCs w:val="16"/>
              </w:rPr>
            </w:pPr>
            <w:r w:rsidRPr="00BF325B">
              <w:rPr>
                <w:rFonts w:ascii="Cambria" w:hAnsi="Cambria"/>
                <w:sz w:val="16"/>
                <w:szCs w:val="16"/>
              </w:rPr>
              <w:t>Сайт бесплатных объявлений Гранта 24</w:t>
            </w:r>
          </w:p>
        </w:tc>
      </w:tr>
      <w:tr w:rsidR="00BF325B" w:rsidRPr="00BF325B" w:rsidTr="00BF325B">
        <w:trPr>
          <w:cantSplit/>
          <w:trHeight w:val="170"/>
        </w:trPr>
        <w:tc>
          <w:tcPr>
            <w:tcW w:w="895" w:type="pct"/>
            <w:shd w:val="clear" w:color="auto" w:fill="auto"/>
            <w:vAlign w:val="center"/>
            <w:hideMark/>
          </w:tcPr>
          <w:p w:rsidR="00BF325B" w:rsidRPr="00BF325B" w:rsidRDefault="00BF325B" w:rsidP="00BF325B">
            <w:pPr>
              <w:rPr>
                <w:rFonts w:ascii="Cambria" w:hAnsi="Cambria"/>
                <w:sz w:val="16"/>
                <w:szCs w:val="16"/>
              </w:rPr>
            </w:pPr>
            <w:r w:rsidRPr="00BF325B">
              <w:rPr>
                <w:rFonts w:ascii="Cambria" w:hAnsi="Cambria"/>
                <w:sz w:val="16"/>
                <w:szCs w:val="16"/>
              </w:rPr>
              <w:t>Ссылка на интернет-сайт (название журнала)</w:t>
            </w:r>
          </w:p>
        </w:tc>
        <w:tc>
          <w:tcPr>
            <w:tcW w:w="760" w:type="pct"/>
            <w:shd w:val="clear" w:color="auto" w:fill="auto"/>
            <w:vAlign w:val="center"/>
            <w:hideMark/>
          </w:tcPr>
          <w:p w:rsidR="00BF325B" w:rsidRPr="00BF325B" w:rsidRDefault="00BF325B" w:rsidP="00BF325B">
            <w:pPr>
              <w:jc w:val="center"/>
              <w:rPr>
                <w:rFonts w:ascii="Cambria" w:hAnsi="Cambria"/>
                <w:sz w:val="16"/>
                <w:szCs w:val="16"/>
              </w:rPr>
            </w:pPr>
            <w:r w:rsidRPr="00BF325B">
              <w:rPr>
                <w:rFonts w:ascii="Cambria" w:hAnsi="Cambria"/>
                <w:sz w:val="16"/>
                <w:szCs w:val="16"/>
              </w:rPr>
              <w:t>-</w:t>
            </w:r>
          </w:p>
        </w:tc>
        <w:tc>
          <w:tcPr>
            <w:tcW w:w="830" w:type="pct"/>
            <w:shd w:val="clear" w:color="auto" w:fill="auto"/>
            <w:vAlign w:val="center"/>
            <w:hideMark/>
          </w:tcPr>
          <w:p w:rsidR="00BF325B" w:rsidRPr="00BF325B" w:rsidRDefault="006C4CCF" w:rsidP="00BF325B">
            <w:pPr>
              <w:jc w:val="center"/>
              <w:rPr>
                <w:rFonts w:ascii="Cambria" w:hAnsi="Cambria"/>
                <w:sz w:val="16"/>
                <w:szCs w:val="16"/>
                <w:u w:val="single"/>
              </w:rPr>
            </w:pPr>
            <w:hyperlink r:id="rId66" w:history="1">
              <w:r w:rsidR="00BF325B" w:rsidRPr="00BF325B">
                <w:rPr>
                  <w:rFonts w:ascii="Cambria" w:hAnsi="Cambria"/>
                  <w:sz w:val="16"/>
                  <w:szCs w:val="16"/>
                  <w:u w:val="single"/>
                </w:rPr>
                <w:t>https://www.avito.ru/</w:t>
              </w:r>
            </w:hyperlink>
          </w:p>
        </w:tc>
        <w:tc>
          <w:tcPr>
            <w:tcW w:w="848" w:type="pct"/>
            <w:shd w:val="clear" w:color="auto" w:fill="auto"/>
            <w:vAlign w:val="center"/>
            <w:hideMark/>
          </w:tcPr>
          <w:p w:rsidR="00BF325B" w:rsidRPr="00BF325B" w:rsidRDefault="006C4CCF" w:rsidP="00BF325B">
            <w:pPr>
              <w:jc w:val="center"/>
              <w:rPr>
                <w:rFonts w:ascii="Cambria" w:hAnsi="Cambria"/>
                <w:sz w:val="16"/>
                <w:szCs w:val="16"/>
                <w:u w:val="single"/>
              </w:rPr>
            </w:pPr>
            <w:hyperlink r:id="rId67" w:history="1">
              <w:r w:rsidR="00BF325B" w:rsidRPr="00BF325B">
                <w:rPr>
                  <w:rFonts w:ascii="Cambria" w:hAnsi="Cambria"/>
                  <w:sz w:val="16"/>
                  <w:szCs w:val="16"/>
                  <w:u w:val="single"/>
                </w:rPr>
                <w:t>https://www.avito.ru/</w:t>
              </w:r>
            </w:hyperlink>
          </w:p>
        </w:tc>
        <w:tc>
          <w:tcPr>
            <w:tcW w:w="874" w:type="pct"/>
            <w:shd w:val="clear" w:color="auto" w:fill="auto"/>
            <w:vAlign w:val="center"/>
            <w:hideMark/>
          </w:tcPr>
          <w:p w:rsidR="00BF325B" w:rsidRPr="00BF325B" w:rsidRDefault="006C4CCF" w:rsidP="00BF325B">
            <w:pPr>
              <w:jc w:val="center"/>
              <w:rPr>
                <w:rFonts w:ascii="Cambria" w:hAnsi="Cambria"/>
                <w:sz w:val="16"/>
                <w:szCs w:val="16"/>
                <w:u w:val="single"/>
              </w:rPr>
            </w:pPr>
            <w:hyperlink r:id="rId68" w:history="1">
              <w:r w:rsidR="00BF325B" w:rsidRPr="00BF325B">
                <w:rPr>
                  <w:rFonts w:ascii="Cambria" w:hAnsi="Cambria"/>
                  <w:sz w:val="16"/>
                  <w:szCs w:val="16"/>
                  <w:u w:val="single"/>
                </w:rPr>
                <w:t>https://www.avito.ru/</w:t>
              </w:r>
            </w:hyperlink>
          </w:p>
        </w:tc>
        <w:tc>
          <w:tcPr>
            <w:tcW w:w="793" w:type="pct"/>
            <w:shd w:val="clear" w:color="auto" w:fill="auto"/>
            <w:noWrap/>
            <w:vAlign w:val="center"/>
            <w:hideMark/>
          </w:tcPr>
          <w:p w:rsidR="00BF325B" w:rsidRPr="00BF325B" w:rsidRDefault="00BF325B" w:rsidP="00BF325B">
            <w:pPr>
              <w:jc w:val="center"/>
              <w:rPr>
                <w:rFonts w:ascii="Cambria" w:hAnsi="Cambria"/>
                <w:sz w:val="16"/>
                <w:szCs w:val="16"/>
                <w:u w:val="single"/>
              </w:rPr>
            </w:pPr>
            <w:r w:rsidRPr="00BF325B">
              <w:rPr>
                <w:rFonts w:ascii="Cambria" w:hAnsi="Cambria"/>
                <w:sz w:val="16"/>
                <w:szCs w:val="16"/>
                <w:u w:val="single"/>
              </w:rPr>
              <w:t>http://kn.gilcom.ru/</w:t>
            </w:r>
          </w:p>
        </w:tc>
      </w:tr>
      <w:tr w:rsidR="00BF325B" w:rsidRPr="00BF325B" w:rsidTr="00BF325B">
        <w:trPr>
          <w:cantSplit/>
          <w:trHeight w:val="170"/>
        </w:trPr>
        <w:tc>
          <w:tcPr>
            <w:tcW w:w="895" w:type="pct"/>
            <w:shd w:val="clear" w:color="auto" w:fill="auto"/>
            <w:vAlign w:val="center"/>
            <w:hideMark/>
          </w:tcPr>
          <w:p w:rsidR="00BF325B" w:rsidRPr="00BF325B" w:rsidRDefault="00BF325B" w:rsidP="00BF325B">
            <w:pPr>
              <w:rPr>
                <w:rFonts w:ascii="Cambria" w:hAnsi="Cambria"/>
                <w:color w:val="000000"/>
                <w:sz w:val="16"/>
                <w:szCs w:val="16"/>
              </w:rPr>
            </w:pPr>
            <w:r w:rsidRPr="00BF325B">
              <w:rPr>
                <w:rFonts w:ascii="Cambria" w:hAnsi="Cambria"/>
                <w:color w:val="000000"/>
                <w:sz w:val="16"/>
                <w:szCs w:val="16"/>
              </w:rPr>
              <w:t>Сегмент рынка</w:t>
            </w:r>
          </w:p>
        </w:tc>
        <w:tc>
          <w:tcPr>
            <w:tcW w:w="760" w:type="pct"/>
            <w:shd w:val="clear" w:color="auto" w:fill="auto"/>
            <w:vAlign w:val="center"/>
            <w:hideMark/>
          </w:tcPr>
          <w:p w:rsidR="00BF325B" w:rsidRPr="00BF325B" w:rsidRDefault="00BF325B" w:rsidP="00BF325B">
            <w:pPr>
              <w:jc w:val="center"/>
              <w:rPr>
                <w:rFonts w:ascii="Cambria" w:hAnsi="Cambria"/>
                <w:color w:val="000000"/>
                <w:sz w:val="16"/>
                <w:szCs w:val="16"/>
              </w:rPr>
            </w:pPr>
            <w:r w:rsidRPr="00BF325B">
              <w:rPr>
                <w:rFonts w:ascii="Cambria" w:hAnsi="Cambria"/>
                <w:color w:val="000000"/>
                <w:sz w:val="16"/>
                <w:szCs w:val="16"/>
              </w:rPr>
              <w:t>Производственно-складское помещение</w:t>
            </w:r>
          </w:p>
        </w:tc>
        <w:tc>
          <w:tcPr>
            <w:tcW w:w="830" w:type="pct"/>
            <w:shd w:val="clear" w:color="auto" w:fill="auto"/>
            <w:vAlign w:val="center"/>
            <w:hideMark/>
          </w:tcPr>
          <w:p w:rsidR="00BF325B" w:rsidRPr="00BF325B" w:rsidRDefault="00BF325B" w:rsidP="00BF325B">
            <w:pPr>
              <w:jc w:val="center"/>
              <w:rPr>
                <w:rFonts w:ascii="Cambria" w:hAnsi="Cambria"/>
                <w:color w:val="000000"/>
                <w:sz w:val="16"/>
                <w:szCs w:val="16"/>
              </w:rPr>
            </w:pPr>
            <w:r w:rsidRPr="00BF325B">
              <w:rPr>
                <w:rFonts w:ascii="Cambria" w:hAnsi="Cambria"/>
                <w:color w:val="000000"/>
                <w:sz w:val="16"/>
                <w:szCs w:val="16"/>
              </w:rPr>
              <w:t>Производственно-складское помещение</w:t>
            </w:r>
          </w:p>
        </w:tc>
        <w:tc>
          <w:tcPr>
            <w:tcW w:w="848" w:type="pct"/>
            <w:shd w:val="clear" w:color="auto" w:fill="auto"/>
            <w:vAlign w:val="center"/>
            <w:hideMark/>
          </w:tcPr>
          <w:p w:rsidR="00BF325B" w:rsidRPr="00BF325B" w:rsidRDefault="00BF325B" w:rsidP="00BF325B">
            <w:pPr>
              <w:jc w:val="center"/>
              <w:rPr>
                <w:rFonts w:ascii="Cambria" w:hAnsi="Cambria"/>
                <w:color w:val="000000"/>
                <w:sz w:val="16"/>
                <w:szCs w:val="16"/>
              </w:rPr>
            </w:pPr>
            <w:r w:rsidRPr="00BF325B">
              <w:rPr>
                <w:rFonts w:ascii="Cambria" w:hAnsi="Cambria"/>
                <w:color w:val="000000"/>
                <w:sz w:val="16"/>
                <w:szCs w:val="16"/>
              </w:rPr>
              <w:t>Производственно-складское помещение</w:t>
            </w:r>
          </w:p>
        </w:tc>
        <w:tc>
          <w:tcPr>
            <w:tcW w:w="874" w:type="pct"/>
            <w:shd w:val="clear" w:color="auto" w:fill="auto"/>
            <w:vAlign w:val="center"/>
            <w:hideMark/>
          </w:tcPr>
          <w:p w:rsidR="00BF325B" w:rsidRPr="00BF325B" w:rsidRDefault="00BF325B" w:rsidP="00BF325B">
            <w:pPr>
              <w:jc w:val="center"/>
              <w:rPr>
                <w:rFonts w:ascii="Cambria" w:hAnsi="Cambria"/>
                <w:color w:val="000000"/>
                <w:sz w:val="16"/>
                <w:szCs w:val="16"/>
              </w:rPr>
            </w:pPr>
            <w:r w:rsidRPr="00BF325B">
              <w:rPr>
                <w:rFonts w:ascii="Cambria" w:hAnsi="Cambria"/>
                <w:color w:val="000000"/>
                <w:sz w:val="16"/>
                <w:szCs w:val="16"/>
              </w:rPr>
              <w:t>Производственно-складское помещение</w:t>
            </w:r>
          </w:p>
        </w:tc>
        <w:tc>
          <w:tcPr>
            <w:tcW w:w="793" w:type="pct"/>
            <w:shd w:val="clear" w:color="auto" w:fill="auto"/>
            <w:vAlign w:val="center"/>
            <w:hideMark/>
          </w:tcPr>
          <w:p w:rsidR="00BF325B" w:rsidRPr="00BF325B" w:rsidRDefault="00BF325B" w:rsidP="00BF325B">
            <w:pPr>
              <w:jc w:val="center"/>
              <w:rPr>
                <w:rFonts w:ascii="Cambria" w:hAnsi="Cambria"/>
                <w:color w:val="000000"/>
                <w:sz w:val="16"/>
                <w:szCs w:val="16"/>
              </w:rPr>
            </w:pPr>
            <w:r w:rsidRPr="00BF325B">
              <w:rPr>
                <w:rFonts w:ascii="Cambria" w:hAnsi="Cambria"/>
                <w:color w:val="000000"/>
                <w:sz w:val="16"/>
                <w:szCs w:val="16"/>
              </w:rPr>
              <w:t>Производственно-складское помещение</w:t>
            </w:r>
          </w:p>
        </w:tc>
      </w:tr>
      <w:tr w:rsidR="006568BA" w:rsidRPr="00BF325B" w:rsidTr="00BF325B">
        <w:trPr>
          <w:cantSplit/>
          <w:trHeight w:val="170"/>
        </w:trPr>
        <w:tc>
          <w:tcPr>
            <w:tcW w:w="895" w:type="pct"/>
            <w:shd w:val="clear" w:color="auto" w:fill="auto"/>
            <w:vAlign w:val="center"/>
            <w:hideMark/>
          </w:tcPr>
          <w:p w:rsidR="006568BA" w:rsidRPr="00BF325B" w:rsidRDefault="006568BA" w:rsidP="00BF325B">
            <w:pPr>
              <w:rPr>
                <w:rFonts w:ascii="Cambria" w:hAnsi="Cambria"/>
                <w:color w:val="000000"/>
                <w:sz w:val="16"/>
                <w:szCs w:val="16"/>
              </w:rPr>
            </w:pPr>
            <w:r w:rsidRPr="00BF325B">
              <w:rPr>
                <w:rFonts w:ascii="Cambria" w:hAnsi="Cambria"/>
                <w:color w:val="000000"/>
                <w:sz w:val="16"/>
                <w:szCs w:val="16"/>
              </w:rPr>
              <w:t>Площадь, кв.м.</w:t>
            </w:r>
          </w:p>
        </w:tc>
        <w:tc>
          <w:tcPr>
            <w:tcW w:w="760" w:type="pct"/>
            <w:shd w:val="clear" w:color="auto" w:fill="auto"/>
            <w:noWrap/>
            <w:vAlign w:val="center"/>
            <w:hideMark/>
          </w:tcPr>
          <w:p w:rsidR="006568BA" w:rsidRPr="00BF325B" w:rsidRDefault="006568BA" w:rsidP="00BF325B">
            <w:pPr>
              <w:jc w:val="center"/>
              <w:rPr>
                <w:rFonts w:ascii="Cambria" w:hAnsi="Cambria"/>
                <w:b/>
                <w:bCs/>
                <w:color w:val="000000"/>
                <w:sz w:val="16"/>
                <w:szCs w:val="16"/>
              </w:rPr>
            </w:pPr>
            <w:r w:rsidRPr="00BF325B">
              <w:rPr>
                <w:rFonts w:ascii="Cambria" w:hAnsi="Cambria"/>
                <w:b/>
                <w:bCs/>
                <w:color w:val="000000"/>
                <w:sz w:val="16"/>
                <w:szCs w:val="16"/>
              </w:rPr>
              <w:t>3771,3</w:t>
            </w:r>
          </w:p>
        </w:tc>
        <w:tc>
          <w:tcPr>
            <w:tcW w:w="830"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160,0</w:t>
            </w:r>
          </w:p>
        </w:tc>
        <w:tc>
          <w:tcPr>
            <w:tcW w:w="848"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100,000</w:t>
            </w:r>
          </w:p>
        </w:tc>
        <w:tc>
          <w:tcPr>
            <w:tcW w:w="874"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150</w:t>
            </w:r>
          </w:p>
        </w:tc>
        <w:tc>
          <w:tcPr>
            <w:tcW w:w="793" w:type="pct"/>
            <w:shd w:val="clear" w:color="auto" w:fill="auto"/>
            <w:noWrap/>
            <w:vAlign w:val="center"/>
            <w:hideMark/>
          </w:tcPr>
          <w:p w:rsidR="006568BA" w:rsidRPr="00BF325B" w:rsidRDefault="006568BA" w:rsidP="00BF325B">
            <w:pPr>
              <w:jc w:val="center"/>
              <w:rPr>
                <w:rFonts w:ascii="Cambria" w:hAnsi="Cambria"/>
                <w:color w:val="000000"/>
                <w:sz w:val="16"/>
                <w:szCs w:val="16"/>
              </w:rPr>
            </w:pPr>
            <w:r w:rsidRPr="00BF325B">
              <w:rPr>
                <w:rFonts w:ascii="Cambria" w:hAnsi="Cambria"/>
                <w:color w:val="000000"/>
                <w:sz w:val="16"/>
                <w:szCs w:val="16"/>
              </w:rPr>
              <w:t>500</w:t>
            </w:r>
          </w:p>
        </w:tc>
      </w:tr>
      <w:tr w:rsidR="006568BA" w:rsidRPr="00BF325B" w:rsidTr="00BF325B">
        <w:trPr>
          <w:cantSplit/>
          <w:trHeight w:val="170"/>
        </w:trPr>
        <w:tc>
          <w:tcPr>
            <w:tcW w:w="895" w:type="pct"/>
            <w:shd w:val="clear" w:color="auto" w:fill="auto"/>
            <w:vAlign w:val="center"/>
            <w:hideMark/>
          </w:tcPr>
          <w:p w:rsidR="006568BA" w:rsidRPr="00BF325B" w:rsidRDefault="006568BA" w:rsidP="00BF325B">
            <w:pPr>
              <w:rPr>
                <w:rFonts w:ascii="Cambria" w:hAnsi="Cambria"/>
                <w:color w:val="000000"/>
                <w:sz w:val="16"/>
                <w:szCs w:val="16"/>
              </w:rPr>
            </w:pPr>
            <w:r w:rsidRPr="00BF325B">
              <w:rPr>
                <w:rFonts w:ascii="Cambria" w:hAnsi="Cambria"/>
                <w:color w:val="000000"/>
                <w:sz w:val="16"/>
                <w:szCs w:val="16"/>
              </w:rPr>
              <w:t>Цена, руб/кв. м</w:t>
            </w:r>
          </w:p>
        </w:tc>
        <w:tc>
          <w:tcPr>
            <w:tcW w:w="760" w:type="pct"/>
            <w:shd w:val="clear" w:color="auto" w:fill="auto"/>
            <w:noWrap/>
            <w:vAlign w:val="center"/>
            <w:hideMark/>
          </w:tcPr>
          <w:p w:rsidR="006568BA" w:rsidRPr="00BF325B" w:rsidRDefault="006568BA" w:rsidP="00BF325B">
            <w:pPr>
              <w:jc w:val="center"/>
              <w:rPr>
                <w:rFonts w:ascii="Cambria" w:hAnsi="Cambria"/>
                <w:b/>
                <w:bCs/>
                <w:color w:val="000000"/>
                <w:sz w:val="16"/>
                <w:szCs w:val="16"/>
              </w:rPr>
            </w:pPr>
            <w:r w:rsidRPr="00BF325B">
              <w:rPr>
                <w:rFonts w:ascii="Cambria" w:hAnsi="Cambria"/>
                <w:b/>
                <w:bCs/>
                <w:color w:val="000000"/>
                <w:sz w:val="16"/>
                <w:szCs w:val="16"/>
              </w:rPr>
              <w:t>-</w:t>
            </w:r>
          </w:p>
        </w:tc>
        <w:tc>
          <w:tcPr>
            <w:tcW w:w="830"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220,00</w:t>
            </w:r>
          </w:p>
        </w:tc>
        <w:tc>
          <w:tcPr>
            <w:tcW w:w="848" w:type="pct"/>
            <w:shd w:val="clear" w:color="auto" w:fill="auto"/>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200</w:t>
            </w:r>
          </w:p>
        </w:tc>
        <w:tc>
          <w:tcPr>
            <w:tcW w:w="874"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167</w:t>
            </w:r>
          </w:p>
        </w:tc>
        <w:tc>
          <w:tcPr>
            <w:tcW w:w="793" w:type="pct"/>
            <w:shd w:val="clear" w:color="auto" w:fill="auto"/>
            <w:noWrap/>
            <w:vAlign w:val="center"/>
            <w:hideMark/>
          </w:tcPr>
          <w:p w:rsidR="006568BA" w:rsidRPr="00BF325B" w:rsidRDefault="006568BA" w:rsidP="00BF325B">
            <w:pPr>
              <w:jc w:val="center"/>
              <w:rPr>
                <w:rFonts w:ascii="Cambria" w:hAnsi="Cambria"/>
                <w:b/>
                <w:bCs/>
                <w:color w:val="000000"/>
                <w:sz w:val="16"/>
                <w:szCs w:val="16"/>
              </w:rPr>
            </w:pPr>
            <w:r w:rsidRPr="00BF325B">
              <w:rPr>
                <w:rFonts w:ascii="Cambria" w:hAnsi="Cambria"/>
                <w:b/>
                <w:bCs/>
                <w:color w:val="000000"/>
                <w:sz w:val="16"/>
                <w:szCs w:val="16"/>
              </w:rPr>
              <w:t>180</w:t>
            </w:r>
          </w:p>
        </w:tc>
      </w:tr>
      <w:tr w:rsidR="006568BA" w:rsidRPr="00BF325B" w:rsidTr="00BF325B">
        <w:trPr>
          <w:cantSplit/>
          <w:trHeight w:val="170"/>
        </w:trPr>
        <w:tc>
          <w:tcPr>
            <w:tcW w:w="895" w:type="pct"/>
            <w:shd w:val="clear" w:color="auto" w:fill="auto"/>
            <w:vAlign w:val="center"/>
            <w:hideMark/>
          </w:tcPr>
          <w:p w:rsidR="006568BA" w:rsidRPr="00BF325B" w:rsidRDefault="006568BA" w:rsidP="00BF325B">
            <w:pPr>
              <w:rPr>
                <w:rFonts w:ascii="Cambria" w:hAnsi="Cambria"/>
                <w:color w:val="000000"/>
                <w:sz w:val="16"/>
                <w:szCs w:val="16"/>
              </w:rPr>
            </w:pPr>
            <w:r w:rsidRPr="00BF325B">
              <w:rPr>
                <w:rFonts w:ascii="Cambria" w:hAnsi="Cambria"/>
                <w:color w:val="000000"/>
                <w:sz w:val="16"/>
                <w:szCs w:val="16"/>
              </w:rPr>
              <w:t>Платежный период</w:t>
            </w:r>
          </w:p>
        </w:tc>
        <w:tc>
          <w:tcPr>
            <w:tcW w:w="760" w:type="pct"/>
            <w:shd w:val="clear" w:color="auto" w:fill="auto"/>
            <w:noWrap/>
            <w:vAlign w:val="center"/>
            <w:hideMark/>
          </w:tcPr>
          <w:p w:rsidR="006568BA" w:rsidRPr="00BF325B" w:rsidRDefault="006568BA" w:rsidP="00BF325B">
            <w:pPr>
              <w:jc w:val="center"/>
              <w:rPr>
                <w:rFonts w:ascii="Cambria" w:hAnsi="Cambria"/>
                <w:color w:val="000000"/>
                <w:sz w:val="16"/>
                <w:szCs w:val="16"/>
              </w:rPr>
            </w:pPr>
            <w:r w:rsidRPr="00BF325B">
              <w:rPr>
                <w:rFonts w:ascii="Cambria" w:hAnsi="Cambria"/>
                <w:color w:val="000000"/>
                <w:sz w:val="16"/>
                <w:szCs w:val="16"/>
              </w:rPr>
              <w:t>1 месяц</w:t>
            </w:r>
          </w:p>
        </w:tc>
        <w:tc>
          <w:tcPr>
            <w:tcW w:w="830"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1 месяц</w:t>
            </w:r>
          </w:p>
        </w:tc>
        <w:tc>
          <w:tcPr>
            <w:tcW w:w="848"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1 месяц</w:t>
            </w:r>
          </w:p>
        </w:tc>
        <w:tc>
          <w:tcPr>
            <w:tcW w:w="874"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1 месяц</w:t>
            </w:r>
          </w:p>
        </w:tc>
        <w:tc>
          <w:tcPr>
            <w:tcW w:w="793" w:type="pct"/>
            <w:shd w:val="clear" w:color="auto" w:fill="auto"/>
            <w:noWrap/>
            <w:vAlign w:val="center"/>
            <w:hideMark/>
          </w:tcPr>
          <w:p w:rsidR="006568BA" w:rsidRPr="00BF325B" w:rsidRDefault="006568BA" w:rsidP="00BF325B">
            <w:pPr>
              <w:jc w:val="center"/>
              <w:rPr>
                <w:rFonts w:ascii="Cambria" w:hAnsi="Cambria"/>
                <w:color w:val="000000"/>
                <w:sz w:val="16"/>
                <w:szCs w:val="16"/>
              </w:rPr>
            </w:pPr>
            <w:r w:rsidRPr="00BF325B">
              <w:rPr>
                <w:rFonts w:ascii="Cambria" w:hAnsi="Cambria"/>
                <w:color w:val="000000"/>
                <w:sz w:val="16"/>
                <w:szCs w:val="16"/>
              </w:rPr>
              <w:t>1 месяц</w:t>
            </w:r>
          </w:p>
        </w:tc>
      </w:tr>
      <w:tr w:rsidR="006568BA" w:rsidRPr="00BF325B" w:rsidTr="00BF325B">
        <w:trPr>
          <w:cantSplit/>
          <w:trHeight w:val="170"/>
        </w:trPr>
        <w:tc>
          <w:tcPr>
            <w:tcW w:w="895" w:type="pct"/>
            <w:shd w:val="clear" w:color="auto" w:fill="auto"/>
            <w:vAlign w:val="center"/>
            <w:hideMark/>
          </w:tcPr>
          <w:p w:rsidR="006568BA" w:rsidRPr="00BF325B" w:rsidRDefault="006568BA" w:rsidP="00BF325B">
            <w:pPr>
              <w:rPr>
                <w:rFonts w:ascii="Cambria" w:hAnsi="Cambria"/>
                <w:color w:val="000000"/>
                <w:sz w:val="16"/>
                <w:szCs w:val="16"/>
              </w:rPr>
            </w:pPr>
            <w:r w:rsidRPr="00BF325B">
              <w:rPr>
                <w:rFonts w:ascii="Cambria" w:hAnsi="Cambria"/>
                <w:color w:val="000000"/>
                <w:sz w:val="16"/>
                <w:szCs w:val="16"/>
              </w:rPr>
              <w:t>Передаваемые права</w:t>
            </w:r>
          </w:p>
        </w:tc>
        <w:tc>
          <w:tcPr>
            <w:tcW w:w="760" w:type="pct"/>
            <w:shd w:val="clear" w:color="auto" w:fill="auto"/>
            <w:vAlign w:val="center"/>
            <w:hideMark/>
          </w:tcPr>
          <w:p w:rsidR="006568BA" w:rsidRPr="00BF325B" w:rsidRDefault="006568BA" w:rsidP="00BF325B">
            <w:pPr>
              <w:jc w:val="center"/>
              <w:rPr>
                <w:rFonts w:ascii="Cambria" w:hAnsi="Cambria"/>
                <w:color w:val="000000"/>
                <w:sz w:val="16"/>
                <w:szCs w:val="16"/>
              </w:rPr>
            </w:pPr>
            <w:r w:rsidRPr="00BF325B">
              <w:rPr>
                <w:rFonts w:ascii="Cambria" w:hAnsi="Cambria"/>
                <w:color w:val="000000"/>
                <w:sz w:val="16"/>
                <w:szCs w:val="16"/>
              </w:rPr>
              <w:t>право аренды</w:t>
            </w:r>
          </w:p>
        </w:tc>
        <w:tc>
          <w:tcPr>
            <w:tcW w:w="830"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право аренды</w:t>
            </w:r>
          </w:p>
        </w:tc>
        <w:tc>
          <w:tcPr>
            <w:tcW w:w="848"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право аренды</w:t>
            </w:r>
          </w:p>
        </w:tc>
        <w:tc>
          <w:tcPr>
            <w:tcW w:w="874"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право аренды</w:t>
            </w:r>
          </w:p>
        </w:tc>
        <w:tc>
          <w:tcPr>
            <w:tcW w:w="793" w:type="pct"/>
            <w:shd w:val="clear" w:color="auto" w:fill="auto"/>
            <w:vAlign w:val="center"/>
            <w:hideMark/>
          </w:tcPr>
          <w:p w:rsidR="006568BA" w:rsidRPr="00BF325B" w:rsidRDefault="006568BA" w:rsidP="00BF325B">
            <w:pPr>
              <w:jc w:val="center"/>
              <w:rPr>
                <w:rFonts w:ascii="Cambria" w:hAnsi="Cambria"/>
                <w:color w:val="000000"/>
                <w:sz w:val="16"/>
                <w:szCs w:val="16"/>
              </w:rPr>
            </w:pPr>
            <w:r w:rsidRPr="00BF325B">
              <w:rPr>
                <w:rFonts w:ascii="Cambria" w:hAnsi="Cambria"/>
                <w:color w:val="000000"/>
                <w:sz w:val="16"/>
                <w:szCs w:val="16"/>
              </w:rPr>
              <w:t>право аренды</w:t>
            </w:r>
          </w:p>
        </w:tc>
      </w:tr>
      <w:tr w:rsidR="006568BA" w:rsidRPr="00BF325B" w:rsidTr="00BF325B">
        <w:trPr>
          <w:cantSplit/>
          <w:trHeight w:val="170"/>
        </w:trPr>
        <w:tc>
          <w:tcPr>
            <w:tcW w:w="895" w:type="pct"/>
            <w:shd w:val="clear" w:color="auto" w:fill="auto"/>
            <w:vAlign w:val="center"/>
            <w:hideMark/>
          </w:tcPr>
          <w:p w:rsidR="006568BA" w:rsidRPr="00BF325B" w:rsidRDefault="006568BA" w:rsidP="00BF325B">
            <w:pPr>
              <w:rPr>
                <w:rFonts w:ascii="Cambria" w:hAnsi="Cambria"/>
                <w:color w:val="000000"/>
                <w:sz w:val="16"/>
                <w:szCs w:val="16"/>
              </w:rPr>
            </w:pPr>
            <w:r w:rsidRPr="00BF325B">
              <w:rPr>
                <w:rFonts w:ascii="Cambria" w:hAnsi="Cambria"/>
                <w:color w:val="000000"/>
                <w:sz w:val="16"/>
                <w:szCs w:val="16"/>
              </w:rPr>
              <w:t>Корректировка</w:t>
            </w:r>
          </w:p>
        </w:tc>
        <w:tc>
          <w:tcPr>
            <w:tcW w:w="760" w:type="pct"/>
            <w:shd w:val="clear" w:color="auto" w:fill="auto"/>
            <w:noWrap/>
            <w:vAlign w:val="center"/>
            <w:hideMark/>
          </w:tcPr>
          <w:p w:rsidR="006568BA" w:rsidRPr="00BF325B" w:rsidRDefault="006568BA" w:rsidP="00BF325B">
            <w:pPr>
              <w:jc w:val="center"/>
              <w:rPr>
                <w:rFonts w:ascii="Cambria" w:hAnsi="Cambria"/>
                <w:color w:val="000000"/>
                <w:sz w:val="16"/>
                <w:szCs w:val="16"/>
              </w:rPr>
            </w:pPr>
            <w:r w:rsidRPr="00BF325B">
              <w:rPr>
                <w:rFonts w:ascii="Cambria" w:hAnsi="Cambria"/>
                <w:color w:val="000000"/>
                <w:sz w:val="16"/>
                <w:szCs w:val="16"/>
              </w:rPr>
              <w:t>-</w:t>
            </w:r>
          </w:p>
        </w:tc>
        <w:tc>
          <w:tcPr>
            <w:tcW w:w="830"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0,00%</w:t>
            </w:r>
          </w:p>
        </w:tc>
        <w:tc>
          <w:tcPr>
            <w:tcW w:w="848"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0,00%</w:t>
            </w:r>
          </w:p>
        </w:tc>
        <w:tc>
          <w:tcPr>
            <w:tcW w:w="874"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0,00%</w:t>
            </w:r>
          </w:p>
        </w:tc>
        <w:tc>
          <w:tcPr>
            <w:tcW w:w="793" w:type="pct"/>
            <w:shd w:val="clear" w:color="auto" w:fill="auto"/>
            <w:noWrap/>
            <w:vAlign w:val="center"/>
            <w:hideMark/>
          </w:tcPr>
          <w:p w:rsidR="006568BA" w:rsidRPr="00BF325B" w:rsidRDefault="006568BA" w:rsidP="00BF325B">
            <w:pPr>
              <w:jc w:val="center"/>
              <w:rPr>
                <w:rFonts w:ascii="Cambria" w:hAnsi="Cambria"/>
                <w:color w:val="000000"/>
                <w:sz w:val="16"/>
                <w:szCs w:val="16"/>
              </w:rPr>
            </w:pPr>
            <w:r w:rsidRPr="00BF325B">
              <w:rPr>
                <w:rFonts w:ascii="Cambria" w:hAnsi="Cambria"/>
                <w:color w:val="000000"/>
                <w:sz w:val="16"/>
                <w:szCs w:val="16"/>
              </w:rPr>
              <w:t>0,00%</w:t>
            </w:r>
          </w:p>
        </w:tc>
      </w:tr>
      <w:tr w:rsidR="006568BA" w:rsidRPr="00BF325B" w:rsidTr="00BF325B">
        <w:trPr>
          <w:cantSplit/>
          <w:trHeight w:val="170"/>
        </w:trPr>
        <w:tc>
          <w:tcPr>
            <w:tcW w:w="895" w:type="pct"/>
            <w:shd w:val="clear" w:color="auto" w:fill="auto"/>
            <w:vAlign w:val="center"/>
            <w:hideMark/>
          </w:tcPr>
          <w:p w:rsidR="006568BA" w:rsidRPr="00BF325B" w:rsidRDefault="006568BA" w:rsidP="00BF325B">
            <w:pPr>
              <w:rPr>
                <w:rFonts w:ascii="Cambria" w:hAnsi="Cambria"/>
                <w:color w:val="000000"/>
                <w:sz w:val="16"/>
                <w:szCs w:val="16"/>
              </w:rPr>
            </w:pPr>
            <w:r w:rsidRPr="00BF325B">
              <w:rPr>
                <w:rFonts w:ascii="Cambria" w:hAnsi="Cambria"/>
                <w:color w:val="000000"/>
                <w:sz w:val="16"/>
                <w:szCs w:val="16"/>
              </w:rPr>
              <w:t>Скорректированная цена, руб/кв. м</w:t>
            </w:r>
          </w:p>
        </w:tc>
        <w:tc>
          <w:tcPr>
            <w:tcW w:w="760" w:type="pct"/>
            <w:shd w:val="clear" w:color="auto" w:fill="auto"/>
            <w:noWrap/>
            <w:vAlign w:val="center"/>
            <w:hideMark/>
          </w:tcPr>
          <w:p w:rsidR="006568BA" w:rsidRPr="00BF325B" w:rsidRDefault="006568BA" w:rsidP="00BF325B">
            <w:pPr>
              <w:jc w:val="center"/>
              <w:rPr>
                <w:rFonts w:ascii="Cambria" w:hAnsi="Cambria"/>
                <w:b/>
                <w:bCs/>
                <w:color w:val="000000"/>
                <w:sz w:val="16"/>
                <w:szCs w:val="16"/>
              </w:rPr>
            </w:pPr>
            <w:r w:rsidRPr="00BF325B">
              <w:rPr>
                <w:rFonts w:ascii="Cambria" w:hAnsi="Cambria"/>
                <w:b/>
                <w:bCs/>
                <w:color w:val="000000"/>
                <w:sz w:val="16"/>
                <w:szCs w:val="16"/>
              </w:rPr>
              <w:t>-</w:t>
            </w:r>
          </w:p>
        </w:tc>
        <w:tc>
          <w:tcPr>
            <w:tcW w:w="830"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220,00</w:t>
            </w:r>
          </w:p>
        </w:tc>
        <w:tc>
          <w:tcPr>
            <w:tcW w:w="848"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200,00</w:t>
            </w:r>
          </w:p>
        </w:tc>
        <w:tc>
          <w:tcPr>
            <w:tcW w:w="874"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167,00</w:t>
            </w:r>
          </w:p>
        </w:tc>
        <w:tc>
          <w:tcPr>
            <w:tcW w:w="793" w:type="pct"/>
            <w:shd w:val="clear" w:color="auto" w:fill="auto"/>
            <w:noWrap/>
            <w:vAlign w:val="center"/>
            <w:hideMark/>
          </w:tcPr>
          <w:p w:rsidR="006568BA" w:rsidRPr="00BF325B" w:rsidRDefault="006568BA" w:rsidP="00BF325B">
            <w:pPr>
              <w:jc w:val="center"/>
              <w:rPr>
                <w:rFonts w:ascii="Cambria" w:hAnsi="Cambria"/>
                <w:b/>
                <w:bCs/>
                <w:color w:val="000000"/>
                <w:sz w:val="16"/>
                <w:szCs w:val="16"/>
              </w:rPr>
            </w:pPr>
            <w:r w:rsidRPr="00BF325B">
              <w:rPr>
                <w:rFonts w:ascii="Cambria" w:hAnsi="Cambria"/>
                <w:b/>
                <w:bCs/>
                <w:color w:val="000000"/>
                <w:sz w:val="16"/>
                <w:szCs w:val="16"/>
              </w:rPr>
              <w:t>180,00</w:t>
            </w:r>
          </w:p>
        </w:tc>
      </w:tr>
      <w:tr w:rsidR="006568BA" w:rsidRPr="00BF325B" w:rsidTr="00BF325B">
        <w:trPr>
          <w:cantSplit/>
          <w:trHeight w:val="170"/>
        </w:trPr>
        <w:tc>
          <w:tcPr>
            <w:tcW w:w="895" w:type="pct"/>
            <w:shd w:val="clear" w:color="auto" w:fill="auto"/>
            <w:vAlign w:val="center"/>
            <w:hideMark/>
          </w:tcPr>
          <w:p w:rsidR="006568BA" w:rsidRPr="00BF325B" w:rsidRDefault="006568BA" w:rsidP="00BF325B">
            <w:pPr>
              <w:rPr>
                <w:rFonts w:ascii="Cambria" w:hAnsi="Cambria"/>
                <w:color w:val="000000"/>
                <w:sz w:val="16"/>
                <w:szCs w:val="16"/>
              </w:rPr>
            </w:pPr>
            <w:r w:rsidRPr="00BF325B">
              <w:rPr>
                <w:rFonts w:ascii="Cambria" w:hAnsi="Cambria"/>
                <w:color w:val="000000"/>
                <w:sz w:val="16"/>
                <w:szCs w:val="16"/>
              </w:rPr>
              <w:t>Условия финансирования</w:t>
            </w:r>
          </w:p>
        </w:tc>
        <w:tc>
          <w:tcPr>
            <w:tcW w:w="760" w:type="pct"/>
            <w:shd w:val="clear" w:color="auto" w:fill="auto"/>
            <w:vAlign w:val="center"/>
            <w:hideMark/>
          </w:tcPr>
          <w:p w:rsidR="006568BA" w:rsidRPr="00BF325B" w:rsidRDefault="006568BA" w:rsidP="00BF325B">
            <w:pPr>
              <w:jc w:val="center"/>
              <w:rPr>
                <w:rFonts w:ascii="Cambria" w:hAnsi="Cambria"/>
                <w:color w:val="000000"/>
                <w:sz w:val="16"/>
                <w:szCs w:val="16"/>
              </w:rPr>
            </w:pPr>
            <w:r w:rsidRPr="00BF325B">
              <w:rPr>
                <w:rFonts w:ascii="Cambria" w:hAnsi="Cambria"/>
                <w:color w:val="000000"/>
                <w:sz w:val="16"/>
                <w:szCs w:val="16"/>
              </w:rPr>
              <w:t>единовременный месячный платеж</w:t>
            </w:r>
          </w:p>
        </w:tc>
        <w:tc>
          <w:tcPr>
            <w:tcW w:w="830"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единовременный месячный платеж</w:t>
            </w:r>
          </w:p>
        </w:tc>
        <w:tc>
          <w:tcPr>
            <w:tcW w:w="848"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единовременный месячный платеж</w:t>
            </w:r>
          </w:p>
        </w:tc>
        <w:tc>
          <w:tcPr>
            <w:tcW w:w="874"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единовременный месячный платеж</w:t>
            </w:r>
          </w:p>
        </w:tc>
        <w:tc>
          <w:tcPr>
            <w:tcW w:w="793" w:type="pct"/>
            <w:shd w:val="clear" w:color="auto" w:fill="auto"/>
            <w:vAlign w:val="center"/>
            <w:hideMark/>
          </w:tcPr>
          <w:p w:rsidR="006568BA" w:rsidRPr="00BF325B" w:rsidRDefault="006568BA" w:rsidP="00BF325B">
            <w:pPr>
              <w:jc w:val="center"/>
              <w:rPr>
                <w:rFonts w:ascii="Cambria" w:hAnsi="Cambria"/>
                <w:color w:val="000000"/>
                <w:sz w:val="16"/>
                <w:szCs w:val="16"/>
              </w:rPr>
            </w:pPr>
            <w:r w:rsidRPr="00BF325B">
              <w:rPr>
                <w:rFonts w:ascii="Cambria" w:hAnsi="Cambria"/>
                <w:color w:val="000000"/>
                <w:sz w:val="16"/>
                <w:szCs w:val="16"/>
              </w:rPr>
              <w:t>единовременный месячный платеж</w:t>
            </w:r>
          </w:p>
        </w:tc>
      </w:tr>
      <w:tr w:rsidR="006568BA" w:rsidRPr="00BF325B" w:rsidTr="00BF325B">
        <w:trPr>
          <w:cantSplit/>
          <w:trHeight w:val="170"/>
        </w:trPr>
        <w:tc>
          <w:tcPr>
            <w:tcW w:w="895" w:type="pct"/>
            <w:shd w:val="clear" w:color="auto" w:fill="auto"/>
            <w:vAlign w:val="center"/>
            <w:hideMark/>
          </w:tcPr>
          <w:p w:rsidR="006568BA" w:rsidRPr="00BF325B" w:rsidRDefault="006568BA" w:rsidP="00BF325B">
            <w:pPr>
              <w:rPr>
                <w:rFonts w:ascii="Cambria" w:hAnsi="Cambria"/>
                <w:color w:val="000000"/>
                <w:sz w:val="16"/>
                <w:szCs w:val="16"/>
              </w:rPr>
            </w:pPr>
            <w:r w:rsidRPr="00BF325B">
              <w:rPr>
                <w:rFonts w:ascii="Cambria" w:hAnsi="Cambria"/>
                <w:color w:val="000000"/>
                <w:sz w:val="16"/>
                <w:szCs w:val="16"/>
              </w:rPr>
              <w:t>Корректировка</w:t>
            </w:r>
          </w:p>
        </w:tc>
        <w:tc>
          <w:tcPr>
            <w:tcW w:w="760" w:type="pct"/>
            <w:shd w:val="clear" w:color="auto" w:fill="auto"/>
            <w:vAlign w:val="center"/>
            <w:hideMark/>
          </w:tcPr>
          <w:p w:rsidR="006568BA" w:rsidRPr="00BF325B" w:rsidRDefault="006568BA" w:rsidP="00BF325B">
            <w:pPr>
              <w:jc w:val="center"/>
              <w:rPr>
                <w:rFonts w:ascii="Cambria" w:hAnsi="Cambria"/>
                <w:color w:val="000000"/>
                <w:sz w:val="16"/>
                <w:szCs w:val="16"/>
              </w:rPr>
            </w:pPr>
            <w:r w:rsidRPr="00BF325B">
              <w:rPr>
                <w:rFonts w:ascii="Cambria" w:hAnsi="Cambria"/>
                <w:color w:val="000000"/>
                <w:sz w:val="16"/>
                <w:szCs w:val="16"/>
              </w:rPr>
              <w:t>-</w:t>
            </w:r>
          </w:p>
        </w:tc>
        <w:tc>
          <w:tcPr>
            <w:tcW w:w="830"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0,00%</w:t>
            </w:r>
          </w:p>
        </w:tc>
        <w:tc>
          <w:tcPr>
            <w:tcW w:w="848"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0,00%</w:t>
            </w:r>
          </w:p>
        </w:tc>
        <w:tc>
          <w:tcPr>
            <w:tcW w:w="874"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0,00%</w:t>
            </w:r>
          </w:p>
        </w:tc>
        <w:tc>
          <w:tcPr>
            <w:tcW w:w="793" w:type="pct"/>
            <w:shd w:val="clear" w:color="auto" w:fill="auto"/>
            <w:noWrap/>
            <w:vAlign w:val="center"/>
            <w:hideMark/>
          </w:tcPr>
          <w:p w:rsidR="006568BA" w:rsidRPr="00BF325B" w:rsidRDefault="006568BA" w:rsidP="00BF325B">
            <w:pPr>
              <w:jc w:val="center"/>
              <w:rPr>
                <w:rFonts w:ascii="Cambria" w:hAnsi="Cambria"/>
                <w:color w:val="000000"/>
                <w:sz w:val="16"/>
                <w:szCs w:val="16"/>
              </w:rPr>
            </w:pPr>
            <w:r w:rsidRPr="00BF325B">
              <w:rPr>
                <w:rFonts w:ascii="Cambria" w:hAnsi="Cambria"/>
                <w:color w:val="000000"/>
                <w:sz w:val="16"/>
                <w:szCs w:val="16"/>
              </w:rPr>
              <w:t>0,00%</w:t>
            </w:r>
          </w:p>
        </w:tc>
      </w:tr>
      <w:tr w:rsidR="006568BA" w:rsidRPr="00BF325B" w:rsidTr="00BF325B">
        <w:trPr>
          <w:cantSplit/>
          <w:trHeight w:val="170"/>
        </w:trPr>
        <w:tc>
          <w:tcPr>
            <w:tcW w:w="895" w:type="pct"/>
            <w:shd w:val="clear" w:color="auto" w:fill="auto"/>
            <w:vAlign w:val="center"/>
            <w:hideMark/>
          </w:tcPr>
          <w:p w:rsidR="006568BA" w:rsidRPr="00BF325B" w:rsidRDefault="006568BA" w:rsidP="00BF325B">
            <w:pPr>
              <w:rPr>
                <w:rFonts w:ascii="Cambria" w:hAnsi="Cambria"/>
                <w:color w:val="000000"/>
                <w:sz w:val="16"/>
                <w:szCs w:val="16"/>
              </w:rPr>
            </w:pPr>
            <w:r w:rsidRPr="00BF325B">
              <w:rPr>
                <w:rFonts w:ascii="Cambria" w:hAnsi="Cambria"/>
                <w:color w:val="000000"/>
                <w:sz w:val="16"/>
                <w:szCs w:val="16"/>
              </w:rPr>
              <w:t>Скорректированная цена, руб/кв. м</w:t>
            </w:r>
          </w:p>
        </w:tc>
        <w:tc>
          <w:tcPr>
            <w:tcW w:w="760" w:type="pct"/>
            <w:shd w:val="clear" w:color="auto" w:fill="auto"/>
            <w:noWrap/>
            <w:vAlign w:val="center"/>
            <w:hideMark/>
          </w:tcPr>
          <w:p w:rsidR="006568BA" w:rsidRPr="00BF325B" w:rsidRDefault="006568BA" w:rsidP="00BF325B">
            <w:pPr>
              <w:jc w:val="center"/>
              <w:rPr>
                <w:rFonts w:ascii="Cambria" w:hAnsi="Cambria"/>
                <w:b/>
                <w:bCs/>
                <w:color w:val="000000"/>
                <w:sz w:val="16"/>
                <w:szCs w:val="16"/>
              </w:rPr>
            </w:pPr>
            <w:r w:rsidRPr="00BF325B">
              <w:rPr>
                <w:rFonts w:ascii="Cambria" w:hAnsi="Cambria"/>
                <w:b/>
                <w:bCs/>
                <w:color w:val="000000"/>
                <w:sz w:val="16"/>
                <w:szCs w:val="16"/>
              </w:rPr>
              <w:t>-</w:t>
            </w:r>
          </w:p>
        </w:tc>
        <w:tc>
          <w:tcPr>
            <w:tcW w:w="830"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220,00</w:t>
            </w:r>
          </w:p>
        </w:tc>
        <w:tc>
          <w:tcPr>
            <w:tcW w:w="848"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200,00</w:t>
            </w:r>
          </w:p>
        </w:tc>
        <w:tc>
          <w:tcPr>
            <w:tcW w:w="874"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167,00</w:t>
            </w:r>
          </w:p>
        </w:tc>
        <w:tc>
          <w:tcPr>
            <w:tcW w:w="793" w:type="pct"/>
            <w:shd w:val="clear" w:color="auto" w:fill="auto"/>
            <w:noWrap/>
            <w:vAlign w:val="center"/>
            <w:hideMark/>
          </w:tcPr>
          <w:p w:rsidR="006568BA" w:rsidRPr="00BF325B" w:rsidRDefault="006568BA" w:rsidP="00BF325B">
            <w:pPr>
              <w:jc w:val="center"/>
              <w:rPr>
                <w:rFonts w:ascii="Cambria" w:hAnsi="Cambria"/>
                <w:b/>
                <w:bCs/>
                <w:color w:val="000000"/>
                <w:sz w:val="16"/>
                <w:szCs w:val="16"/>
              </w:rPr>
            </w:pPr>
            <w:r w:rsidRPr="00BF325B">
              <w:rPr>
                <w:rFonts w:ascii="Cambria" w:hAnsi="Cambria"/>
                <w:b/>
                <w:bCs/>
                <w:color w:val="000000"/>
                <w:sz w:val="16"/>
                <w:szCs w:val="16"/>
              </w:rPr>
              <w:t>180,00</w:t>
            </w:r>
          </w:p>
        </w:tc>
      </w:tr>
      <w:tr w:rsidR="006568BA" w:rsidRPr="00BF325B" w:rsidTr="00BF325B">
        <w:trPr>
          <w:cantSplit/>
          <w:trHeight w:val="170"/>
        </w:trPr>
        <w:tc>
          <w:tcPr>
            <w:tcW w:w="895" w:type="pct"/>
            <w:shd w:val="clear" w:color="auto" w:fill="auto"/>
            <w:vAlign w:val="center"/>
            <w:hideMark/>
          </w:tcPr>
          <w:p w:rsidR="006568BA" w:rsidRPr="00BF325B" w:rsidRDefault="006568BA" w:rsidP="00BF325B">
            <w:pPr>
              <w:rPr>
                <w:rFonts w:ascii="Cambria" w:hAnsi="Cambria"/>
                <w:color w:val="000000"/>
                <w:sz w:val="16"/>
                <w:szCs w:val="16"/>
              </w:rPr>
            </w:pPr>
            <w:r w:rsidRPr="00BF325B">
              <w:rPr>
                <w:rFonts w:ascii="Cambria" w:hAnsi="Cambria"/>
                <w:color w:val="000000"/>
                <w:sz w:val="16"/>
                <w:szCs w:val="16"/>
              </w:rPr>
              <w:t>НДС</w:t>
            </w:r>
          </w:p>
        </w:tc>
        <w:tc>
          <w:tcPr>
            <w:tcW w:w="760" w:type="pct"/>
            <w:shd w:val="clear" w:color="auto" w:fill="auto"/>
            <w:noWrap/>
            <w:vAlign w:val="center"/>
            <w:hideMark/>
          </w:tcPr>
          <w:p w:rsidR="006568BA" w:rsidRPr="00BF325B" w:rsidRDefault="006568BA" w:rsidP="00BF325B">
            <w:pPr>
              <w:jc w:val="center"/>
              <w:rPr>
                <w:rFonts w:ascii="Cambria" w:hAnsi="Cambria"/>
                <w:color w:val="000000"/>
                <w:sz w:val="16"/>
                <w:szCs w:val="16"/>
              </w:rPr>
            </w:pPr>
            <w:r w:rsidRPr="00BF325B">
              <w:rPr>
                <w:rFonts w:ascii="Cambria" w:hAnsi="Cambria"/>
                <w:color w:val="000000"/>
                <w:sz w:val="16"/>
                <w:szCs w:val="16"/>
              </w:rPr>
              <w:t>НДС учтен</w:t>
            </w:r>
          </w:p>
        </w:tc>
        <w:tc>
          <w:tcPr>
            <w:tcW w:w="830"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НДС учтен</w:t>
            </w:r>
          </w:p>
        </w:tc>
        <w:tc>
          <w:tcPr>
            <w:tcW w:w="848"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НДС учтен</w:t>
            </w:r>
          </w:p>
        </w:tc>
        <w:tc>
          <w:tcPr>
            <w:tcW w:w="874"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НДС учтен</w:t>
            </w:r>
          </w:p>
        </w:tc>
        <w:tc>
          <w:tcPr>
            <w:tcW w:w="793" w:type="pct"/>
            <w:shd w:val="clear" w:color="auto" w:fill="auto"/>
            <w:noWrap/>
            <w:vAlign w:val="center"/>
            <w:hideMark/>
          </w:tcPr>
          <w:p w:rsidR="006568BA" w:rsidRPr="00BF325B" w:rsidRDefault="006568BA" w:rsidP="00BF325B">
            <w:pPr>
              <w:jc w:val="center"/>
              <w:rPr>
                <w:rFonts w:ascii="Cambria" w:hAnsi="Cambria"/>
                <w:color w:val="000000"/>
                <w:sz w:val="16"/>
                <w:szCs w:val="16"/>
              </w:rPr>
            </w:pPr>
            <w:r w:rsidRPr="00BF325B">
              <w:rPr>
                <w:rFonts w:ascii="Cambria" w:hAnsi="Cambria"/>
                <w:color w:val="000000"/>
                <w:sz w:val="16"/>
                <w:szCs w:val="16"/>
              </w:rPr>
              <w:t>НДС учтен</w:t>
            </w:r>
          </w:p>
        </w:tc>
      </w:tr>
      <w:tr w:rsidR="006568BA" w:rsidRPr="00BF325B" w:rsidTr="00BF325B">
        <w:trPr>
          <w:cantSplit/>
          <w:trHeight w:val="170"/>
        </w:trPr>
        <w:tc>
          <w:tcPr>
            <w:tcW w:w="895" w:type="pct"/>
            <w:shd w:val="clear" w:color="auto" w:fill="auto"/>
            <w:vAlign w:val="center"/>
            <w:hideMark/>
          </w:tcPr>
          <w:p w:rsidR="006568BA" w:rsidRPr="00BF325B" w:rsidRDefault="006568BA" w:rsidP="00BF325B">
            <w:pPr>
              <w:rPr>
                <w:rFonts w:ascii="Cambria" w:hAnsi="Cambria"/>
                <w:color w:val="000000"/>
                <w:sz w:val="16"/>
                <w:szCs w:val="16"/>
              </w:rPr>
            </w:pPr>
            <w:r w:rsidRPr="00BF325B">
              <w:rPr>
                <w:rFonts w:ascii="Cambria" w:hAnsi="Cambria"/>
                <w:color w:val="000000"/>
                <w:sz w:val="16"/>
                <w:szCs w:val="16"/>
              </w:rPr>
              <w:t xml:space="preserve">Корректировка </w:t>
            </w:r>
          </w:p>
        </w:tc>
        <w:tc>
          <w:tcPr>
            <w:tcW w:w="760" w:type="pct"/>
            <w:shd w:val="clear" w:color="auto" w:fill="auto"/>
            <w:noWrap/>
            <w:vAlign w:val="center"/>
            <w:hideMark/>
          </w:tcPr>
          <w:p w:rsidR="006568BA" w:rsidRPr="00BF325B" w:rsidRDefault="006568BA" w:rsidP="00BF325B">
            <w:pPr>
              <w:jc w:val="center"/>
              <w:rPr>
                <w:rFonts w:ascii="Cambria" w:hAnsi="Cambria"/>
                <w:color w:val="000000"/>
                <w:sz w:val="16"/>
                <w:szCs w:val="16"/>
              </w:rPr>
            </w:pPr>
            <w:r w:rsidRPr="00BF325B">
              <w:rPr>
                <w:rFonts w:ascii="Cambria" w:hAnsi="Cambria"/>
                <w:color w:val="000000"/>
                <w:sz w:val="16"/>
                <w:szCs w:val="16"/>
              </w:rPr>
              <w:t>-</w:t>
            </w:r>
          </w:p>
        </w:tc>
        <w:tc>
          <w:tcPr>
            <w:tcW w:w="830"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0,000%</w:t>
            </w:r>
          </w:p>
        </w:tc>
        <w:tc>
          <w:tcPr>
            <w:tcW w:w="848"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0,000%</w:t>
            </w:r>
          </w:p>
        </w:tc>
        <w:tc>
          <w:tcPr>
            <w:tcW w:w="874"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0,000%</w:t>
            </w:r>
          </w:p>
        </w:tc>
        <w:tc>
          <w:tcPr>
            <w:tcW w:w="793" w:type="pct"/>
            <w:shd w:val="clear" w:color="auto" w:fill="auto"/>
            <w:noWrap/>
            <w:vAlign w:val="center"/>
            <w:hideMark/>
          </w:tcPr>
          <w:p w:rsidR="006568BA" w:rsidRPr="00BF325B" w:rsidRDefault="006568BA" w:rsidP="00BF325B">
            <w:pPr>
              <w:jc w:val="center"/>
              <w:rPr>
                <w:rFonts w:ascii="Cambria" w:hAnsi="Cambria"/>
                <w:color w:val="000000"/>
                <w:sz w:val="16"/>
                <w:szCs w:val="16"/>
              </w:rPr>
            </w:pPr>
            <w:r w:rsidRPr="00BF325B">
              <w:rPr>
                <w:rFonts w:ascii="Cambria" w:hAnsi="Cambria"/>
                <w:color w:val="000000"/>
                <w:sz w:val="16"/>
                <w:szCs w:val="16"/>
              </w:rPr>
              <w:t>0,000%</w:t>
            </w:r>
          </w:p>
        </w:tc>
      </w:tr>
      <w:tr w:rsidR="006568BA" w:rsidRPr="00BF325B" w:rsidTr="00BF325B">
        <w:trPr>
          <w:cantSplit/>
          <w:trHeight w:val="170"/>
        </w:trPr>
        <w:tc>
          <w:tcPr>
            <w:tcW w:w="895" w:type="pct"/>
            <w:shd w:val="clear" w:color="auto" w:fill="auto"/>
            <w:vAlign w:val="center"/>
            <w:hideMark/>
          </w:tcPr>
          <w:p w:rsidR="006568BA" w:rsidRPr="00BF325B" w:rsidRDefault="006568BA" w:rsidP="00BF325B">
            <w:pPr>
              <w:rPr>
                <w:rFonts w:ascii="Cambria" w:hAnsi="Cambria"/>
                <w:color w:val="000000"/>
                <w:sz w:val="16"/>
                <w:szCs w:val="16"/>
              </w:rPr>
            </w:pPr>
            <w:r w:rsidRPr="00BF325B">
              <w:rPr>
                <w:rFonts w:ascii="Cambria" w:hAnsi="Cambria"/>
                <w:color w:val="000000"/>
                <w:sz w:val="16"/>
                <w:szCs w:val="16"/>
              </w:rPr>
              <w:t>Скорректированная цена, руб/кв. м</w:t>
            </w:r>
          </w:p>
        </w:tc>
        <w:tc>
          <w:tcPr>
            <w:tcW w:w="760" w:type="pct"/>
            <w:shd w:val="clear" w:color="auto" w:fill="auto"/>
            <w:noWrap/>
            <w:vAlign w:val="center"/>
            <w:hideMark/>
          </w:tcPr>
          <w:p w:rsidR="006568BA" w:rsidRPr="00BF325B" w:rsidRDefault="006568BA" w:rsidP="00BF325B">
            <w:pPr>
              <w:jc w:val="center"/>
              <w:rPr>
                <w:rFonts w:ascii="Cambria" w:hAnsi="Cambria"/>
                <w:b/>
                <w:bCs/>
                <w:color w:val="000000"/>
                <w:sz w:val="16"/>
                <w:szCs w:val="16"/>
              </w:rPr>
            </w:pPr>
            <w:r w:rsidRPr="00BF325B">
              <w:rPr>
                <w:rFonts w:ascii="Cambria" w:hAnsi="Cambria"/>
                <w:b/>
                <w:bCs/>
                <w:color w:val="000000"/>
                <w:sz w:val="16"/>
                <w:szCs w:val="16"/>
              </w:rPr>
              <w:t> </w:t>
            </w:r>
          </w:p>
        </w:tc>
        <w:tc>
          <w:tcPr>
            <w:tcW w:w="830"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220,00</w:t>
            </w:r>
          </w:p>
        </w:tc>
        <w:tc>
          <w:tcPr>
            <w:tcW w:w="848"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200,00</w:t>
            </w:r>
          </w:p>
        </w:tc>
        <w:tc>
          <w:tcPr>
            <w:tcW w:w="874"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167,00</w:t>
            </w:r>
          </w:p>
        </w:tc>
        <w:tc>
          <w:tcPr>
            <w:tcW w:w="793" w:type="pct"/>
            <w:shd w:val="clear" w:color="auto" w:fill="auto"/>
            <w:noWrap/>
            <w:vAlign w:val="center"/>
            <w:hideMark/>
          </w:tcPr>
          <w:p w:rsidR="006568BA" w:rsidRPr="00BF325B" w:rsidRDefault="006568BA" w:rsidP="00BF325B">
            <w:pPr>
              <w:jc w:val="center"/>
              <w:rPr>
                <w:rFonts w:ascii="Cambria" w:hAnsi="Cambria"/>
                <w:b/>
                <w:bCs/>
                <w:color w:val="000000"/>
                <w:sz w:val="16"/>
                <w:szCs w:val="16"/>
              </w:rPr>
            </w:pPr>
            <w:r w:rsidRPr="00BF325B">
              <w:rPr>
                <w:rFonts w:ascii="Cambria" w:hAnsi="Cambria"/>
                <w:b/>
                <w:bCs/>
                <w:color w:val="000000"/>
                <w:sz w:val="16"/>
                <w:szCs w:val="16"/>
              </w:rPr>
              <w:t>180,00</w:t>
            </w:r>
          </w:p>
        </w:tc>
      </w:tr>
      <w:tr w:rsidR="006568BA" w:rsidRPr="00BF325B" w:rsidTr="00BF325B">
        <w:trPr>
          <w:cantSplit/>
          <w:trHeight w:val="170"/>
        </w:trPr>
        <w:tc>
          <w:tcPr>
            <w:tcW w:w="895" w:type="pct"/>
            <w:shd w:val="clear" w:color="auto" w:fill="auto"/>
            <w:vAlign w:val="center"/>
            <w:hideMark/>
          </w:tcPr>
          <w:p w:rsidR="006568BA" w:rsidRPr="00BF325B" w:rsidRDefault="006568BA" w:rsidP="00BF325B">
            <w:pPr>
              <w:rPr>
                <w:rFonts w:ascii="Cambria" w:hAnsi="Cambria"/>
                <w:color w:val="000000"/>
                <w:sz w:val="16"/>
                <w:szCs w:val="16"/>
              </w:rPr>
            </w:pPr>
            <w:r w:rsidRPr="00BF325B">
              <w:rPr>
                <w:rFonts w:ascii="Cambria" w:hAnsi="Cambria"/>
                <w:color w:val="000000"/>
                <w:sz w:val="16"/>
                <w:szCs w:val="16"/>
              </w:rPr>
              <w:t>Поправка на торг</w:t>
            </w:r>
          </w:p>
        </w:tc>
        <w:tc>
          <w:tcPr>
            <w:tcW w:w="760" w:type="pct"/>
            <w:shd w:val="clear" w:color="auto" w:fill="auto"/>
            <w:noWrap/>
            <w:vAlign w:val="center"/>
            <w:hideMark/>
          </w:tcPr>
          <w:p w:rsidR="006568BA" w:rsidRPr="00BF325B" w:rsidRDefault="006568BA" w:rsidP="00BF325B">
            <w:pPr>
              <w:jc w:val="center"/>
              <w:rPr>
                <w:rFonts w:ascii="Cambria" w:hAnsi="Cambria"/>
                <w:color w:val="000000"/>
                <w:sz w:val="16"/>
                <w:szCs w:val="16"/>
              </w:rPr>
            </w:pPr>
            <w:r w:rsidRPr="00BF325B">
              <w:rPr>
                <w:rFonts w:ascii="Cambria" w:hAnsi="Cambria"/>
                <w:color w:val="000000"/>
                <w:sz w:val="16"/>
                <w:szCs w:val="16"/>
              </w:rPr>
              <w:t>-</w:t>
            </w:r>
          </w:p>
        </w:tc>
        <w:tc>
          <w:tcPr>
            <w:tcW w:w="830"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торг возможен</w:t>
            </w:r>
          </w:p>
        </w:tc>
        <w:tc>
          <w:tcPr>
            <w:tcW w:w="848"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торг возможен</w:t>
            </w:r>
          </w:p>
        </w:tc>
        <w:tc>
          <w:tcPr>
            <w:tcW w:w="874"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торг возможен</w:t>
            </w:r>
          </w:p>
        </w:tc>
        <w:tc>
          <w:tcPr>
            <w:tcW w:w="793" w:type="pct"/>
            <w:shd w:val="clear" w:color="auto" w:fill="auto"/>
            <w:noWrap/>
            <w:vAlign w:val="center"/>
            <w:hideMark/>
          </w:tcPr>
          <w:p w:rsidR="006568BA" w:rsidRPr="00BF325B" w:rsidRDefault="006568BA" w:rsidP="00BF325B">
            <w:pPr>
              <w:jc w:val="center"/>
              <w:rPr>
                <w:rFonts w:ascii="Cambria" w:hAnsi="Cambria"/>
                <w:color w:val="000000"/>
                <w:sz w:val="16"/>
                <w:szCs w:val="16"/>
              </w:rPr>
            </w:pPr>
            <w:r w:rsidRPr="00BF325B">
              <w:rPr>
                <w:rFonts w:ascii="Cambria" w:hAnsi="Cambria"/>
                <w:color w:val="000000"/>
                <w:sz w:val="16"/>
                <w:szCs w:val="16"/>
              </w:rPr>
              <w:t>торг возможен</w:t>
            </w:r>
          </w:p>
        </w:tc>
      </w:tr>
      <w:tr w:rsidR="006568BA" w:rsidRPr="00BF325B" w:rsidTr="00BF325B">
        <w:trPr>
          <w:cantSplit/>
          <w:trHeight w:val="170"/>
        </w:trPr>
        <w:tc>
          <w:tcPr>
            <w:tcW w:w="895" w:type="pct"/>
            <w:shd w:val="clear" w:color="auto" w:fill="auto"/>
            <w:vAlign w:val="center"/>
            <w:hideMark/>
          </w:tcPr>
          <w:p w:rsidR="006568BA" w:rsidRPr="00BF325B" w:rsidRDefault="006568BA" w:rsidP="00BF325B">
            <w:pPr>
              <w:rPr>
                <w:rFonts w:ascii="Cambria" w:hAnsi="Cambria"/>
                <w:color w:val="000000"/>
                <w:sz w:val="16"/>
                <w:szCs w:val="16"/>
              </w:rPr>
            </w:pPr>
            <w:r w:rsidRPr="00BF325B">
              <w:rPr>
                <w:rFonts w:ascii="Cambria" w:hAnsi="Cambria"/>
                <w:color w:val="000000"/>
                <w:sz w:val="16"/>
                <w:szCs w:val="16"/>
              </w:rPr>
              <w:t>Корректировка</w:t>
            </w:r>
          </w:p>
        </w:tc>
        <w:tc>
          <w:tcPr>
            <w:tcW w:w="760" w:type="pct"/>
            <w:shd w:val="clear" w:color="auto" w:fill="auto"/>
            <w:noWrap/>
            <w:vAlign w:val="center"/>
            <w:hideMark/>
          </w:tcPr>
          <w:p w:rsidR="006568BA" w:rsidRPr="00BF325B" w:rsidRDefault="006568BA" w:rsidP="00BF325B">
            <w:pPr>
              <w:jc w:val="center"/>
              <w:rPr>
                <w:rFonts w:ascii="Cambria" w:hAnsi="Cambria"/>
                <w:color w:val="000000"/>
                <w:sz w:val="16"/>
                <w:szCs w:val="16"/>
              </w:rPr>
            </w:pPr>
            <w:r w:rsidRPr="00BF325B">
              <w:rPr>
                <w:rFonts w:ascii="Cambria" w:hAnsi="Cambria"/>
                <w:color w:val="000000"/>
                <w:sz w:val="16"/>
                <w:szCs w:val="16"/>
              </w:rPr>
              <w:t>-</w:t>
            </w:r>
          </w:p>
        </w:tc>
        <w:tc>
          <w:tcPr>
            <w:tcW w:w="830"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-9,00%</w:t>
            </w:r>
          </w:p>
        </w:tc>
        <w:tc>
          <w:tcPr>
            <w:tcW w:w="848"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-9,00%</w:t>
            </w:r>
          </w:p>
        </w:tc>
        <w:tc>
          <w:tcPr>
            <w:tcW w:w="874"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-9,00%</w:t>
            </w:r>
          </w:p>
        </w:tc>
        <w:tc>
          <w:tcPr>
            <w:tcW w:w="793" w:type="pct"/>
            <w:shd w:val="clear" w:color="auto" w:fill="auto"/>
            <w:noWrap/>
            <w:vAlign w:val="center"/>
            <w:hideMark/>
          </w:tcPr>
          <w:p w:rsidR="006568BA" w:rsidRPr="00BF325B" w:rsidRDefault="00390688" w:rsidP="00BF325B">
            <w:pPr>
              <w:jc w:val="center"/>
              <w:rPr>
                <w:rFonts w:ascii="Cambria" w:hAnsi="Cambria"/>
                <w:color w:val="000000"/>
                <w:sz w:val="16"/>
                <w:szCs w:val="16"/>
              </w:rPr>
            </w:pPr>
            <w:r>
              <w:rPr>
                <w:rFonts w:ascii="Cambria" w:hAnsi="Cambria"/>
                <w:color w:val="000000"/>
                <w:sz w:val="16"/>
                <w:szCs w:val="16"/>
              </w:rPr>
              <w:t>-9</w:t>
            </w:r>
            <w:r w:rsidR="006568BA" w:rsidRPr="00BF325B">
              <w:rPr>
                <w:rFonts w:ascii="Cambria" w:hAnsi="Cambria"/>
                <w:color w:val="000000"/>
                <w:sz w:val="16"/>
                <w:szCs w:val="16"/>
              </w:rPr>
              <w:t>,00%</w:t>
            </w:r>
          </w:p>
        </w:tc>
      </w:tr>
      <w:tr w:rsidR="00390688" w:rsidRPr="00BF325B" w:rsidTr="00BF325B">
        <w:trPr>
          <w:cantSplit/>
          <w:trHeight w:val="170"/>
        </w:trPr>
        <w:tc>
          <w:tcPr>
            <w:tcW w:w="895" w:type="pct"/>
            <w:shd w:val="clear" w:color="auto" w:fill="auto"/>
            <w:vAlign w:val="center"/>
            <w:hideMark/>
          </w:tcPr>
          <w:p w:rsidR="00390688" w:rsidRPr="00BF325B" w:rsidRDefault="00390688" w:rsidP="00BF325B">
            <w:pPr>
              <w:rPr>
                <w:rFonts w:ascii="Cambria" w:hAnsi="Cambria"/>
                <w:color w:val="000000"/>
                <w:sz w:val="16"/>
                <w:szCs w:val="16"/>
              </w:rPr>
            </w:pPr>
            <w:r w:rsidRPr="00BF325B">
              <w:rPr>
                <w:rFonts w:ascii="Cambria" w:hAnsi="Cambria"/>
                <w:color w:val="000000"/>
                <w:sz w:val="16"/>
                <w:szCs w:val="16"/>
              </w:rPr>
              <w:lastRenderedPageBreak/>
              <w:t>Скорректированная цена, руб/кв. м</w:t>
            </w:r>
          </w:p>
        </w:tc>
        <w:tc>
          <w:tcPr>
            <w:tcW w:w="760" w:type="pct"/>
            <w:shd w:val="clear" w:color="auto" w:fill="auto"/>
            <w:noWrap/>
            <w:vAlign w:val="center"/>
            <w:hideMark/>
          </w:tcPr>
          <w:p w:rsidR="00390688" w:rsidRPr="00BF325B" w:rsidRDefault="00390688" w:rsidP="00BF325B">
            <w:pPr>
              <w:jc w:val="center"/>
              <w:rPr>
                <w:rFonts w:ascii="Cambria" w:hAnsi="Cambria"/>
                <w:b/>
                <w:bCs/>
                <w:color w:val="000000"/>
                <w:sz w:val="16"/>
                <w:szCs w:val="16"/>
              </w:rPr>
            </w:pPr>
            <w:r w:rsidRPr="00BF325B">
              <w:rPr>
                <w:rFonts w:ascii="Cambria" w:hAnsi="Cambria"/>
                <w:b/>
                <w:bCs/>
                <w:color w:val="000000"/>
                <w:sz w:val="16"/>
                <w:szCs w:val="16"/>
              </w:rPr>
              <w:t> </w:t>
            </w:r>
          </w:p>
        </w:tc>
        <w:tc>
          <w:tcPr>
            <w:tcW w:w="830" w:type="pct"/>
            <w:shd w:val="clear" w:color="auto" w:fill="auto"/>
            <w:noWrap/>
            <w:vAlign w:val="center"/>
            <w:hideMark/>
          </w:tcPr>
          <w:p w:rsidR="00390688" w:rsidRDefault="00390688">
            <w:pPr>
              <w:jc w:val="center"/>
              <w:rPr>
                <w:rFonts w:ascii="Cambria" w:hAnsi="Cambria"/>
                <w:b/>
                <w:bCs/>
                <w:color w:val="000000"/>
                <w:sz w:val="16"/>
                <w:szCs w:val="16"/>
              </w:rPr>
            </w:pPr>
            <w:r>
              <w:rPr>
                <w:rFonts w:ascii="Cambria" w:hAnsi="Cambria"/>
                <w:b/>
                <w:bCs/>
                <w:color w:val="000000"/>
                <w:sz w:val="16"/>
                <w:szCs w:val="16"/>
              </w:rPr>
              <w:t>200,20</w:t>
            </w:r>
          </w:p>
        </w:tc>
        <w:tc>
          <w:tcPr>
            <w:tcW w:w="848" w:type="pct"/>
            <w:shd w:val="clear" w:color="auto" w:fill="auto"/>
            <w:noWrap/>
            <w:vAlign w:val="center"/>
            <w:hideMark/>
          </w:tcPr>
          <w:p w:rsidR="00390688" w:rsidRDefault="00390688">
            <w:pPr>
              <w:jc w:val="center"/>
              <w:rPr>
                <w:rFonts w:ascii="Cambria" w:hAnsi="Cambria"/>
                <w:b/>
                <w:bCs/>
                <w:color w:val="000000"/>
                <w:sz w:val="16"/>
                <w:szCs w:val="16"/>
              </w:rPr>
            </w:pPr>
            <w:r>
              <w:rPr>
                <w:rFonts w:ascii="Cambria" w:hAnsi="Cambria"/>
                <w:b/>
                <w:bCs/>
                <w:color w:val="000000"/>
                <w:sz w:val="16"/>
                <w:szCs w:val="16"/>
              </w:rPr>
              <w:t>182,00</w:t>
            </w:r>
          </w:p>
        </w:tc>
        <w:tc>
          <w:tcPr>
            <w:tcW w:w="874" w:type="pct"/>
            <w:shd w:val="clear" w:color="auto" w:fill="auto"/>
            <w:noWrap/>
            <w:vAlign w:val="center"/>
            <w:hideMark/>
          </w:tcPr>
          <w:p w:rsidR="00390688" w:rsidRDefault="00390688">
            <w:pPr>
              <w:jc w:val="center"/>
              <w:rPr>
                <w:rFonts w:ascii="Cambria" w:hAnsi="Cambria"/>
                <w:b/>
                <w:bCs/>
                <w:color w:val="000000"/>
                <w:sz w:val="16"/>
                <w:szCs w:val="16"/>
              </w:rPr>
            </w:pPr>
            <w:r>
              <w:rPr>
                <w:rFonts w:ascii="Cambria" w:hAnsi="Cambria"/>
                <w:b/>
                <w:bCs/>
                <w:color w:val="000000"/>
                <w:sz w:val="16"/>
                <w:szCs w:val="16"/>
              </w:rPr>
              <w:t>151,97</w:t>
            </w:r>
          </w:p>
        </w:tc>
        <w:tc>
          <w:tcPr>
            <w:tcW w:w="793" w:type="pct"/>
            <w:shd w:val="clear" w:color="auto" w:fill="auto"/>
            <w:noWrap/>
            <w:vAlign w:val="center"/>
            <w:hideMark/>
          </w:tcPr>
          <w:p w:rsidR="00390688" w:rsidRDefault="00390688">
            <w:pPr>
              <w:jc w:val="center"/>
              <w:rPr>
                <w:rFonts w:ascii="Cambria" w:hAnsi="Cambria"/>
                <w:b/>
                <w:bCs/>
                <w:color w:val="000000"/>
                <w:sz w:val="16"/>
                <w:szCs w:val="16"/>
              </w:rPr>
            </w:pPr>
            <w:r>
              <w:rPr>
                <w:rFonts w:ascii="Cambria" w:hAnsi="Cambria"/>
                <w:b/>
                <w:bCs/>
                <w:color w:val="000000"/>
                <w:sz w:val="16"/>
                <w:szCs w:val="16"/>
              </w:rPr>
              <w:t>163,80</w:t>
            </w:r>
          </w:p>
        </w:tc>
      </w:tr>
      <w:tr w:rsidR="00390688" w:rsidRPr="00BF325B" w:rsidTr="00BF325B">
        <w:trPr>
          <w:cantSplit/>
          <w:trHeight w:val="170"/>
        </w:trPr>
        <w:tc>
          <w:tcPr>
            <w:tcW w:w="895" w:type="pct"/>
            <w:shd w:val="clear" w:color="auto" w:fill="auto"/>
            <w:vAlign w:val="center"/>
            <w:hideMark/>
          </w:tcPr>
          <w:p w:rsidR="00390688" w:rsidRPr="00BF325B" w:rsidRDefault="00390688" w:rsidP="00BF325B">
            <w:pPr>
              <w:rPr>
                <w:rFonts w:ascii="Cambria" w:hAnsi="Cambria"/>
                <w:color w:val="000000"/>
                <w:sz w:val="16"/>
                <w:szCs w:val="16"/>
              </w:rPr>
            </w:pPr>
            <w:r w:rsidRPr="00BF325B">
              <w:rPr>
                <w:rFonts w:ascii="Cambria" w:hAnsi="Cambria"/>
                <w:color w:val="000000"/>
                <w:sz w:val="16"/>
                <w:szCs w:val="16"/>
              </w:rPr>
              <w:t>Дата предложения/продажи</w:t>
            </w:r>
          </w:p>
        </w:tc>
        <w:tc>
          <w:tcPr>
            <w:tcW w:w="760" w:type="pct"/>
            <w:shd w:val="clear" w:color="auto" w:fill="auto"/>
            <w:noWrap/>
            <w:vAlign w:val="center"/>
            <w:hideMark/>
          </w:tcPr>
          <w:p w:rsidR="00390688" w:rsidRPr="00BF325B" w:rsidRDefault="00390688" w:rsidP="00BF325B">
            <w:pPr>
              <w:jc w:val="center"/>
              <w:rPr>
                <w:rFonts w:ascii="Cambria" w:hAnsi="Cambria"/>
                <w:color w:val="000000"/>
                <w:sz w:val="16"/>
                <w:szCs w:val="16"/>
              </w:rPr>
            </w:pPr>
            <w:r w:rsidRPr="00BF325B">
              <w:rPr>
                <w:rFonts w:ascii="Cambria" w:hAnsi="Cambria"/>
                <w:color w:val="000000"/>
                <w:sz w:val="16"/>
                <w:szCs w:val="16"/>
              </w:rPr>
              <w:t>Август 2016</w:t>
            </w:r>
          </w:p>
        </w:tc>
        <w:tc>
          <w:tcPr>
            <w:tcW w:w="830" w:type="pct"/>
            <w:shd w:val="clear" w:color="auto" w:fill="auto"/>
            <w:noWrap/>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Август 2016</w:t>
            </w:r>
          </w:p>
        </w:tc>
        <w:tc>
          <w:tcPr>
            <w:tcW w:w="848" w:type="pct"/>
            <w:shd w:val="clear" w:color="auto" w:fill="auto"/>
            <w:noWrap/>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Август 2016</w:t>
            </w:r>
          </w:p>
        </w:tc>
        <w:tc>
          <w:tcPr>
            <w:tcW w:w="874" w:type="pct"/>
            <w:shd w:val="clear" w:color="auto" w:fill="auto"/>
            <w:noWrap/>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Август 2016</w:t>
            </w:r>
          </w:p>
        </w:tc>
        <w:tc>
          <w:tcPr>
            <w:tcW w:w="793" w:type="pct"/>
            <w:shd w:val="clear" w:color="auto" w:fill="auto"/>
            <w:noWrap/>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Август 2016</w:t>
            </w:r>
          </w:p>
        </w:tc>
      </w:tr>
      <w:tr w:rsidR="00390688" w:rsidRPr="00BF325B" w:rsidTr="00BF325B">
        <w:trPr>
          <w:cantSplit/>
          <w:trHeight w:val="170"/>
        </w:trPr>
        <w:tc>
          <w:tcPr>
            <w:tcW w:w="895" w:type="pct"/>
            <w:shd w:val="clear" w:color="auto" w:fill="auto"/>
            <w:vAlign w:val="center"/>
            <w:hideMark/>
          </w:tcPr>
          <w:p w:rsidR="00390688" w:rsidRPr="00BF325B" w:rsidRDefault="00390688" w:rsidP="00BF325B">
            <w:pPr>
              <w:rPr>
                <w:rFonts w:ascii="Cambria" w:hAnsi="Cambria"/>
                <w:color w:val="000000"/>
                <w:sz w:val="16"/>
                <w:szCs w:val="16"/>
              </w:rPr>
            </w:pPr>
            <w:r w:rsidRPr="00BF325B">
              <w:rPr>
                <w:rFonts w:ascii="Cambria" w:hAnsi="Cambria"/>
                <w:color w:val="000000"/>
                <w:sz w:val="16"/>
                <w:szCs w:val="16"/>
              </w:rPr>
              <w:t>Корректировка</w:t>
            </w:r>
          </w:p>
        </w:tc>
        <w:tc>
          <w:tcPr>
            <w:tcW w:w="760" w:type="pct"/>
            <w:shd w:val="clear" w:color="auto" w:fill="auto"/>
            <w:noWrap/>
            <w:vAlign w:val="center"/>
            <w:hideMark/>
          </w:tcPr>
          <w:p w:rsidR="00390688" w:rsidRPr="00BF325B" w:rsidRDefault="00390688" w:rsidP="00BF325B">
            <w:pPr>
              <w:jc w:val="center"/>
              <w:rPr>
                <w:rFonts w:ascii="Cambria" w:hAnsi="Cambria"/>
                <w:color w:val="000000"/>
                <w:sz w:val="16"/>
                <w:szCs w:val="16"/>
              </w:rPr>
            </w:pPr>
            <w:r w:rsidRPr="00BF325B">
              <w:rPr>
                <w:rFonts w:ascii="Cambria" w:hAnsi="Cambria"/>
                <w:color w:val="000000"/>
                <w:sz w:val="16"/>
                <w:szCs w:val="16"/>
              </w:rPr>
              <w:t>-</w:t>
            </w:r>
          </w:p>
        </w:tc>
        <w:tc>
          <w:tcPr>
            <w:tcW w:w="830" w:type="pct"/>
            <w:shd w:val="clear" w:color="auto" w:fill="auto"/>
            <w:noWrap/>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0,00%</w:t>
            </w:r>
          </w:p>
        </w:tc>
        <w:tc>
          <w:tcPr>
            <w:tcW w:w="848" w:type="pct"/>
            <w:shd w:val="clear" w:color="auto" w:fill="auto"/>
            <w:noWrap/>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0,00%</w:t>
            </w:r>
          </w:p>
        </w:tc>
        <w:tc>
          <w:tcPr>
            <w:tcW w:w="874" w:type="pct"/>
            <w:shd w:val="clear" w:color="auto" w:fill="auto"/>
            <w:noWrap/>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0,00%</w:t>
            </w:r>
          </w:p>
        </w:tc>
        <w:tc>
          <w:tcPr>
            <w:tcW w:w="793" w:type="pct"/>
            <w:shd w:val="clear" w:color="auto" w:fill="auto"/>
            <w:noWrap/>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0,00%</w:t>
            </w:r>
          </w:p>
        </w:tc>
      </w:tr>
      <w:tr w:rsidR="00390688" w:rsidRPr="00BF325B" w:rsidTr="00BF325B">
        <w:trPr>
          <w:cantSplit/>
          <w:trHeight w:val="170"/>
        </w:trPr>
        <w:tc>
          <w:tcPr>
            <w:tcW w:w="895" w:type="pct"/>
            <w:shd w:val="clear" w:color="auto" w:fill="auto"/>
            <w:vAlign w:val="center"/>
            <w:hideMark/>
          </w:tcPr>
          <w:p w:rsidR="00390688" w:rsidRPr="00BF325B" w:rsidRDefault="00390688" w:rsidP="00BF325B">
            <w:pPr>
              <w:rPr>
                <w:rFonts w:ascii="Cambria" w:hAnsi="Cambria"/>
                <w:color w:val="000000"/>
                <w:sz w:val="16"/>
                <w:szCs w:val="16"/>
              </w:rPr>
            </w:pPr>
            <w:r w:rsidRPr="00BF325B">
              <w:rPr>
                <w:rFonts w:ascii="Cambria" w:hAnsi="Cambria"/>
                <w:color w:val="000000"/>
                <w:sz w:val="16"/>
                <w:szCs w:val="16"/>
              </w:rPr>
              <w:t>Скорректированная цена, руб/кв. м</w:t>
            </w:r>
          </w:p>
        </w:tc>
        <w:tc>
          <w:tcPr>
            <w:tcW w:w="760" w:type="pct"/>
            <w:shd w:val="clear" w:color="auto" w:fill="auto"/>
            <w:noWrap/>
            <w:vAlign w:val="center"/>
            <w:hideMark/>
          </w:tcPr>
          <w:p w:rsidR="00390688" w:rsidRPr="00BF325B" w:rsidRDefault="00390688" w:rsidP="00BF325B">
            <w:pPr>
              <w:jc w:val="center"/>
              <w:rPr>
                <w:rFonts w:ascii="Cambria" w:hAnsi="Cambria"/>
                <w:b/>
                <w:bCs/>
                <w:color w:val="000000"/>
                <w:sz w:val="16"/>
                <w:szCs w:val="16"/>
              </w:rPr>
            </w:pPr>
            <w:r w:rsidRPr="00BF325B">
              <w:rPr>
                <w:rFonts w:ascii="Cambria" w:hAnsi="Cambria"/>
                <w:b/>
                <w:bCs/>
                <w:color w:val="000000"/>
                <w:sz w:val="16"/>
                <w:szCs w:val="16"/>
              </w:rPr>
              <w:t>-</w:t>
            </w:r>
          </w:p>
        </w:tc>
        <w:tc>
          <w:tcPr>
            <w:tcW w:w="830" w:type="pct"/>
            <w:shd w:val="clear" w:color="auto" w:fill="auto"/>
            <w:noWrap/>
            <w:vAlign w:val="center"/>
            <w:hideMark/>
          </w:tcPr>
          <w:p w:rsidR="00390688" w:rsidRDefault="00390688">
            <w:pPr>
              <w:jc w:val="center"/>
              <w:rPr>
                <w:rFonts w:ascii="Cambria" w:hAnsi="Cambria"/>
                <w:b/>
                <w:bCs/>
                <w:color w:val="000000"/>
                <w:sz w:val="16"/>
                <w:szCs w:val="16"/>
              </w:rPr>
            </w:pPr>
            <w:r>
              <w:rPr>
                <w:rFonts w:ascii="Cambria" w:hAnsi="Cambria"/>
                <w:b/>
                <w:bCs/>
                <w:color w:val="000000"/>
                <w:sz w:val="16"/>
                <w:szCs w:val="16"/>
              </w:rPr>
              <w:t>200,20</w:t>
            </w:r>
          </w:p>
        </w:tc>
        <w:tc>
          <w:tcPr>
            <w:tcW w:w="848" w:type="pct"/>
            <w:shd w:val="clear" w:color="auto" w:fill="auto"/>
            <w:noWrap/>
            <w:vAlign w:val="center"/>
            <w:hideMark/>
          </w:tcPr>
          <w:p w:rsidR="00390688" w:rsidRDefault="00390688">
            <w:pPr>
              <w:jc w:val="center"/>
              <w:rPr>
                <w:rFonts w:ascii="Cambria" w:hAnsi="Cambria"/>
                <w:b/>
                <w:bCs/>
                <w:color w:val="000000"/>
                <w:sz w:val="16"/>
                <w:szCs w:val="16"/>
              </w:rPr>
            </w:pPr>
            <w:r>
              <w:rPr>
                <w:rFonts w:ascii="Cambria" w:hAnsi="Cambria"/>
                <w:b/>
                <w:bCs/>
                <w:color w:val="000000"/>
                <w:sz w:val="16"/>
                <w:szCs w:val="16"/>
              </w:rPr>
              <w:t>182,00</w:t>
            </w:r>
          </w:p>
        </w:tc>
        <w:tc>
          <w:tcPr>
            <w:tcW w:w="874" w:type="pct"/>
            <w:shd w:val="clear" w:color="auto" w:fill="auto"/>
            <w:noWrap/>
            <w:vAlign w:val="center"/>
            <w:hideMark/>
          </w:tcPr>
          <w:p w:rsidR="00390688" w:rsidRDefault="00390688">
            <w:pPr>
              <w:jc w:val="center"/>
              <w:rPr>
                <w:rFonts w:ascii="Cambria" w:hAnsi="Cambria"/>
                <w:b/>
                <w:bCs/>
                <w:color w:val="000000"/>
                <w:sz w:val="16"/>
                <w:szCs w:val="16"/>
              </w:rPr>
            </w:pPr>
            <w:r>
              <w:rPr>
                <w:rFonts w:ascii="Cambria" w:hAnsi="Cambria"/>
                <w:b/>
                <w:bCs/>
                <w:color w:val="000000"/>
                <w:sz w:val="16"/>
                <w:szCs w:val="16"/>
              </w:rPr>
              <w:t>151,97</w:t>
            </w:r>
          </w:p>
        </w:tc>
        <w:tc>
          <w:tcPr>
            <w:tcW w:w="793" w:type="pct"/>
            <w:shd w:val="clear" w:color="auto" w:fill="auto"/>
            <w:noWrap/>
            <w:vAlign w:val="center"/>
            <w:hideMark/>
          </w:tcPr>
          <w:p w:rsidR="00390688" w:rsidRDefault="00390688">
            <w:pPr>
              <w:jc w:val="center"/>
              <w:rPr>
                <w:rFonts w:ascii="Cambria" w:hAnsi="Cambria"/>
                <w:b/>
                <w:bCs/>
                <w:color w:val="000000"/>
                <w:sz w:val="16"/>
                <w:szCs w:val="16"/>
              </w:rPr>
            </w:pPr>
            <w:r>
              <w:rPr>
                <w:rFonts w:ascii="Cambria" w:hAnsi="Cambria"/>
                <w:b/>
                <w:bCs/>
                <w:color w:val="000000"/>
                <w:sz w:val="16"/>
                <w:szCs w:val="16"/>
              </w:rPr>
              <w:t>163,80</w:t>
            </w:r>
          </w:p>
        </w:tc>
      </w:tr>
      <w:tr w:rsidR="00390688" w:rsidRPr="00BF325B" w:rsidTr="00BF325B">
        <w:trPr>
          <w:cantSplit/>
          <w:trHeight w:val="170"/>
        </w:trPr>
        <w:tc>
          <w:tcPr>
            <w:tcW w:w="895" w:type="pct"/>
            <w:shd w:val="clear" w:color="auto" w:fill="auto"/>
            <w:vAlign w:val="center"/>
            <w:hideMark/>
          </w:tcPr>
          <w:p w:rsidR="00390688" w:rsidRPr="00BF325B" w:rsidRDefault="00390688" w:rsidP="00BF325B">
            <w:pPr>
              <w:rPr>
                <w:rFonts w:ascii="Cambria" w:hAnsi="Cambria"/>
                <w:i/>
                <w:iCs/>
                <w:color w:val="000000"/>
                <w:sz w:val="16"/>
                <w:szCs w:val="16"/>
              </w:rPr>
            </w:pPr>
            <w:r w:rsidRPr="00BF325B">
              <w:rPr>
                <w:rFonts w:ascii="Cambria" w:hAnsi="Cambria"/>
                <w:i/>
                <w:iCs/>
                <w:color w:val="000000"/>
                <w:sz w:val="16"/>
                <w:szCs w:val="16"/>
              </w:rPr>
              <w:t>Вид использования</w:t>
            </w:r>
          </w:p>
        </w:tc>
        <w:tc>
          <w:tcPr>
            <w:tcW w:w="760" w:type="pct"/>
            <w:shd w:val="clear" w:color="auto" w:fill="auto"/>
            <w:vAlign w:val="center"/>
            <w:hideMark/>
          </w:tcPr>
          <w:p w:rsidR="00390688" w:rsidRPr="00BF325B" w:rsidRDefault="00390688" w:rsidP="00BF325B">
            <w:pPr>
              <w:jc w:val="center"/>
              <w:rPr>
                <w:rFonts w:ascii="Cambria" w:hAnsi="Cambria"/>
                <w:color w:val="000000"/>
                <w:sz w:val="16"/>
                <w:szCs w:val="16"/>
              </w:rPr>
            </w:pPr>
            <w:r w:rsidRPr="00BF325B">
              <w:rPr>
                <w:rFonts w:ascii="Cambria" w:hAnsi="Cambria"/>
                <w:color w:val="000000"/>
                <w:sz w:val="16"/>
                <w:szCs w:val="16"/>
              </w:rPr>
              <w:t>ПСН</w:t>
            </w:r>
          </w:p>
        </w:tc>
        <w:tc>
          <w:tcPr>
            <w:tcW w:w="830" w:type="pct"/>
            <w:shd w:val="clear" w:color="auto" w:fill="auto"/>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ПСН</w:t>
            </w:r>
          </w:p>
        </w:tc>
        <w:tc>
          <w:tcPr>
            <w:tcW w:w="848" w:type="pct"/>
            <w:shd w:val="clear" w:color="auto" w:fill="auto"/>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ПСН</w:t>
            </w:r>
          </w:p>
        </w:tc>
        <w:tc>
          <w:tcPr>
            <w:tcW w:w="874" w:type="pct"/>
            <w:shd w:val="clear" w:color="auto" w:fill="auto"/>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ПСН</w:t>
            </w:r>
          </w:p>
        </w:tc>
        <w:tc>
          <w:tcPr>
            <w:tcW w:w="793" w:type="pct"/>
            <w:shd w:val="clear" w:color="auto" w:fill="auto"/>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ПСН</w:t>
            </w:r>
          </w:p>
        </w:tc>
      </w:tr>
      <w:tr w:rsidR="00390688" w:rsidRPr="00BF325B" w:rsidTr="00BF325B">
        <w:trPr>
          <w:cantSplit/>
          <w:trHeight w:val="170"/>
        </w:trPr>
        <w:tc>
          <w:tcPr>
            <w:tcW w:w="895" w:type="pct"/>
            <w:shd w:val="clear" w:color="auto" w:fill="auto"/>
            <w:vAlign w:val="center"/>
            <w:hideMark/>
          </w:tcPr>
          <w:p w:rsidR="00390688" w:rsidRPr="00BF325B" w:rsidRDefault="00390688" w:rsidP="00BF325B">
            <w:pPr>
              <w:rPr>
                <w:rFonts w:ascii="Cambria" w:hAnsi="Cambria"/>
                <w:sz w:val="16"/>
                <w:szCs w:val="16"/>
              </w:rPr>
            </w:pPr>
            <w:r w:rsidRPr="00BF325B">
              <w:rPr>
                <w:rFonts w:ascii="Cambria" w:hAnsi="Cambria"/>
                <w:sz w:val="16"/>
                <w:szCs w:val="16"/>
              </w:rPr>
              <w:t>Корректировка</w:t>
            </w:r>
          </w:p>
        </w:tc>
        <w:tc>
          <w:tcPr>
            <w:tcW w:w="760" w:type="pct"/>
            <w:shd w:val="clear" w:color="auto" w:fill="auto"/>
            <w:vAlign w:val="center"/>
            <w:hideMark/>
          </w:tcPr>
          <w:p w:rsidR="00390688" w:rsidRPr="00BF325B" w:rsidRDefault="00390688" w:rsidP="00BF325B">
            <w:pPr>
              <w:jc w:val="center"/>
              <w:rPr>
                <w:rFonts w:ascii="Cambria" w:hAnsi="Cambria"/>
                <w:color w:val="000000"/>
                <w:sz w:val="16"/>
                <w:szCs w:val="16"/>
              </w:rPr>
            </w:pPr>
            <w:r w:rsidRPr="00BF325B">
              <w:rPr>
                <w:rFonts w:ascii="Cambria" w:hAnsi="Cambria"/>
                <w:color w:val="000000"/>
                <w:sz w:val="16"/>
                <w:szCs w:val="16"/>
              </w:rPr>
              <w:t> </w:t>
            </w:r>
          </w:p>
        </w:tc>
        <w:tc>
          <w:tcPr>
            <w:tcW w:w="830" w:type="pct"/>
            <w:shd w:val="clear" w:color="auto" w:fill="auto"/>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0,0%</w:t>
            </w:r>
          </w:p>
        </w:tc>
        <w:tc>
          <w:tcPr>
            <w:tcW w:w="848" w:type="pct"/>
            <w:shd w:val="clear" w:color="auto" w:fill="auto"/>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0,0%</w:t>
            </w:r>
          </w:p>
        </w:tc>
        <w:tc>
          <w:tcPr>
            <w:tcW w:w="874" w:type="pct"/>
            <w:shd w:val="clear" w:color="auto" w:fill="auto"/>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0,0%</w:t>
            </w:r>
          </w:p>
        </w:tc>
        <w:tc>
          <w:tcPr>
            <w:tcW w:w="793" w:type="pct"/>
            <w:shd w:val="clear" w:color="auto" w:fill="auto"/>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0,0%</w:t>
            </w:r>
          </w:p>
        </w:tc>
      </w:tr>
      <w:tr w:rsidR="00390688" w:rsidRPr="00BF325B" w:rsidTr="00BF325B">
        <w:trPr>
          <w:cantSplit/>
          <w:trHeight w:val="170"/>
        </w:trPr>
        <w:tc>
          <w:tcPr>
            <w:tcW w:w="895" w:type="pct"/>
            <w:shd w:val="clear" w:color="auto" w:fill="auto"/>
            <w:vAlign w:val="center"/>
            <w:hideMark/>
          </w:tcPr>
          <w:p w:rsidR="00390688" w:rsidRPr="00BF325B" w:rsidRDefault="00390688" w:rsidP="00BF325B">
            <w:pPr>
              <w:rPr>
                <w:rFonts w:ascii="Cambria" w:hAnsi="Cambria"/>
                <w:b/>
                <w:bCs/>
                <w:sz w:val="16"/>
                <w:szCs w:val="16"/>
              </w:rPr>
            </w:pPr>
            <w:r w:rsidRPr="00BF325B">
              <w:rPr>
                <w:rFonts w:ascii="Cambria" w:hAnsi="Cambria"/>
                <w:b/>
                <w:bCs/>
                <w:sz w:val="16"/>
                <w:szCs w:val="16"/>
              </w:rPr>
              <w:t>Скорректированная цена, руб. кв.м.</w:t>
            </w:r>
          </w:p>
        </w:tc>
        <w:tc>
          <w:tcPr>
            <w:tcW w:w="760" w:type="pct"/>
            <w:shd w:val="clear" w:color="auto" w:fill="auto"/>
            <w:vAlign w:val="center"/>
            <w:hideMark/>
          </w:tcPr>
          <w:p w:rsidR="00390688" w:rsidRPr="00BF325B" w:rsidRDefault="00390688" w:rsidP="00BF325B">
            <w:pPr>
              <w:rPr>
                <w:rFonts w:ascii="Cambria" w:hAnsi="Cambria"/>
                <w:color w:val="000000"/>
                <w:sz w:val="16"/>
                <w:szCs w:val="16"/>
              </w:rPr>
            </w:pPr>
            <w:r w:rsidRPr="00BF325B">
              <w:rPr>
                <w:rFonts w:ascii="Cambria" w:hAnsi="Cambria"/>
                <w:color w:val="000000"/>
                <w:sz w:val="16"/>
                <w:szCs w:val="16"/>
              </w:rPr>
              <w:t> </w:t>
            </w:r>
          </w:p>
        </w:tc>
        <w:tc>
          <w:tcPr>
            <w:tcW w:w="830" w:type="pct"/>
            <w:shd w:val="clear" w:color="auto" w:fill="auto"/>
            <w:vAlign w:val="center"/>
            <w:hideMark/>
          </w:tcPr>
          <w:p w:rsidR="00390688" w:rsidRDefault="00390688">
            <w:pPr>
              <w:jc w:val="center"/>
              <w:rPr>
                <w:rFonts w:ascii="Cambria" w:hAnsi="Cambria"/>
                <w:b/>
                <w:bCs/>
                <w:color w:val="000000"/>
                <w:sz w:val="16"/>
                <w:szCs w:val="16"/>
              </w:rPr>
            </w:pPr>
            <w:r>
              <w:rPr>
                <w:rFonts w:ascii="Cambria" w:hAnsi="Cambria"/>
                <w:b/>
                <w:bCs/>
                <w:color w:val="000000"/>
                <w:sz w:val="16"/>
                <w:szCs w:val="16"/>
              </w:rPr>
              <w:t>200,20</w:t>
            </w:r>
          </w:p>
        </w:tc>
        <w:tc>
          <w:tcPr>
            <w:tcW w:w="848" w:type="pct"/>
            <w:shd w:val="clear" w:color="auto" w:fill="auto"/>
            <w:vAlign w:val="center"/>
            <w:hideMark/>
          </w:tcPr>
          <w:p w:rsidR="00390688" w:rsidRDefault="00390688">
            <w:pPr>
              <w:jc w:val="center"/>
              <w:rPr>
                <w:rFonts w:ascii="Cambria" w:hAnsi="Cambria"/>
                <w:b/>
                <w:bCs/>
                <w:color w:val="000000"/>
                <w:sz w:val="16"/>
                <w:szCs w:val="16"/>
              </w:rPr>
            </w:pPr>
            <w:r>
              <w:rPr>
                <w:rFonts w:ascii="Cambria" w:hAnsi="Cambria"/>
                <w:b/>
                <w:bCs/>
                <w:color w:val="000000"/>
                <w:sz w:val="16"/>
                <w:szCs w:val="16"/>
              </w:rPr>
              <w:t>182,00</w:t>
            </w:r>
          </w:p>
        </w:tc>
        <w:tc>
          <w:tcPr>
            <w:tcW w:w="874" w:type="pct"/>
            <w:shd w:val="clear" w:color="auto" w:fill="auto"/>
            <w:vAlign w:val="center"/>
            <w:hideMark/>
          </w:tcPr>
          <w:p w:rsidR="00390688" w:rsidRDefault="00390688">
            <w:pPr>
              <w:jc w:val="center"/>
              <w:rPr>
                <w:rFonts w:ascii="Cambria" w:hAnsi="Cambria"/>
                <w:b/>
                <w:bCs/>
                <w:color w:val="000000"/>
                <w:sz w:val="16"/>
                <w:szCs w:val="16"/>
              </w:rPr>
            </w:pPr>
            <w:r>
              <w:rPr>
                <w:rFonts w:ascii="Cambria" w:hAnsi="Cambria"/>
                <w:b/>
                <w:bCs/>
                <w:color w:val="000000"/>
                <w:sz w:val="16"/>
                <w:szCs w:val="16"/>
              </w:rPr>
              <w:t>151,97</w:t>
            </w:r>
          </w:p>
        </w:tc>
        <w:tc>
          <w:tcPr>
            <w:tcW w:w="793" w:type="pct"/>
            <w:shd w:val="clear" w:color="auto" w:fill="auto"/>
            <w:vAlign w:val="center"/>
            <w:hideMark/>
          </w:tcPr>
          <w:p w:rsidR="00390688" w:rsidRDefault="00390688">
            <w:pPr>
              <w:jc w:val="center"/>
              <w:rPr>
                <w:rFonts w:ascii="Cambria" w:hAnsi="Cambria"/>
                <w:b/>
                <w:bCs/>
                <w:color w:val="000000"/>
                <w:sz w:val="16"/>
                <w:szCs w:val="16"/>
              </w:rPr>
            </w:pPr>
            <w:r>
              <w:rPr>
                <w:rFonts w:ascii="Cambria" w:hAnsi="Cambria"/>
                <w:b/>
                <w:bCs/>
                <w:color w:val="000000"/>
                <w:sz w:val="16"/>
                <w:szCs w:val="16"/>
              </w:rPr>
              <w:t>163,80</w:t>
            </w:r>
          </w:p>
        </w:tc>
      </w:tr>
      <w:tr w:rsidR="00390688" w:rsidRPr="00BF325B" w:rsidTr="00BF325B">
        <w:trPr>
          <w:cantSplit/>
          <w:trHeight w:val="170"/>
        </w:trPr>
        <w:tc>
          <w:tcPr>
            <w:tcW w:w="895" w:type="pct"/>
            <w:shd w:val="clear" w:color="auto" w:fill="auto"/>
            <w:vAlign w:val="center"/>
            <w:hideMark/>
          </w:tcPr>
          <w:p w:rsidR="00390688" w:rsidRPr="00BF325B" w:rsidRDefault="00390688" w:rsidP="00BF325B">
            <w:pPr>
              <w:rPr>
                <w:rFonts w:ascii="Cambria" w:hAnsi="Cambria"/>
                <w:color w:val="000000"/>
                <w:sz w:val="16"/>
                <w:szCs w:val="16"/>
              </w:rPr>
            </w:pPr>
            <w:r w:rsidRPr="00BF325B">
              <w:rPr>
                <w:rFonts w:ascii="Cambria" w:hAnsi="Cambria"/>
                <w:color w:val="000000"/>
                <w:sz w:val="16"/>
                <w:szCs w:val="16"/>
              </w:rPr>
              <w:t>Значение сегмента</w:t>
            </w:r>
          </w:p>
        </w:tc>
        <w:tc>
          <w:tcPr>
            <w:tcW w:w="760" w:type="pct"/>
            <w:shd w:val="clear" w:color="auto" w:fill="auto"/>
            <w:noWrap/>
            <w:vAlign w:val="center"/>
            <w:hideMark/>
          </w:tcPr>
          <w:p w:rsidR="00390688" w:rsidRPr="00BF325B" w:rsidRDefault="00390688" w:rsidP="00BF325B">
            <w:pPr>
              <w:jc w:val="center"/>
              <w:rPr>
                <w:rFonts w:ascii="Cambria" w:hAnsi="Cambria"/>
                <w:sz w:val="16"/>
                <w:szCs w:val="16"/>
              </w:rPr>
            </w:pPr>
            <w:r w:rsidRPr="00BF325B">
              <w:rPr>
                <w:rFonts w:ascii="Cambria" w:hAnsi="Cambria"/>
                <w:sz w:val="16"/>
                <w:szCs w:val="16"/>
              </w:rPr>
              <w:t>&gt;1000</w:t>
            </w:r>
          </w:p>
        </w:tc>
        <w:tc>
          <w:tcPr>
            <w:tcW w:w="830" w:type="pct"/>
            <w:shd w:val="clear" w:color="auto" w:fill="auto"/>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100-300 кв.м.</w:t>
            </w:r>
          </w:p>
        </w:tc>
        <w:tc>
          <w:tcPr>
            <w:tcW w:w="848" w:type="pct"/>
            <w:shd w:val="clear" w:color="auto" w:fill="auto"/>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100-300 кв.м.</w:t>
            </w:r>
          </w:p>
        </w:tc>
        <w:tc>
          <w:tcPr>
            <w:tcW w:w="874" w:type="pct"/>
            <w:shd w:val="clear" w:color="auto" w:fill="auto"/>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100-300 кв.м.</w:t>
            </w:r>
          </w:p>
        </w:tc>
        <w:tc>
          <w:tcPr>
            <w:tcW w:w="793" w:type="pct"/>
            <w:shd w:val="clear" w:color="auto" w:fill="auto"/>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300-1000кв.м.</w:t>
            </w:r>
          </w:p>
        </w:tc>
      </w:tr>
      <w:tr w:rsidR="00390688" w:rsidRPr="00BF325B" w:rsidTr="00BF325B">
        <w:trPr>
          <w:cantSplit/>
          <w:trHeight w:val="170"/>
        </w:trPr>
        <w:tc>
          <w:tcPr>
            <w:tcW w:w="895" w:type="pct"/>
            <w:shd w:val="clear" w:color="auto" w:fill="auto"/>
            <w:vAlign w:val="center"/>
            <w:hideMark/>
          </w:tcPr>
          <w:p w:rsidR="00390688" w:rsidRPr="00BF325B" w:rsidRDefault="00390688" w:rsidP="00BF325B">
            <w:pPr>
              <w:rPr>
                <w:rFonts w:ascii="Cambria" w:hAnsi="Cambria"/>
                <w:color w:val="000000"/>
                <w:sz w:val="16"/>
                <w:szCs w:val="16"/>
              </w:rPr>
            </w:pPr>
            <w:r w:rsidRPr="00BF325B">
              <w:rPr>
                <w:rFonts w:ascii="Cambria" w:hAnsi="Cambria"/>
                <w:color w:val="000000"/>
                <w:sz w:val="16"/>
                <w:szCs w:val="16"/>
              </w:rPr>
              <w:t>Корректировка</w:t>
            </w:r>
          </w:p>
        </w:tc>
        <w:tc>
          <w:tcPr>
            <w:tcW w:w="760" w:type="pct"/>
            <w:shd w:val="clear" w:color="auto" w:fill="auto"/>
            <w:noWrap/>
            <w:vAlign w:val="center"/>
            <w:hideMark/>
          </w:tcPr>
          <w:p w:rsidR="00390688" w:rsidRPr="00BF325B" w:rsidRDefault="00390688" w:rsidP="00BF325B">
            <w:pPr>
              <w:jc w:val="center"/>
              <w:rPr>
                <w:rFonts w:ascii="Cambria" w:hAnsi="Cambria"/>
                <w:color w:val="000000"/>
                <w:sz w:val="16"/>
                <w:szCs w:val="16"/>
              </w:rPr>
            </w:pPr>
            <w:r w:rsidRPr="00BF325B">
              <w:rPr>
                <w:rFonts w:ascii="Cambria" w:hAnsi="Cambria"/>
                <w:color w:val="000000"/>
                <w:sz w:val="16"/>
                <w:szCs w:val="16"/>
              </w:rPr>
              <w:t> </w:t>
            </w:r>
          </w:p>
        </w:tc>
        <w:tc>
          <w:tcPr>
            <w:tcW w:w="830" w:type="pct"/>
            <w:shd w:val="clear" w:color="auto" w:fill="auto"/>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-18,0%</w:t>
            </w:r>
          </w:p>
        </w:tc>
        <w:tc>
          <w:tcPr>
            <w:tcW w:w="848" w:type="pct"/>
            <w:shd w:val="clear" w:color="auto" w:fill="auto"/>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-18,0%</w:t>
            </w:r>
          </w:p>
        </w:tc>
        <w:tc>
          <w:tcPr>
            <w:tcW w:w="874" w:type="pct"/>
            <w:shd w:val="clear" w:color="auto" w:fill="auto"/>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-18,0%</w:t>
            </w:r>
          </w:p>
        </w:tc>
        <w:tc>
          <w:tcPr>
            <w:tcW w:w="793" w:type="pct"/>
            <w:shd w:val="clear" w:color="auto" w:fill="auto"/>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-8,0%</w:t>
            </w:r>
          </w:p>
        </w:tc>
      </w:tr>
      <w:tr w:rsidR="00390688" w:rsidRPr="00BF325B" w:rsidTr="00BF325B">
        <w:trPr>
          <w:cantSplit/>
          <w:trHeight w:val="170"/>
        </w:trPr>
        <w:tc>
          <w:tcPr>
            <w:tcW w:w="895" w:type="pct"/>
            <w:shd w:val="clear" w:color="auto" w:fill="auto"/>
            <w:vAlign w:val="center"/>
            <w:hideMark/>
          </w:tcPr>
          <w:p w:rsidR="00390688" w:rsidRPr="00BF325B" w:rsidRDefault="00390688" w:rsidP="00BF325B">
            <w:pPr>
              <w:rPr>
                <w:rFonts w:ascii="Cambria" w:hAnsi="Cambria"/>
                <w:color w:val="000000"/>
                <w:sz w:val="16"/>
                <w:szCs w:val="16"/>
              </w:rPr>
            </w:pPr>
            <w:r w:rsidRPr="00BF325B">
              <w:rPr>
                <w:rFonts w:ascii="Cambria" w:hAnsi="Cambria"/>
                <w:color w:val="000000"/>
                <w:sz w:val="16"/>
                <w:szCs w:val="16"/>
              </w:rPr>
              <w:t>Скорректированная цена, руб/кв. м</w:t>
            </w:r>
          </w:p>
        </w:tc>
        <w:tc>
          <w:tcPr>
            <w:tcW w:w="760" w:type="pct"/>
            <w:shd w:val="clear" w:color="auto" w:fill="auto"/>
            <w:vAlign w:val="center"/>
            <w:hideMark/>
          </w:tcPr>
          <w:p w:rsidR="00390688" w:rsidRPr="00BF325B" w:rsidRDefault="00390688" w:rsidP="00BF325B">
            <w:pPr>
              <w:jc w:val="center"/>
              <w:rPr>
                <w:rFonts w:ascii="Cambria" w:hAnsi="Cambria"/>
                <w:color w:val="000000"/>
                <w:sz w:val="16"/>
                <w:szCs w:val="16"/>
              </w:rPr>
            </w:pPr>
            <w:r w:rsidRPr="00BF325B">
              <w:rPr>
                <w:rFonts w:ascii="Cambria" w:hAnsi="Cambria"/>
                <w:color w:val="000000"/>
                <w:sz w:val="16"/>
                <w:szCs w:val="16"/>
              </w:rPr>
              <w:t> </w:t>
            </w:r>
          </w:p>
        </w:tc>
        <w:tc>
          <w:tcPr>
            <w:tcW w:w="830" w:type="pct"/>
            <w:shd w:val="clear" w:color="auto" w:fill="auto"/>
            <w:vAlign w:val="center"/>
            <w:hideMark/>
          </w:tcPr>
          <w:p w:rsidR="00390688" w:rsidRDefault="00390688">
            <w:pPr>
              <w:jc w:val="center"/>
              <w:rPr>
                <w:rFonts w:ascii="Cambria" w:hAnsi="Cambria"/>
                <w:b/>
                <w:bCs/>
                <w:color w:val="000000"/>
                <w:sz w:val="16"/>
                <w:szCs w:val="16"/>
              </w:rPr>
            </w:pPr>
            <w:r>
              <w:rPr>
                <w:rFonts w:ascii="Cambria" w:hAnsi="Cambria"/>
                <w:b/>
                <w:bCs/>
                <w:color w:val="000000"/>
                <w:sz w:val="16"/>
                <w:szCs w:val="16"/>
              </w:rPr>
              <w:t>164,16</w:t>
            </w:r>
          </w:p>
        </w:tc>
        <w:tc>
          <w:tcPr>
            <w:tcW w:w="848" w:type="pct"/>
            <w:shd w:val="clear" w:color="auto" w:fill="auto"/>
            <w:vAlign w:val="center"/>
            <w:hideMark/>
          </w:tcPr>
          <w:p w:rsidR="00390688" w:rsidRDefault="00390688">
            <w:pPr>
              <w:jc w:val="center"/>
              <w:rPr>
                <w:rFonts w:ascii="Cambria" w:hAnsi="Cambria"/>
                <w:b/>
                <w:bCs/>
                <w:color w:val="000000"/>
                <w:sz w:val="16"/>
                <w:szCs w:val="16"/>
              </w:rPr>
            </w:pPr>
            <w:r>
              <w:rPr>
                <w:rFonts w:ascii="Cambria" w:hAnsi="Cambria"/>
                <w:b/>
                <w:bCs/>
                <w:color w:val="000000"/>
                <w:sz w:val="16"/>
                <w:szCs w:val="16"/>
              </w:rPr>
              <w:t>149,24</w:t>
            </w:r>
          </w:p>
        </w:tc>
        <w:tc>
          <w:tcPr>
            <w:tcW w:w="874" w:type="pct"/>
            <w:shd w:val="clear" w:color="auto" w:fill="auto"/>
            <w:vAlign w:val="center"/>
            <w:hideMark/>
          </w:tcPr>
          <w:p w:rsidR="00390688" w:rsidRDefault="00390688">
            <w:pPr>
              <w:jc w:val="center"/>
              <w:rPr>
                <w:rFonts w:ascii="Cambria" w:hAnsi="Cambria"/>
                <w:b/>
                <w:bCs/>
                <w:color w:val="000000"/>
                <w:sz w:val="16"/>
                <w:szCs w:val="16"/>
              </w:rPr>
            </w:pPr>
            <w:r>
              <w:rPr>
                <w:rFonts w:ascii="Cambria" w:hAnsi="Cambria"/>
                <w:b/>
                <w:bCs/>
                <w:color w:val="000000"/>
                <w:sz w:val="16"/>
                <w:szCs w:val="16"/>
              </w:rPr>
              <w:t>124,62</w:t>
            </w:r>
          </w:p>
        </w:tc>
        <w:tc>
          <w:tcPr>
            <w:tcW w:w="793" w:type="pct"/>
            <w:shd w:val="clear" w:color="auto" w:fill="auto"/>
            <w:vAlign w:val="center"/>
            <w:hideMark/>
          </w:tcPr>
          <w:p w:rsidR="00390688" w:rsidRDefault="00390688">
            <w:pPr>
              <w:jc w:val="center"/>
              <w:rPr>
                <w:rFonts w:ascii="Cambria" w:hAnsi="Cambria"/>
                <w:b/>
                <w:bCs/>
                <w:color w:val="000000"/>
                <w:sz w:val="16"/>
                <w:szCs w:val="16"/>
              </w:rPr>
            </w:pPr>
            <w:r>
              <w:rPr>
                <w:rFonts w:ascii="Cambria" w:hAnsi="Cambria"/>
                <w:b/>
                <w:bCs/>
                <w:color w:val="000000"/>
                <w:sz w:val="16"/>
                <w:szCs w:val="16"/>
              </w:rPr>
              <w:t>150,70</w:t>
            </w:r>
          </w:p>
        </w:tc>
      </w:tr>
      <w:tr w:rsidR="00390688" w:rsidRPr="00BF325B" w:rsidTr="00BF325B">
        <w:trPr>
          <w:cantSplit/>
          <w:trHeight w:val="170"/>
        </w:trPr>
        <w:tc>
          <w:tcPr>
            <w:tcW w:w="895" w:type="pct"/>
            <w:shd w:val="clear" w:color="auto" w:fill="auto"/>
            <w:vAlign w:val="center"/>
            <w:hideMark/>
          </w:tcPr>
          <w:p w:rsidR="00390688" w:rsidRPr="00BF325B" w:rsidRDefault="00390688" w:rsidP="00BF325B">
            <w:pPr>
              <w:rPr>
                <w:rFonts w:ascii="Cambria" w:hAnsi="Cambria"/>
                <w:color w:val="000000"/>
                <w:sz w:val="16"/>
                <w:szCs w:val="16"/>
              </w:rPr>
            </w:pPr>
            <w:r w:rsidRPr="00BF325B">
              <w:rPr>
                <w:rFonts w:ascii="Cambria" w:hAnsi="Cambria"/>
                <w:color w:val="000000"/>
                <w:sz w:val="16"/>
                <w:szCs w:val="16"/>
              </w:rPr>
              <w:t>Местоположение</w:t>
            </w:r>
          </w:p>
        </w:tc>
        <w:tc>
          <w:tcPr>
            <w:tcW w:w="760" w:type="pct"/>
            <w:shd w:val="clear" w:color="auto" w:fill="auto"/>
            <w:vAlign w:val="center"/>
            <w:hideMark/>
          </w:tcPr>
          <w:p w:rsidR="00390688" w:rsidRDefault="00390688">
            <w:pPr>
              <w:jc w:val="center"/>
              <w:rPr>
                <w:rFonts w:ascii="Cambria" w:hAnsi="Cambria"/>
                <w:sz w:val="16"/>
                <w:szCs w:val="16"/>
              </w:rPr>
            </w:pPr>
            <w:r>
              <w:rPr>
                <w:rFonts w:ascii="Cambria" w:hAnsi="Cambria"/>
                <w:sz w:val="16"/>
                <w:szCs w:val="16"/>
              </w:rPr>
              <w:t xml:space="preserve"> Красноярск, Ленинский район, ул. Айвазовского,37а</w:t>
            </w:r>
          </w:p>
        </w:tc>
        <w:tc>
          <w:tcPr>
            <w:tcW w:w="830" w:type="pct"/>
            <w:shd w:val="clear" w:color="auto" w:fill="auto"/>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Красноярск, Ленинский район, ул. Рейдовая 68А</w:t>
            </w:r>
          </w:p>
        </w:tc>
        <w:tc>
          <w:tcPr>
            <w:tcW w:w="848" w:type="pct"/>
            <w:shd w:val="clear" w:color="auto" w:fill="auto"/>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Красноярск, Ленинский район, ул. Рейдовая 68А</w:t>
            </w:r>
          </w:p>
        </w:tc>
        <w:tc>
          <w:tcPr>
            <w:tcW w:w="874" w:type="pct"/>
            <w:shd w:val="clear" w:color="auto" w:fill="auto"/>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Красноярск, Ленинский район, ул.Энергетиков 73ас19</w:t>
            </w:r>
          </w:p>
        </w:tc>
        <w:tc>
          <w:tcPr>
            <w:tcW w:w="793" w:type="pct"/>
            <w:shd w:val="clear" w:color="auto" w:fill="auto"/>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Красноярск, Ленинский район, ул. Марии Цукановой, д. 17</w:t>
            </w:r>
          </w:p>
        </w:tc>
      </w:tr>
      <w:tr w:rsidR="00390688" w:rsidRPr="00BF325B" w:rsidTr="00BF325B">
        <w:trPr>
          <w:cantSplit/>
          <w:trHeight w:val="170"/>
        </w:trPr>
        <w:tc>
          <w:tcPr>
            <w:tcW w:w="895" w:type="pct"/>
            <w:shd w:val="clear" w:color="auto" w:fill="auto"/>
            <w:vAlign w:val="center"/>
            <w:hideMark/>
          </w:tcPr>
          <w:p w:rsidR="00390688" w:rsidRPr="00BF325B" w:rsidRDefault="00390688" w:rsidP="00BF325B">
            <w:pPr>
              <w:rPr>
                <w:rFonts w:ascii="Cambria" w:hAnsi="Cambria"/>
                <w:color w:val="000000"/>
                <w:sz w:val="16"/>
                <w:szCs w:val="16"/>
              </w:rPr>
            </w:pPr>
            <w:r w:rsidRPr="00BF325B">
              <w:rPr>
                <w:rFonts w:ascii="Cambria" w:hAnsi="Cambria"/>
                <w:color w:val="000000"/>
                <w:sz w:val="16"/>
                <w:szCs w:val="16"/>
              </w:rPr>
              <w:t>Корректировка</w:t>
            </w:r>
          </w:p>
        </w:tc>
        <w:tc>
          <w:tcPr>
            <w:tcW w:w="760" w:type="pct"/>
            <w:shd w:val="clear" w:color="auto" w:fill="auto"/>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w:t>
            </w:r>
          </w:p>
        </w:tc>
        <w:tc>
          <w:tcPr>
            <w:tcW w:w="830" w:type="pct"/>
            <w:shd w:val="clear" w:color="auto" w:fill="auto"/>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0,0%</w:t>
            </w:r>
          </w:p>
        </w:tc>
        <w:tc>
          <w:tcPr>
            <w:tcW w:w="848" w:type="pct"/>
            <w:shd w:val="clear" w:color="auto" w:fill="auto"/>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0,0%</w:t>
            </w:r>
          </w:p>
        </w:tc>
        <w:tc>
          <w:tcPr>
            <w:tcW w:w="874" w:type="pct"/>
            <w:shd w:val="clear" w:color="auto" w:fill="auto"/>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0,0%</w:t>
            </w:r>
          </w:p>
        </w:tc>
        <w:tc>
          <w:tcPr>
            <w:tcW w:w="793" w:type="pct"/>
            <w:shd w:val="clear" w:color="auto" w:fill="auto"/>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0,0%</w:t>
            </w:r>
          </w:p>
        </w:tc>
      </w:tr>
      <w:tr w:rsidR="00390688" w:rsidRPr="00BF325B" w:rsidTr="00BF325B">
        <w:trPr>
          <w:cantSplit/>
          <w:trHeight w:val="170"/>
        </w:trPr>
        <w:tc>
          <w:tcPr>
            <w:tcW w:w="895" w:type="pct"/>
            <w:shd w:val="clear" w:color="auto" w:fill="auto"/>
            <w:vAlign w:val="center"/>
            <w:hideMark/>
          </w:tcPr>
          <w:p w:rsidR="00390688" w:rsidRPr="00BF325B" w:rsidRDefault="00390688" w:rsidP="00BF325B">
            <w:pPr>
              <w:rPr>
                <w:rFonts w:ascii="Cambria" w:hAnsi="Cambria"/>
                <w:color w:val="000000"/>
                <w:sz w:val="16"/>
                <w:szCs w:val="16"/>
              </w:rPr>
            </w:pPr>
            <w:r w:rsidRPr="00BF325B">
              <w:rPr>
                <w:rFonts w:ascii="Cambria" w:hAnsi="Cambria"/>
                <w:color w:val="000000"/>
                <w:sz w:val="16"/>
                <w:szCs w:val="16"/>
              </w:rPr>
              <w:t>Скорректированная цена, руб/кв. м</w:t>
            </w:r>
          </w:p>
        </w:tc>
        <w:tc>
          <w:tcPr>
            <w:tcW w:w="760" w:type="pct"/>
            <w:shd w:val="clear" w:color="auto" w:fill="auto"/>
            <w:vAlign w:val="center"/>
            <w:hideMark/>
          </w:tcPr>
          <w:p w:rsidR="00390688" w:rsidRDefault="00390688">
            <w:pPr>
              <w:rPr>
                <w:rFonts w:ascii="Cambria" w:hAnsi="Cambria"/>
                <w:color w:val="000000"/>
                <w:sz w:val="16"/>
                <w:szCs w:val="16"/>
              </w:rPr>
            </w:pPr>
            <w:r>
              <w:rPr>
                <w:rFonts w:ascii="Cambria" w:hAnsi="Cambria"/>
                <w:color w:val="000000"/>
                <w:sz w:val="16"/>
                <w:szCs w:val="16"/>
              </w:rPr>
              <w:t> </w:t>
            </w:r>
          </w:p>
        </w:tc>
        <w:tc>
          <w:tcPr>
            <w:tcW w:w="830" w:type="pct"/>
            <w:shd w:val="clear" w:color="auto" w:fill="auto"/>
            <w:vAlign w:val="center"/>
            <w:hideMark/>
          </w:tcPr>
          <w:p w:rsidR="00390688" w:rsidRDefault="00390688">
            <w:pPr>
              <w:jc w:val="center"/>
              <w:rPr>
                <w:rFonts w:ascii="Cambria" w:hAnsi="Cambria"/>
                <w:b/>
                <w:bCs/>
                <w:color w:val="000000"/>
                <w:sz w:val="16"/>
                <w:szCs w:val="16"/>
              </w:rPr>
            </w:pPr>
            <w:r>
              <w:rPr>
                <w:rFonts w:ascii="Cambria" w:hAnsi="Cambria"/>
                <w:b/>
                <w:bCs/>
                <w:color w:val="000000"/>
                <w:sz w:val="16"/>
                <w:szCs w:val="16"/>
              </w:rPr>
              <w:t>164,16</w:t>
            </w:r>
          </w:p>
        </w:tc>
        <w:tc>
          <w:tcPr>
            <w:tcW w:w="848" w:type="pct"/>
            <w:shd w:val="clear" w:color="auto" w:fill="auto"/>
            <w:vAlign w:val="center"/>
            <w:hideMark/>
          </w:tcPr>
          <w:p w:rsidR="00390688" w:rsidRDefault="00390688">
            <w:pPr>
              <w:jc w:val="center"/>
              <w:rPr>
                <w:rFonts w:ascii="Cambria" w:hAnsi="Cambria"/>
                <w:b/>
                <w:bCs/>
                <w:color w:val="000000"/>
                <w:sz w:val="16"/>
                <w:szCs w:val="16"/>
              </w:rPr>
            </w:pPr>
            <w:r>
              <w:rPr>
                <w:rFonts w:ascii="Cambria" w:hAnsi="Cambria"/>
                <w:b/>
                <w:bCs/>
                <w:color w:val="000000"/>
                <w:sz w:val="16"/>
                <w:szCs w:val="16"/>
              </w:rPr>
              <w:t>149,24</w:t>
            </w:r>
          </w:p>
        </w:tc>
        <w:tc>
          <w:tcPr>
            <w:tcW w:w="874" w:type="pct"/>
            <w:shd w:val="clear" w:color="auto" w:fill="auto"/>
            <w:vAlign w:val="center"/>
            <w:hideMark/>
          </w:tcPr>
          <w:p w:rsidR="00390688" w:rsidRDefault="00390688">
            <w:pPr>
              <w:jc w:val="center"/>
              <w:rPr>
                <w:rFonts w:ascii="Cambria" w:hAnsi="Cambria"/>
                <w:b/>
                <w:bCs/>
                <w:color w:val="000000"/>
                <w:sz w:val="16"/>
                <w:szCs w:val="16"/>
              </w:rPr>
            </w:pPr>
            <w:r>
              <w:rPr>
                <w:rFonts w:ascii="Cambria" w:hAnsi="Cambria"/>
                <w:b/>
                <w:bCs/>
                <w:color w:val="000000"/>
                <w:sz w:val="16"/>
                <w:szCs w:val="16"/>
              </w:rPr>
              <w:t>124,62</w:t>
            </w:r>
          </w:p>
        </w:tc>
        <w:tc>
          <w:tcPr>
            <w:tcW w:w="793" w:type="pct"/>
            <w:shd w:val="clear" w:color="auto" w:fill="auto"/>
            <w:vAlign w:val="center"/>
            <w:hideMark/>
          </w:tcPr>
          <w:p w:rsidR="00390688" w:rsidRDefault="00390688">
            <w:pPr>
              <w:jc w:val="center"/>
              <w:rPr>
                <w:rFonts w:ascii="Cambria" w:hAnsi="Cambria"/>
                <w:b/>
                <w:bCs/>
                <w:color w:val="000000"/>
                <w:sz w:val="16"/>
                <w:szCs w:val="16"/>
              </w:rPr>
            </w:pPr>
            <w:r>
              <w:rPr>
                <w:rFonts w:ascii="Cambria" w:hAnsi="Cambria"/>
                <w:b/>
                <w:bCs/>
                <w:color w:val="000000"/>
                <w:sz w:val="16"/>
                <w:szCs w:val="16"/>
              </w:rPr>
              <w:t>150,70</w:t>
            </w:r>
          </w:p>
        </w:tc>
      </w:tr>
      <w:tr w:rsidR="00390688" w:rsidRPr="00BF325B" w:rsidTr="00BF325B">
        <w:trPr>
          <w:cantSplit/>
          <w:trHeight w:val="170"/>
        </w:trPr>
        <w:tc>
          <w:tcPr>
            <w:tcW w:w="895" w:type="pct"/>
            <w:shd w:val="clear" w:color="auto" w:fill="auto"/>
            <w:vAlign w:val="center"/>
            <w:hideMark/>
          </w:tcPr>
          <w:p w:rsidR="00390688" w:rsidRPr="00BF325B" w:rsidRDefault="00390688" w:rsidP="00BF325B">
            <w:pPr>
              <w:rPr>
                <w:rFonts w:ascii="Cambria" w:hAnsi="Cambria"/>
                <w:color w:val="000000"/>
                <w:sz w:val="16"/>
                <w:szCs w:val="16"/>
              </w:rPr>
            </w:pPr>
            <w:r w:rsidRPr="00BF325B">
              <w:rPr>
                <w:rFonts w:ascii="Cambria" w:hAnsi="Cambria"/>
                <w:color w:val="000000"/>
                <w:sz w:val="16"/>
                <w:szCs w:val="16"/>
              </w:rPr>
              <w:t>Отопление</w:t>
            </w:r>
          </w:p>
        </w:tc>
        <w:tc>
          <w:tcPr>
            <w:tcW w:w="760" w:type="pct"/>
            <w:shd w:val="clear" w:color="auto" w:fill="auto"/>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Имеется</w:t>
            </w:r>
          </w:p>
        </w:tc>
        <w:tc>
          <w:tcPr>
            <w:tcW w:w="830" w:type="pct"/>
            <w:shd w:val="clear" w:color="auto" w:fill="auto"/>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Имеется</w:t>
            </w:r>
          </w:p>
        </w:tc>
        <w:tc>
          <w:tcPr>
            <w:tcW w:w="848" w:type="pct"/>
            <w:shd w:val="clear" w:color="auto" w:fill="auto"/>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Имеется</w:t>
            </w:r>
          </w:p>
        </w:tc>
        <w:tc>
          <w:tcPr>
            <w:tcW w:w="874" w:type="pct"/>
            <w:shd w:val="clear" w:color="auto" w:fill="auto"/>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Имеется</w:t>
            </w:r>
          </w:p>
        </w:tc>
        <w:tc>
          <w:tcPr>
            <w:tcW w:w="793" w:type="pct"/>
            <w:shd w:val="clear" w:color="auto" w:fill="auto"/>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Имеется</w:t>
            </w:r>
          </w:p>
        </w:tc>
      </w:tr>
      <w:tr w:rsidR="00390688" w:rsidRPr="00BF325B" w:rsidTr="00BF325B">
        <w:trPr>
          <w:cantSplit/>
          <w:trHeight w:val="170"/>
        </w:trPr>
        <w:tc>
          <w:tcPr>
            <w:tcW w:w="895" w:type="pct"/>
            <w:shd w:val="clear" w:color="auto" w:fill="auto"/>
            <w:vAlign w:val="center"/>
            <w:hideMark/>
          </w:tcPr>
          <w:p w:rsidR="00390688" w:rsidRPr="00BF325B" w:rsidRDefault="00390688" w:rsidP="00BF325B">
            <w:pPr>
              <w:rPr>
                <w:rFonts w:ascii="Cambria" w:hAnsi="Cambria"/>
                <w:color w:val="000000"/>
                <w:sz w:val="16"/>
                <w:szCs w:val="16"/>
              </w:rPr>
            </w:pPr>
            <w:r w:rsidRPr="00BF325B">
              <w:rPr>
                <w:rFonts w:ascii="Cambria" w:hAnsi="Cambria"/>
                <w:color w:val="000000"/>
                <w:sz w:val="16"/>
                <w:szCs w:val="16"/>
              </w:rPr>
              <w:t>Корректировка</w:t>
            </w:r>
          </w:p>
        </w:tc>
        <w:tc>
          <w:tcPr>
            <w:tcW w:w="760" w:type="pct"/>
            <w:shd w:val="clear" w:color="auto" w:fill="auto"/>
            <w:vAlign w:val="center"/>
            <w:hideMark/>
          </w:tcPr>
          <w:p w:rsidR="00390688" w:rsidRDefault="00390688">
            <w:pPr>
              <w:rPr>
                <w:rFonts w:ascii="Cambria" w:hAnsi="Cambria"/>
                <w:color w:val="000000"/>
                <w:sz w:val="16"/>
                <w:szCs w:val="16"/>
              </w:rPr>
            </w:pPr>
            <w:r>
              <w:rPr>
                <w:rFonts w:ascii="Cambria" w:hAnsi="Cambria"/>
                <w:color w:val="000000"/>
                <w:sz w:val="16"/>
                <w:szCs w:val="16"/>
              </w:rPr>
              <w:t> </w:t>
            </w:r>
          </w:p>
        </w:tc>
        <w:tc>
          <w:tcPr>
            <w:tcW w:w="830" w:type="pct"/>
            <w:shd w:val="clear" w:color="auto" w:fill="auto"/>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0,0%</w:t>
            </w:r>
          </w:p>
        </w:tc>
        <w:tc>
          <w:tcPr>
            <w:tcW w:w="848" w:type="pct"/>
            <w:shd w:val="clear" w:color="auto" w:fill="auto"/>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0,0%</w:t>
            </w:r>
          </w:p>
        </w:tc>
        <w:tc>
          <w:tcPr>
            <w:tcW w:w="874" w:type="pct"/>
            <w:shd w:val="clear" w:color="auto" w:fill="auto"/>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0,0%</w:t>
            </w:r>
          </w:p>
        </w:tc>
        <w:tc>
          <w:tcPr>
            <w:tcW w:w="793" w:type="pct"/>
            <w:shd w:val="clear" w:color="auto" w:fill="auto"/>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0,0%</w:t>
            </w:r>
          </w:p>
        </w:tc>
      </w:tr>
      <w:tr w:rsidR="00390688" w:rsidRPr="00BF325B" w:rsidTr="00BF325B">
        <w:trPr>
          <w:cantSplit/>
          <w:trHeight w:val="170"/>
        </w:trPr>
        <w:tc>
          <w:tcPr>
            <w:tcW w:w="895" w:type="pct"/>
            <w:shd w:val="clear" w:color="auto" w:fill="auto"/>
            <w:vAlign w:val="center"/>
            <w:hideMark/>
          </w:tcPr>
          <w:p w:rsidR="00390688" w:rsidRPr="00BF325B" w:rsidRDefault="00390688" w:rsidP="00BF325B">
            <w:pPr>
              <w:rPr>
                <w:rFonts w:ascii="Cambria" w:hAnsi="Cambria"/>
                <w:color w:val="000000"/>
                <w:sz w:val="16"/>
                <w:szCs w:val="16"/>
              </w:rPr>
            </w:pPr>
            <w:r w:rsidRPr="00BF325B">
              <w:rPr>
                <w:rFonts w:ascii="Cambria" w:hAnsi="Cambria"/>
                <w:color w:val="000000"/>
                <w:sz w:val="16"/>
                <w:szCs w:val="16"/>
              </w:rPr>
              <w:t>Скорректированная цена, руб/кв. м</w:t>
            </w:r>
          </w:p>
        </w:tc>
        <w:tc>
          <w:tcPr>
            <w:tcW w:w="760" w:type="pct"/>
            <w:shd w:val="clear" w:color="auto" w:fill="auto"/>
            <w:vAlign w:val="center"/>
            <w:hideMark/>
          </w:tcPr>
          <w:p w:rsidR="00390688" w:rsidRDefault="00390688">
            <w:pPr>
              <w:rPr>
                <w:rFonts w:ascii="Cambria" w:hAnsi="Cambria"/>
                <w:color w:val="000000"/>
                <w:sz w:val="16"/>
                <w:szCs w:val="16"/>
              </w:rPr>
            </w:pPr>
            <w:r>
              <w:rPr>
                <w:rFonts w:ascii="Cambria" w:hAnsi="Cambria"/>
                <w:color w:val="000000"/>
                <w:sz w:val="16"/>
                <w:szCs w:val="16"/>
              </w:rPr>
              <w:t> </w:t>
            </w:r>
          </w:p>
        </w:tc>
        <w:tc>
          <w:tcPr>
            <w:tcW w:w="830" w:type="pct"/>
            <w:shd w:val="clear" w:color="auto" w:fill="auto"/>
            <w:vAlign w:val="center"/>
            <w:hideMark/>
          </w:tcPr>
          <w:p w:rsidR="00390688" w:rsidRDefault="00390688">
            <w:pPr>
              <w:jc w:val="center"/>
              <w:rPr>
                <w:rFonts w:ascii="Cambria" w:hAnsi="Cambria"/>
                <w:b/>
                <w:bCs/>
                <w:color w:val="000000"/>
                <w:sz w:val="16"/>
                <w:szCs w:val="16"/>
              </w:rPr>
            </w:pPr>
            <w:r>
              <w:rPr>
                <w:rFonts w:ascii="Cambria" w:hAnsi="Cambria"/>
                <w:b/>
                <w:bCs/>
                <w:color w:val="000000"/>
                <w:sz w:val="16"/>
                <w:szCs w:val="16"/>
              </w:rPr>
              <w:t>164,16</w:t>
            </w:r>
          </w:p>
        </w:tc>
        <w:tc>
          <w:tcPr>
            <w:tcW w:w="848" w:type="pct"/>
            <w:shd w:val="clear" w:color="auto" w:fill="auto"/>
            <w:vAlign w:val="center"/>
            <w:hideMark/>
          </w:tcPr>
          <w:p w:rsidR="00390688" w:rsidRDefault="00390688">
            <w:pPr>
              <w:jc w:val="center"/>
              <w:rPr>
                <w:rFonts w:ascii="Cambria" w:hAnsi="Cambria"/>
                <w:b/>
                <w:bCs/>
                <w:color w:val="000000"/>
                <w:sz w:val="16"/>
                <w:szCs w:val="16"/>
              </w:rPr>
            </w:pPr>
            <w:r>
              <w:rPr>
                <w:rFonts w:ascii="Cambria" w:hAnsi="Cambria"/>
                <w:b/>
                <w:bCs/>
                <w:color w:val="000000"/>
                <w:sz w:val="16"/>
                <w:szCs w:val="16"/>
              </w:rPr>
              <w:t>149,24</w:t>
            </w:r>
          </w:p>
        </w:tc>
        <w:tc>
          <w:tcPr>
            <w:tcW w:w="874" w:type="pct"/>
            <w:shd w:val="clear" w:color="auto" w:fill="auto"/>
            <w:vAlign w:val="center"/>
            <w:hideMark/>
          </w:tcPr>
          <w:p w:rsidR="00390688" w:rsidRDefault="00390688">
            <w:pPr>
              <w:jc w:val="center"/>
              <w:rPr>
                <w:rFonts w:ascii="Cambria" w:hAnsi="Cambria"/>
                <w:b/>
                <w:bCs/>
                <w:color w:val="000000"/>
                <w:sz w:val="16"/>
                <w:szCs w:val="16"/>
              </w:rPr>
            </w:pPr>
            <w:r>
              <w:rPr>
                <w:rFonts w:ascii="Cambria" w:hAnsi="Cambria"/>
                <w:b/>
                <w:bCs/>
                <w:color w:val="000000"/>
                <w:sz w:val="16"/>
                <w:szCs w:val="16"/>
              </w:rPr>
              <w:t>124,62</w:t>
            </w:r>
          </w:p>
        </w:tc>
        <w:tc>
          <w:tcPr>
            <w:tcW w:w="793" w:type="pct"/>
            <w:shd w:val="clear" w:color="auto" w:fill="auto"/>
            <w:vAlign w:val="center"/>
            <w:hideMark/>
          </w:tcPr>
          <w:p w:rsidR="00390688" w:rsidRDefault="00390688">
            <w:pPr>
              <w:jc w:val="center"/>
              <w:rPr>
                <w:rFonts w:ascii="Cambria" w:hAnsi="Cambria"/>
                <w:b/>
                <w:bCs/>
                <w:color w:val="000000"/>
                <w:sz w:val="16"/>
                <w:szCs w:val="16"/>
              </w:rPr>
            </w:pPr>
            <w:r>
              <w:rPr>
                <w:rFonts w:ascii="Cambria" w:hAnsi="Cambria"/>
                <w:b/>
                <w:bCs/>
                <w:color w:val="000000"/>
                <w:sz w:val="16"/>
                <w:szCs w:val="16"/>
              </w:rPr>
              <w:t>150,70</w:t>
            </w:r>
          </w:p>
        </w:tc>
      </w:tr>
      <w:tr w:rsidR="00390688" w:rsidRPr="00BF325B" w:rsidTr="00BF325B">
        <w:trPr>
          <w:cantSplit/>
          <w:trHeight w:val="170"/>
        </w:trPr>
        <w:tc>
          <w:tcPr>
            <w:tcW w:w="895" w:type="pct"/>
            <w:shd w:val="clear" w:color="auto" w:fill="auto"/>
            <w:vAlign w:val="center"/>
            <w:hideMark/>
          </w:tcPr>
          <w:p w:rsidR="00390688" w:rsidRPr="00BF325B" w:rsidRDefault="00390688" w:rsidP="00BF325B">
            <w:pPr>
              <w:rPr>
                <w:rFonts w:ascii="Cambria" w:hAnsi="Cambria"/>
                <w:color w:val="000000"/>
                <w:sz w:val="16"/>
                <w:szCs w:val="16"/>
              </w:rPr>
            </w:pPr>
            <w:r w:rsidRPr="00BF325B">
              <w:rPr>
                <w:rFonts w:ascii="Cambria" w:hAnsi="Cambria"/>
                <w:color w:val="000000"/>
                <w:sz w:val="16"/>
                <w:szCs w:val="16"/>
              </w:rPr>
              <w:t xml:space="preserve">Техническое состояние </w:t>
            </w:r>
          </w:p>
        </w:tc>
        <w:tc>
          <w:tcPr>
            <w:tcW w:w="760" w:type="pct"/>
            <w:shd w:val="clear" w:color="auto" w:fill="auto"/>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Удовл</w:t>
            </w:r>
          </w:p>
        </w:tc>
        <w:tc>
          <w:tcPr>
            <w:tcW w:w="830" w:type="pct"/>
            <w:shd w:val="clear" w:color="auto" w:fill="auto"/>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Удовл</w:t>
            </w:r>
          </w:p>
        </w:tc>
        <w:tc>
          <w:tcPr>
            <w:tcW w:w="848" w:type="pct"/>
            <w:shd w:val="clear" w:color="auto" w:fill="auto"/>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Удовл</w:t>
            </w:r>
          </w:p>
        </w:tc>
        <w:tc>
          <w:tcPr>
            <w:tcW w:w="874" w:type="pct"/>
            <w:shd w:val="clear" w:color="auto" w:fill="auto"/>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Неудовл</w:t>
            </w:r>
          </w:p>
        </w:tc>
        <w:tc>
          <w:tcPr>
            <w:tcW w:w="793" w:type="pct"/>
            <w:shd w:val="clear" w:color="auto" w:fill="auto"/>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Удовл</w:t>
            </w:r>
          </w:p>
        </w:tc>
      </w:tr>
      <w:tr w:rsidR="00390688" w:rsidRPr="00BF325B" w:rsidTr="00BF325B">
        <w:trPr>
          <w:cantSplit/>
          <w:trHeight w:val="170"/>
        </w:trPr>
        <w:tc>
          <w:tcPr>
            <w:tcW w:w="895" w:type="pct"/>
            <w:shd w:val="clear" w:color="auto" w:fill="auto"/>
            <w:vAlign w:val="center"/>
            <w:hideMark/>
          </w:tcPr>
          <w:p w:rsidR="00390688" w:rsidRPr="00BF325B" w:rsidRDefault="00390688" w:rsidP="00BF325B">
            <w:pPr>
              <w:rPr>
                <w:rFonts w:ascii="Cambria" w:hAnsi="Cambria"/>
                <w:color w:val="000000"/>
                <w:sz w:val="16"/>
                <w:szCs w:val="16"/>
              </w:rPr>
            </w:pPr>
            <w:r w:rsidRPr="00BF325B">
              <w:rPr>
                <w:rFonts w:ascii="Cambria" w:hAnsi="Cambria"/>
                <w:color w:val="000000"/>
                <w:sz w:val="16"/>
                <w:szCs w:val="16"/>
              </w:rPr>
              <w:t>Корректировка</w:t>
            </w:r>
          </w:p>
        </w:tc>
        <w:tc>
          <w:tcPr>
            <w:tcW w:w="760" w:type="pct"/>
            <w:shd w:val="clear" w:color="auto" w:fill="auto"/>
            <w:noWrap/>
            <w:vAlign w:val="center"/>
            <w:hideMark/>
          </w:tcPr>
          <w:p w:rsidR="00390688" w:rsidRDefault="00390688">
            <w:pPr>
              <w:rPr>
                <w:rFonts w:ascii="Cambria" w:hAnsi="Cambria"/>
                <w:color w:val="000000"/>
                <w:sz w:val="16"/>
                <w:szCs w:val="16"/>
              </w:rPr>
            </w:pPr>
            <w:r>
              <w:rPr>
                <w:rFonts w:ascii="Cambria" w:hAnsi="Cambria"/>
                <w:color w:val="000000"/>
                <w:sz w:val="16"/>
                <w:szCs w:val="16"/>
              </w:rPr>
              <w:t> </w:t>
            </w:r>
          </w:p>
        </w:tc>
        <w:tc>
          <w:tcPr>
            <w:tcW w:w="830" w:type="pct"/>
            <w:shd w:val="clear" w:color="auto" w:fill="auto"/>
            <w:noWrap/>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0,0%</w:t>
            </w:r>
          </w:p>
        </w:tc>
        <w:tc>
          <w:tcPr>
            <w:tcW w:w="848" w:type="pct"/>
            <w:shd w:val="clear" w:color="auto" w:fill="auto"/>
            <w:noWrap/>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0,0%</w:t>
            </w:r>
          </w:p>
        </w:tc>
        <w:tc>
          <w:tcPr>
            <w:tcW w:w="874" w:type="pct"/>
            <w:shd w:val="clear" w:color="auto" w:fill="auto"/>
            <w:noWrap/>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26,0%</w:t>
            </w:r>
          </w:p>
        </w:tc>
        <w:tc>
          <w:tcPr>
            <w:tcW w:w="793" w:type="pct"/>
            <w:shd w:val="clear" w:color="auto" w:fill="auto"/>
            <w:noWrap/>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0,0%</w:t>
            </w:r>
          </w:p>
        </w:tc>
      </w:tr>
      <w:tr w:rsidR="00390688" w:rsidRPr="00BF325B" w:rsidTr="00BF325B">
        <w:trPr>
          <w:cantSplit/>
          <w:trHeight w:val="170"/>
        </w:trPr>
        <w:tc>
          <w:tcPr>
            <w:tcW w:w="895" w:type="pct"/>
            <w:shd w:val="clear" w:color="auto" w:fill="auto"/>
            <w:vAlign w:val="center"/>
            <w:hideMark/>
          </w:tcPr>
          <w:p w:rsidR="00390688" w:rsidRPr="00BF325B" w:rsidRDefault="00390688" w:rsidP="00BF325B">
            <w:pPr>
              <w:rPr>
                <w:rFonts w:ascii="Cambria" w:hAnsi="Cambria"/>
                <w:color w:val="000000"/>
                <w:sz w:val="16"/>
                <w:szCs w:val="16"/>
              </w:rPr>
            </w:pPr>
            <w:r w:rsidRPr="00BF325B">
              <w:rPr>
                <w:rFonts w:ascii="Cambria" w:hAnsi="Cambria"/>
                <w:color w:val="000000"/>
                <w:sz w:val="16"/>
                <w:szCs w:val="16"/>
              </w:rPr>
              <w:t>Скорректированная цена, руб/кв. м</w:t>
            </w:r>
          </w:p>
        </w:tc>
        <w:tc>
          <w:tcPr>
            <w:tcW w:w="760" w:type="pct"/>
            <w:shd w:val="clear" w:color="auto" w:fill="auto"/>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w:t>
            </w:r>
          </w:p>
        </w:tc>
        <w:tc>
          <w:tcPr>
            <w:tcW w:w="830" w:type="pct"/>
            <w:shd w:val="clear" w:color="auto" w:fill="auto"/>
            <w:vAlign w:val="center"/>
            <w:hideMark/>
          </w:tcPr>
          <w:p w:rsidR="00390688" w:rsidRDefault="00390688">
            <w:pPr>
              <w:jc w:val="center"/>
              <w:rPr>
                <w:rFonts w:ascii="Cambria" w:hAnsi="Cambria"/>
                <w:b/>
                <w:bCs/>
                <w:color w:val="000000"/>
                <w:sz w:val="16"/>
                <w:szCs w:val="16"/>
              </w:rPr>
            </w:pPr>
            <w:r>
              <w:rPr>
                <w:rFonts w:ascii="Cambria" w:hAnsi="Cambria"/>
                <w:b/>
                <w:bCs/>
                <w:color w:val="000000"/>
                <w:sz w:val="16"/>
                <w:szCs w:val="16"/>
              </w:rPr>
              <w:t>164,16</w:t>
            </w:r>
          </w:p>
        </w:tc>
        <w:tc>
          <w:tcPr>
            <w:tcW w:w="848" w:type="pct"/>
            <w:shd w:val="clear" w:color="auto" w:fill="auto"/>
            <w:vAlign w:val="center"/>
            <w:hideMark/>
          </w:tcPr>
          <w:p w:rsidR="00390688" w:rsidRDefault="00390688">
            <w:pPr>
              <w:jc w:val="center"/>
              <w:rPr>
                <w:rFonts w:ascii="Cambria" w:hAnsi="Cambria"/>
                <w:b/>
                <w:bCs/>
                <w:color w:val="000000"/>
                <w:sz w:val="16"/>
                <w:szCs w:val="16"/>
              </w:rPr>
            </w:pPr>
            <w:r>
              <w:rPr>
                <w:rFonts w:ascii="Cambria" w:hAnsi="Cambria"/>
                <w:b/>
                <w:bCs/>
                <w:color w:val="000000"/>
                <w:sz w:val="16"/>
                <w:szCs w:val="16"/>
              </w:rPr>
              <w:t>149,24</w:t>
            </w:r>
          </w:p>
        </w:tc>
        <w:tc>
          <w:tcPr>
            <w:tcW w:w="874" w:type="pct"/>
            <w:shd w:val="clear" w:color="auto" w:fill="auto"/>
            <w:vAlign w:val="center"/>
            <w:hideMark/>
          </w:tcPr>
          <w:p w:rsidR="00390688" w:rsidRDefault="00390688">
            <w:pPr>
              <w:jc w:val="center"/>
              <w:rPr>
                <w:rFonts w:ascii="Cambria" w:hAnsi="Cambria"/>
                <w:b/>
                <w:bCs/>
                <w:color w:val="000000"/>
                <w:sz w:val="16"/>
                <w:szCs w:val="16"/>
              </w:rPr>
            </w:pPr>
            <w:r>
              <w:rPr>
                <w:rFonts w:ascii="Cambria" w:hAnsi="Cambria"/>
                <w:b/>
                <w:bCs/>
                <w:color w:val="000000"/>
                <w:sz w:val="16"/>
                <w:szCs w:val="16"/>
              </w:rPr>
              <w:t>157,02</w:t>
            </w:r>
          </w:p>
        </w:tc>
        <w:tc>
          <w:tcPr>
            <w:tcW w:w="793" w:type="pct"/>
            <w:shd w:val="clear" w:color="auto" w:fill="auto"/>
            <w:vAlign w:val="center"/>
            <w:hideMark/>
          </w:tcPr>
          <w:p w:rsidR="00390688" w:rsidRDefault="00390688">
            <w:pPr>
              <w:jc w:val="center"/>
              <w:rPr>
                <w:rFonts w:ascii="Cambria" w:hAnsi="Cambria"/>
                <w:b/>
                <w:bCs/>
                <w:color w:val="000000"/>
                <w:sz w:val="16"/>
                <w:szCs w:val="16"/>
              </w:rPr>
            </w:pPr>
            <w:r>
              <w:rPr>
                <w:rFonts w:ascii="Cambria" w:hAnsi="Cambria"/>
                <w:b/>
                <w:bCs/>
                <w:color w:val="000000"/>
                <w:sz w:val="16"/>
                <w:szCs w:val="16"/>
              </w:rPr>
              <w:t>150,70</w:t>
            </w:r>
          </w:p>
        </w:tc>
      </w:tr>
      <w:tr w:rsidR="00390688" w:rsidRPr="00BF325B" w:rsidTr="00BF325B">
        <w:trPr>
          <w:cantSplit/>
          <w:trHeight w:val="170"/>
        </w:trPr>
        <w:tc>
          <w:tcPr>
            <w:tcW w:w="895" w:type="pct"/>
            <w:shd w:val="clear" w:color="auto" w:fill="auto"/>
            <w:vAlign w:val="center"/>
            <w:hideMark/>
          </w:tcPr>
          <w:p w:rsidR="00390688" w:rsidRPr="00BF325B" w:rsidRDefault="00390688" w:rsidP="00BF325B">
            <w:pPr>
              <w:rPr>
                <w:rFonts w:ascii="Cambria" w:hAnsi="Cambria"/>
                <w:color w:val="000000"/>
                <w:sz w:val="16"/>
                <w:szCs w:val="16"/>
              </w:rPr>
            </w:pPr>
            <w:r w:rsidRPr="00BF325B">
              <w:rPr>
                <w:rFonts w:ascii="Cambria" w:hAnsi="Cambria"/>
                <w:color w:val="000000"/>
                <w:sz w:val="16"/>
                <w:szCs w:val="16"/>
              </w:rPr>
              <w:t>Наличие жд путей</w:t>
            </w:r>
          </w:p>
        </w:tc>
        <w:tc>
          <w:tcPr>
            <w:tcW w:w="760" w:type="pct"/>
            <w:shd w:val="clear" w:color="auto" w:fill="auto"/>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Отсутствует</w:t>
            </w:r>
          </w:p>
        </w:tc>
        <w:tc>
          <w:tcPr>
            <w:tcW w:w="830" w:type="pct"/>
            <w:shd w:val="clear" w:color="auto" w:fill="auto"/>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Отсутствует</w:t>
            </w:r>
          </w:p>
        </w:tc>
        <w:tc>
          <w:tcPr>
            <w:tcW w:w="848" w:type="pct"/>
            <w:shd w:val="clear" w:color="auto" w:fill="auto"/>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Отсутствует</w:t>
            </w:r>
          </w:p>
        </w:tc>
        <w:tc>
          <w:tcPr>
            <w:tcW w:w="874" w:type="pct"/>
            <w:shd w:val="clear" w:color="auto" w:fill="auto"/>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Отсутствует</w:t>
            </w:r>
          </w:p>
        </w:tc>
        <w:tc>
          <w:tcPr>
            <w:tcW w:w="793" w:type="pct"/>
            <w:shd w:val="clear" w:color="auto" w:fill="auto"/>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Имеются</w:t>
            </w:r>
          </w:p>
        </w:tc>
      </w:tr>
      <w:tr w:rsidR="00390688" w:rsidRPr="00BF325B" w:rsidTr="00BF325B">
        <w:trPr>
          <w:cantSplit/>
          <w:trHeight w:val="170"/>
        </w:trPr>
        <w:tc>
          <w:tcPr>
            <w:tcW w:w="895" w:type="pct"/>
            <w:shd w:val="clear" w:color="auto" w:fill="auto"/>
            <w:vAlign w:val="center"/>
            <w:hideMark/>
          </w:tcPr>
          <w:p w:rsidR="00390688" w:rsidRPr="00BF325B" w:rsidRDefault="00390688" w:rsidP="00BF325B">
            <w:pPr>
              <w:rPr>
                <w:rFonts w:ascii="Cambria" w:hAnsi="Cambria"/>
                <w:color w:val="000000"/>
                <w:sz w:val="16"/>
                <w:szCs w:val="16"/>
              </w:rPr>
            </w:pPr>
            <w:r w:rsidRPr="00BF325B">
              <w:rPr>
                <w:rFonts w:ascii="Cambria" w:hAnsi="Cambria"/>
                <w:color w:val="000000"/>
                <w:sz w:val="16"/>
                <w:szCs w:val="16"/>
              </w:rPr>
              <w:t>Корректировка</w:t>
            </w:r>
          </w:p>
        </w:tc>
        <w:tc>
          <w:tcPr>
            <w:tcW w:w="760" w:type="pct"/>
            <w:shd w:val="clear" w:color="auto" w:fill="auto"/>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 </w:t>
            </w:r>
          </w:p>
        </w:tc>
        <w:tc>
          <w:tcPr>
            <w:tcW w:w="830" w:type="pct"/>
            <w:shd w:val="clear" w:color="auto" w:fill="auto"/>
            <w:vAlign w:val="center"/>
            <w:hideMark/>
          </w:tcPr>
          <w:p w:rsidR="00390688" w:rsidRDefault="00390688">
            <w:pPr>
              <w:jc w:val="center"/>
              <w:rPr>
                <w:rFonts w:ascii="Cambria" w:hAnsi="Cambria"/>
                <w:b/>
                <w:bCs/>
                <w:color w:val="000000"/>
                <w:sz w:val="16"/>
                <w:szCs w:val="16"/>
              </w:rPr>
            </w:pPr>
            <w:r>
              <w:rPr>
                <w:rFonts w:ascii="Cambria" w:hAnsi="Cambria"/>
                <w:b/>
                <w:bCs/>
                <w:color w:val="000000"/>
                <w:sz w:val="16"/>
                <w:szCs w:val="16"/>
              </w:rPr>
              <w:t>0,00</w:t>
            </w:r>
          </w:p>
        </w:tc>
        <w:tc>
          <w:tcPr>
            <w:tcW w:w="848" w:type="pct"/>
            <w:shd w:val="clear" w:color="auto" w:fill="auto"/>
            <w:vAlign w:val="center"/>
            <w:hideMark/>
          </w:tcPr>
          <w:p w:rsidR="00390688" w:rsidRDefault="00390688">
            <w:pPr>
              <w:jc w:val="center"/>
              <w:rPr>
                <w:rFonts w:ascii="Cambria" w:hAnsi="Cambria"/>
                <w:b/>
                <w:bCs/>
                <w:color w:val="000000"/>
                <w:sz w:val="16"/>
                <w:szCs w:val="16"/>
              </w:rPr>
            </w:pPr>
            <w:r>
              <w:rPr>
                <w:rFonts w:ascii="Cambria" w:hAnsi="Cambria"/>
                <w:b/>
                <w:bCs/>
                <w:color w:val="000000"/>
                <w:sz w:val="16"/>
                <w:szCs w:val="16"/>
              </w:rPr>
              <w:t>0,00</w:t>
            </w:r>
          </w:p>
        </w:tc>
        <w:tc>
          <w:tcPr>
            <w:tcW w:w="874" w:type="pct"/>
            <w:shd w:val="clear" w:color="auto" w:fill="auto"/>
            <w:vAlign w:val="center"/>
            <w:hideMark/>
          </w:tcPr>
          <w:p w:rsidR="00390688" w:rsidRDefault="00390688">
            <w:pPr>
              <w:jc w:val="center"/>
              <w:rPr>
                <w:rFonts w:ascii="Cambria" w:hAnsi="Cambria"/>
                <w:b/>
                <w:bCs/>
                <w:color w:val="000000"/>
                <w:sz w:val="16"/>
                <w:szCs w:val="16"/>
              </w:rPr>
            </w:pPr>
            <w:r>
              <w:rPr>
                <w:rFonts w:ascii="Cambria" w:hAnsi="Cambria"/>
                <w:b/>
                <w:bCs/>
                <w:color w:val="000000"/>
                <w:sz w:val="16"/>
                <w:szCs w:val="16"/>
              </w:rPr>
              <w:t>0,00</w:t>
            </w:r>
          </w:p>
        </w:tc>
        <w:tc>
          <w:tcPr>
            <w:tcW w:w="793" w:type="pct"/>
            <w:shd w:val="clear" w:color="auto" w:fill="auto"/>
            <w:vAlign w:val="center"/>
            <w:hideMark/>
          </w:tcPr>
          <w:p w:rsidR="00390688" w:rsidRDefault="00390688">
            <w:pPr>
              <w:jc w:val="center"/>
              <w:rPr>
                <w:rFonts w:ascii="Cambria" w:hAnsi="Cambria"/>
                <w:b/>
                <w:bCs/>
                <w:color w:val="000000"/>
                <w:sz w:val="16"/>
                <w:szCs w:val="16"/>
              </w:rPr>
            </w:pPr>
            <w:r>
              <w:rPr>
                <w:rFonts w:ascii="Cambria" w:hAnsi="Cambria"/>
                <w:b/>
                <w:bCs/>
                <w:color w:val="000000"/>
                <w:sz w:val="16"/>
                <w:szCs w:val="16"/>
              </w:rPr>
              <w:t>-14%</w:t>
            </w:r>
          </w:p>
        </w:tc>
      </w:tr>
      <w:tr w:rsidR="00390688" w:rsidRPr="00BF325B" w:rsidTr="00BF325B">
        <w:trPr>
          <w:cantSplit/>
          <w:trHeight w:val="170"/>
        </w:trPr>
        <w:tc>
          <w:tcPr>
            <w:tcW w:w="895" w:type="pct"/>
            <w:shd w:val="clear" w:color="auto" w:fill="auto"/>
            <w:vAlign w:val="center"/>
            <w:hideMark/>
          </w:tcPr>
          <w:p w:rsidR="00390688" w:rsidRPr="00BF325B" w:rsidRDefault="00390688" w:rsidP="00BF325B">
            <w:pPr>
              <w:rPr>
                <w:rFonts w:ascii="Cambria" w:hAnsi="Cambria"/>
                <w:color w:val="000000"/>
                <w:sz w:val="16"/>
                <w:szCs w:val="16"/>
              </w:rPr>
            </w:pPr>
            <w:r w:rsidRPr="00BF325B">
              <w:rPr>
                <w:rFonts w:ascii="Cambria" w:hAnsi="Cambria"/>
                <w:color w:val="000000"/>
                <w:sz w:val="16"/>
                <w:szCs w:val="16"/>
              </w:rPr>
              <w:t>Скорректированная цена, руб/кв. м</w:t>
            </w:r>
          </w:p>
        </w:tc>
        <w:tc>
          <w:tcPr>
            <w:tcW w:w="760" w:type="pct"/>
            <w:shd w:val="clear" w:color="auto" w:fill="auto"/>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 </w:t>
            </w:r>
          </w:p>
        </w:tc>
        <w:tc>
          <w:tcPr>
            <w:tcW w:w="830" w:type="pct"/>
            <w:shd w:val="clear" w:color="auto" w:fill="auto"/>
            <w:vAlign w:val="center"/>
            <w:hideMark/>
          </w:tcPr>
          <w:p w:rsidR="00390688" w:rsidRDefault="00390688">
            <w:pPr>
              <w:jc w:val="center"/>
              <w:rPr>
                <w:rFonts w:ascii="Cambria" w:hAnsi="Cambria"/>
                <w:b/>
                <w:bCs/>
                <w:color w:val="000000"/>
                <w:sz w:val="16"/>
                <w:szCs w:val="16"/>
              </w:rPr>
            </w:pPr>
            <w:r>
              <w:rPr>
                <w:rFonts w:ascii="Cambria" w:hAnsi="Cambria"/>
                <w:b/>
                <w:bCs/>
                <w:color w:val="000000"/>
                <w:sz w:val="16"/>
                <w:szCs w:val="16"/>
              </w:rPr>
              <w:t>164,16</w:t>
            </w:r>
          </w:p>
        </w:tc>
        <w:tc>
          <w:tcPr>
            <w:tcW w:w="848" w:type="pct"/>
            <w:shd w:val="clear" w:color="auto" w:fill="auto"/>
            <w:vAlign w:val="center"/>
            <w:hideMark/>
          </w:tcPr>
          <w:p w:rsidR="00390688" w:rsidRDefault="00390688">
            <w:pPr>
              <w:jc w:val="center"/>
              <w:rPr>
                <w:rFonts w:ascii="Cambria" w:hAnsi="Cambria"/>
                <w:b/>
                <w:bCs/>
                <w:color w:val="000000"/>
                <w:sz w:val="16"/>
                <w:szCs w:val="16"/>
              </w:rPr>
            </w:pPr>
            <w:r>
              <w:rPr>
                <w:rFonts w:ascii="Cambria" w:hAnsi="Cambria"/>
                <w:b/>
                <w:bCs/>
                <w:color w:val="000000"/>
                <w:sz w:val="16"/>
                <w:szCs w:val="16"/>
              </w:rPr>
              <w:t>149,24</w:t>
            </w:r>
          </w:p>
        </w:tc>
        <w:tc>
          <w:tcPr>
            <w:tcW w:w="874" w:type="pct"/>
            <w:shd w:val="clear" w:color="auto" w:fill="auto"/>
            <w:vAlign w:val="center"/>
            <w:hideMark/>
          </w:tcPr>
          <w:p w:rsidR="00390688" w:rsidRDefault="00390688">
            <w:pPr>
              <w:jc w:val="center"/>
              <w:rPr>
                <w:rFonts w:ascii="Cambria" w:hAnsi="Cambria"/>
                <w:b/>
                <w:bCs/>
                <w:color w:val="000000"/>
                <w:sz w:val="16"/>
                <w:szCs w:val="16"/>
              </w:rPr>
            </w:pPr>
            <w:r>
              <w:rPr>
                <w:rFonts w:ascii="Cambria" w:hAnsi="Cambria"/>
                <w:b/>
                <w:bCs/>
                <w:color w:val="000000"/>
                <w:sz w:val="16"/>
                <w:szCs w:val="16"/>
              </w:rPr>
              <w:t>157,02</w:t>
            </w:r>
          </w:p>
        </w:tc>
        <w:tc>
          <w:tcPr>
            <w:tcW w:w="793" w:type="pct"/>
            <w:shd w:val="clear" w:color="auto" w:fill="auto"/>
            <w:vAlign w:val="center"/>
            <w:hideMark/>
          </w:tcPr>
          <w:p w:rsidR="00390688" w:rsidRDefault="00390688">
            <w:pPr>
              <w:jc w:val="center"/>
              <w:rPr>
                <w:rFonts w:ascii="Cambria" w:hAnsi="Cambria"/>
                <w:b/>
                <w:bCs/>
                <w:color w:val="000000"/>
                <w:sz w:val="16"/>
                <w:szCs w:val="16"/>
              </w:rPr>
            </w:pPr>
            <w:r>
              <w:rPr>
                <w:rFonts w:ascii="Cambria" w:hAnsi="Cambria"/>
                <w:b/>
                <w:bCs/>
                <w:color w:val="000000"/>
                <w:sz w:val="16"/>
                <w:szCs w:val="16"/>
              </w:rPr>
              <w:t>129,60</w:t>
            </w:r>
          </w:p>
        </w:tc>
      </w:tr>
      <w:tr w:rsidR="00390688" w:rsidRPr="00BF325B" w:rsidTr="00BF325B">
        <w:trPr>
          <w:cantSplit/>
          <w:trHeight w:val="170"/>
        </w:trPr>
        <w:tc>
          <w:tcPr>
            <w:tcW w:w="895" w:type="pct"/>
            <w:shd w:val="clear" w:color="auto" w:fill="auto"/>
            <w:vAlign w:val="center"/>
            <w:hideMark/>
          </w:tcPr>
          <w:p w:rsidR="00390688" w:rsidRPr="00BF325B" w:rsidRDefault="00390688" w:rsidP="00BF325B">
            <w:pPr>
              <w:rPr>
                <w:rFonts w:ascii="Cambria" w:hAnsi="Cambria"/>
                <w:color w:val="000000"/>
                <w:sz w:val="16"/>
                <w:szCs w:val="16"/>
              </w:rPr>
            </w:pPr>
            <w:r w:rsidRPr="00BF325B">
              <w:rPr>
                <w:rFonts w:ascii="Cambria" w:hAnsi="Cambria"/>
                <w:color w:val="000000"/>
                <w:sz w:val="16"/>
                <w:szCs w:val="16"/>
              </w:rPr>
              <w:t>Валовая корректировка</w:t>
            </w:r>
          </w:p>
        </w:tc>
        <w:tc>
          <w:tcPr>
            <w:tcW w:w="760" w:type="pct"/>
            <w:shd w:val="clear" w:color="auto" w:fill="auto"/>
            <w:noWrap/>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w:t>
            </w:r>
          </w:p>
        </w:tc>
        <w:tc>
          <w:tcPr>
            <w:tcW w:w="830" w:type="pct"/>
            <w:shd w:val="clear" w:color="auto" w:fill="auto"/>
            <w:noWrap/>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27,00%</w:t>
            </w:r>
          </w:p>
        </w:tc>
        <w:tc>
          <w:tcPr>
            <w:tcW w:w="848" w:type="pct"/>
            <w:shd w:val="clear" w:color="auto" w:fill="auto"/>
            <w:noWrap/>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27,00%</w:t>
            </w:r>
          </w:p>
        </w:tc>
        <w:tc>
          <w:tcPr>
            <w:tcW w:w="874" w:type="pct"/>
            <w:shd w:val="clear" w:color="auto" w:fill="auto"/>
            <w:noWrap/>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53,00%</w:t>
            </w:r>
          </w:p>
        </w:tc>
        <w:tc>
          <w:tcPr>
            <w:tcW w:w="793" w:type="pct"/>
            <w:shd w:val="clear" w:color="auto" w:fill="auto"/>
            <w:noWrap/>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31,00%</w:t>
            </w:r>
          </w:p>
        </w:tc>
      </w:tr>
      <w:tr w:rsidR="00390688" w:rsidRPr="00BF325B" w:rsidTr="00BF325B">
        <w:trPr>
          <w:cantSplit/>
          <w:trHeight w:val="170"/>
        </w:trPr>
        <w:tc>
          <w:tcPr>
            <w:tcW w:w="895" w:type="pct"/>
            <w:shd w:val="clear" w:color="auto" w:fill="auto"/>
            <w:vAlign w:val="center"/>
            <w:hideMark/>
          </w:tcPr>
          <w:p w:rsidR="00390688" w:rsidRPr="00BF325B" w:rsidRDefault="00390688" w:rsidP="00BF325B">
            <w:pPr>
              <w:rPr>
                <w:rFonts w:ascii="Cambria" w:hAnsi="Cambria"/>
                <w:color w:val="000000"/>
                <w:sz w:val="16"/>
                <w:szCs w:val="16"/>
              </w:rPr>
            </w:pPr>
            <w:r w:rsidRPr="00BF325B">
              <w:rPr>
                <w:rFonts w:ascii="Cambria" w:hAnsi="Cambria"/>
                <w:color w:val="000000"/>
                <w:sz w:val="16"/>
                <w:szCs w:val="16"/>
              </w:rPr>
              <w:t>Вес аналога</w:t>
            </w:r>
          </w:p>
        </w:tc>
        <w:tc>
          <w:tcPr>
            <w:tcW w:w="760" w:type="pct"/>
            <w:shd w:val="clear" w:color="auto" w:fill="auto"/>
            <w:noWrap/>
            <w:vAlign w:val="center"/>
            <w:hideMark/>
          </w:tcPr>
          <w:p w:rsidR="00390688" w:rsidRDefault="00390688">
            <w:pPr>
              <w:rPr>
                <w:rFonts w:ascii="Cambria" w:hAnsi="Cambria"/>
                <w:color w:val="000000"/>
                <w:sz w:val="16"/>
                <w:szCs w:val="16"/>
              </w:rPr>
            </w:pPr>
            <w:r>
              <w:rPr>
                <w:rFonts w:ascii="Cambria" w:hAnsi="Cambria"/>
                <w:color w:val="000000"/>
                <w:sz w:val="16"/>
                <w:szCs w:val="16"/>
              </w:rPr>
              <w:t> </w:t>
            </w:r>
          </w:p>
        </w:tc>
        <w:tc>
          <w:tcPr>
            <w:tcW w:w="830" w:type="pct"/>
            <w:shd w:val="clear" w:color="auto" w:fill="auto"/>
            <w:noWrap/>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26,81%</w:t>
            </w:r>
          </w:p>
        </w:tc>
        <w:tc>
          <w:tcPr>
            <w:tcW w:w="848" w:type="pct"/>
            <w:shd w:val="clear" w:color="auto" w:fill="auto"/>
            <w:noWrap/>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26,81%</w:t>
            </w:r>
          </w:p>
        </w:tc>
        <w:tc>
          <w:tcPr>
            <w:tcW w:w="874" w:type="pct"/>
            <w:shd w:val="clear" w:color="auto" w:fill="auto"/>
            <w:noWrap/>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20,53%</w:t>
            </w:r>
          </w:p>
        </w:tc>
        <w:tc>
          <w:tcPr>
            <w:tcW w:w="793" w:type="pct"/>
            <w:shd w:val="clear" w:color="auto" w:fill="auto"/>
            <w:noWrap/>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25,85%</w:t>
            </w:r>
          </w:p>
        </w:tc>
      </w:tr>
      <w:tr w:rsidR="00390688" w:rsidRPr="00BF325B" w:rsidTr="00BF325B">
        <w:trPr>
          <w:cantSplit/>
          <w:trHeight w:val="170"/>
        </w:trPr>
        <w:tc>
          <w:tcPr>
            <w:tcW w:w="895" w:type="pct"/>
            <w:shd w:val="clear" w:color="auto" w:fill="auto"/>
            <w:vAlign w:val="center"/>
            <w:hideMark/>
          </w:tcPr>
          <w:p w:rsidR="00390688" w:rsidRPr="00BF325B" w:rsidRDefault="00390688" w:rsidP="00BF325B">
            <w:pPr>
              <w:rPr>
                <w:rFonts w:ascii="Cambria" w:hAnsi="Cambria"/>
                <w:color w:val="000000"/>
                <w:sz w:val="16"/>
                <w:szCs w:val="16"/>
              </w:rPr>
            </w:pPr>
            <w:r w:rsidRPr="00BF325B">
              <w:rPr>
                <w:rFonts w:ascii="Cambria" w:hAnsi="Cambria"/>
                <w:color w:val="000000"/>
                <w:sz w:val="16"/>
                <w:szCs w:val="16"/>
              </w:rPr>
              <w:t>Величина коэффициента вариации</w:t>
            </w:r>
          </w:p>
        </w:tc>
        <w:tc>
          <w:tcPr>
            <w:tcW w:w="4105" w:type="pct"/>
            <w:gridSpan w:val="5"/>
            <w:shd w:val="clear" w:color="auto" w:fill="auto"/>
            <w:noWrap/>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9,94%</w:t>
            </w:r>
          </w:p>
        </w:tc>
      </w:tr>
      <w:tr w:rsidR="00390688" w:rsidRPr="00BF325B" w:rsidTr="00BF325B">
        <w:trPr>
          <w:cantSplit/>
          <w:trHeight w:val="170"/>
        </w:trPr>
        <w:tc>
          <w:tcPr>
            <w:tcW w:w="895" w:type="pct"/>
            <w:shd w:val="clear" w:color="auto" w:fill="auto"/>
            <w:vAlign w:val="center"/>
            <w:hideMark/>
          </w:tcPr>
          <w:p w:rsidR="00390688" w:rsidRPr="00BF325B" w:rsidRDefault="00390688" w:rsidP="00BF325B">
            <w:pPr>
              <w:rPr>
                <w:rFonts w:ascii="Cambria" w:hAnsi="Cambria"/>
                <w:color w:val="000000"/>
                <w:sz w:val="16"/>
                <w:szCs w:val="16"/>
              </w:rPr>
            </w:pPr>
            <w:r w:rsidRPr="00BF325B">
              <w:rPr>
                <w:rFonts w:ascii="Cambria" w:hAnsi="Cambria"/>
                <w:color w:val="000000"/>
                <w:sz w:val="16"/>
                <w:szCs w:val="16"/>
              </w:rPr>
              <w:t>Стандартное отклонение</w:t>
            </w:r>
          </w:p>
        </w:tc>
        <w:tc>
          <w:tcPr>
            <w:tcW w:w="4105" w:type="pct"/>
            <w:gridSpan w:val="5"/>
            <w:shd w:val="clear" w:color="auto" w:fill="auto"/>
            <w:noWrap/>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14,91</w:t>
            </w:r>
          </w:p>
        </w:tc>
      </w:tr>
      <w:tr w:rsidR="00390688" w:rsidRPr="00BF325B" w:rsidTr="00BF325B">
        <w:trPr>
          <w:cantSplit/>
          <w:trHeight w:val="170"/>
        </w:trPr>
        <w:tc>
          <w:tcPr>
            <w:tcW w:w="895" w:type="pct"/>
            <w:shd w:val="clear" w:color="auto" w:fill="auto"/>
            <w:vAlign w:val="center"/>
            <w:hideMark/>
          </w:tcPr>
          <w:p w:rsidR="00390688" w:rsidRPr="00BF325B" w:rsidRDefault="00390688" w:rsidP="00BF325B">
            <w:pPr>
              <w:rPr>
                <w:rFonts w:ascii="Cambria" w:hAnsi="Cambria"/>
                <w:color w:val="000000"/>
                <w:sz w:val="16"/>
                <w:szCs w:val="16"/>
              </w:rPr>
            </w:pPr>
            <w:r w:rsidRPr="00BF325B">
              <w:rPr>
                <w:rFonts w:ascii="Cambria" w:hAnsi="Cambria"/>
                <w:color w:val="000000"/>
                <w:sz w:val="16"/>
                <w:szCs w:val="16"/>
              </w:rPr>
              <w:t>Стандартная ошибка</w:t>
            </w:r>
          </w:p>
        </w:tc>
        <w:tc>
          <w:tcPr>
            <w:tcW w:w="4105" w:type="pct"/>
            <w:gridSpan w:val="5"/>
            <w:shd w:val="clear" w:color="auto" w:fill="auto"/>
            <w:noWrap/>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7,45</w:t>
            </w:r>
          </w:p>
        </w:tc>
      </w:tr>
      <w:tr w:rsidR="00390688" w:rsidRPr="00BF325B" w:rsidTr="00BF325B">
        <w:trPr>
          <w:cantSplit/>
          <w:trHeight w:val="170"/>
        </w:trPr>
        <w:tc>
          <w:tcPr>
            <w:tcW w:w="895" w:type="pct"/>
            <w:shd w:val="clear" w:color="auto" w:fill="auto"/>
            <w:vAlign w:val="center"/>
            <w:hideMark/>
          </w:tcPr>
          <w:p w:rsidR="00390688" w:rsidRPr="00BF325B" w:rsidRDefault="00390688" w:rsidP="00BF325B">
            <w:pPr>
              <w:rPr>
                <w:rFonts w:ascii="Cambria" w:hAnsi="Cambria"/>
                <w:color w:val="000000"/>
                <w:sz w:val="16"/>
                <w:szCs w:val="16"/>
              </w:rPr>
            </w:pPr>
            <w:r w:rsidRPr="00BF325B">
              <w:rPr>
                <w:rFonts w:ascii="Cambria" w:hAnsi="Cambria"/>
                <w:color w:val="000000"/>
                <w:sz w:val="16"/>
                <w:szCs w:val="16"/>
              </w:rPr>
              <w:t>Доверительная вероятность</w:t>
            </w:r>
          </w:p>
        </w:tc>
        <w:tc>
          <w:tcPr>
            <w:tcW w:w="4105" w:type="pct"/>
            <w:gridSpan w:val="5"/>
            <w:shd w:val="clear" w:color="auto" w:fill="auto"/>
            <w:noWrap/>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90,00%</w:t>
            </w:r>
          </w:p>
        </w:tc>
      </w:tr>
      <w:tr w:rsidR="00390688" w:rsidRPr="00BF325B" w:rsidTr="00BF325B">
        <w:trPr>
          <w:cantSplit/>
          <w:trHeight w:val="170"/>
        </w:trPr>
        <w:tc>
          <w:tcPr>
            <w:tcW w:w="895" w:type="pct"/>
            <w:shd w:val="clear" w:color="auto" w:fill="auto"/>
            <w:vAlign w:val="center"/>
            <w:hideMark/>
          </w:tcPr>
          <w:p w:rsidR="00390688" w:rsidRPr="00BF325B" w:rsidRDefault="00390688" w:rsidP="00BF325B">
            <w:pPr>
              <w:rPr>
                <w:rFonts w:ascii="Cambria" w:hAnsi="Cambria"/>
                <w:color w:val="000000"/>
                <w:sz w:val="16"/>
                <w:szCs w:val="16"/>
              </w:rPr>
            </w:pPr>
            <w:r>
              <w:rPr>
                <w:rFonts w:ascii="Cambria" w:hAnsi="Cambria"/>
                <w:color w:val="000000"/>
                <w:sz w:val="16"/>
                <w:szCs w:val="16"/>
              </w:rPr>
              <w:t>Критерий Стьюдента для выборки 4</w:t>
            </w:r>
            <w:r w:rsidRPr="00BF325B">
              <w:rPr>
                <w:rFonts w:ascii="Cambria" w:hAnsi="Cambria"/>
                <w:color w:val="000000"/>
                <w:sz w:val="16"/>
                <w:szCs w:val="16"/>
              </w:rPr>
              <w:t xml:space="preserve"> объектов и заданной доверительной вероятностью</w:t>
            </w:r>
          </w:p>
        </w:tc>
        <w:tc>
          <w:tcPr>
            <w:tcW w:w="4105" w:type="pct"/>
            <w:gridSpan w:val="5"/>
            <w:shd w:val="clear" w:color="auto" w:fill="auto"/>
            <w:noWrap/>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2,92</w:t>
            </w:r>
          </w:p>
        </w:tc>
      </w:tr>
      <w:tr w:rsidR="00390688" w:rsidRPr="00BF325B" w:rsidTr="00BF325B">
        <w:trPr>
          <w:cantSplit/>
          <w:trHeight w:val="170"/>
        </w:trPr>
        <w:tc>
          <w:tcPr>
            <w:tcW w:w="895" w:type="pct"/>
            <w:shd w:val="clear" w:color="auto" w:fill="auto"/>
            <w:vAlign w:val="center"/>
            <w:hideMark/>
          </w:tcPr>
          <w:p w:rsidR="00390688" w:rsidRPr="00BF325B" w:rsidRDefault="00390688" w:rsidP="00BF325B">
            <w:pPr>
              <w:rPr>
                <w:rFonts w:ascii="Cambria" w:hAnsi="Cambria"/>
                <w:color w:val="000000"/>
                <w:sz w:val="16"/>
                <w:szCs w:val="16"/>
              </w:rPr>
            </w:pPr>
            <w:r w:rsidRPr="00BF325B">
              <w:rPr>
                <w:rFonts w:ascii="Cambria" w:hAnsi="Cambria"/>
                <w:color w:val="000000"/>
                <w:sz w:val="16"/>
                <w:szCs w:val="16"/>
              </w:rPr>
              <w:t>Предельная ошибка</w:t>
            </w:r>
          </w:p>
        </w:tc>
        <w:tc>
          <w:tcPr>
            <w:tcW w:w="4105" w:type="pct"/>
            <w:gridSpan w:val="5"/>
            <w:shd w:val="clear" w:color="auto" w:fill="auto"/>
            <w:noWrap/>
            <w:vAlign w:val="center"/>
            <w:hideMark/>
          </w:tcPr>
          <w:p w:rsidR="00390688" w:rsidRDefault="00390688">
            <w:pPr>
              <w:jc w:val="center"/>
              <w:rPr>
                <w:rFonts w:ascii="Cambria" w:hAnsi="Cambria"/>
                <w:color w:val="000000"/>
                <w:sz w:val="16"/>
                <w:szCs w:val="16"/>
              </w:rPr>
            </w:pPr>
            <w:r>
              <w:rPr>
                <w:rFonts w:ascii="Cambria" w:hAnsi="Cambria"/>
                <w:color w:val="000000"/>
                <w:sz w:val="16"/>
                <w:szCs w:val="16"/>
              </w:rPr>
              <w:t>14,51%</w:t>
            </w:r>
          </w:p>
        </w:tc>
      </w:tr>
      <w:tr w:rsidR="00390688" w:rsidRPr="00BF325B" w:rsidTr="00BF325B">
        <w:trPr>
          <w:cantSplit/>
          <w:trHeight w:val="170"/>
        </w:trPr>
        <w:tc>
          <w:tcPr>
            <w:tcW w:w="895" w:type="pct"/>
            <w:shd w:val="clear" w:color="auto" w:fill="auto"/>
            <w:vAlign w:val="center"/>
            <w:hideMark/>
          </w:tcPr>
          <w:p w:rsidR="00390688" w:rsidRPr="00BF325B" w:rsidRDefault="00390688" w:rsidP="00BF325B">
            <w:pPr>
              <w:rPr>
                <w:rFonts w:ascii="Cambria" w:hAnsi="Cambria"/>
                <w:b/>
                <w:bCs/>
                <w:color w:val="000000"/>
                <w:sz w:val="16"/>
                <w:szCs w:val="16"/>
              </w:rPr>
            </w:pPr>
            <w:r w:rsidRPr="00BF325B">
              <w:rPr>
                <w:rFonts w:ascii="Cambria" w:hAnsi="Cambria"/>
                <w:b/>
                <w:bCs/>
                <w:color w:val="000000"/>
                <w:sz w:val="16"/>
                <w:szCs w:val="16"/>
              </w:rPr>
              <w:t xml:space="preserve">Средневзвешенное значение без НДС (округл.), руб./кв. м </w:t>
            </w:r>
          </w:p>
        </w:tc>
        <w:tc>
          <w:tcPr>
            <w:tcW w:w="4105" w:type="pct"/>
            <w:gridSpan w:val="5"/>
            <w:shd w:val="clear" w:color="auto" w:fill="auto"/>
            <w:noWrap/>
            <w:vAlign w:val="center"/>
            <w:hideMark/>
          </w:tcPr>
          <w:p w:rsidR="00390688" w:rsidRDefault="00390688">
            <w:pPr>
              <w:jc w:val="center"/>
              <w:rPr>
                <w:rFonts w:ascii="Cambria" w:hAnsi="Cambria"/>
                <w:b/>
                <w:bCs/>
                <w:color w:val="000000"/>
                <w:sz w:val="16"/>
                <w:szCs w:val="16"/>
              </w:rPr>
            </w:pPr>
            <w:r>
              <w:rPr>
                <w:rFonts w:ascii="Cambria" w:hAnsi="Cambria"/>
                <w:b/>
                <w:bCs/>
                <w:color w:val="000000"/>
                <w:sz w:val="16"/>
                <w:szCs w:val="16"/>
              </w:rPr>
              <w:t>150</w:t>
            </w:r>
          </w:p>
        </w:tc>
      </w:tr>
    </w:tbl>
    <w:p w:rsidR="006A199E" w:rsidRDefault="006A199E" w:rsidP="006A199E">
      <w:pPr>
        <w:overflowPunct w:val="0"/>
        <w:autoSpaceDE w:val="0"/>
        <w:autoSpaceDN w:val="0"/>
        <w:adjustRightInd w:val="0"/>
        <w:spacing w:before="100" w:after="100"/>
        <w:ind w:firstLine="708"/>
        <w:jc w:val="right"/>
        <w:rPr>
          <w:rFonts w:ascii="Bookman Old Style" w:hAnsi="Bookman Old Style"/>
          <w:b/>
          <w:bCs/>
          <w:sz w:val="20"/>
          <w:szCs w:val="20"/>
        </w:rPr>
      </w:pPr>
      <w:r w:rsidRPr="006A199E">
        <w:rPr>
          <w:rFonts w:ascii="Bookman Old Style" w:hAnsi="Bookman Old Style"/>
          <w:b/>
          <w:sz w:val="20"/>
          <w:szCs w:val="20"/>
        </w:rPr>
        <w:t xml:space="preserve">Таблица </w:t>
      </w:r>
      <w:r w:rsidRPr="006A199E">
        <w:rPr>
          <w:rFonts w:ascii="Bookman Old Style" w:hAnsi="Bookman Old Style"/>
          <w:b/>
          <w:bCs/>
          <w:sz w:val="20"/>
          <w:szCs w:val="20"/>
        </w:rPr>
        <w:t>5.5.2.</w:t>
      </w:r>
      <w:r>
        <w:rPr>
          <w:rFonts w:ascii="Bookman Old Style" w:hAnsi="Bookman Old Style"/>
          <w:b/>
          <w:bCs/>
          <w:sz w:val="20"/>
          <w:szCs w:val="20"/>
        </w:rPr>
        <w:t>2</w:t>
      </w:r>
      <w:r w:rsidRPr="006A199E">
        <w:rPr>
          <w:rFonts w:ascii="Bookman Old Style" w:hAnsi="Bookman Old Style"/>
          <w:b/>
          <w:sz w:val="20"/>
          <w:szCs w:val="20"/>
        </w:rPr>
        <w:t xml:space="preserve">. Расчет средней арендной ставки </w:t>
      </w:r>
      <w:r w:rsidR="00BF325B" w:rsidRPr="00BF325B">
        <w:rPr>
          <w:rFonts w:ascii="Bookman Old Style" w:hAnsi="Bookman Old Style"/>
          <w:b/>
          <w:bCs/>
          <w:sz w:val="20"/>
          <w:szCs w:val="20"/>
        </w:rPr>
        <w:t>нежилого помещения офисного назначения c диапазоном площади 300-1000 кв.м.</w:t>
      </w:r>
    </w:p>
    <w:tbl>
      <w:tblPr>
        <w:tblW w:w="51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23"/>
        <w:gridCol w:w="1632"/>
        <w:gridCol w:w="1783"/>
        <w:gridCol w:w="1822"/>
        <w:gridCol w:w="1877"/>
        <w:gridCol w:w="1703"/>
      </w:tblGrid>
      <w:tr w:rsidR="00BF325B" w:rsidRPr="00BF325B" w:rsidTr="00BF325B">
        <w:trPr>
          <w:cantSplit/>
          <w:trHeight w:val="170"/>
        </w:trPr>
        <w:tc>
          <w:tcPr>
            <w:tcW w:w="895" w:type="pct"/>
            <w:shd w:val="clear" w:color="auto" w:fill="F2F2F2" w:themeFill="background1" w:themeFillShade="F2"/>
            <w:vAlign w:val="center"/>
            <w:hideMark/>
          </w:tcPr>
          <w:p w:rsidR="00BF325B" w:rsidRPr="00BF325B" w:rsidRDefault="00BF325B" w:rsidP="00D70166">
            <w:pPr>
              <w:jc w:val="center"/>
              <w:rPr>
                <w:rFonts w:ascii="Cambria" w:hAnsi="Cambria"/>
                <w:b/>
                <w:bCs/>
                <w:color w:val="000000"/>
                <w:sz w:val="16"/>
                <w:szCs w:val="16"/>
              </w:rPr>
            </w:pPr>
            <w:r w:rsidRPr="00BF325B">
              <w:rPr>
                <w:rFonts w:ascii="Cambria" w:hAnsi="Cambria"/>
                <w:b/>
                <w:bCs/>
                <w:color w:val="000000"/>
                <w:sz w:val="16"/>
                <w:szCs w:val="16"/>
              </w:rPr>
              <w:t>Показатель</w:t>
            </w:r>
          </w:p>
        </w:tc>
        <w:tc>
          <w:tcPr>
            <w:tcW w:w="760" w:type="pct"/>
            <w:shd w:val="clear" w:color="auto" w:fill="F2F2F2" w:themeFill="background1" w:themeFillShade="F2"/>
            <w:noWrap/>
            <w:vAlign w:val="center"/>
            <w:hideMark/>
          </w:tcPr>
          <w:p w:rsidR="00BF325B" w:rsidRPr="00BF325B" w:rsidRDefault="00BF325B" w:rsidP="00D70166">
            <w:pPr>
              <w:jc w:val="center"/>
              <w:rPr>
                <w:rFonts w:ascii="Cambria" w:hAnsi="Cambria"/>
                <w:b/>
                <w:bCs/>
                <w:color w:val="000000"/>
                <w:sz w:val="16"/>
                <w:szCs w:val="16"/>
              </w:rPr>
            </w:pPr>
            <w:r w:rsidRPr="00BF325B">
              <w:rPr>
                <w:rFonts w:ascii="Cambria" w:hAnsi="Cambria"/>
                <w:b/>
                <w:bCs/>
                <w:color w:val="000000"/>
                <w:sz w:val="16"/>
                <w:szCs w:val="16"/>
              </w:rPr>
              <w:t>Объект оценки</w:t>
            </w:r>
          </w:p>
        </w:tc>
        <w:tc>
          <w:tcPr>
            <w:tcW w:w="830" w:type="pct"/>
            <w:shd w:val="clear" w:color="auto" w:fill="F2F2F2" w:themeFill="background1" w:themeFillShade="F2"/>
            <w:noWrap/>
            <w:vAlign w:val="center"/>
            <w:hideMark/>
          </w:tcPr>
          <w:p w:rsidR="00BF325B" w:rsidRPr="00BF325B" w:rsidRDefault="00BF325B" w:rsidP="00D70166">
            <w:pPr>
              <w:jc w:val="center"/>
              <w:rPr>
                <w:rFonts w:ascii="Cambria" w:hAnsi="Cambria"/>
                <w:b/>
                <w:bCs/>
                <w:color w:val="000000"/>
                <w:sz w:val="16"/>
                <w:szCs w:val="16"/>
              </w:rPr>
            </w:pPr>
            <w:r w:rsidRPr="00BF325B">
              <w:rPr>
                <w:rFonts w:ascii="Cambria" w:hAnsi="Cambria"/>
                <w:b/>
                <w:bCs/>
                <w:color w:val="000000"/>
                <w:sz w:val="16"/>
                <w:szCs w:val="16"/>
              </w:rPr>
              <w:t>Аналог 1</w:t>
            </w:r>
          </w:p>
        </w:tc>
        <w:tc>
          <w:tcPr>
            <w:tcW w:w="848" w:type="pct"/>
            <w:shd w:val="clear" w:color="auto" w:fill="F2F2F2" w:themeFill="background1" w:themeFillShade="F2"/>
            <w:noWrap/>
            <w:vAlign w:val="center"/>
            <w:hideMark/>
          </w:tcPr>
          <w:p w:rsidR="00BF325B" w:rsidRPr="00BF325B" w:rsidRDefault="00BF325B" w:rsidP="00D70166">
            <w:pPr>
              <w:jc w:val="center"/>
              <w:rPr>
                <w:rFonts w:ascii="Cambria" w:hAnsi="Cambria"/>
                <w:b/>
                <w:bCs/>
                <w:color w:val="000000"/>
                <w:sz w:val="16"/>
                <w:szCs w:val="16"/>
              </w:rPr>
            </w:pPr>
            <w:r w:rsidRPr="00BF325B">
              <w:rPr>
                <w:rFonts w:ascii="Cambria" w:hAnsi="Cambria"/>
                <w:b/>
                <w:bCs/>
                <w:color w:val="000000"/>
                <w:sz w:val="16"/>
                <w:szCs w:val="16"/>
              </w:rPr>
              <w:t>Аналог 2</w:t>
            </w:r>
          </w:p>
        </w:tc>
        <w:tc>
          <w:tcPr>
            <w:tcW w:w="874" w:type="pct"/>
            <w:shd w:val="clear" w:color="auto" w:fill="F2F2F2" w:themeFill="background1" w:themeFillShade="F2"/>
            <w:noWrap/>
            <w:vAlign w:val="center"/>
            <w:hideMark/>
          </w:tcPr>
          <w:p w:rsidR="00BF325B" w:rsidRPr="00BF325B" w:rsidRDefault="00BF325B" w:rsidP="00D70166">
            <w:pPr>
              <w:jc w:val="center"/>
              <w:rPr>
                <w:rFonts w:ascii="Cambria" w:hAnsi="Cambria"/>
                <w:b/>
                <w:bCs/>
                <w:color w:val="000000"/>
                <w:sz w:val="16"/>
                <w:szCs w:val="16"/>
              </w:rPr>
            </w:pPr>
            <w:r w:rsidRPr="00BF325B">
              <w:rPr>
                <w:rFonts w:ascii="Cambria" w:hAnsi="Cambria"/>
                <w:b/>
                <w:bCs/>
                <w:color w:val="000000"/>
                <w:sz w:val="16"/>
                <w:szCs w:val="16"/>
              </w:rPr>
              <w:t>Аналог 3</w:t>
            </w:r>
          </w:p>
        </w:tc>
        <w:tc>
          <w:tcPr>
            <w:tcW w:w="793" w:type="pct"/>
            <w:shd w:val="clear" w:color="auto" w:fill="F2F2F2" w:themeFill="background1" w:themeFillShade="F2"/>
            <w:noWrap/>
            <w:vAlign w:val="center"/>
            <w:hideMark/>
          </w:tcPr>
          <w:p w:rsidR="00BF325B" w:rsidRPr="00BF325B" w:rsidRDefault="00BF325B" w:rsidP="00D70166">
            <w:pPr>
              <w:jc w:val="center"/>
              <w:rPr>
                <w:rFonts w:ascii="Cambria" w:hAnsi="Cambria"/>
                <w:b/>
                <w:bCs/>
                <w:color w:val="000000"/>
                <w:sz w:val="16"/>
                <w:szCs w:val="16"/>
              </w:rPr>
            </w:pPr>
            <w:r w:rsidRPr="00BF325B">
              <w:rPr>
                <w:rFonts w:ascii="Cambria" w:hAnsi="Cambria"/>
                <w:b/>
                <w:bCs/>
                <w:color w:val="000000"/>
                <w:sz w:val="16"/>
                <w:szCs w:val="16"/>
              </w:rPr>
              <w:t>Аналог 4</w:t>
            </w:r>
          </w:p>
        </w:tc>
      </w:tr>
      <w:tr w:rsidR="00BF325B" w:rsidRPr="00BF325B" w:rsidTr="00BF325B">
        <w:trPr>
          <w:cantSplit/>
          <w:trHeight w:val="170"/>
        </w:trPr>
        <w:tc>
          <w:tcPr>
            <w:tcW w:w="895" w:type="pct"/>
            <w:shd w:val="clear" w:color="auto" w:fill="auto"/>
            <w:vAlign w:val="center"/>
            <w:hideMark/>
          </w:tcPr>
          <w:p w:rsidR="00BF325B" w:rsidRPr="00BF325B" w:rsidRDefault="00BF325B" w:rsidP="00D70166">
            <w:pPr>
              <w:rPr>
                <w:rFonts w:ascii="Cambria" w:hAnsi="Cambria"/>
                <w:color w:val="000000"/>
                <w:sz w:val="16"/>
                <w:szCs w:val="16"/>
              </w:rPr>
            </w:pPr>
            <w:r w:rsidRPr="00BF325B">
              <w:rPr>
                <w:rFonts w:ascii="Cambria" w:hAnsi="Cambria"/>
                <w:color w:val="000000"/>
                <w:sz w:val="16"/>
                <w:szCs w:val="16"/>
              </w:rPr>
              <w:t>Источник информации</w:t>
            </w:r>
          </w:p>
        </w:tc>
        <w:tc>
          <w:tcPr>
            <w:tcW w:w="760" w:type="pct"/>
            <w:shd w:val="clear" w:color="auto" w:fill="auto"/>
            <w:noWrap/>
            <w:vAlign w:val="center"/>
            <w:hideMark/>
          </w:tcPr>
          <w:p w:rsidR="00BF325B" w:rsidRPr="00BF325B" w:rsidRDefault="00BF325B" w:rsidP="00D70166">
            <w:pPr>
              <w:jc w:val="center"/>
              <w:rPr>
                <w:rFonts w:ascii="Cambria" w:hAnsi="Cambria"/>
                <w:sz w:val="16"/>
                <w:szCs w:val="16"/>
              </w:rPr>
            </w:pPr>
            <w:r w:rsidRPr="00BF325B">
              <w:rPr>
                <w:rFonts w:ascii="Cambria" w:hAnsi="Cambria"/>
                <w:sz w:val="16"/>
                <w:szCs w:val="16"/>
              </w:rPr>
              <w:t>-</w:t>
            </w:r>
          </w:p>
        </w:tc>
        <w:tc>
          <w:tcPr>
            <w:tcW w:w="830" w:type="pct"/>
            <w:shd w:val="clear" w:color="auto" w:fill="auto"/>
            <w:vAlign w:val="center"/>
            <w:hideMark/>
          </w:tcPr>
          <w:p w:rsidR="00BF325B" w:rsidRPr="00BF325B" w:rsidRDefault="00BF325B" w:rsidP="00D70166">
            <w:pPr>
              <w:jc w:val="center"/>
              <w:rPr>
                <w:rFonts w:ascii="Cambria" w:hAnsi="Cambria"/>
                <w:sz w:val="16"/>
                <w:szCs w:val="16"/>
              </w:rPr>
            </w:pPr>
            <w:r w:rsidRPr="00BF325B">
              <w:rPr>
                <w:rFonts w:ascii="Cambria" w:hAnsi="Cambria"/>
                <w:sz w:val="16"/>
                <w:szCs w:val="16"/>
              </w:rPr>
              <w:t>Сайт бесплатных объявлений Авито</w:t>
            </w:r>
          </w:p>
        </w:tc>
        <w:tc>
          <w:tcPr>
            <w:tcW w:w="848" w:type="pct"/>
            <w:shd w:val="clear" w:color="auto" w:fill="auto"/>
            <w:vAlign w:val="center"/>
            <w:hideMark/>
          </w:tcPr>
          <w:p w:rsidR="00BF325B" w:rsidRPr="00BF325B" w:rsidRDefault="00BF325B" w:rsidP="00D70166">
            <w:pPr>
              <w:jc w:val="center"/>
              <w:rPr>
                <w:rFonts w:ascii="Cambria" w:hAnsi="Cambria"/>
                <w:sz w:val="16"/>
                <w:szCs w:val="16"/>
              </w:rPr>
            </w:pPr>
            <w:r w:rsidRPr="00BF325B">
              <w:rPr>
                <w:rFonts w:ascii="Cambria" w:hAnsi="Cambria"/>
                <w:sz w:val="16"/>
                <w:szCs w:val="16"/>
              </w:rPr>
              <w:t>Сайт бесплатных объявлений Авито</w:t>
            </w:r>
          </w:p>
        </w:tc>
        <w:tc>
          <w:tcPr>
            <w:tcW w:w="874" w:type="pct"/>
            <w:shd w:val="clear" w:color="auto" w:fill="auto"/>
            <w:vAlign w:val="center"/>
            <w:hideMark/>
          </w:tcPr>
          <w:p w:rsidR="00BF325B" w:rsidRPr="00BF325B" w:rsidRDefault="00BF325B" w:rsidP="00D70166">
            <w:pPr>
              <w:jc w:val="center"/>
              <w:rPr>
                <w:rFonts w:ascii="Cambria" w:hAnsi="Cambria"/>
                <w:sz w:val="16"/>
                <w:szCs w:val="16"/>
              </w:rPr>
            </w:pPr>
            <w:r w:rsidRPr="00BF325B">
              <w:rPr>
                <w:rFonts w:ascii="Cambria" w:hAnsi="Cambria"/>
                <w:sz w:val="16"/>
                <w:szCs w:val="16"/>
              </w:rPr>
              <w:t>Сайт бесплатных объявлений Авито</w:t>
            </w:r>
          </w:p>
        </w:tc>
        <w:tc>
          <w:tcPr>
            <w:tcW w:w="793" w:type="pct"/>
            <w:shd w:val="clear" w:color="auto" w:fill="auto"/>
            <w:vAlign w:val="center"/>
            <w:hideMark/>
          </w:tcPr>
          <w:p w:rsidR="00BF325B" w:rsidRPr="00BF325B" w:rsidRDefault="00BF325B" w:rsidP="00D70166">
            <w:pPr>
              <w:jc w:val="center"/>
              <w:rPr>
                <w:rFonts w:ascii="Cambria" w:hAnsi="Cambria"/>
                <w:sz w:val="16"/>
                <w:szCs w:val="16"/>
              </w:rPr>
            </w:pPr>
            <w:r w:rsidRPr="00BF325B">
              <w:rPr>
                <w:rFonts w:ascii="Cambria" w:hAnsi="Cambria"/>
                <w:sz w:val="16"/>
                <w:szCs w:val="16"/>
              </w:rPr>
              <w:t>Сайт бесплатных объявлений Гранта 24</w:t>
            </w:r>
          </w:p>
        </w:tc>
      </w:tr>
      <w:tr w:rsidR="00BF325B" w:rsidRPr="00BF325B" w:rsidTr="00BF325B">
        <w:trPr>
          <w:cantSplit/>
          <w:trHeight w:val="170"/>
        </w:trPr>
        <w:tc>
          <w:tcPr>
            <w:tcW w:w="895" w:type="pct"/>
            <w:shd w:val="clear" w:color="auto" w:fill="auto"/>
            <w:vAlign w:val="center"/>
            <w:hideMark/>
          </w:tcPr>
          <w:p w:rsidR="00BF325B" w:rsidRPr="00BF325B" w:rsidRDefault="00BF325B" w:rsidP="00D70166">
            <w:pPr>
              <w:rPr>
                <w:rFonts w:ascii="Cambria" w:hAnsi="Cambria"/>
                <w:sz w:val="16"/>
                <w:szCs w:val="16"/>
              </w:rPr>
            </w:pPr>
            <w:r w:rsidRPr="00BF325B">
              <w:rPr>
                <w:rFonts w:ascii="Cambria" w:hAnsi="Cambria"/>
                <w:sz w:val="16"/>
                <w:szCs w:val="16"/>
              </w:rPr>
              <w:t>Ссылка на интернет-сайт (название журнала)</w:t>
            </w:r>
          </w:p>
        </w:tc>
        <w:tc>
          <w:tcPr>
            <w:tcW w:w="760" w:type="pct"/>
            <w:shd w:val="clear" w:color="auto" w:fill="auto"/>
            <w:vAlign w:val="center"/>
            <w:hideMark/>
          </w:tcPr>
          <w:p w:rsidR="00BF325B" w:rsidRPr="00BF325B" w:rsidRDefault="00BF325B" w:rsidP="00D70166">
            <w:pPr>
              <w:jc w:val="center"/>
              <w:rPr>
                <w:rFonts w:ascii="Cambria" w:hAnsi="Cambria"/>
                <w:sz w:val="16"/>
                <w:szCs w:val="16"/>
              </w:rPr>
            </w:pPr>
            <w:r w:rsidRPr="00BF325B">
              <w:rPr>
                <w:rFonts w:ascii="Cambria" w:hAnsi="Cambria"/>
                <w:sz w:val="16"/>
                <w:szCs w:val="16"/>
              </w:rPr>
              <w:t>-</w:t>
            </w:r>
          </w:p>
        </w:tc>
        <w:tc>
          <w:tcPr>
            <w:tcW w:w="830" w:type="pct"/>
            <w:shd w:val="clear" w:color="auto" w:fill="auto"/>
            <w:vAlign w:val="center"/>
            <w:hideMark/>
          </w:tcPr>
          <w:p w:rsidR="00BF325B" w:rsidRPr="00BF325B" w:rsidRDefault="006C4CCF" w:rsidP="00D70166">
            <w:pPr>
              <w:jc w:val="center"/>
              <w:rPr>
                <w:rFonts w:ascii="Cambria" w:hAnsi="Cambria"/>
                <w:sz w:val="16"/>
                <w:szCs w:val="16"/>
                <w:u w:val="single"/>
              </w:rPr>
            </w:pPr>
            <w:hyperlink r:id="rId69" w:history="1">
              <w:r w:rsidR="00BF325B" w:rsidRPr="00BF325B">
                <w:rPr>
                  <w:rFonts w:ascii="Cambria" w:hAnsi="Cambria"/>
                  <w:sz w:val="16"/>
                  <w:szCs w:val="16"/>
                  <w:u w:val="single"/>
                </w:rPr>
                <w:t>https://www.avito.ru/</w:t>
              </w:r>
            </w:hyperlink>
          </w:p>
        </w:tc>
        <w:tc>
          <w:tcPr>
            <w:tcW w:w="848" w:type="pct"/>
            <w:shd w:val="clear" w:color="auto" w:fill="auto"/>
            <w:vAlign w:val="center"/>
            <w:hideMark/>
          </w:tcPr>
          <w:p w:rsidR="00BF325B" w:rsidRPr="00BF325B" w:rsidRDefault="006C4CCF" w:rsidP="00D70166">
            <w:pPr>
              <w:jc w:val="center"/>
              <w:rPr>
                <w:rFonts w:ascii="Cambria" w:hAnsi="Cambria"/>
                <w:sz w:val="16"/>
                <w:szCs w:val="16"/>
                <w:u w:val="single"/>
              </w:rPr>
            </w:pPr>
            <w:hyperlink r:id="rId70" w:history="1">
              <w:r w:rsidR="00BF325B" w:rsidRPr="00BF325B">
                <w:rPr>
                  <w:rFonts w:ascii="Cambria" w:hAnsi="Cambria"/>
                  <w:sz w:val="16"/>
                  <w:szCs w:val="16"/>
                  <w:u w:val="single"/>
                </w:rPr>
                <w:t>https://www.avito.ru/</w:t>
              </w:r>
            </w:hyperlink>
          </w:p>
        </w:tc>
        <w:tc>
          <w:tcPr>
            <w:tcW w:w="874" w:type="pct"/>
            <w:shd w:val="clear" w:color="auto" w:fill="auto"/>
            <w:vAlign w:val="center"/>
            <w:hideMark/>
          </w:tcPr>
          <w:p w:rsidR="00BF325B" w:rsidRPr="00BF325B" w:rsidRDefault="006C4CCF" w:rsidP="00D70166">
            <w:pPr>
              <w:jc w:val="center"/>
              <w:rPr>
                <w:rFonts w:ascii="Cambria" w:hAnsi="Cambria"/>
                <w:sz w:val="16"/>
                <w:szCs w:val="16"/>
                <w:u w:val="single"/>
              </w:rPr>
            </w:pPr>
            <w:hyperlink r:id="rId71" w:history="1">
              <w:r w:rsidR="00BF325B" w:rsidRPr="00BF325B">
                <w:rPr>
                  <w:rFonts w:ascii="Cambria" w:hAnsi="Cambria"/>
                  <w:sz w:val="16"/>
                  <w:szCs w:val="16"/>
                  <w:u w:val="single"/>
                </w:rPr>
                <w:t>https://www.avito.ru/</w:t>
              </w:r>
            </w:hyperlink>
          </w:p>
        </w:tc>
        <w:tc>
          <w:tcPr>
            <w:tcW w:w="793" w:type="pct"/>
            <w:shd w:val="clear" w:color="auto" w:fill="auto"/>
            <w:noWrap/>
            <w:vAlign w:val="center"/>
            <w:hideMark/>
          </w:tcPr>
          <w:p w:rsidR="00BF325B" w:rsidRPr="00BF325B" w:rsidRDefault="00BF325B" w:rsidP="00D70166">
            <w:pPr>
              <w:jc w:val="center"/>
              <w:rPr>
                <w:rFonts w:ascii="Cambria" w:hAnsi="Cambria"/>
                <w:sz w:val="16"/>
                <w:szCs w:val="16"/>
                <w:u w:val="single"/>
              </w:rPr>
            </w:pPr>
            <w:r w:rsidRPr="00BF325B">
              <w:rPr>
                <w:rFonts w:ascii="Cambria" w:hAnsi="Cambria"/>
                <w:sz w:val="16"/>
                <w:szCs w:val="16"/>
                <w:u w:val="single"/>
              </w:rPr>
              <w:t>http://kn.gilcom.ru/</w:t>
            </w:r>
          </w:p>
        </w:tc>
      </w:tr>
      <w:tr w:rsidR="00BF325B" w:rsidRPr="00BF325B" w:rsidTr="00BF325B">
        <w:trPr>
          <w:cantSplit/>
          <w:trHeight w:val="170"/>
        </w:trPr>
        <w:tc>
          <w:tcPr>
            <w:tcW w:w="895" w:type="pct"/>
            <w:shd w:val="clear" w:color="auto" w:fill="auto"/>
            <w:vAlign w:val="center"/>
            <w:hideMark/>
          </w:tcPr>
          <w:p w:rsidR="00BF325B" w:rsidRPr="00BF325B" w:rsidRDefault="00BF325B" w:rsidP="00D70166">
            <w:pPr>
              <w:rPr>
                <w:rFonts w:ascii="Cambria" w:hAnsi="Cambria"/>
                <w:color w:val="000000"/>
                <w:sz w:val="16"/>
                <w:szCs w:val="16"/>
              </w:rPr>
            </w:pPr>
            <w:r w:rsidRPr="00BF325B">
              <w:rPr>
                <w:rFonts w:ascii="Cambria" w:hAnsi="Cambria"/>
                <w:color w:val="000000"/>
                <w:sz w:val="16"/>
                <w:szCs w:val="16"/>
              </w:rPr>
              <w:t>Сегмент рынка</w:t>
            </w:r>
          </w:p>
        </w:tc>
        <w:tc>
          <w:tcPr>
            <w:tcW w:w="760" w:type="pct"/>
            <w:shd w:val="clear" w:color="auto" w:fill="auto"/>
            <w:vAlign w:val="center"/>
            <w:hideMark/>
          </w:tcPr>
          <w:p w:rsidR="00BF325B" w:rsidRDefault="00BF325B">
            <w:pPr>
              <w:jc w:val="center"/>
              <w:rPr>
                <w:rFonts w:ascii="Cambria" w:hAnsi="Cambria"/>
                <w:color w:val="000000"/>
                <w:sz w:val="16"/>
                <w:szCs w:val="16"/>
              </w:rPr>
            </w:pPr>
            <w:r>
              <w:rPr>
                <w:rFonts w:ascii="Cambria" w:hAnsi="Cambria"/>
                <w:color w:val="000000"/>
                <w:sz w:val="16"/>
                <w:szCs w:val="16"/>
              </w:rPr>
              <w:t>Производственно-складское помещение</w:t>
            </w:r>
          </w:p>
        </w:tc>
        <w:tc>
          <w:tcPr>
            <w:tcW w:w="830" w:type="pct"/>
            <w:shd w:val="clear" w:color="auto" w:fill="auto"/>
            <w:vAlign w:val="center"/>
            <w:hideMark/>
          </w:tcPr>
          <w:p w:rsidR="00BF325B" w:rsidRDefault="00BF325B">
            <w:pPr>
              <w:jc w:val="center"/>
              <w:rPr>
                <w:rFonts w:ascii="Cambria" w:hAnsi="Cambria"/>
                <w:color w:val="000000"/>
                <w:sz w:val="16"/>
                <w:szCs w:val="16"/>
              </w:rPr>
            </w:pPr>
            <w:r>
              <w:rPr>
                <w:rFonts w:ascii="Cambria" w:hAnsi="Cambria"/>
                <w:color w:val="000000"/>
                <w:sz w:val="16"/>
                <w:szCs w:val="16"/>
              </w:rPr>
              <w:t>Производственно-складское помещение</w:t>
            </w:r>
          </w:p>
        </w:tc>
        <w:tc>
          <w:tcPr>
            <w:tcW w:w="848" w:type="pct"/>
            <w:shd w:val="clear" w:color="auto" w:fill="auto"/>
            <w:vAlign w:val="center"/>
            <w:hideMark/>
          </w:tcPr>
          <w:p w:rsidR="00BF325B" w:rsidRDefault="00BF325B">
            <w:pPr>
              <w:jc w:val="center"/>
              <w:rPr>
                <w:rFonts w:ascii="Cambria" w:hAnsi="Cambria"/>
                <w:color w:val="000000"/>
                <w:sz w:val="16"/>
                <w:szCs w:val="16"/>
              </w:rPr>
            </w:pPr>
            <w:r>
              <w:rPr>
                <w:rFonts w:ascii="Cambria" w:hAnsi="Cambria"/>
                <w:color w:val="000000"/>
                <w:sz w:val="16"/>
                <w:szCs w:val="16"/>
              </w:rPr>
              <w:t>Производственно-складское помещение</w:t>
            </w:r>
          </w:p>
        </w:tc>
        <w:tc>
          <w:tcPr>
            <w:tcW w:w="874" w:type="pct"/>
            <w:shd w:val="clear" w:color="auto" w:fill="auto"/>
            <w:vAlign w:val="center"/>
            <w:hideMark/>
          </w:tcPr>
          <w:p w:rsidR="00BF325B" w:rsidRDefault="00BF325B">
            <w:pPr>
              <w:jc w:val="center"/>
              <w:rPr>
                <w:rFonts w:ascii="Cambria" w:hAnsi="Cambria"/>
                <w:color w:val="000000"/>
                <w:sz w:val="16"/>
                <w:szCs w:val="16"/>
              </w:rPr>
            </w:pPr>
            <w:r>
              <w:rPr>
                <w:rFonts w:ascii="Cambria" w:hAnsi="Cambria"/>
                <w:color w:val="000000"/>
                <w:sz w:val="16"/>
                <w:szCs w:val="16"/>
              </w:rPr>
              <w:t>Производственно-складское помещение</w:t>
            </w:r>
          </w:p>
        </w:tc>
        <w:tc>
          <w:tcPr>
            <w:tcW w:w="793" w:type="pct"/>
            <w:shd w:val="clear" w:color="auto" w:fill="auto"/>
            <w:vAlign w:val="center"/>
            <w:hideMark/>
          </w:tcPr>
          <w:p w:rsidR="00BF325B" w:rsidRDefault="00BF325B">
            <w:pPr>
              <w:jc w:val="center"/>
              <w:rPr>
                <w:rFonts w:ascii="Cambria" w:hAnsi="Cambria"/>
                <w:color w:val="000000"/>
                <w:sz w:val="16"/>
                <w:szCs w:val="16"/>
              </w:rPr>
            </w:pPr>
            <w:r>
              <w:rPr>
                <w:rFonts w:ascii="Cambria" w:hAnsi="Cambria"/>
                <w:color w:val="000000"/>
                <w:sz w:val="16"/>
                <w:szCs w:val="16"/>
              </w:rPr>
              <w:t>Производственно-складское помещение</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Площадь, кв.м.</w:t>
            </w:r>
          </w:p>
        </w:tc>
        <w:tc>
          <w:tcPr>
            <w:tcW w:w="760"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445,4</w:t>
            </w:r>
          </w:p>
        </w:tc>
        <w:tc>
          <w:tcPr>
            <w:tcW w:w="830"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160,0</w:t>
            </w:r>
          </w:p>
        </w:tc>
        <w:tc>
          <w:tcPr>
            <w:tcW w:w="848"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100,000</w:t>
            </w:r>
          </w:p>
        </w:tc>
        <w:tc>
          <w:tcPr>
            <w:tcW w:w="874"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150</w:t>
            </w:r>
          </w:p>
        </w:tc>
        <w:tc>
          <w:tcPr>
            <w:tcW w:w="793"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500</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Цена, руб/кв. м</w:t>
            </w:r>
          </w:p>
        </w:tc>
        <w:tc>
          <w:tcPr>
            <w:tcW w:w="760"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w:t>
            </w:r>
          </w:p>
        </w:tc>
        <w:tc>
          <w:tcPr>
            <w:tcW w:w="830"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220,00</w:t>
            </w:r>
          </w:p>
        </w:tc>
        <w:tc>
          <w:tcPr>
            <w:tcW w:w="848" w:type="pct"/>
            <w:shd w:val="clear" w:color="auto" w:fill="auto"/>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200</w:t>
            </w:r>
          </w:p>
        </w:tc>
        <w:tc>
          <w:tcPr>
            <w:tcW w:w="874"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167</w:t>
            </w:r>
          </w:p>
        </w:tc>
        <w:tc>
          <w:tcPr>
            <w:tcW w:w="793"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180</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Платежный период</w:t>
            </w:r>
          </w:p>
        </w:tc>
        <w:tc>
          <w:tcPr>
            <w:tcW w:w="760"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1 месяц</w:t>
            </w:r>
          </w:p>
        </w:tc>
        <w:tc>
          <w:tcPr>
            <w:tcW w:w="830"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1 месяц</w:t>
            </w:r>
          </w:p>
        </w:tc>
        <w:tc>
          <w:tcPr>
            <w:tcW w:w="848"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1 месяц</w:t>
            </w:r>
          </w:p>
        </w:tc>
        <w:tc>
          <w:tcPr>
            <w:tcW w:w="874"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1 месяц</w:t>
            </w:r>
          </w:p>
        </w:tc>
        <w:tc>
          <w:tcPr>
            <w:tcW w:w="793"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1 месяц</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Передаваемые права</w:t>
            </w:r>
          </w:p>
        </w:tc>
        <w:tc>
          <w:tcPr>
            <w:tcW w:w="760"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право аренды</w:t>
            </w:r>
          </w:p>
        </w:tc>
        <w:tc>
          <w:tcPr>
            <w:tcW w:w="830"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право аренды</w:t>
            </w:r>
          </w:p>
        </w:tc>
        <w:tc>
          <w:tcPr>
            <w:tcW w:w="848"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право аренды</w:t>
            </w:r>
          </w:p>
        </w:tc>
        <w:tc>
          <w:tcPr>
            <w:tcW w:w="874"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право аренды</w:t>
            </w:r>
          </w:p>
        </w:tc>
        <w:tc>
          <w:tcPr>
            <w:tcW w:w="793"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право аренды</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Корректировка</w:t>
            </w:r>
          </w:p>
        </w:tc>
        <w:tc>
          <w:tcPr>
            <w:tcW w:w="760"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w:t>
            </w:r>
          </w:p>
        </w:tc>
        <w:tc>
          <w:tcPr>
            <w:tcW w:w="830"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0,00%</w:t>
            </w:r>
          </w:p>
        </w:tc>
        <w:tc>
          <w:tcPr>
            <w:tcW w:w="848"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0,00%</w:t>
            </w:r>
          </w:p>
        </w:tc>
        <w:tc>
          <w:tcPr>
            <w:tcW w:w="874"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0,00%</w:t>
            </w:r>
          </w:p>
        </w:tc>
        <w:tc>
          <w:tcPr>
            <w:tcW w:w="793"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0,00%</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Скорректированная цена, руб/кв. м</w:t>
            </w:r>
          </w:p>
        </w:tc>
        <w:tc>
          <w:tcPr>
            <w:tcW w:w="760"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w:t>
            </w:r>
          </w:p>
        </w:tc>
        <w:tc>
          <w:tcPr>
            <w:tcW w:w="830"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220,00</w:t>
            </w:r>
          </w:p>
        </w:tc>
        <w:tc>
          <w:tcPr>
            <w:tcW w:w="848"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200,00</w:t>
            </w:r>
          </w:p>
        </w:tc>
        <w:tc>
          <w:tcPr>
            <w:tcW w:w="874"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167,00</w:t>
            </w:r>
          </w:p>
        </w:tc>
        <w:tc>
          <w:tcPr>
            <w:tcW w:w="793"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180,00</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lastRenderedPageBreak/>
              <w:t>Условия финансирования</w:t>
            </w:r>
          </w:p>
        </w:tc>
        <w:tc>
          <w:tcPr>
            <w:tcW w:w="760"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единовременный месячный платеж</w:t>
            </w:r>
          </w:p>
        </w:tc>
        <w:tc>
          <w:tcPr>
            <w:tcW w:w="830"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единовременный месячный платеж</w:t>
            </w:r>
          </w:p>
        </w:tc>
        <w:tc>
          <w:tcPr>
            <w:tcW w:w="848"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единовременный месячный платеж</w:t>
            </w:r>
          </w:p>
        </w:tc>
        <w:tc>
          <w:tcPr>
            <w:tcW w:w="874"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единовременный месячный платеж</w:t>
            </w:r>
          </w:p>
        </w:tc>
        <w:tc>
          <w:tcPr>
            <w:tcW w:w="793"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единовременный месячный платеж</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Корректировка</w:t>
            </w:r>
          </w:p>
        </w:tc>
        <w:tc>
          <w:tcPr>
            <w:tcW w:w="760"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w:t>
            </w:r>
          </w:p>
        </w:tc>
        <w:tc>
          <w:tcPr>
            <w:tcW w:w="830"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0,00%</w:t>
            </w:r>
          </w:p>
        </w:tc>
        <w:tc>
          <w:tcPr>
            <w:tcW w:w="848"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0,00%</w:t>
            </w:r>
          </w:p>
        </w:tc>
        <w:tc>
          <w:tcPr>
            <w:tcW w:w="874"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0,00%</w:t>
            </w:r>
          </w:p>
        </w:tc>
        <w:tc>
          <w:tcPr>
            <w:tcW w:w="793"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0,00%</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Скорректированная цена, руб/кв. м</w:t>
            </w:r>
          </w:p>
        </w:tc>
        <w:tc>
          <w:tcPr>
            <w:tcW w:w="760"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w:t>
            </w:r>
          </w:p>
        </w:tc>
        <w:tc>
          <w:tcPr>
            <w:tcW w:w="830"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220,00</w:t>
            </w:r>
          </w:p>
        </w:tc>
        <w:tc>
          <w:tcPr>
            <w:tcW w:w="848"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200,00</w:t>
            </w:r>
          </w:p>
        </w:tc>
        <w:tc>
          <w:tcPr>
            <w:tcW w:w="874"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167,00</w:t>
            </w:r>
          </w:p>
        </w:tc>
        <w:tc>
          <w:tcPr>
            <w:tcW w:w="793"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180,00</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НДС</w:t>
            </w:r>
          </w:p>
        </w:tc>
        <w:tc>
          <w:tcPr>
            <w:tcW w:w="760"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НДС учтен</w:t>
            </w:r>
          </w:p>
        </w:tc>
        <w:tc>
          <w:tcPr>
            <w:tcW w:w="830"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НДС учтен</w:t>
            </w:r>
          </w:p>
        </w:tc>
        <w:tc>
          <w:tcPr>
            <w:tcW w:w="848"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НДС учтен</w:t>
            </w:r>
          </w:p>
        </w:tc>
        <w:tc>
          <w:tcPr>
            <w:tcW w:w="874"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НДС учтен</w:t>
            </w:r>
          </w:p>
        </w:tc>
        <w:tc>
          <w:tcPr>
            <w:tcW w:w="793"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НДС учтен</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 xml:space="preserve">Корректировка </w:t>
            </w:r>
          </w:p>
        </w:tc>
        <w:tc>
          <w:tcPr>
            <w:tcW w:w="760"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w:t>
            </w:r>
          </w:p>
        </w:tc>
        <w:tc>
          <w:tcPr>
            <w:tcW w:w="830"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0,000%</w:t>
            </w:r>
          </w:p>
        </w:tc>
        <w:tc>
          <w:tcPr>
            <w:tcW w:w="848"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0,000%</w:t>
            </w:r>
          </w:p>
        </w:tc>
        <w:tc>
          <w:tcPr>
            <w:tcW w:w="874"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0,000%</w:t>
            </w:r>
          </w:p>
        </w:tc>
        <w:tc>
          <w:tcPr>
            <w:tcW w:w="793"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0,000%</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Скорректированная цена, руб/кв. м</w:t>
            </w:r>
          </w:p>
        </w:tc>
        <w:tc>
          <w:tcPr>
            <w:tcW w:w="760"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 </w:t>
            </w:r>
          </w:p>
        </w:tc>
        <w:tc>
          <w:tcPr>
            <w:tcW w:w="830"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220,00</w:t>
            </w:r>
          </w:p>
        </w:tc>
        <w:tc>
          <w:tcPr>
            <w:tcW w:w="848"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200,00</w:t>
            </w:r>
          </w:p>
        </w:tc>
        <w:tc>
          <w:tcPr>
            <w:tcW w:w="874"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167,00</w:t>
            </w:r>
          </w:p>
        </w:tc>
        <w:tc>
          <w:tcPr>
            <w:tcW w:w="793"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180,00</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Поправка на торг</w:t>
            </w:r>
          </w:p>
        </w:tc>
        <w:tc>
          <w:tcPr>
            <w:tcW w:w="760"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w:t>
            </w:r>
          </w:p>
        </w:tc>
        <w:tc>
          <w:tcPr>
            <w:tcW w:w="830"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торг возможен</w:t>
            </w:r>
          </w:p>
        </w:tc>
        <w:tc>
          <w:tcPr>
            <w:tcW w:w="848"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торг возможен</w:t>
            </w:r>
          </w:p>
        </w:tc>
        <w:tc>
          <w:tcPr>
            <w:tcW w:w="874"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торг возможен</w:t>
            </w:r>
          </w:p>
        </w:tc>
        <w:tc>
          <w:tcPr>
            <w:tcW w:w="793"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торг возможен</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Корректировка</w:t>
            </w:r>
          </w:p>
        </w:tc>
        <w:tc>
          <w:tcPr>
            <w:tcW w:w="760"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w:t>
            </w:r>
          </w:p>
        </w:tc>
        <w:tc>
          <w:tcPr>
            <w:tcW w:w="830"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-9,00%</w:t>
            </w:r>
          </w:p>
        </w:tc>
        <w:tc>
          <w:tcPr>
            <w:tcW w:w="848"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-9,00%</w:t>
            </w:r>
          </w:p>
        </w:tc>
        <w:tc>
          <w:tcPr>
            <w:tcW w:w="874"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-9,00%</w:t>
            </w:r>
          </w:p>
        </w:tc>
        <w:tc>
          <w:tcPr>
            <w:tcW w:w="793"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-9,00%</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Скорректированная цена, руб/кв. м</w:t>
            </w:r>
          </w:p>
        </w:tc>
        <w:tc>
          <w:tcPr>
            <w:tcW w:w="760"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 </w:t>
            </w:r>
          </w:p>
        </w:tc>
        <w:tc>
          <w:tcPr>
            <w:tcW w:w="830"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200,20</w:t>
            </w:r>
          </w:p>
        </w:tc>
        <w:tc>
          <w:tcPr>
            <w:tcW w:w="848"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182,00</w:t>
            </w:r>
          </w:p>
        </w:tc>
        <w:tc>
          <w:tcPr>
            <w:tcW w:w="874"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151,97</w:t>
            </w:r>
          </w:p>
        </w:tc>
        <w:tc>
          <w:tcPr>
            <w:tcW w:w="793"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163,80</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Дата предложения/продажи</w:t>
            </w:r>
          </w:p>
        </w:tc>
        <w:tc>
          <w:tcPr>
            <w:tcW w:w="760"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Август 2016</w:t>
            </w:r>
          </w:p>
        </w:tc>
        <w:tc>
          <w:tcPr>
            <w:tcW w:w="830"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Август 2016</w:t>
            </w:r>
          </w:p>
        </w:tc>
        <w:tc>
          <w:tcPr>
            <w:tcW w:w="848"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Август 2016</w:t>
            </w:r>
          </w:p>
        </w:tc>
        <w:tc>
          <w:tcPr>
            <w:tcW w:w="874"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Август 2016</w:t>
            </w:r>
          </w:p>
        </w:tc>
        <w:tc>
          <w:tcPr>
            <w:tcW w:w="793"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Август 2016</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Корректировка</w:t>
            </w:r>
          </w:p>
        </w:tc>
        <w:tc>
          <w:tcPr>
            <w:tcW w:w="760"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w:t>
            </w:r>
          </w:p>
        </w:tc>
        <w:tc>
          <w:tcPr>
            <w:tcW w:w="830"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0,00%</w:t>
            </w:r>
          </w:p>
        </w:tc>
        <w:tc>
          <w:tcPr>
            <w:tcW w:w="848"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0,00%</w:t>
            </w:r>
          </w:p>
        </w:tc>
        <w:tc>
          <w:tcPr>
            <w:tcW w:w="874"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0,00%</w:t>
            </w:r>
          </w:p>
        </w:tc>
        <w:tc>
          <w:tcPr>
            <w:tcW w:w="793"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0,00%</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Скорректированная цена, руб/кв. м</w:t>
            </w:r>
          </w:p>
        </w:tc>
        <w:tc>
          <w:tcPr>
            <w:tcW w:w="760"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w:t>
            </w:r>
          </w:p>
        </w:tc>
        <w:tc>
          <w:tcPr>
            <w:tcW w:w="830"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200,20</w:t>
            </w:r>
          </w:p>
        </w:tc>
        <w:tc>
          <w:tcPr>
            <w:tcW w:w="848"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182,00</w:t>
            </w:r>
          </w:p>
        </w:tc>
        <w:tc>
          <w:tcPr>
            <w:tcW w:w="874"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151,97</w:t>
            </w:r>
          </w:p>
        </w:tc>
        <w:tc>
          <w:tcPr>
            <w:tcW w:w="793"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163,80</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i/>
                <w:iCs/>
                <w:color w:val="000000"/>
                <w:sz w:val="16"/>
                <w:szCs w:val="16"/>
              </w:rPr>
            </w:pPr>
            <w:r w:rsidRPr="00BF325B">
              <w:rPr>
                <w:rFonts w:ascii="Cambria" w:hAnsi="Cambria"/>
                <w:i/>
                <w:iCs/>
                <w:color w:val="000000"/>
                <w:sz w:val="16"/>
                <w:szCs w:val="16"/>
              </w:rPr>
              <w:t>Вид использования</w:t>
            </w:r>
          </w:p>
        </w:tc>
        <w:tc>
          <w:tcPr>
            <w:tcW w:w="760"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АДМ</w:t>
            </w:r>
          </w:p>
        </w:tc>
        <w:tc>
          <w:tcPr>
            <w:tcW w:w="830"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ПСН</w:t>
            </w:r>
          </w:p>
        </w:tc>
        <w:tc>
          <w:tcPr>
            <w:tcW w:w="848"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ПСН</w:t>
            </w:r>
          </w:p>
        </w:tc>
        <w:tc>
          <w:tcPr>
            <w:tcW w:w="874"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ПСН</w:t>
            </w:r>
          </w:p>
        </w:tc>
        <w:tc>
          <w:tcPr>
            <w:tcW w:w="793"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ПСН</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sz w:val="16"/>
                <w:szCs w:val="16"/>
              </w:rPr>
            </w:pPr>
            <w:r w:rsidRPr="00BF325B">
              <w:rPr>
                <w:rFonts w:ascii="Cambria" w:hAnsi="Cambria"/>
                <w:sz w:val="16"/>
                <w:szCs w:val="16"/>
              </w:rPr>
              <w:t>Корректировка</w:t>
            </w:r>
          </w:p>
        </w:tc>
        <w:tc>
          <w:tcPr>
            <w:tcW w:w="760"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 </w:t>
            </w:r>
          </w:p>
        </w:tc>
        <w:tc>
          <w:tcPr>
            <w:tcW w:w="830"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1,69</w:t>
            </w:r>
          </w:p>
        </w:tc>
        <w:tc>
          <w:tcPr>
            <w:tcW w:w="848"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1,69</w:t>
            </w:r>
          </w:p>
        </w:tc>
        <w:tc>
          <w:tcPr>
            <w:tcW w:w="874"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1,69</w:t>
            </w:r>
          </w:p>
        </w:tc>
        <w:tc>
          <w:tcPr>
            <w:tcW w:w="793"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1,69</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b/>
                <w:bCs/>
                <w:sz w:val="16"/>
                <w:szCs w:val="16"/>
              </w:rPr>
            </w:pPr>
            <w:r w:rsidRPr="00BF325B">
              <w:rPr>
                <w:rFonts w:ascii="Cambria" w:hAnsi="Cambria"/>
                <w:b/>
                <w:bCs/>
                <w:sz w:val="16"/>
                <w:szCs w:val="16"/>
              </w:rPr>
              <w:t>Скорректированная цена, руб. кв.м.</w:t>
            </w:r>
          </w:p>
        </w:tc>
        <w:tc>
          <w:tcPr>
            <w:tcW w:w="760" w:type="pct"/>
            <w:shd w:val="clear" w:color="auto" w:fill="auto"/>
            <w:vAlign w:val="center"/>
            <w:hideMark/>
          </w:tcPr>
          <w:p w:rsidR="006568BA" w:rsidRDefault="006568BA">
            <w:pPr>
              <w:rPr>
                <w:rFonts w:ascii="Cambria" w:hAnsi="Cambria"/>
                <w:color w:val="000000"/>
                <w:sz w:val="16"/>
                <w:szCs w:val="16"/>
              </w:rPr>
            </w:pPr>
            <w:r>
              <w:rPr>
                <w:rFonts w:ascii="Cambria" w:hAnsi="Cambria"/>
                <w:color w:val="000000"/>
                <w:sz w:val="16"/>
                <w:szCs w:val="16"/>
              </w:rPr>
              <w:t> </w:t>
            </w:r>
          </w:p>
        </w:tc>
        <w:tc>
          <w:tcPr>
            <w:tcW w:w="830" w:type="pct"/>
            <w:shd w:val="clear" w:color="auto" w:fill="auto"/>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338,34</w:t>
            </w:r>
          </w:p>
        </w:tc>
        <w:tc>
          <w:tcPr>
            <w:tcW w:w="848" w:type="pct"/>
            <w:shd w:val="clear" w:color="auto" w:fill="auto"/>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307,58</w:t>
            </w:r>
          </w:p>
        </w:tc>
        <w:tc>
          <w:tcPr>
            <w:tcW w:w="874" w:type="pct"/>
            <w:shd w:val="clear" w:color="auto" w:fill="auto"/>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256,83</w:t>
            </w:r>
          </w:p>
        </w:tc>
        <w:tc>
          <w:tcPr>
            <w:tcW w:w="793" w:type="pct"/>
            <w:shd w:val="clear" w:color="auto" w:fill="auto"/>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276,82</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Значение сегмента</w:t>
            </w:r>
          </w:p>
        </w:tc>
        <w:tc>
          <w:tcPr>
            <w:tcW w:w="760" w:type="pct"/>
            <w:shd w:val="clear" w:color="auto" w:fill="auto"/>
            <w:noWrap/>
            <w:vAlign w:val="center"/>
            <w:hideMark/>
          </w:tcPr>
          <w:p w:rsidR="006568BA" w:rsidRDefault="006568BA">
            <w:pPr>
              <w:jc w:val="center"/>
              <w:rPr>
                <w:rFonts w:ascii="Cambria" w:hAnsi="Cambria"/>
                <w:sz w:val="16"/>
                <w:szCs w:val="16"/>
              </w:rPr>
            </w:pPr>
            <w:r>
              <w:rPr>
                <w:rFonts w:ascii="Cambria" w:hAnsi="Cambria"/>
                <w:sz w:val="16"/>
                <w:szCs w:val="16"/>
              </w:rPr>
              <w:t>300-1000 кв.м.</w:t>
            </w:r>
          </w:p>
        </w:tc>
        <w:tc>
          <w:tcPr>
            <w:tcW w:w="830"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100-300 кв.м.</w:t>
            </w:r>
          </w:p>
        </w:tc>
        <w:tc>
          <w:tcPr>
            <w:tcW w:w="848"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100-300 кв.м.</w:t>
            </w:r>
          </w:p>
        </w:tc>
        <w:tc>
          <w:tcPr>
            <w:tcW w:w="874"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100-300 кв.м.</w:t>
            </w:r>
          </w:p>
        </w:tc>
        <w:tc>
          <w:tcPr>
            <w:tcW w:w="793"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300-1000кв.м.</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Корректировка</w:t>
            </w:r>
          </w:p>
        </w:tc>
        <w:tc>
          <w:tcPr>
            <w:tcW w:w="760"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 </w:t>
            </w:r>
          </w:p>
        </w:tc>
        <w:tc>
          <w:tcPr>
            <w:tcW w:w="830"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-7,0%</w:t>
            </w:r>
          </w:p>
        </w:tc>
        <w:tc>
          <w:tcPr>
            <w:tcW w:w="848"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-7,0%</w:t>
            </w:r>
          </w:p>
        </w:tc>
        <w:tc>
          <w:tcPr>
            <w:tcW w:w="874"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-7,0%</w:t>
            </w:r>
          </w:p>
        </w:tc>
        <w:tc>
          <w:tcPr>
            <w:tcW w:w="793"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Скорректированная цена, руб/кв. м</w:t>
            </w:r>
          </w:p>
        </w:tc>
        <w:tc>
          <w:tcPr>
            <w:tcW w:w="760"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 </w:t>
            </w:r>
          </w:p>
        </w:tc>
        <w:tc>
          <w:tcPr>
            <w:tcW w:w="830" w:type="pct"/>
            <w:shd w:val="clear" w:color="auto" w:fill="auto"/>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314,65</w:t>
            </w:r>
          </w:p>
        </w:tc>
        <w:tc>
          <w:tcPr>
            <w:tcW w:w="848" w:type="pct"/>
            <w:shd w:val="clear" w:color="auto" w:fill="auto"/>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286,05</w:t>
            </w:r>
          </w:p>
        </w:tc>
        <w:tc>
          <w:tcPr>
            <w:tcW w:w="874" w:type="pct"/>
            <w:shd w:val="clear" w:color="auto" w:fill="auto"/>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238,85</w:t>
            </w:r>
          </w:p>
        </w:tc>
        <w:tc>
          <w:tcPr>
            <w:tcW w:w="793" w:type="pct"/>
            <w:shd w:val="clear" w:color="auto" w:fill="auto"/>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276,82</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Местоположение</w:t>
            </w:r>
          </w:p>
        </w:tc>
        <w:tc>
          <w:tcPr>
            <w:tcW w:w="760"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 xml:space="preserve"> Красноярск, Ленинский район, ул. Айвазовского,37а</w:t>
            </w:r>
          </w:p>
        </w:tc>
        <w:tc>
          <w:tcPr>
            <w:tcW w:w="830"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Красноярск, Ленинский район, ул. Рейдовая 68А</w:t>
            </w:r>
          </w:p>
        </w:tc>
        <w:tc>
          <w:tcPr>
            <w:tcW w:w="848"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Красноярск, Ленинский район, ул. Рейдовая 68А</w:t>
            </w:r>
          </w:p>
        </w:tc>
        <w:tc>
          <w:tcPr>
            <w:tcW w:w="874"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Красноярск, Ленинский район, ул.Энергетиков 73ас19</w:t>
            </w:r>
          </w:p>
        </w:tc>
        <w:tc>
          <w:tcPr>
            <w:tcW w:w="793"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Красноярск, Ленинский район, ул. Марии Цукановой, д. 17</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Корректировка</w:t>
            </w:r>
          </w:p>
        </w:tc>
        <w:tc>
          <w:tcPr>
            <w:tcW w:w="760"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w:t>
            </w:r>
          </w:p>
        </w:tc>
        <w:tc>
          <w:tcPr>
            <w:tcW w:w="830"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w:t>
            </w:r>
          </w:p>
        </w:tc>
        <w:tc>
          <w:tcPr>
            <w:tcW w:w="848"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w:t>
            </w:r>
          </w:p>
        </w:tc>
        <w:tc>
          <w:tcPr>
            <w:tcW w:w="874"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w:t>
            </w:r>
          </w:p>
        </w:tc>
        <w:tc>
          <w:tcPr>
            <w:tcW w:w="793"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Скорректированная цена, руб/кв. м</w:t>
            </w:r>
          </w:p>
        </w:tc>
        <w:tc>
          <w:tcPr>
            <w:tcW w:w="760" w:type="pct"/>
            <w:shd w:val="clear" w:color="auto" w:fill="auto"/>
            <w:vAlign w:val="center"/>
            <w:hideMark/>
          </w:tcPr>
          <w:p w:rsidR="006568BA" w:rsidRDefault="006568BA">
            <w:pPr>
              <w:rPr>
                <w:rFonts w:ascii="Cambria" w:hAnsi="Cambria"/>
                <w:color w:val="000000"/>
                <w:sz w:val="16"/>
                <w:szCs w:val="16"/>
              </w:rPr>
            </w:pPr>
            <w:r>
              <w:rPr>
                <w:rFonts w:ascii="Cambria" w:hAnsi="Cambria"/>
                <w:color w:val="000000"/>
                <w:sz w:val="16"/>
                <w:szCs w:val="16"/>
              </w:rPr>
              <w:t> </w:t>
            </w:r>
          </w:p>
        </w:tc>
        <w:tc>
          <w:tcPr>
            <w:tcW w:w="830" w:type="pct"/>
            <w:shd w:val="clear" w:color="auto" w:fill="auto"/>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314,65</w:t>
            </w:r>
          </w:p>
        </w:tc>
        <w:tc>
          <w:tcPr>
            <w:tcW w:w="848" w:type="pct"/>
            <w:shd w:val="clear" w:color="auto" w:fill="auto"/>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286,05</w:t>
            </w:r>
          </w:p>
        </w:tc>
        <w:tc>
          <w:tcPr>
            <w:tcW w:w="874" w:type="pct"/>
            <w:shd w:val="clear" w:color="auto" w:fill="auto"/>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238,85</w:t>
            </w:r>
          </w:p>
        </w:tc>
        <w:tc>
          <w:tcPr>
            <w:tcW w:w="793" w:type="pct"/>
            <w:shd w:val="clear" w:color="auto" w:fill="auto"/>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276,82</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Отопление</w:t>
            </w:r>
          </w:p>
        </w:tc>
        <w:tc>
          <w:tcPr>
            <w:tcW w:w="760"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Имеется</w:t>
            </w:r>
          </w:p>
        </w:tc>
        <w:tc>
          <w:tcPr>
            <w:tcW w:w="830"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Имеется</w:t>
            </w:r>
          </w:p>
        </w:tc>
        <w:tc>
          <w:tcPr>
            <w:tcW w:w="848"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Имеется</w:t>
            </w:r>
          </w:p>
        </w:tc>
        <w:tc>
          <w:tcPr>
            <w:tcW w:w="874"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Имеется</w:t>
            </w:r>
          </w:p>
        </w:tc>
        <w:tc>
          <w:tcPr>
            <w:tcW w:w="793"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Имеется</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Корректировка</w:t>
            </w:r>
          </w:p>
        </w:tc>
        <w:tc>
          <w:tcPr>
            <w:tcW w:w="760" w:type="pct"/>
            <w:shd w:val="clear" w:color="auto" w:fill="auto"/>
            <w:vAlign w:val="center"/>
            <w:hideMark/>
          </w:tcPr>
          <w:p w:rsidR="006568BA" w:rsidRDefault="006568BA">
            <w:pPr>
              <w:rPr>
                <w:rFonts w:ascii="Cambria" w:hAnsi="Cambria"/>
                <w:color w:val="000000"/>
                <w:sz w:val="16"/>
                <w:szCs w:val="16"/>
              </w:rPr>
            </w:pPr>
            <w:r>
              <w:rPr>
                <w:rFonts w:ascii="Cambria" w:hAnsi="Cambria"/>
                <w:color w:val="000000"/>
                <w:sz w:val="16"/>
                <w:szCs w:val="16"/>
              </w:rPr>
              <w:t> </w:t>
            </w:r>
          </w:p>
        </w:tc>
        <w:tc>
          <w:tcPr>
            <w:tcW w:w="830"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w:t>
            </w:r>
          </w:p>
        </w:tc>
        <w:tc>
          <w:tcPr>
            <w:tcW w:w="848"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w:t>
            </w:r>
          </w:p>
        </w:tc>
        <w:tc>
          <w:tcPr>
            <w:tcW w:w="874"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w:t>
            </w:r>
          </w:p>
        </w:tc>
        <w:tc>
          <w:tcPr>
            <w:tcW w:w="793"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Скорректированная цена, руб/кв. м</w:t>
            </w:r>
          </w:p>
        </w:tc>
        <w:tc>
          <w:tcPr>
            <w:tcW w:w="760" w:type="pct"/>
            <w:shd w:val="clear" w:color="auto" w:fill="auto"/>
            <w:vAlign w:val="center"/>
            <w:hideMark/>
          </w:tcPr>
          <w:p w:rsidR="006568BA" w:rsidRDefault="006568BA">
            <w:pPr>
              <w:rPr>
                <w:rFonts w:ascii="Cambria" w:hAnsi="Cambria"/>
                <w:color w:val="000000"/>
                <w:sz w:val="16"/>
                <w:szCs w:val="16"/>
              </w:rPr>
            </w:pPr>
            <w:r>
              <w:rPr>
                <w:rFonts w:ascii="Cambria" w:hAnsi="Cambria"/>
                <w:color w:val="000000"/>
                <w:sz w:val="16"/>
                <w:szCs w:val="16"/>
              </w:rPr>
              <w:t> </w:t>
            </w:r>
          </w:p>
        </w:tc>
        <w:tc>
          <w:tcPr>
            <w:tcW w:w="830" w:type="pct"/>
            <w:shd w:val="clear" w:color="auto" w:fill="auto"/>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314,65</w:t>
            </w:r>
          </w:p>
        </w:tc>
        <w:tc>
          <w:tcPr>
            <w:tcW w:w="848" w:type="pct"/>
            <w:shd w:val="clear" w:color="auto" w:fill="auto"/>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286,05</w:t>
            </w:r>
          </w:p>
        </w:tc>
        <w:tc>
          <w:tcPr>
            <w:tcW w:w="874" w:type="pct"/>
            <w:shd w:val="clear" w:color="auto" w:fill="auto"/>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238,85</w:t>
            </w:r>
          </w:p>
        </w:tc>
        <w:tc>
          <w:tcPr>
            <w:tcW w:w="793" w:type="pct"/>
            <w:shd w:val="clear" w:color="auto" w:fill="auto"/>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276,82</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 xml:space="preserve">Техническое состояние </w:t>
            </w:r>
          </w:p>
        </w:tc>
        <w:tc>
          <w:tcPr>
            <w:tcW w:w="760"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Удовл</w:t>
            </w:r>
          </w:p>
        </w:tc>
        <w:tc>
          <w:tcPr>
            <w:tcW w:w="830"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Удовл</w:t>
            </w:r>
          </w:p>
        </w:tc>
        <w:tc>
          <w:tcPr>
            <w:tcW w:w="848"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Удовл</w:t>
            </w:r>
          </w:p>
        </w:tc>
        <w:tc>
          <w:tcPr>
            <w:tcW w:w="874"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Неудовл</w:t>
            </w:r>
          </w:p>
        </w:tc>
        <w:tc>
          <w:tcPr>
            <w:tcW w:w="793"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Удовл</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Корректировка</w:t>
            </w:r>
          </w:p>
        </w:tc>
        <w:tc>
          <w:tcPr>
            <w:tcW w:w="760" w:type="pct"/>
            <w:shd w:val="clear" w:color="auto" w:fill="auto"/>
            <w:noWrap/>
            <w:vAlign w:val="center"/>
            <w:hideMark/>
          </w:tcPr>
          <w:p w:rsidR="006568BA" w:rsidRDefault="006568BA">
            <w:pPr>
              <w:rPr>
                <w:rFonts w:ascii="Cambria" w:hAnsi="Cambria"/>
                <w:color w:val="000000"/>
                <w:sz w:val="16"/>
                <w:szCs w:val="16"/>
              </w:rPr>
            </w:pPr>
            <w:r>
              <w:rPr>
                <w:rFonts w:ascii="Cambria" w:hAnsi="Cambria"/>
                <w:color w:val="000000"/>
                <w:sz w:val="16"/>
                <w:szCs w:val="16"/>
              </w:rPr>
              <w:t> </w:t>
            </w:r>
          </w:p>
        </w:tc>
        <w:tc>
          <w:tcPr>
            <w:tcW w:w="830"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w:t>
            </w:r>
          </w:p>
        </w:tc>
        <w:tc>
          <w:tcPr>
            <w:tcW w:w="848"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w:t>
            </w:r>
          </w:p>
        </w:tc>
        <w:tc>
          <w:tcPr>
            <w:tcW w:w="874"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26,0%</w:t>
            </w:r>
          </w:p>
        </w:tc>
        <w:tc>
          <w:tcPr>
            <w:tcW w:w="793"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Скорректированная цена, руб/кв. м</w:t>
            </w:r>
          </w:p>
        </w:tc>
        <w:tc>
          <w:tcPr>
            <w:tcW w:w="760"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w:t>
            </w:r>
          </w:p>
        </w:tc>
        <w:tc>
          <w:tcPr>
            <w:tcW w:w="830" w:type="pct"/>
            <w:shd w:val="clear" w:color="auto" w:fill="auto"/>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314,65</w:t>
            </w:r>
          </w:p>
        </w:tc>
        <w:tc>
          <w:tcPr>
            <w:tcW w:w="848" w:type="pct"/>
            <w:shd w:val="clear" w:color="auto" w:fill="auto"/>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286,05</w:t>
            </w:r>
          </w:p>
        </w:tc>
        <w:tc>
          <w:tcPr>
            <w:tcW w:w="874" w:type="pct"/>
            <w:shd w:val="clear" w:color="auto" w:fill="auto"/>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300,95</w:t>
            </w:r>
          </w:p>
        </w:tc>
        <w:tc>
          <w:tcPr>
            <w:tcW w:w="793" w:type="pct"/>
            <w:shd w:val="clear" w:color="auto" w:fill="auto"/>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276,82</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6568BA">
              <w:rPr>
                <w:rFonts w:ascii="Cambria" w:hAnsi="Cambria"/>
                <w:color w:val="000000"/>
                <w:sz w:val="16"/>
                <w:szCs w:val="16"/>
              </w:rPr>
              <w:t>Расположение относительно красной линии</w:t>
            </w:r>
          </w:p>
        </w:tc>
        <w:tc>
          <w:tcPr>
            <w:tcW w:w="760" w:type="pct"/>
            <w:shd w:val="clear" w:color="auto" w:fill="auto"/>
            <w:vAlign w:val="center"/>
            <w:hideMark/>
          </w:tcPr>
          <w:p w:rsidR="006568BA" w:rsidRDefault="006568BA">
            <w:pPr>
              <w:jc w:val="center"/>
              <w:rPr>
                <w:rFonts w:ascii="Cambria" w:hAnsi="Cambria"/>
                <w:color w:val="000000"/>
                <w:sz w:val="16"/>
                <w:szCs w:val="16"/>
              </w:rPr>
            </w:pPr>
            <w:r w:rsidRPr="006568BA">
              <w:rPr>
                <w:rFonts w:ascii="Cambria" w:hAnsi="Cambria"/>
                <w:color w:val="000000"/>
                <w:sz w:val="16"/>
                <w:szCs w:val="16"/>
              </w:rPr>
              <w:t>На красной линии</w:t>
            </w:r>
          </w:p>
        </w:tc>
        <w:tc>
          <w:tcPr>
            <w:tcW w:w="830"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Внутри квартала</w:t>
            </w:r>
          </w:p>
        </w:tc>
        <w:tc>
          <w:tcPr>
            <w:tcW w:w="848"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Внутри квартала</w:t>
            </w:r>
          </w:p>
        </w:tc>
        <w:tc>
          <w:tcPr>
            <w:tcW w:w="874"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Внутри квартала</w:t>
            </w:r>
          </w:p>
        </w:tc>
        <w:tc>
          <w:tcPr>
            <w:tcW w:w="793"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Внутри квартала</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Корректировка</w:t>
            </w:r>
          </w:p>
        </w:tc>
        <w:tc>
          <w:tcPr>
            <w:tcW w:w="760"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 </w:t>
            </w:r>
          </w:p>
        </w:tc>
        <w:tc>
          <w:tcPr>
            <w:tcW w:w="830" w:type="pct"/>
            <w:shd w:val="clear" w:color="auto" w:fill="auto"/>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26,6%</w:t>
            </w:r>
          </w:p>
        </w:tc>
        <w:tc>
          <w:tcPr>
            <w:tcW w:w="848" w:type="pct"/>
            <w:shd w:val="clear" w:color="auto" w:fill="auto"/>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26,6%</w:t>
            </w:r>
          </w:p>
        </w:tc>
        <w:tc>
          <w:tcPr>
            <w:tcW w:w="874" w:type="pct"/>
            <w:shd w:val="clear" w:color="auto" w:fill="auto"/>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26,6%</w:t>
            </w:r>
          </w:p>
        </w:tc>
        <w:tc>
          <w:tcPr>
            <w:tcW w:w="793" w:type="pct"/>
            <w:shd w:val="clear" w:color="auto" w:fill="auto"/>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26,6%</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Скорректированная цена, руб/кв. м</w:t>
            </w:r>
          </w:p>
        </w:tc>
        <w:tc>
          <w:tcPr>
            <w:tcW w:w="760"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 </w:t>
            </w:r>
          </w:p>
        </w:tc>
        <w:tc>
          <w:tcPr>
            <w:tcW w:w="830" w:type="pct"/>
            <w:shd w:val="clear" w:color="auto" w:fill="auto"/>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398,35</w:t>
            </w:r>
          </w:p>
        </w:tc>
        <w:tc>
          <w:tcPr>
            <w:tcW w:w="848" w:type="pct"/>
            <w:shd w:val="clear" w:color="auto" w:fill="auto"/>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362,14</w:t>
            </w:r>
          </w:p>
        </w:tc>
        <w:tc>
          <w:tcPr>
            <w:tcW w:w="874" w:type="pct"/>
            <w:shd w:val="clear" w:color="auto" w:fill="auto"/>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381,01</w:t>
            </w:r>
          </w:p>
        </w:tc>
        <w:tc>
          <w:tcPr>
            <w:tcW w:w="793" w:type="pct"/>
            <w:shd w:val="clear" w:color="auto" w:fill="auto"/>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350,46</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Валовая корректировка</w:t>
            </w:r>
          </w:p>
        </w:tc>
        <w:tc>
          <w:tcPr>
            <w:tcW w:w="760"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w:t>
            </w:r>
          </w:p>
        </w:tc>
        <w:tc>
          <w:tcPr>
            <w:tcW w:w="830"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42,60%</w:t>
            </w:r>
          </w:p>
        </w:tc>
        <w:tc>
          <w:tcPr>
            <w:tcW w:w="848"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42,60%</w:t>
            </w:r>
          </w:p>
        </w:tc>
        <w:tc>
          <w:tcPr>
            <w:tcW w:w="874"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68,60%</w:t>
            </w:r>
          </w:p>
        </w:tc>
        <w:tc>
          <w:tcPr>
            <w:tcW w:w="793"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35,60%</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Вес аналога</w:t>
            </w:r>
          </w:p>
        </w:tc>
        <w:tc>
          <w:tcPr>
            <w:tcW w:w="760" w:type="pct"/>
            <w:shd w:val="clear" w:color="auto" w:fill="auto"/>
            <w:noWrap/>
            <w:vAlign w:val="center"/>
            <w:hideMark/>
          </w:tcPr>
          <w:p w:rsidR="006568BA" w:rsidRDefault="006568BA">
            <w:pPr>
              <w:rPr>
                <w:rFonts w:ascii="Cambria" w:hAnsi="Cambria"/>
                <w:color w:val="000000"/>
                <w:sz w:val="16"/>
                <w:szCs w:val="16"/>
              </w:rPr>
            </w:pPr>
            <w:r>
              <w:rPr>
                <w:rFonts w:ascii="Cambria" w:hAnsi="Cambria"/>
                <w:color w:val="000000"/>
                <w:sz w:val="16"/>
                <w:szCs w:val="16"/>
              </w:rPr>
              <w:t> </w:t>
            </w:r>
          </w:p>
        </w:tc>
        <w:tc>
          <w:tcPr>
            <w:tcW w:w="830"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25,84%</w:t>
            </w:r>
          </w:p>
        </w:tc>
        <w:tc>
          <w:tcPr>
            <w:tcW w:w="848"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23,04%</w:t>
            </w:r>
          </w:p>
        </w:tc>
        <w:tc>
          <w:tcPr>
            <w:tcW w:w="874"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16,76%</w:t>
            </w:r>
          </w:p>
        </w:tc>
        <w:tc>
          <w:tcPr>
            <w:tcW w:w="793"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24,73%</w:t>
            </w:r>
          </w:p>
        </w:tc>
      </w:tr>
      <w:tr w:rsidR="006568BA" w:rsidRPr="00BF325B" w:rsidTr="00D70166">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Величина коэффициента вариации</w:t>
            </w:r>
          </w:p>
        </w:tc>
        <w:tc>
          <w:tcPr>
            <w:tcW w:w="4105" w:type="pct"/>
            <w:gridSpan w:val="5"/>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5,65%</w:t>
            </w:r>
          </w:p>
        </w:tc>
      </w:tr>
      <w:tr w:rsidR="006568BA" w:rsidRPr="00BF325B" w:rsidTr="00D70166">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Стандартное отклонение</w:t>
            </w:r>
          </w:p>
        </w:tc>
        <w:tc>
          <w:tcPr>
            <w:tcW w:w="4105" w:type="pct"/>
            <w:gridSpan w:val="5"/>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21,08</w:t>
            </w:r>
          </w:p>
        </w:tc>
      </w:tr>
      <w:tr w:rsidR="006568BA" w:rsidRPr="00BF325B" w:rsidTr="00D70166">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Стандартная ошибка</w:t>
            </w:r>
          </w:p>
        </w:tc>
        <w:tc>
          <w:tcPr>
            <w:tcW w:w="4105" w:type="pct"/>
            <w:gridSpan w:val="5"/>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10,54</w:t>
            </w:r>
          </w:p>
        </w:tc>
      </w:tr>
      <w:tr w:rsidR="006568BA" w:rsidRPr="00BF325B" w:rsidTr="00D70166">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Доверительная вероятность</w:t>
            </w:r>
          </w:p>
        </w:tc>
        <w:tc>
          <w:tcPr>
            <w:tcW w:w="4105" w:type="pct"/>
            <w:gridSpan w:val="5"/>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90,00%</w:t>
            </w:r>
          </w:p>
        </w:tc>
      </w:tr>
      <w:tr w:rsidR="006568BA" w:rsidRPr="00BF325B" w:rsidTr="00D70166">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Pr>
                <w:rFonts w:ascii="Cambria" w:hAnsi="Cambria"/>
                <w:color w:val="000000"/>
                <w:sz w:val="16"/>
                <w:szCs w:val="16"/>
              </w:rPr>
              <w:t>Критерий Стьюдента для выборки 4</w:t>
            </w:r>
            <w:r w:rsidRPr="00BF325B">
              <w:rPr>
                <w:rFonts w:ascii="Cambria" w:hAnsi="Cambria"/>
                <w:color w:val="000000"/>
                <w:sz w:val="16"/>
                <w:szCs w:val="16"/>
              </w:rPr>
              <w:t xml:space="preserve"> объектов и заданной доверительной вероятностью</w:t>
            </w:r>
          </w:p>
        </w:tc>
        <w:tc>
          <w:tcPr>
            <w:tcW w:w="4105" w:type="pct"/>
            <w:gridSpan w:val="5"/>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2,92</w:t>
            </w:r>
          </w:p>
        </w:tc>
      </w:tr>
      <w:tr w:rsidR="006568BA" w:rsidRPr="00BF325B" w:rsidTr="00D70166">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Предельная ошибка</w:t>
            </w:r>
          </w:p>
        </w:tc>
        <w:tc>
          <w:tcPr>
            <w:tcW w:w="4105" w:type="pct"/>
            <w:gridSpan w:val="5"/>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9,13%</w:t>
            </w:r>
          </w:p>
        </w:tc>
      </w:tr>
      <w:tr w:rsidR="006568BA" w:rsidRPr="00BF325B" w:rsidTr="00D70166">
        <w:trPr>
          <w:cantSplit/>
          <w:trHeight w:val="170"/>
        </w:trPr>
        <w:tc>
          <w:tcPr>
            <w:tcW w:w="895" w:type="pct"/>
            <w:shd w:val="clear" w:color="auto" w:fill="auto"/>
            <w:vAlign w:val="center"/>
            <w:hideMark/>
          </w:tcPr>
          <w:p w:rsidR="006568BA" w:rsidRPr="00BF325B" w:rsidRDefault="006568BA" w:rsidP="00D70166">
            <w:pPr>
              <w:rPr>
                <w:rFonts w:ascii="Cambria" w:hAnsi="Cambria"/>
                <w:b/>
                <w:bCs/>
                <w:color w:val="000000"/>
                <w:sz w:val="16"/>
                <w:szCs w:val="16"/>
              </w:rPr>
            </w:pPr>
            <w:r w:rsidRPr="00BF325B">
              <w:rPr>
                <w:rFonts w:ascii="Cambria" w:hAnsi="Cambria"/>
                <w:b/>
                <w:bCs/>
                <w:color w:val="000000"/>
                <w:sz w:val="16"/>
                <w:szCs w:val="16"/>
              </w:rPr>
              <w:t xml:space="preserve">Средневзвешенное значение без НДС (округл.), руб./кв. м </w:t>
            </w:r>
          </w:p>
        </w:tc>
        <w:tc>
          <w:tcPr>
            <w:tcW w:w="4105" w:type="pct"/>
            <w:gridSpan w:val="5"/>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337</w:t>
            </w:r>
          </w:p>
        </w:tc>
      </w:tr>
    </w:tbl>
    <w:p w:rsidR="00DB0AEE" w:rsidRDefault="00DB0AEE" w:rsidP="006A199E">
      <w:pPr>
        <w:overflowPunct w:val="0"/>
        <w:autoSpaceDE w:val="0"/>
        <w:autoSpaceDN w:val="0"/>
        <w:adjustRightInd w:val="0"/>
        <w:spacing w:before="100" w:after="100"/>
        <w:ind w:firstLine="708"/>
        <w:jc w:val="right"/>
        <w:rPr>
          <w:rFonts w:ascii="Bookman Old Style" w:hAnsi="Bookman Old Style"/>
          <w:b/>
          <w:sz w:val="20"/>
          <w:szCs w:val="20"/>
        </w:rPr>
      </w:pPr>
    </w:p>
    <w:p w:rsidR="00DB0AEE" w:rsidRDefault="00DB0AEE" w:rsidP="006A199E">
      <w:pPr>
        <w:overflowPunct w:val="0"/>
        <w:autoSpaceDE w:val="0"/>
        <w:autoSpaceDN w:val="0"/>
        <w:adjustRightInd w:val="0"/>
        <w:spacing w:before="100" w:after="100"/>
        <w:ind w:firstLine="708"/>
        <w:jc w:val="right"/>
        <w:rPr>
          <w:rFonts w:ascii="Bookman Old Style" w:hAnsi="Bookman Old Style"/>
          <w:b/>
          <w:sz w:val="20"/>
          <w:szCs w:val="20"/>
        </w:rPr>
      </w:pPr>
    </w:p>
    <w:p w:rsidR="00DB0AEE" w:rsidRDefault="00DB0AEE" w:rsidP="006A199E">
      <w:pPr>
        <w:overflowPunct w:val="0"/>
        <w:autoSpaceDE w:val="0"/>
        <w:autoSpaceDN w:val="0"/>
        <w:adjustRightInd w:val="0"/>
        <w:spacing w:before="100" w:after="100"/>
        <w:ind w:firstLine="708"/>
        <w:jc w:val="right"/>
        <w:rPr>
          <w:rFonts w:ascii="Bookman Old Style" w:hAnsi="Bookman Old Style"/>
          <w:b/>
          <w:sz w:val="20"/>
          <w:szCs w:val="20"/>
        </w:rPr>
      </w:pPr>
    </w:p>
    <w:p w:rsidR="00DB0AEE" w:rsidRDefault="00DB0AEE" w:rsidP="006A199E">
      <w:pPr>
        <w:overflowPunct w:val="0"/>
        <w:autoSpaceDE w:val="0"/>
        <w:autoSpaceDN w:val="0"/>
        <w:adjustRightInd w:val="0"/>
        <w:spacing w:before="100" w:after="100"/>
        <w:ind w:firstLine="708"/>
        <w:jc w:val="right"/>
        <w:rPr>
          <w:rFonts w:ascii="Bookman Old Style" w:hAnsi="Bookman Old Style"/>
          <w:b/>
          <w:sz w:val="20"/>
          <w:szCs w:val="20"/>
        </w:rPr>
      </w:pPr>
    </w:p>
    <w:p w:rsidR="00DB0AEE" w:rsidRDefault="00DB0AEE" w:rsidP="006A199E">
      <w:pPr>
        <w:overflowPunct w:val="0"/>
        <w:autoSpaceDE w:val="0"/>
        <w:autoSpaceDN w:val="0"/>
        <w:adjustRightInd w:val="0"/>
        <w:spacing w:before="100" w:after="100"/>
        <w:ind w:firstLine="708"/>
        <w:jc w:val="right"/>
        <w:rPr>
          <w:rFonts w:ascii="Bookman Old Style" w:hAnsi="Bookman Old Style"/>
          <w:b/>
          <w:sz w:val="20"/>
          <w:szCs w:val="20"/>
        </w:rPr>
      </w:pPr>
    </w:p>
    <w:p w:rsidR="006A199E" w:rsidRDefault="006A199E" w:rsidP="006A199E">
      <w:pPr>
        <w:overflowPunct w:val="0"/>
        <w:autoSpaceDE w:val="0"/>
        <w:autoSpaceDN w:val="0"/>
        <w:adjustRightInd w:val="0"/>
        <w:spacing w:before="100" w:after="100"/>
        <w:ind w:firstLine="708"/>
        <w:jc w:val="right"/>
        <w:rPr>
          <w:rFonts w:ascii="Bookman Old Style" w:hAnsi="Bookman Old Style"/>
          <w:b/>
          <w:sz w:val="20"/>
          <w:szCs w:val="20"/>
        </w:rPr>
      </w:pPr>
      <w:r w:rsidRPr="006A199E">
        <w:rPr>
          <w:rFonts w:ascii="Bookman Old Style" w:hAnsi="Bookman Old Style"/>
          <w:b/>
          <w:sz w:val="20"/>
          <w:szCs w:val="20"/>
        </w:rPr>
        <w:lastRenderedPageBreak/>
        <w:t xml:space="preserve">Таблица </w:t>
      </w:r>
      <w:r w:rsidRPr="006A199E">
        <w:rPr>
          <w:rFonts w:ascii="Bookman Old Style" w:hAnsi="Bookman Old Style"/>
          <w:b/>
          <w:bCs/>
          <w:sz w:val="20"/>
          <w:szCs w:val="20"/>
        </w:rPr>
        <w:t>5.5.2.</w:t>
      </w:r>
      <w:r>
        <w:rPr>
          <w:rFonts w:ascii="Bookman Old Style" w:hAnsi="Bookman Old Style"/>
          <w:b/>
          <w:bCs/>
          <w:sz w:val="20"/>
          <w:szCs w:val="20"/>
        </w:rPr>
        <w:t>3</w:t>
      </w:r>
      <w:r w:rsidRPr="006A199E">
        <w:rPr>
          <w:rFonts w:ascii="Bookman Old Style" w:hAnsi="Bookman Old Style"/>
          <w:b/>
          <w:sz w:val="20"/>
          <w:szCs w:val="20"/>
        </w:rPr>
        <w:t xml:space="preserve">. Расчет средней арендной </w:t>
      </w:r>
      <w:r w:rsidR="00BF325B" w:rsidRPr="00BF325B">
        <w:rPr>
          <w:rFonts w:ascii="Bookman Old Style" w:hAnsi="Bookman Old Style"/>
          <w:b/>
          <w:sz w:val="20"/>
          <w:szCs w:val="20"/>
        </w:rPr>
        <w:t>холодного склада площадью &gt;1000 кв.м.</w:t>
      </w:r>
    </w:p>
    <w:tbl>
      <w:tblPr>
        <w:tblW w:w="51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23"/>
        <w:gridCol w:w="1632"/>
        <w:gridCol w:w="1783"/>
        <w:gridCol w:w="1822"/>
        <w:gridCol w:w="1877"/>
        <w:gridCol w:w="1703"/>
      </w:tblGrid>
      <w:tr w:rsidR="00BF325B" w:rsidRPr="00BF325B" w:rsidTr="00BF325B">
        <w:trPr>
          <w:cantSplit/>
          <w:trHeight w:val="170"/>
        </w:trPr>
        <w:tc>
          <w:tcPr>
            <w:tcW w:w="895" w:type="pct"/>
            <w:shd w:val="clear" w:color="auto" w:fill="F2F2F2" w:themeFill="background1" w:themeFillShade="F2"/>
            <w:vAlign w:val="center"/>
            <w:hideMark/>
          </w:tcPr>
          <w:p w:rsidR="00BF325B" w:rsidRPr="00BF325B" w:rsidRDefault="00BF325B" w:rsidP="00D70166">
            <w:pPr>
              <w:jc w:val="center"/>
              <w:rPr>
                <w:rFonts w:ascii="Cambria" w:hAnsi="Cambria"/>
                <w:b/>
                <w:bCs/>
                <w:color w:val="000000"/>
                <w:sz w:val="16"/>
                <w:szCs w:val="16"/>
              </w:rPr>
            </w:pPr>
            <w:r w:rsidRPr="00BF325B">
              <w:rPr>
                <w:rFonts w:ascii="Cambria" w:hAnsi="Cambria"/>
                <w:b/>
                <w:bCs/>
                <w:color w:val="000000"/>
                <w:sz w:val="16"/>
                <w:szCs w:val="16"/>
              </w:rPr>
              <w:t>Показатель</w:t>
            </w:r>
          </w:p>
        </w:tc>
        <w:tc>
          <w:tcPr>
            <w:tcW w:w="760" w:type="pct"/>
            <w:shd w:val="clear" w:color="auto" w:fill="F2F2F2" w:themeFill="background1" w:themeFillShade="F2"/>
            <w:noWrap/>
            <w:vAlign w:val="center"/>
            <w:hideMark/>
          </w:tcPr>
          <w:p w:rsidR="00BF325B" w:rsidRPr="00BF325B" w:rsidRDefault="00BF325B" w:rsidP="00D70166">
            <w:pPr>
              <w:jc w:val="center"/>
              <w:rPr>
                <w:rFonts w:ascii="Cambria" w:hAnsi="Cambria"/>
                <w:b/>
                <w:bCs/>
                <w:color w:val="000000"/>
                <w:sz w:val="16"/>
                <w:szCs w:val="16"/>
              </w:rPr>
            </w:pPr>
            <w:r w:rsidRPr="00BF325B">
              <w:rPr>
                <w:rFonts w:ascii="Cambria" w:hAnsi="Cambria"/>
                <w:b/>
                <w:bCs/>
                <w:color w:val="000000"/>
                <w:sz w:val="16"/>
                <w:szCs w:val="16"/>
              </w:rPr>
              <w:t>Объект оценки</w:t>
            </w:r>
          </w:p>
        </w:tc>
        <w:tc>
          <w:tcPr>
            <w:tcW w:w="830" w:type="pct"/>
            <w:shd w:val="clear" w:color="auto" w:fill="F2F2F2" w:themeFill="background1" w:themeFillShade="F2"/>
            <w:noWrap/>
            <w:vAlign w:val="center"/>
            <w:hideMark/>
          </w:tcPr>
          <w:p w:rsidR="00BF325B" w:rsidRPr="00BF325B" w:rsidRDefault="00BF325B" w:rsidP="00D70166">
            <w:pPr>
              <w:jc w:val="center"/>
              <w:rPr>
                <w:rFonts w:ascii="Cambria" w:hAnsi="Cambria"/>
                <w:b/>
                <w:bCs/>
                <w:color w:val="000000"/>
                <w:sz w:val="16"/>
                <w:szCs w:val="16"/>
              </w:rPr>
            </w:pPr>
            <w:r w:rsidRPr="00BF325B">
              <w:rPr>
                <w:rFonts w:ascii="Cambria" w:hAnsi="Cambria"/>
                <w:b/>
                <w:bCs/>
                <w:color w:val="000000"/>
                <w:sz w:val="16"/>
                <w:szCs w:val="16"/>
              </w:rPr>
              <w:t>Аналог 1</w:t>
            </w:r>
          </w:p>
        </w:tc>
        <w:tc>
          <w:tcPr>
            <w:tcW w:w="848" w:type="pct"/>
            <w:shd w:val="clear" w:color="auto" w:fill="F2F2F2" w:themeFill="background1" w:themeFillShade="F2"/>
            <w:noWrap/>
            <w:vAlign w:val="center"/>
            <w:hideMark/>
          </w:tcPr>
          <w:p w:rsidR="00BF325B" w:rsidRPr="00BF325B" w:rsidRDefault="00BF325B" w:rsidP="00D70166">
            <w:pPr>
              <w:jc w:val="center"/>
              <w:rPr>
                <w:rFonts w:ascii="Cambria" w:hAnsi="Cambria"/>
                <w:b/>
                <w:bCs/>
                <w:color w:val="000000"/>
                <w:sz w:val="16"/>
                <w:szCs w:val="16"/>
              </w:rPr>
            </w:pPr>
            <w:r w:rsidRPr="00BF325B">
              <w:rPr>
                <w:rFonts w:ascii="Cambria" w:hAnsi="Cambria"/>
                <w:b/>
                <w:bCs/>
                <w:color w:val="000000"/>
                <w:sz w:val="16"/>
                <w:szCs w:val="16"/>
              </w:rPr>
              <w:t>Аналог 2</w:t>
            </w:r>
          </w:p>
        </w:tc>
        <w:tc>
          <w:tcPr>
            <w:tcW w:w="874" w:type="pct"/>
            <w:shd w:val="clear" w:color="auto" w:fill="F2F2F2" w:themeFill="background1" w:themeFillShade="F2"/>
            <w:noWrap/>
            <w:vAlign w:val="center"/>
            <w:hideMark/>
          </w:tcPr>
          <w:p w:rsidR="00BF325B" w:rsidRPr="00BF325B" w:rsidRDefault="00BF325B" w:rsidP="00D70166">
            <w:pPr>
              <w:jc w:val="center"/>
              <w:rPr>
                <w:rFonts w:ascii="Cambria" w:hAnsi="Cambria"/>
                <w:b/>
                <w:bCs/>
                <w:color w:val="000000"/>
                <w:sz w:val="16"/>
                <w:szCs w:val="16"/>
              </w:rPr>
            </w:pPr>
            <w:r w:rsidRPr="00BF325B">
              <w:rPr>
                <w:rFonts w:ascii="Cambria" w:hAnsi="Cambria"/>
                <w:b/>
                <w:bCs/>
                <w:color w:val="000000"/>
                <w:sz w:val="16"/>
                <w:szCs w:val="16"/>
              </w:rPr>
              <w:t>Аналог 3</w:t>
            </w:r>
          </w:p>
        </w:tc>
        <w:tc>
          <w:tcPr>
            <w:tcW w:w="793" w:type="pct"/>
            <w:shd w:val="clear" w:color="auto" w:fill="F2F2F2" w:themeFill="background1" w:themeFillShade="F2"/>
            <w:noWrap/>
            <w:vAlign w:val="center"/>
            <w:hideMark/>
          </w:tcPr>
          <w:p w:rsidR="00BF325B" w:rsidRPr="00BF325B" w:rsidRDefault="00BF325B" w:rsidP="00D70166">
            <w:pPr>
              <w:jc w:val="center"/>
              <w:rPr>
                <w:rFonts w:ascii="Cambria" w:hAnsi="Cambria"/>
                <w:b/>
                <w:bCs/>
                <w:color w:val="000000"/>
                <w:sz w:val="16"/>
                <w:szCs w:val="16"/>
              </w:rPr>
            </w:pPr>
            <w:r w:rsidRPr="00BF325B">
              <w:rPr>
                <w:rFonts w:ascii="Cambria" w:hAnsi="Cambria"/>
                <w:b/>
                <w:bCs/>
                <w:color w:val="000000"/>
                <w:sz w:val="16"/>
                <w:szCs w:val="16"/>
              </w:rPr>
              <w:t>Аналог 4</w:t>
            </w:r>
          </w:p>
        </w:tc>
      </w:tr>
      <w:tr w:rsidR="00BF325B" w:rsidRPr="00BF325B" w:rsidTr="00BF325B">
        <w:trPr>
          <w:cantSplit/>
          <w:trHeight w:val="170"/>
        </w:trPr>
        <w:tc>
          <w:tcPr>
            <w:tcW w:w="895" w:type="pct"/>
            <w:shd w:val="clear" w:color="auto" w:fill="auto"/>
            <w:vAlign w:val="center"/>
            <w:hideMark/>
          </w:tcPr>
          <w:p w:rsidR="00BF325B" w:rsidRPr="00BF325B" w:rsidRDefault="00BF325B" w:rsidP="00D70166">
            <w:pPr>
              <w:rPr>
                <w:rFonts w:ascii="Cambria" w:hAnsi="Cambria"/>
                <w:color w:val="000000"/>
                <w:sz w:val="16"/>
                <w:szCs w:val="16"/>
              </w:rPr>
            </w:pPr>
            <w:r w:rsidRPr="00BF325B">
              <w:rPr>
                <w:rFonts w:ascii="Cambria" w:hAnsi="Cambria"/>
                <w:color w:val="000000"/>
                <w:sz w:val="16"/>
                <w:szCs w:val="16"/>
              </w:rPr>
              <w:t>Источник информации</w:t>
            </w:r>
          </w:p>
        </w:tc>
        <w:tc>
          <w:tcPr>
            <w:tcW w:w="760" w:type="pct"/>
            <w:shd w:val="clear" w:color="auto" w:fill="auto"/>
            <w:noWrap/>
            <w:vAlign w:val="center"/>
            <w:hideMark/>
          </w:tcPr>
          <w:p w:rsidR="00BF325B" w:rsidRPr="00BF325B" w:rsidRDefault="00BF325B" w:rsidP="00D70166">
            <w:pPr>
              <w:jc w:val="center"/>
              <w:rPr>
                <w:rFonts w:ascii="Cambria" w:hAnsi="Cambria"/>
                <w:sz w:val="16"/>
                <w:szCs w:val="16"/>
              </w:rPr>
            </w:pPr>
            <w:r w:rsidRPr="00BF325B">
              <w:rPr>
                <w:rFonts w:ascii="Cambria" w:hAnsi="Cambria"/>
                <w:sz w:val="16"/>
                <w:szCs w:val="16"/>
              </w:rPr>
              <w:t>-</w:t>
            </w:r>
          </w:p>
        </w:tc>
        <w:tc>
          <w:tcPr>
            <w:tcW w:w="830" w:type="pct"/>
            <w:shd w:val="clear" w:color="auto" w:fill="auto"/>
            <w:vAlign w:val="center"/>
            <w:hideMark/>
          </w:tcPr>
          <w:p w:rsidR="00BF325B" w:rsidRPr="00BF325B" w:rsidRDefault="00BF325B" w:rsidP="00D70166">
            <w:pPr>
              <w:jc w:val="center"/>
              <w:rPr>
                <w:rFonts w:ascii="Cambria" w:hAnsi="Cambria"/>
                <w:sz w:val="16"/>
                <w:szCs w:val="16"/>
              </w:rPr>
            </w:pPr>
            <w:r w:rsidRPr="00BF325B">
              <w:rPr>
                <w:rFonts w:ascii="Cambria" w:hAnsi="Cambria"/>
                <w:sz w:val="16"/>
                <w:szCs w:val="16"/>
              </w:rPr>
              <w:t>Сайт бесплатных объявлений Авито</w:t>
            </w:r>
          </w:p>
        </w:tc>
        <w:tc>
          <w:tcPr>
            <w:tcW w:w="848" w:type="pct"/>
            <w:shd w:val="clear" w:color="auto" w:fill="auto"/>
            <w:vAlign w:val="center"/>
            <w:hideMark/>
          </w:tcPr>
          <w:p w:rsidR="00BF325B" w:rsidRPr="00BF325B" w:rsidRDefault="00BF325B" w:rsidP="00D70166">
            <w:pPr>
              <w:jc w:val="center"/>
              <w:rPr>
                <w:rFonts w:ascii="Cambria" w:hAnsi="Cambria"/>
                <w:sz w:val="16"/>
                <w:szCs w:val="16"/>
              </w:rPr>
            </w:pPr>
            <w:r w:rsidRPr="00BF325B">
              <w:rPr>
                <w:rFonts w:ascii="Cambria" w:hAnsi="Cambria"/>
                <w:sz w:val="16"/>
                <w:szCs w:val="16"/>
              </w:rPr>
              <w:t>Сайт бесплатных объявлений Авито</w:t>
            </w:r>
          </w:p>
        </w:tc>
        <w:tc>
          <w:tcPr>
            <w:tcW w:w="874" w:type="pct"/>
            <w:shd w:val="clear" w:color="auto" w:fill="auto"/>
            <w:vAlign w:val="center"/>
            <w:hideMark/>
          </w:tcPr>
          <w:p w:rsidR="00BF325B" w:rsidRPr="00BF325B" w:rsidRDefault="00BF325B" w:rsidP="00D70166">
            <w:pPr>
              <w:jc w:val="center"/>
              <w:rPr>
                <w:rFonts w:ascii="Cambria" w:hAnsi="Cambria"/>
                <w:sz w:val="16"/>
                <w:szCs w:val="16"/>
              </w:rPr>
            </w:pPr>
            <w:r w:rsidRPr="00BF325B">
              <w:rPr>
                <w:rFonts w:ascii="Cambria" w:hAnsi="Cambria"/>
                <w:sz w:val="16"/>
                <w:szCs w:val="16"/>
              </w:rPr>
              <w:t>Сайт бесплатных объявлений Авито</w:t>
            </w:r>
          </w:p>
        </w:tc>
        <w:tc>
          <w:tcPr>
            <w:tcW w:w="793" w:type="pct"/>
            <w:shd w:val="clear" w:color="auto" w:fill="auto"/>
            <w:vAlign w:val="center"/>
            <w:hideMark/>
          </w:tcPr>
          <w:p w:rsidR="00BF325B" w:rsidRPr="00BF325B" w:rsidRDefault="00BF325B" w:rsidP="00D70166">
            <w:pPr>
              <w:jc w:val="center"/>
              <w:rPr>
                <w:rFonts w:ascii="Cambria" w:hAnsi="Cambria"/>
                <w:sz w:val="16"/>
                <w:szCs w:val="16"/>
              </w:rPr>
            </w:pPr>
            <w:r w:rsidRPr="00BF325B">
              <w:rPr>
                <w:rFonts w:ascii="Cambria" w:hAnsi="Cambria"/>
                <w:sz w:val="16"/>
                <w:szCs w:val="16"/>
              </w:rPr>
              <w:t>Сайт бесплатных объявлений Гранта 24</w:t>
            </w:r>
          </w:p>
        </w:tc>
      </w:tr>
      <w:tr w:rsidR="00BF325B" w:rsidRPr="00BF325B" w:rsidTr="00BF325B">
        <w:trPr>
          <w:cantSplit/>
          <w:trHeight w:val="170"/>
        </w:trPr>
        <w:tc>
          <w:tcPr>
            <w:tcW w:w="895" w:type="pct"/>
            <w:shd w:val="clear" w:color="auto" w:fill="auto"/>
            <w:vAlign w:val="center"/>
            <w:hideMark/>
          </w:tcPr>
          <w:p w:rsidR="00BF325B" w:rsidRPr="00BF325B" w:rsidRDefault="00BF325B" w:rsidP="00D70166">
            <w:pPr>
              <w:rPr>
                <w:rFonts w:ascii="Cambria" w:hAnsi="Cambria"/>
                <w:sz w:val="16"/>
                <w:szCs w:val="16"/>
              </w:rPr>
            </w:pPr>
            <w:r w:rsidRPr="00BF325B">
              <w:rPr>
                <w:rFonts w:ascii="Cambria" w:hAnsi="Cambria"/>
                <w:sz w:val="16"/>
                <w:szCs w:val="16"/>
              </w:rPr>
              <w:t>Ссылка на интернет-сайт (название журнала)</w:t>
            </w:r>
          </w:p>
        </w:tc>
        <w:tc>
          <w:tcPr>
            <w:tcW w:w="760" w:type="pct"/>
            <w:shd w:val="clear" w:color="auto" w:fill="auto"/>
            <w:vAlign w:val="center"/>
            <w:hideMark/>
          </w:tcPr>
          <w:p w:rsidR="00BF325B" w:rsidRPr="00BF325B" w:rsidRDefault="00BF325B" w:rsidP="00D70166">
            <w:pPr>
              <w:jc w:val="center"/>
              <w:rPr>
                <w:rFonts w:ascii="Cambria" w:hAnsi="Cambria"/>
                <w:sz w:val="16"/>
                <w:szCs w:val="16"/>
              </w:rPr>
            </w:pPr>
            <w:r w:rsidRPr="00BF325B">
              <w:rPr>
                <w:rFonts w:ascii="Cambria" w:hAnsi="Cambria"/>
                <w:sz w:val="16"/>
                <w:szCs w:val="16"/>
              </w:rPr>
              <w:t>-</w:t>
            </w:r>
          </w:p>
        </w:tc>
        <w:tc>
          <w:tcPr>
            <w:tcW w:w="830" w:type="pct"/>
            <w:shd w:val="clear" w:color="auto" w:fill="auto"/>
            <w:vAlign w:val="center"/>
            <w:hideMark/>
          </w:tcPr>
          <w:p w:rsidR="00BF325B" w:rsidRPr="00BF325B" w:rsidRDefault="006C4CCF" w:rsidP="00D70166">
            <w:pPr>
              <w:jc w:val="center"/>
              <w:rPr>
                <w:rFonts w:ascii="Cambria" w:hAnsi="Cambria"/>
                <w:sz w:val="16"/>
                <w:szCs w:val="16"/>
                <w:u w:val="single"/>
              </w:rPr>
            </w:pPr>
            <w:hyperlink r:id="rId72" w:history="1">
              <w:r w:rsidR="00BF325B" w:rsidRPr="00BF325B">
                <w:rPr>
                  <w:rFonts w:ascii="Cambria" w:hAnsi="Cambria"/>
                  <w:sz w:val="16"/>
                  <w:szCs w:val="16"/>
                  <w:u w:val="single"/>
                </w:rPr>
                <w:t>https://www.avito.ru/</w:t>
              </w:r>
            </w:hyperlink>
          </w:p>
        </w:tc>
        <w:tc>
          <w:tcPr>
            <w:tcW w:w="848" w:type="pct"/>
            <w:shd w:val="clear" w:color="auto" w:fill="auto"/>
            <w:vAlign w:val="center"/>
            <w:hideMark/>
          </w:tcPr>
          <w:p w:rsidR="00BF325B" w:rsidRPr="00BF325B" w:rsidRDefault="006C4CCF" w:rsidP="00D70166">
            <w:pPr>
              <w:jc w:val="center"/>
              <w:rPr>
                <w:rFonts w:ascii="Cambria" w:hAnsi="Cambria"/>
                <w:sz w:val="16"/>
                <w:szCs w:val="16"/>
                <w:u w:val="single"/>
              </w:rPr>
            </w:pPr>
            <w:hyperlink r:id="rId73" w:history="1">
              <w:r w:rsidR="00BF325B" w:rsidRPr="00BF325B">
                <w:rPr>
                  <w:rFonts w:ascii="Cambria" w:hAnsi="Cambria"/>
                  <w:sz w:val="16"/>
                  <w:szCs w:val="16"/>
                  <w:u w:val="single"/>
                </w:rPr>
                <w:t>https://www.avito.ru/</w:t>
              </w:r>
            </w:hyperlink>
          </w:p>
        </w:tc>
        <w:tc>
          <w:tcPr>
            <w:tcW w:w="874" w:type="pct"/>
            <w:shd w:val="clear" w:color="auto" w:fill="auto"/>
            <w:vAlign w:val="center"/>
            <w:hideMark/>
          </w:tcPr>
          <w:p w:rsidR="00BF325B" w:rsidRPr="00BF325B" w:rsidRDefault="006C4CCF" w:rsidP="00D70166">
            <w:pPr>
              <w:jc w:val="center"/>
              <w:rPr>
                <w:rFonts w:ascii="Cambria" w:hAnsi="Cambria"/>
                <w:sz w:val="16"/>
                <w:szCs w:val="16"/>
                <w:u w:val="single"/>
              </w:rPr>
            </w:pPr>
            <w:hyperlink r:id="rId74" w:history="1">
              <w:r w:rsidR="00BF325B" w:rsidRPr="00BF325B">
                <w:rPr>
                  <w:rFonts w:ascii="Cambria" w:hAnsi="Cambria"/>
                  <w:sz w:val="16"/>
                  <w:szCs w:val="16"/>
                  <w:u w:val="single"/>
                </w:rPr>
                <w:t>https://www.avito.ru/</w:t>
              </w:r>
            </w:hyperlink>
          </w:p>
        </w:tc>
        <w:tc>
          <w:tcPr>
            <w:tcW w:w="793" w:type="pct"/>
            <w:shd w:val="clear" w:color="auto" w:fill="auto"/>
            <w:noWrap/>
            <w:vAlign w:val="center"/>
            <w:hideMark/>
          </w:tcPr>
          <w:p w:rsidR="00BF325B" w:rsidRPr="00BF325B" w:rsidRDefault="00BF325B" w:rsidP="00D70166">
            <w:pPr>
              <w:jc w:val="center"/>
              <w:rPr>
                <w:rFonts w:ascii="Cambria" w:hAnsi="Cambria"/>
                <w:sz w:val="16"/>
                <w:szCs w:val="16"/>
                <w:u w:val="single"/>
              </w:rPr>
            </w:pPr>
            <w:r w:rsidRPr="00BF325B">
              <w:rPr>
                <w:rFonts w:ascii="Cambria" w:hAnsi="Cambria"/>
                <w:sz w:val="16"/>
                <w:szCs w:val="16"/>
                <w:u w:val="single"/>
              </w:rPr>
              <w:t>http://kn.gilcom.ru/</w:t>
            </w:r>
          </w:p>
        </w:tc>
      </w:tr>
      <w:tr w:rsidR="00BF325B" w:rsidRPr="00BF325B" w:rsidTr="00BF325B">
        <w:trPr>
          <w:cantSplit/>
          <w:trHeight w:val="170"/>
        </w:trPr>
        <w:tc>
          <w:tcPr>
            <w:tcW w:w="895" w:type="pct"/>
            <w:shd w:val="clear" w:color="auto" w:fill="auto"/>
            <w:vAlign w:val="center"/>
            <w:hideMark/>
          </w:tcPr>
          <w:p w:rsidR="00BF325B" w:rsidRPr="00BF325B" w:rsidRDefault="00BF325B" w:rsidP="00D70166">
            <w:pPr>
              <w:rPr>
                <w:rFonts w:ascii="Cambria" w:hAnsi="Cambria"/>
                <w:color w:val="000000"/>
                <w:sz w:val="16"/>
                <w:szCs w:val="16"/>
              </w:rPr>
            </w:pPr>
            <w:r w:rsidRPr="00BF325B">
              <w:rPr>
                <w:rFonts w:ascii="Cambria" w:hAnsi="Cambria"/>
                <w:color w:val="000000"/>
                <w:sz w:val="16"/>
                <w:szCs w:val="16"/>
              </w:rPr>
              <w:t>Сегмент рынка</w:t>
            </w:r>
          </w:p>
        </w:tc>
        <w:tc>
          <w:tcPr>
            <w:tcW w:w="760" w:type="pct"/>
            <w:shd w:val="clear" w:color="auto" w:fill="auto"/>
            <w:vAlign w:val="center"/>
            <w:hideMark/>
          </w:tcPr>
          <w:p w:rsidR="00BF325B" w:rsidRPr="00BF325B" w:rsidRDefault="00BF325B" w:rsidP="00D70166">
            <w:pPr>
              <w:jc w:val="center"/>
              <w:rPr>
                <w:rFonts w:ascii="Cambria" w:hAnsi="Cambria"/>
                <w:color w:val="000000"/>
                <w:sz w:val="16"/>
                <w:szCs w:val="16"/>
              </w:rPr>
            </w:pPr>
            <w:r w:rsidRPr="00BF325B">
              <w:rPr>
                <w:rFonts w:ascii="Cambria" w:hAnsi="Cambria"/>
                <w:color w:val="000000"/>
                <w:sz w:val="16"/>
                <w:szCs w:val="16"/>
              </w:rPr>
              <w:t>Производственно-складское помещение</w:t>
            </w:r>
          </w:p>
        </w:tc>
        <w:tc>
          <w:tcPr>
            <w:tcW w:w="830" w:type="pct"/>
            <w:shd w:val="clear" w:color="auto" w:fill="auto"/>
            <w:vAlign w:val="center"/>
            <w:hideMark/>
          </w:tcPr>
          <w:p w:rsidR="00BF325B" w:rsidRPr="00BF325B" w:rsidRDefault="00BF325B" w:rsidP="00D70166">
            <w:pPr>
              <w:jc w:val="center"/>
              <w:rPr>
                <w:rFonts w:ascii="Cambria" w:hAnsi="Cambria"/>
                <w:color w:val="000000"/>
                <w:sz w:val="16"/>
                <w:szCs w:val="16"/>
              </w:rPr>
            </w:pPr>
            <w:r w:rsidRPr="00BF325B">
              <w:rPr>
                <w:rFonts w:ascii="Cambria" w:hAnsi="Cambria"/>
                <w:color w:val="000000"/>
                <w:sz w:val="16"/>
                <w:szCs w:val="16"/>
              </w:rPr>
              <w:t>Производственно-складское помещение</w:t>
            </w:r>
          </w:p>
        </w:tc>
        <w:tc>
          <w:tcPr>
            <w:tcW w:w="848" w:type="pct"/>
            <w:shd w:val="clear" w:color="auto" w:fill="auto"/>
            <w:vAlign w:val="center"/>
            <w:hideMark/>
          </w:tcPr>
          <w:p w:rsidR="00BF325B" w:rsidRPr="00BF325B" w:rsidRDefault="00BF325B" w:rsidP="00D70166">
            <w:pPr>
              <w:jc w:val="center"/>
              <w:rPr>
                <w:rFonts w:ascii="Cambria" w:hAnsi="Cambria"/>
                <w:color w:val="000000"/>
                <w:sz w:val="16"/>
                <w:szCs w:val="16"/>
              </w:rPr>
            </w:pPr>
            <w:r w:rsidRPr="00BF325B">
              <w:rPr>
                <w:rFonts w:ascii="Cambria" w:hAnsi="Cambria"/>
                <w:color w:val="000000"/>
                <w:sz w:val="16"/>
                <w:szCs w:val="16"/>
              </w:rPr>
              <w:t>Производственно-складское помещение</w:t>
            </w:r>
          </w:p>
        </w:tc>
        <w:tc>
          <w:tcPr>
            <w:tcW w:w="874" w:type="pct"/>
            <w:shd w:val="clear" w:color="auto" w:fill="auto"/>
            <w:vAlign w:val="center"/>
            <w:hideMark/>
          </w:tcPr>
          <w:p w:rsidR="00BF325B" w:rsidRPr="00BF325B" w:rsidRDefault="00BF325B" w:rsidP="00D70166">
            <w:pPr>
              <w:jc w:val="center"/>
              <w:rPr>
                <w:rFonts w:ascii="Cambria" w:hAnsi="Cambria"/>
                <w:color w:val="000000"/>
                <w:sz w:val="16"/>
                <w:szCs w:val="16"/>
              </w:rPr>
            </w:pPr>
            <w:r w:rsidRPr="00BF325B">
              <w:rPr>
                <w:rFonts w:ascii="Cambria" w:hAnsi="Cambria"/>
                <w:color w:val="000000"/>
                <w:sz w:val="16"/>
                <w:szCs w:val="16"/>
              </w:rPr>
              <w:t>Производственно-складское помещение</w:t>
            </w:r>
          </w:p>
        </w:tc>
        <w:tc>
          <w:tcPr>
            <w:tcW w:w="793" w:type="pct"/>
            <w:shd w:val="clear" w:color="auto" w:fill="auto"/>
            <w:vAlign w:val="center"/>
            <w:hideMark/>
          </w:tcPr>
          <w:p w:rsidR="00BF325B" w:rsidRPr="00BF325B" w:rsidRDefault="00BF325B" w:rsidP="00D70166">
            <w:pPr>
              <w:jc w:val="center"/>
              <w:rPr>
                <w:rFonts w:ascii="Cambria" w:hAnsi="Cambria"/>
                <w:color w:val="000000"/>
                <w:sz w:val="16"/>
                <w:szCs w:val="16"/>
              </w:rPr>
            </w:pPr>
            <w:r w:rsidRPr="00BF325B">
              <w:rPr>
                <w:rFonts w:ascii="Cambria" w:hAnsi="Cambria"/>
                <w:color w:val="000000"/>
                <w:sz w:val="16"/>
                <w:szCs w:val="16"/>
              </w:rPr>
              <w:t>Производственно-складское помещение</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Площадь, кв.м.</w:t>
            </w:r>
          </w:p>
        </w:tc>
        <w:tc>
          <w:tcPr>
            <w:tcW w:w="760" w:type="pct"/>
            <w:shd w:val="clear" w:color="auto" w:fill="auto"/>
            <w:noWrap/>
            <w:vAlign w:val="center"/>
            <w:hideMark/>
          </w:tcPr>
          <w:p w:rsidR="006568BA" w:rsidRPr="00BF325B" w:rsidRDefault="006568BA" w:rsidP="00D70166">
            <w:pPr>
              <w:jc w:val="center"/>
              <w:rPr>
                <w:rFonts w:ascii="Cambria" w:hAnsi="Cambria"/>
                <w:b/>
                <w:bCs/>
                <w:color w:val="000000"/>
                <w:sz w:val="16"/>
                <w:szCs w:val="16"/>
              </w:rPr>
            </w:pPr>
            <w:r w:rsidRPr="00BF325B">
              <w:rPr>
                <w:rFonts w:ascii="Cambria" w:hAnsi="Cambria"/>
                <w:b/>
                <w:bCs/>
                <w:color w:val="000000"/>
                <w:sz w:val="16"/>
                <w:szCs w:val="16"/>
              </w:rPr>
              <w:t>3771,3</w:t>
            </w:r>
          </w:p>
        </w:tc>
        <w:tc>
          <w:tcPr>
            <w:tcW w:w="830"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160,0</w:t>
            </w:r>
          </w:p>
        </w:tc>
        <w:tc>
          <w:tcPr>
            <w:tcW w:w="848"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100,000</w:t>
            </w:r>
          </w:p>
        </w:tc>
        <w:tc>
          <w:tcPr>
            <w:tcW w:w="874"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150</w:t>
            </w:r>
          </w:p>
        </w:tc>
        <w:tc>
          <w:tcPr>
            <w:tcW w:w="793"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500</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Цена, руб/кв. м</w:t>
            </w:r>
          </w:p>
        </w:tc>
        <w:tc>
          <w:tcPr>
            <w:tcW w:w="760" w:type="pct"/>
            <w:shd w:val="clear" w:color="auto" w:fill="auto"/>
            <w:noWrap/>
            <w:vAlign w:val="center"/>
            <w:hideMark/>
          </w:tcPr>
          <w:p w:rsidR="006568BA" w:rsidRPr="00BF325B" w:rsidRDefault="006568BA" w:rsidP="00D70166">
            <w:pPr>
              <w:jc w:val="center"/>
              <w:rPr>
                <w:rFonts w:ascii="Cambria" w:hAnsi="Cambria"/>
                <w:b/>
                <w:bCs/>
                <w:color w:val="000000"/>
                <w:sz w:val="16"/>
                <w:szCs w:val="16"/>
              </w:rPr>
            </w:pPr>
            <w:r w:rsidRPr="00BF325B">
              <w:rPr>
                <w:rFonts w:ascii="Cambria" w:hAnsi="Cambria"/>
                <w:b/>
                <w:bCs/>
                <w:color w:val="000000"/>
                <w:sz w:val="16"/>
                <w:szCs w:val="16"/>
              </w:rPr>
              <w:t>-</w:t>
            </w:r>
          </w:p>
        </w:tc>
        <w:tc>
          <w:tcPr>
            <w:tcW w:w="830"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220,00</w:t>
            </w:r>
          </w:p>
        </w:tc>
        <w:tc>
          <w:tcPr>
            <w:tcW w:w="848" w:type="pct"/>
            <w:shd w:val="clear" w:color="auto" w:fill="auto"/>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200</w:t>
            </w:r>
          </w:p>
        </w:tc>
        <w:tc>
          <w:tcPr>
            <w:tcW w:w="874"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167</w:t>
            </w:r>
          </w:p>
        </w:tc>
        <w:tc>
          <w:tcPr>
            <w:tcW w:w="793"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180</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Платежный период</w:t>
            </w:r>
          </w:p>
        </w:tc>
        <w:tc>
          <w:tcPr>
            <w:tcW w:w="760" w:type="pct"/>
            <w:shd w:val="clear" w:color="auto" w:fill="auto"/>
            <w:noWrap/>
            <w:vAlign w:val="center"/>
            <w:hideMark/>
          </w:tcPr>
          <w:p w:rsidR="006568BA" w:rsidRPr="00BF325B" w:rsidRDefault="006568BA" w:rsidP="00D70166">
            <w:pPr>
              <w:jc w:val="center"/>
              <w:rPr>
                <w:rFonts w:ascii="Cambria" w:hAnsi="Cambria"/>
                <w:color w:val="000000"/>
                <w:sz w:val="16"/>
                <w:szCs w:val="16"/>
              </w:rPr>
            </w:pPr>
            <w:r w:rsidRPr="00BF325B">
              <w:rPr>
                <w:rFonts w:ascii="Cambria" w:hAnsi="Cambria"/>
                <w:color w:val="000000"/>
                <w:sz w:val="16"/>
                <w:szCs w:val="16"/>
              </w:rPr>
              <w:t>1 месяц</w:t>
            </w:r>
          </w:p>
        </w:tc>
        <w:tc>
          <w:tcPr>
            <w:tcW w:w="830"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1 месяц</w:t>
            </w:r>
          </w:p>
        </w:tc>
        <w:tc>
          <w:tcPr>
            <w:tcW w:w="848"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1 месяц</w:t>
            </w:r>
          </w:p>
        </w:tc>
        <w:tc>
          <w:tcPr>
            <w:tcW w:w="874"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1 месяц</w:t>
            </w:r>
          </w:p>
        </w:tc>
        <w:tc>
          <w:tcPr>
            <w:tcW w:w="793"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1 месяц</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Передаваемые права</w:t>
            </w:r>
          </w:p>
        </w:tc>
        <w:tc>
          <w:tcPr>
            <w:tcW w:w="760" w:type="pct"/>
            <w:shd w:val="clear" w:color="auto" w:fill="auto"/>
            <w:vAlign w:val="center"/>
            <w:hideMark/>
          </w:tcPr>
          <w:p w:rsidR="006568BA" w:rsidRPr="00BF325B" w:rsidRDefault="006568BA" w:rsidP="00D70166">
            <w:pPr>
              <w:jc w:val="center"/>
              <w:rPr>
                <w:rFonts w:ascii="Cambria" w:hAnsi="Cambria"/>
                <w:color w:val="000000"/>
                <w:sz w:val="16"/>
                <w:szCs w:val="16"/>
              </w:rPr>
            </w:pPr>
            <w:r w:rsidRPr="00BF325B">
              <w:rPr>
                <w:rFonts w:ascii="Cambria" w:hAnsi="Cambria"/>
                <w:color w:val="000000"/>
                <w:sz w:val="16"/>
                <w:szCs w:val="16"/>
              </w:rPr>
              <w:t>право аренды</w:t>
            </w:r>
          </w:p>
        </w:tc>
        <w:tc>
          <w:tcPr>
            <w:tcW w:w="830"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право аренды</w:t>
            </w:r>
          </w:p>
        </w:tc>
        <w:tc>
          <w:tcPr>
            <w:tcW w:w="848"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право аренды</w:t>
            </w:r>
          </w:p>
        </w:tc>
        <w:tc>
          <w:tcPr>
            <w:tcW w:w="874"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право аренды</w:t>
            </w:r>
          </w:p>
        </w:tc>
        <w:tc>
          <w:tcPr>
            <w:tcW w:w="793"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право аренды</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Корректировка</w:t>
            </w:r>
          </w:p>
        </w:tc>
        <w:tc>
          <w:tcPr>
            <w:tcW w:w="760" w:type="pct"/>
            <w:shd w:val="clear" w:color="auto" w:fill="auto"/>
            <w:noWrap/>
            <w:vAlign w:val="center"/>
            <w:hideMark/>
          </w:tcPr>
          <w:p w:rsidR="006568BA" w:rsidRPr="00BF325B" w:rsidRDefault="006568BA" w:rsidP="00D70166">
            <w:pPr>
              <w:jc w:val="center"/>
              <w:rPr>
                <w:rFonts w:ascii="Cambria" w:hAnsi="Cambria"/>
                <w:color w:val="000000"/>
                <w:sz w:val="16"/>
                <w:szCs w:val="16"/>
              </w:rPr>
            </w:pPr>
            <w:r w:rsidRPr="00BF325B">
              <w:rPr>
                <w:rFonts w:ascii="Cambria" w:hAnsi="Cambria"/>
                <w:color w:val="000000"/>
                <w:sz w:val="16"/>
                <w:szCs w:val="16"/>
              </w:rPr>
              <w:t>-</w:t>
            </w:r>
          </w:p>
        </w:tc>
        <w:tc>
          <w:tcPr>
            <w:tcW w:w="830"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0,00%</w:t>
            </w:r>
          </w:p>
        </w:tc>
        <w:tc>
          <w:tcPr>
            <w:tcW w:w="848"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0,00%</w:t>
            </w:r>
          </w:p>
        </w:tc>
        <w:tc>
          <w:tcPr>
            <w:tcW w:w="874"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0,00%</w:t>
            </w:r>
          </w:p>
        </w:tc>
        <w:tc>
          <w:tcPr>
            <w:tcW w:w="793"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0,00%</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Скорректированная цена, руб/кв. м</w:t>
            </w:r>
          </w:p>
        </w:tc>
        <w:tc>
          <w:tcPr>
            <w:tcW w:w="760" w:type="pct"/>
            <w:shd w:val="clear" w:color="auto" w:fill="auto"/>
            <w:noWrap/>
            <w:vAlign w:val="center"/>
            <w:hideMark/>
          </w:tcPr>
          <w:p w:rsidR="006568BA" w:rsidRPr="00BF325B" w:rsidRDefault="006568BA" w:rsidP="00D70166">
            <w:pPr>
              <w:jc w:val="center"/>
              <w:rPr>
                <w:rFonts w:ascii="Cambria" w:hAnsi="Cambria"/>
                <w:b/>
                <w:bCs/>
                <w:color w:val="000000"/>
                <w:sz w:val="16"/>
                <w:szCs w:val="16"/>
              </w:rPr>
            </w:pPr>
            <w:r w:rsidRPr="00BF325B">
              <w:rPr>
                <w:rFonts w:ascii="Cambria" w:hAnsi="Cambria"/>
                <w:b/>
                <w:bCs/>
                <w:color w:val="000000"/>
                <w:sz w:val="16"/>
                <w:szCs w:val="16"/>
              </w:rPr>
              <w:t>-</w:t>
            </w:r>
          </w:p>
        </w:tc>
        <w:tc>
          <w:tcPr>
            <w:tcW w:w="830"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220,00</w:t>
            </w:r>
          </w:p>
        </w:tc>
        <w:tc>
          <w:tcPr>
            <w:tcW w:w="848"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200,00</w:t>
            </w:r>
          </w:p>
        </w:tc>
        <w:tc>
          <w:tcPr>
            <w:tcW w:w="874"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167,00</w:t>
            </w:r>
          </w:p>
        </w:tc>
        <w:tc>
          <w:tcPr>
            <w:tcW w:w="793"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180,00</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Условия финансирования</w:t>
            </w:r>
          </w:p>
        </w:tc>
        <w:tc>
          <w:tcPr>
            <w:tcW w:w="760" w:type="pct"/>
            <w:shd w:val="clear" w:color="auto" w:fill="auto"/>
            <w:vAlign w:val="center"/>
            <w:hideMark/>
          </w:tcPr>
          <w:p w:rsidR="006568BA" w:rsidRPr="00BF325B" w:rsidRDefault="006568BA" w:rsidP="00D70166">
            <w:pPr>
              <w:jc w:val="center"/>
              <w:rPr>
                <w:rFonts w:ascii="Cambria" w:hAnsi="Cambria"/>
                <w:color w:val="000000"/>
                <w:sz w:val="16"/>
                <w:szCs w:val="16"/>
              </w:rPr>
            </w:pPr>
            <w:r w:rsidRPr="00BF325B">
              <w:rPr>
                <w:rFonts w:ascii="Cambria" w:hAnsi="Cambria"/>
                <w:color w:val="000000"/>
                <w:sz w:val="16"/>
                <w:szCs w:val="16"/>
              </w:rPr>
              <w:t>единовременный месячный платеж</w:t>
            </w:r>
          </w:p>
        </w:tc>
        <w:tc>
          <w:tcPr>
            <w:tcW w:w="830"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единовременный месячный платеж</w:t>
            </w:r>
          </w:p>
        </w:tc>
        <w:tc>
          <w:tcPr>
            <w:tcW w:w="848"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единовременный месячный платеж</w:t>
            </w:r>
          </w:p>
        </w:tc>
        <w:tc>
          <w:tcPr>
            <w:tcW w:w="874"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единовременный месячный платеж</w:t>
            </w:r>
          </w:p>
        </w:tc>
        <w:tc>
          <w:tcPr>
            <w:tcW w:w="793"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единовременный месячный платеж</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Корректировка</w:t>
            </w:r>
          </w:p>
        </w:tc>
        <w:tc>
          <w:tcPr>
            <w:tcW w:w="760" w:type="pct"/>
            <w:shd w:val="clear" w:color="auto" w:fill="auto"/>
            <w:vAlign w:val="center"/>
            <w:hideMark/>
          </w:tcPr>
          <w:p w:rsidR="006568BA" w:rsidRPr="00BF325B" w:rsidRDefault="006568BA" w:rsidP="00D70166">
            <w:pPr>
              <w:jc w:val="center"/>
              <w:rPr>
                <w:rFonts w:ascii="Cambria" w:hAnsi="Cambria"/>
                <w:color w:val="000000"/>
                <w:sz w:val="16"/>
                <w:szCs w:val="16"/>
              </w:rPr>
            </w:pPr>
            <w:r w:rsidRPr="00BF325B">
              <w:rPr>
                <w:rFonts w:ascii="Cambria" w:hAnsi="Cambria"/>
                <w:color w:val="000000"/>
                <w:sz w:val="16"/>
                <w:szCs w:val="16"/>
              </w:rPr>
              <w:t>-</w:t>
            </w:r>
          </w:p>
        </w:tc>
        <w:tc>
          <w:tcPr>
            <w:tcW w:w="830"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0,00%</w:t>
            </w:r>
          </w:p>
        </w:tc>
        <w:tc>
          <w:tcPr>
            <w:tcW w:w="848"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0,00%</w:t>
            </w:r>
          </w:p>
        </w:tc>
        <w:tc>
          <w:tcPr>
            <w:tcW w:w="874"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0,00%</w:t>
            </w:r>
          </w:p>
        </w:tc>
        <w:tc>
          <w:tcPr>
            <w:tcW w:w="793"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0,00%</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Скорректированная цена, руб/кв. м</w:t>
            </w:r>
          </w:p>
        </w:tc>
        <w:tc>
          <w:tcPr>
            <w:tcW w:w="760" w:type="pct"/>
            <w:shd w:val="clear" w:color="auto" w:fill="auto"/>
            <w:noWrap/>
            <w:vAlign w:val="center"/>
            <w:hideMark/>
          </w:tcPr>
          <w:p w:rsidR="006568BA" w:rsidRPr="00BF325B" w:rsidRDefault="006568BA" w:rsidP="00D70166">
            <w:pPr>
              <w:jc w:val="center"/>
              <w:rPr>
                <w:rFonts w:ascii="Cambria" w:hAnsi="Cambria"/>
                <w:b/>
                <w:bCs/>
                <w:color w:val="000000"/>
                <w:sz w:val="16"/>
                <w:szCs w:val="16"/>
              </w:rPr>
            </w:pPr>
            <w:r w:rsidRPr="00BF325B">
              <w:rPr>
                <w:rFonts w:ascii="Cambria" w:hAnsi="Cambria"/>
                <w:b/>
                <w:bCs/>
                <w:color w:val="000000"/>
                <w:sz w:val="16"/>
                <w:szCs w:val="16"/>
              </w:rPr>
              <w:t>-</w:t>
            </w:r>
          </w:p>
        </w:tc>
        <w:tc>
          <w:tcPr>
            <w:tcW w:w="830"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220,00</w:t>
            </w:r>
          </w:p>
        </w:tc>
        <w:tc>
          <w:tcPr>
            <w:tcW w:w="848"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200,00</w:t>
            </w:r>
          </w:p>
        </w:tc>
        <w:tc>
          <w:tcPr>
            <w:tcW w:w="874"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167,00</w:t>
            </w:r>
          </w:p>
        </w:tc>
        <w:tc>
          <w:tcPr>
            <w:tcW w:w="793"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180,00</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НДС</w:t>
            </w:r>
          </w:p>
        </w:tc>
        <w:tc>
          <w:tcPr>
            <w:tcW w:w="760" w:type="pct"/>
            <w:shd w:val="clear" w:color="auto" w:fill="auto"/>
            <w:noWrap/>
            <w:vAlign w:val="center"/>
            <w:hideMark/>
          </w:tcPr>
          <w:p w:rsidR="006568BA" w:rsidRPr="00BF325B" w:rsidRDefault="006568BA" w:rsidP="00D70166">
            <w:pPr>
              <w:jc w:val="center"/>
              <w:rPr>
                <w:rFonts w:ascii="Cambria" w:hAnsi="Cambria"/>
                <w:color w:val="000000"/>
                <w:sz w:val="16"/>
                <w:szCs w:val="16"/>
              </w:rPr>
            </w:pPr>
            <w:r w:rsidRPr="00BF325B">
              <w:rPr>
                <w:rFonts w:ascii="Cambria" w:hAnsi="Cambria"/>
                <w:color w:val="000000"/>
                <w:sz w:val="16"/>
                <w:szCs w:val="16"/>
              </w:rPr>
              <w:t>НДС учтен</w:t>
            </w:r>
          </w:p>
        </w:tc>
        <w:tc>
          <w:tcPr>
            <w:tcW w:w="830"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НДС учтен</w:t>
            </w:r>
          </w:p>
        </w:tc>
        <w:tc>
          <w:tcPr>
            <w:tcW w:w="848"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НДС учтен</w:t>
            </w:r>
          </w:p>
        </w:tc>
        <w:tc>
          <w:tcPr>
            <w:tcW w:w="874"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НДС учтен</w:t>
            </w:r>
          </w:p>
        </w:tc>
        <w:tc>
          <w:tcPr>
            <w:tcW w:w="793"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НДС учтен</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 xml:space="preserve">Корректировка </w:t>
            </w:r>
          </w:p>
        </w:tc>
        <w:tc>
          <w:tcPr>
            <w:tcW w:w="760" w:type="pct"/>
            <w:shd w:val="clear" w:color="auto" w:fill="auto"/>
            <w:noWrap/>
            <w:vAlign w:val="center"/>
            <w:hideMark/>
          </w:tcPr>
          <w:p w:rsidR="006568BA" w:rsidRPr="00BF325B" w:rsidRDefault="006568BA" w:rsidP="00D70166">
            <w:pPr>
              <w:jc w:val="center"/>
              <w:rPr>
                <w:rFonts w:ascii="Cambria" w:hAnsi="Cambria"/>
                <w:color w:val="000000"/>
                <w:sz w:val="16"/>
                <w:szCs w:val="16"/>
              </w:rPr>
            </w:pPr>
            <w:r w:rsidRPr="00BF325B">
              <w:rPr>
                <w:rFonts w:ascii="Cambria" w:hAnsi="Cambria"/>
                <w:color w:val="000000"/>
                <w:sz w:val="16"/>
                <w:szCs w:val="16"/>
              </w:rPr>
              <w:t>-</w:t>
            </w:r>
          </w:p>
        </w:tc>
        <w:tc>
          <w:tcPr>
            <w:tcW w:w="830"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0,000%</w:t>
            </w:r>
          </w:p>
        </w:tc>
        <w:tc>
          <w:tcPr>
            <w:tcW w:w="848"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0,000%</w:t>
            </w:r>
          </w:p>
        </w:tc>
        <w:tc>
          <w:tcPr>
            <w:tcW w:w="874"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0,000%</w:t>
            </w:r>
          </w:p>
        </w:tc>
        <w:tc>
          <w:tcPr>
            <w:tcW w:w="793"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0,000%</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Скорректированная цена, руб/кв. м</w:t>
            </w:r>
          </w:p>
        </w:tc>
        <w:tc>
          <w:tcPr>
            <w:tcW w:w="760" w:type="pct"/>
            <w:shd w:val="clear" w:color="auto" w:fill="auto"/>
            <w:noWrap/>
            <w:vAlign w:val="center"/>
            <w:hideMark/>
          </w:tcPr>
          <w:p w:rsidR="006568BA" w:rsidRPr="00BF325B" w:rsidRDefault="006568BA" w:rsidP="00D70166">
            <w:pPr>
              <w:jc w:val="center"/>
              <w:rPr>
                <w:rFonts w:ascii="Cambria" w:hAnsi="Cambria"/>
                <w:b/>
                <w:bCs/>
                <w:color w:val="000000"/>
                <w:sz w:val="16"/>
                <w:szCs w:val="16"/>
              </w:rPr>
            </w:pPr>
            <w:r w:rsidRPr="00BF325B">
              <w:rPr>
                <w:rFonts w:ascii="Cambria" w:hAnsi="Cambria"/>
                <w:b/>
                <w:bCs/>
                <w:color w:val="000000"/>
                <w:sz w:val="16"/>
                <w:szCs w:val="16"/>
              </w:rPr>
              <w:t> </w:t>
            </w:r>
          </w:p>
        </w:tc>
        <w:tc>
          <w:tcPr>
            <w:tcW w:w="830"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220,00</w:t>
            </w:r>
          </w:p>
        </w:tc>
        <w:tc>
          <w:tcPr>
            <w:tcW w:w="848"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200,00</w:t>
            </w:r>
          </w:p>
        </w:tc>
        <w:tc>
          <w:tcPr>
            <w:tcW w:w="874"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167,00</w:t>
            </w:r>
          </w:p>
        </w:tc>
        <w:tc>
          <w:tcPr>
            <w:tcW w:w="793"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180,00</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Поправка на торг</w:t>
            </w:r>
          </w:p>
        </w:tc>
        <w:tc>
          <w:tcPr>
            <w:tcW w:w="760" w:type="pct"/>
            <w:shd w:val="clear" w:color="auto" w:fill="auto"/>
            <w:noWrap/>
            <w:vAlign w:val="center"/>
            <w:hideMark/>
          </w:tcPr>
          <w:p w:rsidR="006568BA" w:rsidRPr="00BF325B" w:rsidRDefault="006568BA" w:rsidP="00D70166">
            <w:pPr>
              <w:jc w:val="center"/>
              <w:rPr>
                <w:rFonts w:ascii="Cambria" w:hAnsi="Cambria"/>
                <w:color w:val="000000"/>
                <w:sz w:val="16"/>
                <w:szCs w:val="16"/>
              </w:rPr>
            </w:pPr>
            <w:r w:rsidRPr="00BF325B">
              <w:rPr>
                <w:rFonts w:ascii="Cambria" w:hAnsi="Cambria"/>
                <w:color w:val="000000"/>
                <w:sz w:val="16"/>
                <w:szCs w:val="16"/>
              </w:rPr>
              <w:t>-</w:t>
            </w:r>
          </w:p>
        </w:tc>
        <w:tc>
          <w:tcPr>
            <w:tcW w:w="830"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торг возможен</w:t>
            </w:r>
          </w:p>
        </w:tc>
        <w:tc>
          <w:tcPr>
            <w:tcW w:w="848"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торг возможен</w:t>
            </w:r>
          </w:p>
        </w:tc>
        <w:tc>
          <w:tcPr>
            <w:tcW w:w="874"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торг возможен</w:t>
            </w:r>
          </w:p>
        </w:tc>
        <w:tc>
          <w:tcPr>
            <w:tcW w:w="793"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торг возможен</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Корректировка</w:t>
            </w:r>
          </w:p>
        </w:tc>
        <w:tc>
          <w:tcPr>
            <w:tcW w:w="760" w:type="pct"/>
            <w:shd w:val="clear" w:color="auto" w:fill="auto"/>
            <w:noWrap/>
            <w:vAlign w:val="center"/>
            <w:hideMark/>
          </w:tcPr>
          <w:p w:rsidR="006568BA" w:rsidRPr="00BF325B" w:rsidRDefault="006568BA" w:rsidP="00D70166">
            <w:pPr>
              <w:jc w:val="center"/>
              <w:rPr>
                <w:rFonts w:ascii="Cambria" w:hAnsi="Cambria"/>
                <w:color w:val="000000"/>
                <w:sz w:val="16"/>
                <w:szCs w:val="16"/>
              </w:rPr>
            </w:pPr>
            <w:r w:rsidRPr="00BF325B">
              <w:rPr>
                <w:rFonts w:ascii="Cambria" w:hAnsi="Cambria"/>
                <w:color w:val="000000"/>
                <w:sz w:val="16"/>
                <w:szCs w:val="16"/>
              </w:rPr>
              <w:t>-</w:t>
            </w:r>
          </w:p>
        </w:tc>
        <w:tc>
          <w:tcPr>
            <w:tcW w:w="830"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-9,00%</w:t>
            </w:r>
          </w:p>
        </w:tc>
        <w:tc>
          <w:tcPr>
            <w:tcW w:w="848"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-9,00%</w:t>
            </w:r>
          </w:p>
        </w:tc>
        <w:tc>
          <w:tcPr>
            <w:tcW w:w="874"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-9,00%</w:t>
            </w:r>
          </w:p>
        </w:tc>
        <w:tc>
          <w:tcPr>
            <w:tcW w:w="793"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-9,00%</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Скорректированная цена, руб/кв. м</w:t>
            </w:r>
          </w:p>
        </w:tc>
        <w:tc>
          <w:tcPr>
            <w:tcW w:w="760" w:type="pct"/>
            <w:shd w:val="clear" w:color="auto" w:fill="auto"/>
            <w:noWrap/>
            <w:vAlign w:val="center"/>
            <w:hideMark/>
          </w:tcPr>
          <w:p w:rsidR="006568BA" w:rsidRPr="00BF325B" w:rsidRDefault="006568BA" w:rsidP="00D70166">
            <w:pPr>
              <w:jc w:val="center"/>
              <w:rPr>
                <w:rFonts w:ascii="Cambria" w:hAnsi="Cambria"/>
                <w:b/>
                <w:bCs/>
                <w:color w:val="000000"/>
                <w:sz w:val="16"/>
                <w:szCs w:val="16"/>
              </w:rPr>
            </w:pPr>
            <w:r w:rsidRPr="00BF325B">
              <w:rPr>
                <w:rFonts w:ascii="Cambria" w:hAnsi="Cambria"/>
                <w:b/>
                <w:bCs/>
                <w:color w:val="000000"/>
                <w:sz w:val="16"/>
                <w:szCs w:val="16"/>
              </w:rPr>
              <w:t> </w:t>
            </w:r>
          </w:p>
        </w:tc>
        <w:tc>
          <w:tcPr>
            <w:tcW w:w="830"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200,20</w:t>
            </w:r>
          </w:p>
        </w:tc>
        <w:tc>
          <w:tcPr>
            <w:tcW w:w="848"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182,00</w:t>
            </w:r>
          </w:p>
        </w:tc>
        <w:tc>
          <w:tcPr>
            <w:tcW w:w="874"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151,97</w:t>
            </w:r>
          </w:p>
        </w:tc>
        <w:tc>
          <w:tcPr>
            <w:tcW w:w="793"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163,80</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Дата предложения/продажи</w:t>
            </w:r>
          </w:p>
        </w:tc>
        <w:tc>
          <w:tcPr>
            <w:tcW w:w="760" w:type="pct"/>
            <w:shd w:val="clear" w:color="auto" w:fill="auto"/>
            <w:noWrap/>
            <w:vAlign w:val="center"/>
            <w:hideMark/>
          </w:tcPr>
          <w:p w:rsidR="006568BA" w:rsidRPr="00BF325B" w:rsidRDefault="006568BA" w:rsidP="00D70166">
            <w:pPr>
              <w:jc w:val="center"/>
              <w:rPr>
                <w:rFonts w:ascii="Cambria" w:hAnsi="Cambria"/>
                <w:color w:val="000000"/>
                <w:sz w:val="16"/>
                <w:szCs w:val="16"/>
              </w:rPr>
            </w:pPr>
            <w:r w:rsidRPr="00BF325B">
              <w:rPr>
                <w:rFonts w:ascii="Cambria" w:hAnsi="Cambria"/>
                <w:color w:val="000000"/>
                <w:sz w:val="16"/>
                <w:szCs w:val="16"/>
              </w:rPr>
              <w:t>Август 2016</w:t>
            </w:r>
          </w:p>
        </w:tc>
        <w:tc>
          <w:tcPr>
            <w:tcW w:w="830"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Август 2016</w:t>
            </w:r>
          </w:p>
        </w:tc>
        <w:tc>
          <w:tcPr>
            <w:tcW w:w="848"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Август 2016</w:t>
            </w:r>
          </w:p>
        </w:tc>
        <w:tc>
          <w:tcPr>
            <w:tcW w:w="874"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Август 2016</w:t>
            </w:r>
          </w:p>
        </w:tc>
        <w:tc>
          <w:tcPr>
            <w:tcW w:w="793"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Август 2016</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Корректировка</w:t>
            </w:r>
          </w:p>
        </w:tc>
        <w:tc>
          <w:tcPr>
            <w:tcW w:w="760" w:type="pct"/>
            <w:shd w:val="clear" w:color="auto" w:fill="auto"/>
            <w:noWrap/>
            <w:vAlign w:val="center"/>
            <w:hideMark/>
          </w:tcPr>
          <w:p w:rsidR="006568BA" w:rsidRPr="00BF325B" w:rsidRDefault="006568BA" w:rsidP="00D70166">
            <w:pPr>
              <w:jc w:val="center"/>
              <w:rPr>
                <w:rFonts w:ascii="Cambria" w:hAnsi="Cambria"/>
                <w:color w:val="000000"/>
                <w:sz w:val="16"/>
                <w:szCs w:val="16"/>
              </w:rPr>
            </w:pPr>
            <w:r w:rsidRPr="00BF325B">
              <w:rPr>
                <w:rFonts w:ascii="Cambria" w:hAnsi="Cambria"/>
                <w:color w:val="000000"/>
                <w:sz w:val="16"/>
                <w:szCs w:val="16"/>
              </w:rPr>
              <w:t>-</w:t>
            </w:r>
          </w:p>
        </w:tc>
        <w:tc>
          <w:tcPr>
            <w:tcW w:w="830"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0,00%</w:t>
            </w:r>
          </w:p>
        </w:tc>
        <w:tc>
          <w:tcPr>
            <w:tcW w:w="848"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0,00%</w:t>
            </w:r>
          </w:p>
        </w:tc>
        <w:tc>
          <w:tcPr>
            <w:tcW w:w="874"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0,00%</w:t>
            </w:r>
          </w:p>
        </w:tc>
        <w:tc>
          <w:tcPr>
            <w:tcW w:w="793"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0,00%</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Скорректированная цена, руб/кв. м</w:t>
            </w:r>
          </w:p>
        </w:tc>
        <w:tc>
          <w:tcPr>
            <w:tcW w:w="760" w:type="pct"/>
            <w:shd w:val="clear" w:color="auto" w:fill="auto"/>
            <w:noWrap/>
            <w:vAlign w:val="center"/>
            <w:hideMark/>
          </w:tcPr>
          <w:p w:rsidR="006568BA" w:rsidRPr="00BF325B" w:rsidRDefault="006568BA" w:rsidP="00D70166">
            <w:pPr>
              <w:jc w:val="center"/>
              <w:rPr>
                <w:rFonts w:ascii="Cambria" w:hAnsi="Cambria"/>
                <w:b/>
                <w:bCs/>
                <w:color w:val="000000"/>
                <w:sz w:val="16"/>
                <w:szCs w:val="16"/>
              </w:rPr>
            </w:pPr>
            <w:r w:rsidRPr="00BF325B">
              <w:rPr>
                <w:rFonts w:ascii="Cambria" w:hAnsi="Cambria"/>
                <w:b/>
                <w:bCs/>
                <w:color w:val="000000"/>
                <w:sz w:val="16"/>
                <w:szCs w:val="16"/>
              </w:rPr>
              <w:t>-</w:t>
            </w:r>
          </w:p>
        </w:tc>
        <w:tc>
          <w:tcPr>
            <w:tcW w:w="830"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200,20</w:t>
            </w:r>
          </w:p>
        </w:tc>
        <w:tc>
          <w:tcPr>
            <w:tcW w:w="848"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182,00</w:t>
            </w:r>
          </w:p>
        </w:tc>
        <w:tc>
          <w:tcPr>
            <w:tcW w:w="874"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151,97</w:t>
            </w:r>
          </w:p>
        </w:tc>
        <w:tc>
          <w:tcPr>
            <w:tcW w:w="793" w:type="pct"/>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163,80</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i/>
                <w:iCs/>
                <w:color w:val="000000"/>
                <w:sz w:val="16"/>
                <w:szCs w:val="16"/>
              </w:rPr>
            </w:pPr>
            <w:r w:rsidRPr="00BF325B">
              <w:rPr>
                <w:rFonts w:ascii="Cambria" w:hAnsi="Cambria"/>
                <w:i/>
                <w:iCs/>
                <w:color w:val="000000"/>
                <w:sz w:val="16"/>
                <w:szCs w:val="16"/>
              </w:rPr>
              <w:t>Вид использования</w:t>
            </w:r>
          </w:p>
        </w:tc>
        <w:tc>
          <w:tcPr>
            <w:tcW w:w="760" w:type="pct"/>
            <w:shd w:val="clear" w:color="auto" w:fill="auto"/>
            <w:vAlign w:val="center"/>
            <w:hideMark/>
          </w:tcPr>
          <w:p w:rsidR="006568BA" w:rsidRPr="00BF325B" w:rsidRDefault="006568BA" w:rsidP="00D70166">
            <w:pPr>
              <w:jc w:val="center"/>
              <w:rPr>
                <w:rFonts w:ascii="Cambria" w:hAnsi="Cambria"/>
                <w:color w:val="000000"/>
                <w:sz w:val="16"/>
                <w:szCs w:val="16"/>
              </w:rPr>
            </w:pPr>
            <w:r w:rsidRPr="00BF325B">
              <w:rPr>
                <w:rFonts w:ascii="Cambria" w:hAnsi="Cambria"/>
                <w:color w:val="000000"/>
                <w:sz w:val="16"/>
                <w:szCs w:val="16"/>
              </w:rPr>
              <w:t>ПСН</w:t>
            </w:r>
          </w:p>
        </w:tc>
        <w:tc>
          <w:tcPr>
            <w:tcW w:w="830"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ПСН</w:t>
            </w:r>
          </w:p>
        </w:tc>
        <w:tc>
          <w:tcPr>
            <w:tcW w:w="848"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ПСН</w:t>
            </w:r>
          </w:p>
        </w:tc>
        <w:tc>
          <w:tcPr>
            <w:tcW w:w="874"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ПСН</w:t>
            </w:r>
          </w:p>
        </w:tc>
        <w:tc>
          <w:tcPr>
            <w:tcW w:w="793"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ПСН</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sz w:val="16"/>
                <w:szCs w:val="16"/>
              </w:rPr>
            </w:pPr>
            <w:r w:rsidRPr="00BF325B">
              <w:rPr>
                <w:rFonts w:ascii="Cambria" w:hAnsi="Cambria"/>
                <w:sz w:val="16"/>
                <w:szCs w:val="16"/>
              </w:rPr>
              <w:t>Корректировка</w:t>
            </w:r>
          </w:p>
        </w:tc>
        <w:tc>
          <w:tcPr>
            <w:tcW w:w="760" w:type="pct"/>
            <w:shd w:val="clear" w:color="auto" w:fill="auto"/>
            <w:vAlign w:val="center"/>
            <w:hideMark/>
          </w:tcPr>
          <w:p w:rsidR="006568BA" w:rsidRPr="00BF325B" w:rsidRDefault="006568BA" w:rsidP="00D70166">
            <w:pPr>
              <w:jc w:val="center"/>
              <w:rPr>
                <w:rFonts w:ascii="Cambria" w:hAnsi="Cambria"/>
                <w:color w:val="000000"/>
                <w:sz w:val="16"/>
                <w:szCs w:val="16"/>
              </w:rPr>
            </w:pPr>
            <w:r w:rsidRPr="00BF325B">
              <w:rPr>
                <w:rFonts w:ascii="Cambria" w:hAnsi="Cambria"/>
                <w:color w:val="000000"/>
                <w:sz w:val="16"/>
                <w:szCs w:val="16"/>
              </w:rPr>
              <w:t> </w:t>
            </w:r>
          </w:p>
        </w:tc>
        <w:tc>
          <w:tcPr>
            <w:tcW w:w="830"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w:t>
            </w:r>
          </w:p>
        </w:tc>
        <w:tc>
          <w:tcPr>
            <w:tcW w:w="848"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w:t>
            </w:r>
          </w:p>
        </w:tc>
        <w:tc>
          <w:tcPr>
            <w:tcW w:w="874"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w:t>
            </w:r>
          </w:p>
        </w:tc>
        <w:tc>
          <w:tcPr>
            <w:tcW w:w="793"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b/>
                <w:bCs/>
                <w:sz w:val="16"/>
                <w:szCs w:val="16"/>
              </w:rPr>
            </w:pPr>
            <w:r w:rsidRPr="00BF325B">
              <w:rPr>
                <w:rFonts w:ascii="Cambria" w:hAnsi="Cambria"/>
                <w:b/>
                <w:bCs/>
                <w:sz w:val="16"/>
                <w:szCs w:val="16"/>
              </w:rPr>
              <w:t>Скорректированная цена, руб. кв.м.</w:t>
            </w:r>
          </w:p>
        </w:tc>
        <w:tc>
          <w:tcPr>
            <w:tcW w:w="760"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 </w:t>
            </w:r>
          </w:p>
        </w:tc>
        <w:tc>
          <w:tcPr>
            <w:tcW w:w="830" w:type="pct"/>
            <w:shd w:val="clear" w:color="auto" w:fill="auto"/>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200,20</w:t>
            </w:r>
          </w:p>
        </w:tc>
        <w:tc>
          <w:tcPr>
            <w:tcW w:w="848" w:type="pct"/>
            <w:shd w:val="clear" w:color="auto" w:fill="auto"/>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182,00</w:t>
            </w:r>
          </w:p>
        </w:tc>
        <w:tc>
          <w:tcPr>
            <w:tcW w:w="874" w:type="pct"/>
            <w:shd w:val="clear" w:color="auto" w:fill="auto"/>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151,97</w:t>
            </w:r>
          </w:p>
        </w:tc>
        <w:tc>
          <w:tcPr>
            <w:tcW w:w="793" w:type="pct"/>
            <w:shd w:val="clear" w:color="auto" w:fill="auto"/>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163,80</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Значение сегмента</w:t>
            </w:r>
          </w:p>
        </w:tc>
        <w:tc>
          <w:tcPr>
            <w:tcW w:w="760" w:type="pct"/>
            <w:shd w:val="clear" w:color="auto" w:fill="auto"/>
            <w:noWrap/>
            <w:vAlign w:val="center"/>
            <w:hideMark/>
          </w:tcPr>
          <w:p w:rsidR="006568BA" w:rsidRPr="00BF325B" w:rsidRDefault="006568BA" w:rsidP="00D70166">
            <w:pPr>
              <w:jc w:val="center"/>
              <w:rPr>
                <w:rFonts w:ascii="Cambria" w:hAnsi="Cambria"/>
                <w:sz w:val="16"/>
                <w:szCs w:val="16"/>
              </w:rPr>
            </w:pPr>
            <w:r w:rsidRPr="00BF325B">
              <w:rPr>
                <w:rFonts w:ascii="Cambria" w:hAnsi="Cambria"/>
                <w:sz w:val="16"/>
                <w:szCs w:val="16"/>
              </w:rPr>
              <w:t>&gt;1000</w:t>
            </w:r>
          </w:p>
        </w:tc>
        <w:tc>
          <w:tcPr>
            <w:tcW w:w="830"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100-300 кв.м.</w:t>
            </w:r>
          </w:p>
        </w:tc>
        <w:tc>
          <w:tcPr>
            <w:tcW w:w="848"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100-300 кв.м.</w:t>
            </w:r>
          </w:p>
        </w:tc>
        <w:tc>
          <w:tcPr>
            <w:tcW w:w="874"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100-300 кв.м.</w:t>
            </w:r>
          </w:p>
        </w:tc>
        <w:tc>
          <w:tcPr>
            <w:tcW w:w="793"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300-1000кв.м.</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Корректировка</w:t>
            </w:r>
          </w:p>
        </w:tc>
        <w:tc>
          <w:tcPr>
            <w:tcW w:w="760" w:type="pct"/>
            <w:shd w:val="clear" w:color="auto" w:fill="auto"/>
            <w:noWrap/>
            <w:vAlign w:val="center"/>
            <w:hideMark/>
          </w:tcPr>
          <w:p w:rsidR="006568BA" w:rsidRPr="00BF325B" w:rsidRDefault="006568BA" w:rsidP="00D70166">
            <w:pPr>
              <w:jc w:val="center"/>
              <w:rPr>
                <w:rFonts w:ascii="Cambria" w:hAnsi="Cambria"/>
                <w:color w:val="000000"/>
                <w:sz w:val="16"/>
                <w:szCs w:val="16"/>
              </w:rPr>
            </w:pPr>
            <w:r w:rsidRPr="00BF325B">
              <w:rPr>
                <w:rFonts w:ascii="Cambria" w:hAnsi="Cambria"/>
                <w:color w:val="000000"/>
                <w:sz w:val="16"/>
                <w:szCs w:val="16"/>
              </w:rPr>
              <w:t> </w:t>
            </w:r>
          </w:p>
        </w:tc>
        <w:tc>
          <w:tcPr>
            <w:tcW w:w="830"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-18,0%</w:t>
            </w:r>
          </w:p>
        </w:tc>
        <w:tc>
          <w:tcPr>
            <w:tcW w:w="848"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-18,0%</w:t>
            </w:r>
          </w:p>
        </w:tc>
        <w:tc>
          <w:tcPr>
            <w:tcW w:w="874"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-18,0%</w:t>
            </w:r>
          </w:p>
        </w:tc>
        <w:tc>
          <w:tcPr>
            <w:tcW w:w="793"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-8,0%</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Скорректированная цена, руб/кв. м</w:t>
            </w:r>
          </w:p>
        </w:tc>
        <w:tc>
          <w:tcPr>
            <w:tcW w:w="760" w:type="pct"/>
            <w:shd w:val="clear" w:color="auto" w:fill="auto"/>
            <w:vAlign w:val="center"/>
            <w:hideMark/>
          </w:tcPr>
          <w:p w:rsidR="006568BA" w:rsidRPr="00BF325B" w:rsidRDefault="006568BA" w:rsidP="00D70166">
            <w:pPr>
              <w:jc w:val="center"/>
              <w:rPr>
                <w:rFonts w:ascii="Cambria" w:hAnsi="Cambria"/>
                <w:color w:val="000000"/>
                <w:sz w:val="16"/>
                <w:szCs w:val="16"/>
              </w:rPr>
            </w:pPr>
            <w:r w:rsidRPr="00BF325B">
              <w:rPr>
                <w:rFonts w:ascii="Cambria" w:hAnsi="Cambria"/>
                <w:color w:val="000000"/>
                <w:sz w:val="16"/>
                <w:szCs w:val="16"/>
              </w:rPr>
              <w:t> </w:t>
            </w:r>
          </w:p>
        </w:tc>
        <w:tc>
          <w:tcPr>
            <w:tcW w:w="830" w:type="pct"/>
            <w:shd w:val="clear" w:color="auto" w:fill="auto"/>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164,16</w:t>
            </w:r>
          </w:p>
        </w:tc>
        <w:tc>
          <w:tcPr>
            <w:tcW w:w="848" w:type="pct"/>
            <w:shd w:val="clear" w:color="auto" w:fill="auto"/>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149,24</w:t>
            </w:r>
          </w:p>
        </w:tc>
        <w:tc>
          <w:tcPr>
            <w:tcW w:w="874" w:type="pct"/>
            <w:shd w:val="clear" w:color="auto" w:fill="auto"/>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124,62</w:t>
            </w:r>
          </w:p>
        </w:tc>
        <w:tc>
          <w:tcPr>
            <w:tcW w:w="793" w:type="pct"/>
            <w:shd w:val="clear" w:color="auto" w:fill="auto"/>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150,70</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Местоположение</w:t>
            </w:r>
          </w:p>
        </w:tc>
        <w:tc>
          <w:tcPr>
            <w:tcW w:w="760" w:type="pct"/>
            <w:shd w:val="clear" w:color="auto" w:fill="auto"/>
            <w:vAlign w:val="center"/>
            <w:hideMark/>
          </w:tcPr>
          <w:p w:rsidR="006568BA" w:rsidRDefault="006568BA">
            <w:pPr>
              <w:jc w:val="center"/>
              <w:rPr>
                <w:rFonts w:ascii="Cambria" w:hAnsi="Cambria"/>
                <w:sz w:val="16"/>
                <w:szCs w:val="16"/>
              </w:rPr>
            </w:pPr>
            <w:r>
              <w:rPr>
                <w:rFonts w:ascii="Cambria" w:hAnsi="Cambria"/>
                <w:sz w:val="16"/>
                <w:szCs w:val="16"/>
              </w:rPr>
              <w:t xml:space="preserve"> Красноярск, Ленинский район, ул. Айвазовского,37а</w:t>
            </w:r>
          </w:p>
        </w:tc>
        <w:tc>
          <w:tcPr>
            <w:tcW w:w="830"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Красноярск, Ленинский район, ул. Рейдовая 68А</w:t>
            </w:r>
          </w:p>
        </w:tc>
        <w:tc>
          <w:tcPr>
            <w:tcW w:w="848"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Красноярск, Ленинский район, ул. Рейдовая 68А</w:t>
            </w:r>
          </w:p>
        </w:tc>
        <w:tc>
          <w:tcPr>
            <w:tcW w:w="874"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Красноярск, Ленинский район, ул.Энергетиков 73ас19</w:t>
            </w:r>
          </w:p>
        </w:tc>
        <w:tc>
          <w:tcPr>
            <w:tcW w:w="793"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Красноярск, Ленинский район, ул. Марии Цукановой, д. 17</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Корректировка</w:t>
            </w:r>
          </w:p>
        </w:tc>
        <w:tc>
          <w:tcPr>
            <w:tcW w:w="760"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w:t>
            </w:r>
          </w:p>
        </w:tc>
        <w:tc>
          <w:tcPr>
            <w:tcW w:w="830"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w:t>
            </w:r>
          </w:p>
        </w:tc>
        <w:tc>
          <w:tcPr>
            <w:tcW w:w="848"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w:t>
            </w:r>
          </w:p>
        </w:tc>
        <w:tc>
          <w:tcPr>
            <w:tcW w:w="874"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w:t>
            </w:r>
          </w:p>
        </w:tc>
        <w:tc>
          <w:tcPr>
            <w:tcW w:w="793"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Скорректированная цена, руб/кв. м</w:t>
            </w:r>
          </w:p>
        </w:tc>
        <w:tc>
          <w:tcPr>
            <w:tcW w:w="760" w:type="pct"/>
            <w:shd w:val="clear" w:color="auto" w:fill="auto"/>
            <w:vAlign w:val="center"/>
            <w:hideMark/>
          </w:tcPr>
          <w:p w:rsidR="006568BA" w:rsidRDefault="006568BA">
            <w:pPr>
              <w:rPr>
                <w:rFonts w:ascii="Cambria" w:hAnsi="Cambria"/>
                <w:color w:val="000000"/>
                <w:sz w:val="16"/>
                <w:szCs w:val="16"/>
              </w:rPr>
            </w:pPr>
            <w:r>
              <w:rPr>
                <w:rFonts w:ascii="Cambria" w:hAnsi="Cambria"/>
                <w:color w:val="000000"/>
                <w:sz w:val="16"/>
                <w:szCs w:val="16"/>
              </w:rPr>
              <w:t> </w:t>
            </w:r>
          </w:p>
        </w:tc>
        <w:tc>
          <w:tcPr>
            <w:tcW w:w="830" w:type="pct"/>
            <w:shd w:val="clear" w:color="auto" w:fill="auto"/>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164,16</w:t>
            </w:r>
          </w:p>
        </w:tc>
        <w:tc>
          <w:tcPr>
            <w:tcW w:w="848" w:type="pct"/>
            <w:shd w:val="clear" w:color="auto" w:fill="auto"/>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149,24</w:t>
            </w:r>
          </w:p>
        </w:tc>
        <w:tc>
          <w:tcPr>
            <w:tcW w:w="874" w:type="pct"/>
            <w:shd w:val="clear" w:color="auto" w:fill="auto"/>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124,62</w:t>
            </w:r>
          </w:p>
        </w:tc>
        <w:tc>
          <w:tcPr>
            <w:tcW w:w="793" w:type="pct"/>
            <w:shd w:val="clear" w:color="auto" w:fill="auto"/>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150,70</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Отопление</w:t>
            </w:r>
          </w:p>
        </w:tc>
        <w:tc>
          <w:tcPr>
            <w:tcW w:w="760"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Отсутсвует</w:t>
            </w:r>
          </w:p>
        </w:tc>
        <w:tc>
          <w:tcPr>
            <w:tcW w:w="830"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Имеется</w:t>
            </w:r>
          </w:p>
        </w:tc>
        <w:tc>
          <w:tcPr>
            <w:tcW w:w="848"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Имеется</w:t>
            </w:r>
          </w:p>
        </w:tc>
        <w:tc>
          <w:tcPr>
            <w:tcW w:w="874"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Имеется</w:t>
            </w:r>
          </w:p>
        </w:tc>
        <w:tc>
          <w:tcPr>
            <w:tcW w:w="793"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Имеется</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Корректировка</w:t>
            </w:r>
          </w:p>
        </w:tc>
        <w:tc>
          <w:tcPr>
            <w:tcW w:w="760" w:type="pct"/>
            <w:shd w:val="clear" w:color="auto" w:fill="auto"/>
            <w:vAlign w:val="center"/>
            <w:hideMark/>
          </w:tcPr>
          <w:p w:rsidR="006568BA" w:rsidRDefault="006568BA">
            <w:pPr>
              <w:rPr>
                <w:rFonts w:ascii="Cambria" w:hAnsi="Cambria"/>
                <w:color w:val="000000"/>
                <w:sz w:val="16"/>
                <w:szCs w:val="16"/>
              </w:rPr>
            </w:pPr>
            <w:r>
              <w:rPr>
                <w:rFonts w:ascii="Cambria" w:hAnsi="Cambria"/>
                <w:color w:val="000000"/>
                <w:sz w:val="16"/>
                <w:szCs w:val="16"/>
              </w:rPr>
              <w:t> </w:t>
            </w:r>
          </w:p>
        </w:tc>
        <w:tc>
          <w:tcPr>
            <w:tcW w:w="830"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-27,0%</w:t>
            </w:r>
          </w:p>
        </w:tc>
        <w:tc>
          <w:tcPr>
            <w:tcW w:w="848"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-27,0%</w:t>
            </w:r>
          </w:p>
        </w:tc>
        <w:tc>
          <w:tcPr>
            <w:tcW w:w="874"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-27,0%</w:t>
            </w:r>
          </w:p>
        </w:tc>
        <w:tc>
          <w:tcPr>
            <w:tcW w:w="793"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-27,0%</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Скорректированная цена, руб/кв. м</w:t>
            </w:r>
          </w:p>
        </w:tc>
        <w:tc>
          <w:tcPr>
            <w:tcW w:w="760" w:type="pct"/>
            <w:shd w:val="clear" w:color="auto" w:fill="auto"/>
            <w:vAlign w:val="center"/>
            <w:hideMark/>
          </w:tcPr>
          <w:p w:rsidR="006568BA" w:rsidRDefault="006568BA">
            <w:pPr>
              <w:rPr>
                <w:rFonts w:ascii="Cambria" w:hAnsi="Cambria"/>
                <w:color w:val="000000"/>
                <w:sz w:val="16"/>
                <w:szCs w:val="16"/>
              </w:rPr>
            </w:pPr>
            <w:r>
              <w:rPr>
                <w:rFonts w:ascii="Cambria" w:hAnsi="Cambria"/>
                <w:color w:val="000000"/>
                <w:sz w:val="16"/>
                <w:szCs w:val="16"/>
              </w:rPr>
              <w:t> </w:t>
            </w:r>
          </w:p>
        </w:tc>
        <w:tc>
          <w:tcPr>
            <w:tcW w:w="830" w:type="pct"/>
            <w:shd w:val="clear" w:color="auto" w:fill="auto"/>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119,84</w:t>
            </w:r>
          </w:p>
        </w:tc>
        <w:tc>
          <w:tcPr>
            <w:tcW w:w="848" w:type="pct"/>
            <w:shd w:val="clear" w:color="auto" w:fill="auto"/>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108,95</w:t>
            </w:r>
          </w:p>
        </w:tc>
        <w:tc>
          <w:tcPr>
            <w:tcW w:w="874" w:type="pct"/>
            <w:shd w:val="clear" w:color="auto" w:fill="auto"/>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90,97</w:t>
            </w:r>
          </w:p>
        </w:tc>
        <w:tc>
          <w:tcPr>
            <w:tcW w:w="793" w:type="pct"/>
            <w:shd w:val="clear" w:color="auto" w:fill="auto"/>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110,01</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 xml:space="preserve">Техническое состояние </w:t>
            </w:r>
          </w:p>
        </w:tc>
        <w:tc>
          <w:tcPr>
            <w:tcW w:w="760"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Удовл</w:t>
            </w:r>
          </w:p>
        </w:tc>
        <w:tc>
          <w:tcPr>
            <w:tcW w:w="830"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Удовл</w:t>
            </w:r>
          </w:p>
        </w:tc>
        <w:tc>
          <w:tcPr>
            <w:tcW w:w="848"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Удовл</w:t>
            </w:r>
          </w:p>
        </w:tc>
        <w:tc>
          <w:tcPr>
            <w:tcW w:w="874"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Неудовл</w:t>
            </w:r>
          </w:p>
        </w:tc>
        <w:tc>
          <w:tcPr>
            <w:tcW w:w="793"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Удовл</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Корректировка</w:t>
            </w:r>
          </w:p>
        </w:tc>
        <w:tc>
          <w:tcPr>
            <w:tcW w:w="760" w:type="pct"/>
            <w:shd w:val="clear" w:color="auto" w:fill="auto"/>
            <w:noWrap/>
            <w:vAlign w:val="center"/>
            <w:hideMark/>
          </w:tcPr>
          <w:p w:rsidR="006568BA" w:rsidRDefault="006568BA">
            <w:pPr>
              <w:rPr>
                <w:rFonts w:ascii="Cambria" w:hAnsi="Cambria"/>
                <w:color w:val="000000"/>
                <w:sz w:val="16"/>
                <w:szCs w:val="16"/>
              </w:rPr>
            </w:pPr>
            <w:r>
              <w:rPr>
                <w:rFonts w:ascii="Cambria" w:hAnsi="Cambria"/>
                <w:color w:val="000000"/>
                <w:sz w:val="16"/>
                <w:szCs w:val="16"/>
              </w:rPr>
              <w:t> </w:t>
            </w:r>
          </w:p>
        </w:tc>
        <w:tc>
          <w:tcPr>
            <w:tcW w:w="830"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w:t>
            </w:r>
          </w:p>
        </w:tc>
        <w:tc>
          <w:tcPr>
            <w:tcW w:w="848"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w:t>
            </w:r>
          </w:p>
        </w:tc>
        <w:tc>
          <w:tcPr>
            <w:tcW w:w="874"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26,0%</w:t>
            </w:r>
          </w:p>
        </w:tc>
        <w:tc>
          <w:tcPr>
            <w:tcW w:w="793"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0,0%</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Скорректированная цена, руб/кв. м</w:t>
            </w:r>
          </w:p>
        </w:tc>
        <w:tc>
          <w:tcPr>
            <w:tcW w:w="760"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w:t>
            </w:r>
          </w:p>
        </w:tc>
        <w:tc>
          <w:tcPr>
            <w:tcW w:w="830" w:type="pct"/>
            <w:shd w:val="clear" w:color="auto" w:fill="auto"/>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119,84</w:t>
            </w:r>
          </w:p>
        </w:tc>
        <w:tc>
          <w:tcPr>
            <w:tcW w:w="848" w:type="pct"/>
            <w:shd w:val="clear" w:color="auto" w:fill="auto"/>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108,95</w:t>
            </w:r>
          </w:p>
        </w:tc>
        <w:tc>
          <w:tcPr>
            <w:tcW w:w="874" w:type="pct"/>
            <w:shd w:val="clear" w:color="auto" w:fill="auto"/>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114,62</w:t>
            </w:r>
          </w:p>
        </w:tc>
        <w:tc>
          <w:tcPr>
            <w:tcW w:w="793" w:type="pct"/>
            <w:shd w:val="clear" w:color="auto" w:fill="auto"/>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110,01</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Наличие жд путей</w:t>
            </w:r>
          </w:p>
        </w:tc>
        <w:tc>
          <w:tcPr>
            <w:tcW w:w="760"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Отсутствует</w:t>
            </w:r>
          </w:p>
        </w:tc>
        <w:tc>
          <w:tcPr>
            <w:tcW w:w="830"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Отсутствует</w:t>
            </w:r>
          </w:p>
        </w:tc>
        <w:tc>
          <w:tcPr>
            <w:tcW w:w="848"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Отсутствует</w:t>
            </w:r>
          </w:p>
        </w:tc>
        <w:tc>
          <w:tcPr>
            <w:tcW w:w="874"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Отсутствует</w:t>
            </w:r>
          </w:p>
        </w:tc>
        <w:tc>
          <w:tcPr>
            <w:tcW w:w="793"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Имеются</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Корректировка</w:t>
            </w:r>
          </w:p>
        </w:tc>
        <w:tc>
          <w:tcPr>
            <w:tcW w:w="760"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 </w:t>
            </w:r>
          </w:p>
        </w:tc>
        <w:tc>
          <w:tcPr>
            <w:tcW w:w="830" w:type="pct"/>
            <w:shd w:val="clear" w:color="auto" w:fill="auto"/>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0,00</w:t>
            </w:r>
          </w:p>
        </w:tc>
        <w:tc>
          <w:tcPr>
            <w:tcW w:w="848" w:type="pct"/>
            <w:shd w:val="clear" w:color="auto" w:fill="auto"/>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0,00</w:t>
            </w:r>
          </w:p>
        </w:tc>
        <w:tc>
          <w:tcPr>
            <w:tcW w:w="874" w:type="pct"/>
            <w:shd w:val="clear" w:color="auto" w:fill="auto"/>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0,00</w:t>
            </w:r>
          </w:p>
        </w:tc>
        <w:tc>
          <w:tcPr>
            <w:tcW w:w="793" w:type="pct"/>
            <w:shd w:val="clear" w:color="auto" w:fill="auto"/>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-14%</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Скорректированная цена, руб/кв. м</w:t>
            </w:r>
          </w:p>
        </w:tc>
        <w:tc>
          <w:tcPr>
            <w:tcW w:w="760" w:type="pct"/>
            <w:shd w:val="clear" w:color="auto" w:fill="auto"/>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 </w:t>
            </w:r>
          </w:p>
        </w:tc>
        <w:tc>
          <w:tcPr>
            <w:tcW w:w="830" w:type="pct"/>
            <w:shd w:val="clear" w:color="auto" w:fill="auto"/>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119,84</w:t>
            </w:r>
          </w:p>
        </w:tc>
        <w:tc>
          <w:tcPr>
            <w:tcW w:w="848" w:type="pct"/>
            <w:shd w:val="clear" w:color="auto" w:fill="auto"/>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108,95</w:t>
            </w:r>
          </w:p>
        </w:tc>
        <w:tc>
          <w:tcPr>
            <w:tcW w:w="874" w:type="pct"/>
            <w:shd w:val="clear" w:color="auto" w:fill="auto"/>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114,62</w:t>
            </w:r>
          </w:p>
        </w:tc>
        <w:tc>
          <w:tcPr>
            <w:tcW w:w="793" w:type="pct"/>
            <w:shd w:val="clear" w:color="auto" w:fill="auto"/>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94,61</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Валовая корректировка</w:t>
            </w:r>
          </w:p>
        </w:tc>
        <w:tc>
          <w:tcPr>
            <w:tcW w:w="760"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w:t>
            </w:r>
          </w:p>
        </w:tc>
        <w:tc>
          <w:tcPr>
            <w:tcW w:w="830"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54,00%</w:t>
            </w:r>
          </w:p>
        </w:tc>
        <w:tc>
          <w:tcPr>
            <w:tcW w:w="848"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54,00%</w:t>
            </w:r>
          </w:p>
        </w:tc>
        <w:tc>
          <w:tcPr>
            <w:tcW w:w="874"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80,00%</w:t>
            </w:r>
          </w:p>
        </w:tc>
        <w:tc>
          <w:tcPr>
            <w:tcW w:w="793"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58,00%</w:t>
            </w:r>
          </w:p>
        </w:tc>
      </w:tr>
      <w:tr w:rsidR="006568BA" w:rsidRPr="00BF325B" w:rsidTr="00BF325B">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Вес аналога</w:t>
            </w:r>
          </w:p>
        </w:tc>
        <w:tc>
          <w:tcPr>
            <w:tcW w:w="760" w:type="pct"/>
            <w:shd w:val="clear" w:color="auto" w:fill="auto"/>
            <w:noWrap/>
            <w:vAlign w:val="center"/>
            <w:hideMark/>
          </w:tcPr>
          <w:p w:rsidR="006568BA" w:rsidRDefault="006568BA">
            <w:pPr>
              <w:rPr>
                <w:rFonts w:ascii="Cambria" w:hAnsi="Cambria"/>
                <w:color w:val="000000"/>
                <w:sz w:val="16"/>
                <w:szCs w:val="16"/>
              </w:rPr>
            </w:pPr>
            <w:r>
              <w:rPr>
                <w:rFonts w:ascii="Cambria" w:hAnsi="Cambria"/>
                <w:color w:val="000000"/>
                <w:sz w:val="16"/>
                <w:szCs w:val="16"/>
              </w:rPr>
              <w:t> </w:t>
            </w:r>
          </w:p>
        </w:tc>
        <w:tc>
          <w:tcPr>
            <w:tcW w:w="830"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26,02%</w:t>
            </w:r>
          </w:p>
        </w:tc>
        <w:tc>
          <w:tcPr>
            <w:tcW w:w="848"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26,02%</w:t>
            </w:r>
          </w:p>
        </w:tc>
        <w:tc>
          <w:tcPr>
            <w:tcW w:w="874"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22,49%</w:t>
            </w:r>
          </w:p>
        </w:tc>
        <w:tc>
          <w:tcPr>
            <w:tcW w:w="793"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25,47%</w:t>
            </w:r>
          </w:p>
        </w:tc>
      </w:tr>
      <w:tr w:rsidR="006568BA" w:rsidRPr="00BF325B" w:rsidTr="00D70166">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Величина коэффициента вариации</w:t>
            </w:r>
          </w:p>
        </w:tc>
        <w:tc>
          <w:tcPr>
            <w:tcW w:w="4105" w:type="pct"/>
            <w:gridSpan w:val="5"/>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9,94%</w:t>
            </w:r>
          </w:p>
        </w:tc>
      </w:tr>
      <w:tr w:rsidR="006568BA" w:rsidRPr="00BF325B" w:rsidTr="00D70166">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Стандартное отклонение</w:t>
            </w:r>
          </w:p>
        </w:tc>
        <w:tc>
          <w:tcPr>
            <w:tcW w:w="4105" w:type="pct"/>
            <w:gridSpan w:val="5"/>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10,88</w:t>
            </w:r>
          </w:p>
        </w:tc>
      </w:tr>
      <w:tr w:rsidR="006568BA" w:rsidRPr="00BF325B" w:rsidTr="00D70166">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Стандартная ошибка</w:t>
            </w:r>
          </w:p>
        </w:tc>
        <w:tc>
          <w:tcPr>
            <w:tcW w:w="4105" w:type="pct"/>
            <w:gridSpan w:val="5"/>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5,44</w:t>
            </w:r>
          </w:p>
        </w:tc>
      </w:tr>
      <w:tr w:rsidR="006568BA" w:rsidRPr="00BF325B" w:rsidTr="00D70166">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Доверительная вероятность</w:t>
            </w:r>
          </w:p>
        </w:tc>
        <w:tc>
          <w:tcPr>
            <w:tcW w:w="4105" w:type="pct"/>
            <w:gridSpan w:val="5"/>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90,00%</w:t>
            </w:r>
          </w:p>
        </w:tc>
      </w:tr>
      <w:tr w:rsidR="006568BA" w:rsidRPr="00BF325B" w:rsidTr="00D70166">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Pr>
                <w:rFonts w:ascii="Cambria" w:hAnsi="Cambria"/>
                <w:color w:val="000000"/>
                <w:sz w:val="16"/>
                <w:szCs w:val="16"/>
              </w:rPr>
              <w:lastRenderedPageBreak/>
              <w:t>Критерий Стьюдента для выборки 4</w:t>
            </w:r>
            <w:r w:rsidRPr="00BF325B">
              <w:rPr>
                <w:rFonts w:ascii="Cambria" w:hAnsi="Cambria"/>
                <w:color w:val="000000"/>
                <w:sz w:val="16"/>
                <w:szCs w:val="16"/>
              </w:rPr>
              <w:t xml:space="preserve"> объектов и заданной доверительной вероятностью</w:t>
            </w:r>
          </w:p>
        </w:tc>
        <w:tc>
          <w:tcPr>
            <w:tcW w:w="4105" w:type="pct"/>
            <w:gridSpan w:val="5"/>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2,92</w:t>
            </w:r>
          </w:p>
        </w:tc>
      </w:tr>
      <w:tr w:rsidR="006568BA" w:rsidRPr="00BF325B" w:rsidTr="00D70166">
        <w:trPr>
          <w:cantSplit/>
          <w:trHeight w:val="170"/>
        </w:trPr>
        <w:tc>
          <w:tcPr>
            <w:tcW w:w="895" w:type="pct"/>
            <w:shd w:val="clear" w:color="auto" w:fill="auto"/>
            <w:vAlign w:val="center"/>
            <w:hideMark/>
          </w:tcPr>
          <w:p w:rsidR="006568BA" w:rsidRPr="00BF325B" w:rsidRDefault="006568BA" w:rsidP="00D70166">
            <w:pPr>
              <w:rPr>
                <w:rFonts w:ascii="Cambria" w:hAnsi="Cambria"/>
                <w:color w:val="000000"/>
                <w:sz w:val="16"/>
                <w:szCs w:val="16"/>
              </w:rPr>
            </w:pPr>
            <w:r w:rsidRPr="00BF325B">
              <w:rPr>
                <w:rFonts w:ascii="Cambria" w:hAnsi="Cambria"/>
                <w:color w:val="000000"/>
                <w:sz w:val="16"/>
                <w:szCs w:val="16"/>
              </w:rPr>
              <w:t>Предельная ошибка</w:t>
            </w:r>
          </w:p>
        </w:tc>
        <w:tc>
          <w:tcPr>
            <w:tcW w:w="4105" w:type="pct"/>
            <w:gridSpan w:val="5"/>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14,58%</w:t>
            </w:r>
          </w:p>
        </w:tc>
      </w:tr>
      <w:tr w:rsidR="006568BA" w:rsidRPr="00BF325B" w:rsidTr="00D70166">
        <w:trPr>
          <w:cantSplit/>
          <w:trHeight w:val="170"/>
        </w:trPr>
        <w:tc>
          <w:tcPr>
            <w:tcW w:w="895" w:type="pct"/>
            <w:shd w:val="clear" w:color="auto" w:fill="auto"/>
            <w:vAlign w:val="center"/>
            <w:hideMark/>
          </w:tcPr>
          <w:p w:rsidR="006568BA" w:rsidRPr="00BF325B" w:rsidRDefault="006568BA" w:rsidP="00D70166">
            <w:pPr>
              <w:rPr>
                <w:rFonts w:ascii="Cambria" w:hAnsi="Cambria"/>
                <w:b/>
                <w:bCs/>
                <w:color w:val="000000"/>
                <w:sz w:val="16"/>
                <w:szCs w:val="16"/>
              </w:rPr>
            </w:pPr>
            <w:r w:rsidRPr="00BF325B">
              <w:rPr>
                <w:rFonts w:ascii="Cambria" w:hAnsi="Cambria"/>
                <w:b/>
                <w:bCs/>
                <w:color w:val="000000"/>
                <w:sz w:val="16"/>
                <w:szCs w:val="16"/>
              </w:rPr>
              <w:t xml:space="preserve">Средневзвешенное значение без НДС (округл.), руб./кв. м </w:t>
            </w:r>
          </w:p>
        </w:tc>
        <w:tc>
          <w:tcPr>
            <w:tcW w:w="4105" w:type="pct"/>
            <w:gridSpan w:val="5"/>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109</w:t>
            </w:r>
          </w:p>
        </w:tc>
      </w:tr>
    </w:tbl>
    <w:p w:rsidR="006A199E" w:rsidRPr="009477DB" w:rsidRDefault="006A199E" w:rsidP="006A199E">
      <w:pPr>
        <w:spacing w:before="100" w:after="100"/>
        <w:jc w:val="both"/>
        <w:rPr>
          <w:rFonts w:ascii="Bookman Old Style" w:hAnsi="Bookman Old Style"/>
          <w:color w:val="000000"/>
          <w:sz w:val="20"/>
          <w:szCs w:val="20"/>
        </w:rPr>
      </w:pPr>
      <w:r w:rsidRPr="009477DB">
        <w:rPr>
          <w:rFonts w:ascii="Bookman Old Style" w:hAnsi="Bookman Old Style"/>
          <w:color w:val="000000"/>
          <w:sz w:val="20"/>
          <w:szCs w:val="20"/>
        </w:rPr>
        <w:t>Обоснование выбора элементов сравнения, расчет корректировок:</w:t>
      </w:r>
    </w:p>
    <w:p w:rsidR="006A199E" w:rsidRPr="00431CC5" w:rsidRDefault="006A199E" w:rsidP="006A199E">
      <w:pPr>
        <w:spacing w:before="120" w:after="120"/>
        <w:jc w:val="both"/>
        <w:rPr>
          <w:rFonts w:ascii="Bookman Old Style" w:hAnsi="Bookman Old Style"/>
          <w:color w:val="000000"/>
          <w:sz w:val="20"/>
          <w:szCs w:val="20"/>
        </w:rPr>
      </w:pPr>
      <w:r w:rsidRPr="007517CA">
        <w:rPr>
          <w:rFonts w:ascii="Bookman Old Style" w:hAnsi="Bookman Old Style"/>
          <w:color w:val="000000"/>
          <w:sz w:val="20"/>
          <w:szCs w:val="20"/>
        </w:rPr>
        <w:tab/>
        <w:t>При проведении расчета рыночной стоимости</w:t>
      </w:r>
      <w:r>
        <w:rPr>
          <w:rFonts w:ascii="Bookman Old Style" w:hAnsi="Bookman Old Style"/>
          <w:color w:val="000000"/>
          <w:sz w:val="20"/>
          <w:szCs w:val="20"/>
        </w:rPr>
        <w:t xml:space="preserve"> элементов Объекта оценки каждой группы объектов,</w:t>
      </w:r>
      <w:r w:rsidRPr="007517CA">
        <w:rPr>
          <w:rFonts w:ascii="Bookman Old Style" w:hAnsi="Bookman Old Style"/>
          <w:color w:val="000000"/>
          <w:sz w:val="20"/>
          <w:szCs w:val="20"/>
        </w:rPr>
        <w:t xml:space="preserve"> использован</w:t>
      </w:r>
      <w:r>
        <w:rPr>
          <w:rFonts w:ascii="Bookman Old Style" w:hAnsi="Bookman Old Style"/>
          <w:color w:val="000000"/>
          <w:sz w:val="20"/>
          <w:szCs w:val="20"/>
        </w:rPr>
        <w:t>а следующая логика процесса оценки и расчет корректировок:</w:t>
      </w:r>
    </w:p>
    <w:p w:rsidR="006A199E" w:rsidRPr="006A199E" w:rsidRDefault="006A199E" w:rsidP="006568BA">
      <w:pPr>
        <w:pStyle w:val="aff2"/>
        <w:numPr>
          <w:ilvl w:val="0"/>
          <w:numId w:val="46"/>
        </w:numPr>
        <w:spacing w:before="120" w:after="120"/>
        <w:contextualSpacing w:val="0"/>
        <w:jc w:val="both"/>
        <w:rPr>
          <w:rFonts w:ascii="Bookman Old Style" w:hAnsi="Bookman Old Style"/>
          <w:sz w:val="20"/>
          <w:szCs w:val="20"/>
        </w:rPr>
      </w:pPr>
      <w:r w:rsidRPr="006A199E">
        <w:rPr>
          <w:rFonts w:ascii="Bookman Old Style" w:hAnsi="Bookman Old Style"/>
          <w:sz w:val="20"/>
          <w:szCs w:val="20"/>
        </w:rPr>
        <w:t>Корректировка на торг. Расчет корректировки проведен экспертным методом</w:t>
      </w:r>
      <w:r w:rsidRPr="00EE24D6">
        <w:rPr>
          <w:rFonts w:ascii="Bookman Old Style" w:hAnsi="Bookman Old Style"/>
          <w:sz w:val="20"/>
          <w:szCs w:val="20"/>
          <w:vertAlign w:val="superscript"/>
        </w:rPr>
        <w:footnoteReference w:id="60"/>
      </w:r>
      <w:r w:rsidRPr="006A199E">
        <w:rPr>
          <w:rFonts w:ascii="Bookman Old Style" w:hAnsi="Bookman Old Style"/>
          <w:sz w:val="20"/>
          <w:szCs w:val="20"/>
        </w:rPr>
        <w:t xml:space="preserve">. Среднее значение диапазона скидок к арендной ставке </w:t>
      </w:r>
      <w:r w:rsidR="00BF325B" w:rsidRPr="00BF325B">
        <w:rPr>
          <w:rFonts w:ascii="Bookman Old Style" w:hAnsi="Bookman Old Style"/>
          <w:sz w:val="20"/>
          <w:szCs w:val="20"/>
        </w:rPr>
        <w:t xml:space="preserve">производственно-складской недвижимости </w:t>
      </w:r>
      <w:r w:rsidRPr="006A199E">
        <w:rPr>
          <w:rFonts w:ascii="Bookman Old Style" w:hAnsi="Bookman Old Style"/>
          <w:sz w:val="20"/>
          <w:szCs w:val="20"/>
        </w:rPr>
        <w:t xml:space="preserve">в условиях активного рынка составляет диапазон от </w:t>
      </w:r>
      <w:r w:rsidR="00BF325B">
        <w:rPr>
          <w:rFonts w:ascii="Bookman Old Style" w:hAnsi="Bookman Old Style"/>
          <w:sz w:val="20"/>
          <w:szCs w:val="20"/>
        </w:rPr>
        <w:t>8</w:t>
      </w:r>
      <w:r w:rsidRPr="006A199E">
        <w:rPr>
          <w:rFonts w:ascii="Bookman Old Style" w:hAnsi="Bookman Old Style"/>
          <w:sz w:val="20"/>
          <w:szCs w:val="20"/>
        </w:rPr>
        <w:t xml:space="preserve">% до </w:t>
      </w:r>
      <w:r w:rsidR="00BF325B">
        <w:rPr>
          <w:rFonts w:ascii="Bookman Old Style" w:hAnsi="Bookman Old Style"/>
          <w:sz w:val="20"/>
          <w:szCs w:val="20"/>
        </w:rPr>
        <w:t>9</w:t>
      </w:r>
      <w:r w:rsidRPr="006A199E">
        <w:rPr>
          <w:rFonts w:ascii="Bookman Old Style" w:hAnsi="Bookman Old Style"/>
          <w:sz w:val="20"/>
          <w:szCs w:val="20"/>
        </w:rPr>
        <w:t>%. При расчете выбрано значение диапазона равное -</w:t>
      </w:r>
      <w:r w:rsidR="006568BA">
        <w:rPr>
          <w:rFonts w:ascii="Bookman Old Style" w:hAnsi="Bookman Old Style"/>
          <w:sz w:val="20"/>
          <w:szCs w:val="20"/>
        </w:rPr>
        <w:t>9</w:t>
      </w:r>
      <w:r w:rsidRPr="006A199E">
        <w:rPr>
          <w:rFonts w:ascii="Bookman Old Style" w:hAnsi="Bookman Old Style"/>
          <w:sz w:val="20"/>
          <w:szCs w:val="20"/>
        </w:rPr>
        <w:t>%</w:t>
      </w:r>
      <w:r w:rsidR="006568BA">
        <w:rPr>
          <w:rFonts w:ascii="Bookman Old Style" w:hAnsi="Bookman Old Style"/>
          <w:sz w:val="20"/>
          <w:szCs w:val="20"/>
        </w:rPr>
        <w:t>.</w:t>
      </w:r>
      <w:r w:rsidR="006568BA" w:rsidRPr="006568BA">
        <w:t xml:space="preserve"> </w:t>
      </w:r>
      <w:r w:rsidR="00BF325B" w:rsidRPr="00BF325B">
        <w:t xml:space="preserve"> </w:t>
      </w:r>
    </w:p>
    <w:p w:rsidR="006A199E" w:rsidRDefault="006A199E" w:rsidP="00303E37">
      <w:pPr>
        <w:numPr>
          <w:ilvl w:val="0"/>
          <w:numId w:val="46"/>
        </w:numPr>
        <w:spacing w:before="120" w:after="120"/>
        <w:jc w:val="both"/>
        <w:rPr>
          <w:rFonts w:ascii="Bookman Old Style" w:hAnsi="Bookman Old Style"/>
          <w:sz w:val="20"/>
          <w:szCs w:val="20"/>
        </w:rPr>
      </w:pPr>
      <w:r w:rsidRPr="006A199E">
        <w:rPr>
          <w:rFonts w:ascii="Bookman Old Style" w:hAnsi="Bookman Old Style"/>
          <w:sz w:val="20"/>
          <w:szCs w:val="20"/>
        </w:rPr>
        <w:t>Корректировка на площадь. По данному элементу сравнения выявлено отличие части элементов Объекта оценки и объектов аналогов. Для расчета корректировки физических характеристик использовался экспертный метод</w:t>
      </w:r>
      <w:r w:rsidRPr="00EE24D6">
        <w:rPr>
          <w:rFonts w:ascii="Bookman Old Style" w:hAnsi="Bookman Old Style"/>
          <w:sz w:val="20"/>
          <w:szCs w:val="20"/>
          <w:vertAlign w:val="superscript"/>
        </w:rPr>
        <w:footnoteReference w:id="61"/>
      </w:r>
      <w:r w:rsidRPr="00EE24D6">
        <w:rPr>
          <w:rFonts w:ascii="Bookman Old Style" w:hAnsi="Bookman Old Style"/>
          <w:sz w:val="20"/>
          <w:szCs w:val="20"/>
        </w:rPr>
        <w:t xml:space="preserve">. </w:t>
      </w:r>
      <w:r w:rsidRPr="004A1E09">
        <w:rPr>
          <w:rFonts w:ascii="Bookman Old Style" w:hAnsi="Bookman Old Style"/>
          <w:sz w:val="20"/>
          <w:szCs w:val="20"/>
        </w:rPr>
        <w:t xml:space="preserve">При расчете </w:t>
      </w:r>
      <w:r w:rsidRPr="006A199E">
        <w:rPr>
          <w:rFonts w:ascii="Bookman Old Style" w:hAnsi="Bookman Old Style"/>
          <w:sz w:val="20"/>
          <w:szCs w:val="20"/>
        </w:rPr>
        <w:t xml:space="preserve">арендной ставки </w:t>
      </w:r>
      <w:r>
        <w:rPr>
          <w:rFonts w:ascii="Bookman Old Style" w:hAnsi="Bookman Old Style"/>
          <w:sz w:val="20"/>
          <w:szCs w:val="20"/>
        </w:rPr>
        <w:t>нежилого помещения</w:t>
      </w:r>
      <w:r w:rsidRPr="004A1E09">
        <w:rPr>
          <w:rFonts w:ascii="Bookman Old Style" w:hAnsi="Bookman Old Style"/>
          <w:sz w:val="20"/>
          <w:szCs w:val="20"/>
        </w:rPr>
        <w:t xml:space="preserve"> </w:t>
      </w:r>
      <w:r w:rsidR="00BF325B" w:rsidRPr="00BF325B">
        <w:rPr>
          <w:rFonts w:ascii="Bookman Old Style" w:hAnsi="Bookman Old Style"/>
          <w:sz w:val="20"/>
          <w:szCs w:val="20"/>
        </w:rPr>
        <w:t>производственно-складско</w:t>
      </w:r>
      <w:r w:rsidR="00BF325B">
        <w:rPr>
          <w:rFonts w:ascii="Bookman Old Style" w:hAnsi="Bookman Old Style"/>
          <w:sz w:val="20"/>
          <w:szCs w:val="20"/>
        </w:rPr>
        <w:t>го</w:t>
      </w:r>
      <w:r w:rsidR="00BF325B" w:rsidRPr="00BF325B">
        <w:rPr>
          <w:rFonts w:ascii="Bookman Old Style" w:hAnsi="Bookman Old Style"/>
          <w:sz w:val="20"/>
          <w:szCs w:val="20"/>
        </w:rPr>
        <w:t xml:space="preserve"> </w:t>
      </w:r>
      <w:r>
        <w:rPr>
          <w:rFonts w:ascii="Bookman Old Style" w:hAnsi="Bookman Old Style"/>
          <w:sz w:val="20"/>
          <w:szCs w:val="20"/>
        </w:rPr>
        <w:t xml:space="preserve">назначения </w:t>
      </w:r>
      <w:r w:rsidRPr="004A1E09">
        <w:rPr>
          <w:rFonts w:ascii="Bookman Old Style" w:hAnsi="Bookman Old Style"/>
          <w:sz w:val="20"/>
          <w:szCs w:val="20"/>
        </w:rPr>
        <w:t xml:space="preserve">площадью </w:t>
      </w:r>
      <w:r w:rsidR="00BF325B" w:rsidRPr="00BF325B">
        <w:rPr>
          <w:rFonts w:ascii="Bookman Old Style" w:hAnsi="Bookman Old Style"/>
          <w:sz w:val="20"/>
          <w:szCs w:val="20"/>
        </w:rPr>
        <w:t>&gt;1000</w:t>
      </w:r>
      <w:r w:rsidRPr="004A1E09">
        <w:rPr>
          <w:rFonts w:ascii="Bookman Old Style" w:hAnsi="Bookman Old Style"/>
          <w:sz w:val="20"/>
          <w:szCs w:val="20"/>
        </w:rPr>
        <w:t xml:space="preserve"> </w:t>
      </w:r>
      <w:r>
        <w:rPr>
          <w:rFonts w:ascii="Bookman Old Style" w:hAnsi="Bookman Old Style"/>
          <w:sz w:val="20"/>
          <w:szCs w:val="20"/>
        </w:rPr>
        <w:t>кв.м.</w:t>
      </w:r>
      <w:r w:rsidRPr="004A1E09">
        <w:rPr>
          <w:rFonts w:ascii="Bookman Old Style" w:hAnsi="Bookman Old Style"/>
          <w:sz w:val="20"/>
          <w:szCs w:val="20"/>
        </w:rPr>
        <w:t xml:space="preserve">, </w:t>
      </w:r>
      <w:r>
        <w:rPr>
          <w:rFonts w:ascii="Bookman Old Style" w:hAnsi="Bookman Old Style"/>
          <w:sz w:val="20"/>
          <w:szCs w:val="20"/>
        </w:rPr>
        <w:t>понижающий</w:t>
      </w:r>
      <w:r w:rsidRPr="004A1E09">
        <w:rPr>
          <w:rFonts w:ascii="Bookman Old Style" w:hAnsi="Bookman Old Style"/>
          <w:sz w:val="20"/>
          <w:szCs w:val="20"/>
        </w:rPr>
        <w:t xml:space="preserve"> корректирующий коэффициент для Аналог</w:t>
      </w:r>
      <w:r>
        <w:rPr>
          <w:rFonts w:ascii="Bookman Old Style" w:hAnsi="Bookman Old Style"/>
          <w:sz w:val="20"/>
          <w:szCs w:val="20"/>
        </w:rPr>
        <w:t>ов</w:t>
      </w:r>
      <w:r w:rsidRPr="004A1E09">
        <w:rPr>
          <w:rFonts w:ascii="Bookman Old Style" w:hAnsi="Bookman Old Style"/>
          <w:sz w:val="20"/>
          <w:szCs w:val="20"/>
        </w:rPr>
        <w:t xml:space="preserve"> № 1</w:t>
      </w:r>
      <w:r w:rsidR="00BF325B">
        <w:rPr>
          <w:rFonts w:ascii="Bookman Old Style" w:hAnsi="Bookman Old Style"/>
          <w:sz w:val="20"/>
          <w:szCs w:val="20"/>
        </w:rPr>
        <w:t>, № 2</w:t>
      </w:r>
      <w:r>
        <w:rPr>
          <w:rFonts w:ascii="Bookman Old Style" w:hAnsi="Bookman Old Style"/>
          <w:sz w:val="20"/>
          <w:szCs w:val="20"/>
        </w:rPr>
        <w:t>,</w:t>
      </w:r>
      <w:r w:rsidR="006568BA">
        <w:rPr>
          <w:rFonts w:ascii="Bookman Old Style" w:hAnsi="Bookman Old Style"/>
          <w:sz w:val="20"/>
          <w:szCs w:val="20"/>
        </w:rPr>
        <w:t xml:space="preserve"> № 3</w:t>
      </w:r>
      <w:r>
        <w:rPr>
          <w:rFonts w:ascii="Bookman Old Style" w:hAnsi="Bookman Old Style"/>
          <w:sz w:val="20"/>
          <w:szCs w:val="20"/>
        </w:rPr>
        <w:t xml:space="preserve"> </w:t>
      </w:r>
      <w:r w:rsidRPr="004A1E09">
        <w:rPr>
          <w:rFonts w:ascii="Bookman Old Style" w:hAnsi="Bookman Old Style"/>
          <w:sz w:val="20"/>
          <w:szCs w:val="20"/>
        </w:rPr>
        <w:t xml:space="preserve">составляет </w:t>
      </w:r>
      <w:r>
        <w:rPr>
          <w:rFonts w:ascii="Bookman Old Style" w:hAnsi="Bookman Old Style"/>
          <w:sz w:val="20"/>
          <w:szCs w:val="20"/>
        </w:rPr>
        <w:t>-</w:t>
      </w:r>
      <w:r w:rsidR="00BF325B">
        <w:rPr>
          <w:rFonts w:ascii="Bookman Old Style" w:hAnsi="Bookman Old Style"/>
          <w:sz w:val="20"/>
          <w:szCs w:val="20"/>
        </w:rPr>
        <w:t>18%,</w:t>
      </w:r>
      <w:r w:rsidR="00BF325B" w:rsidRPr="00BF325B">
        <w:rPr>
          <w:rFonts w:ascii="Bookman Old Style" w:hAnsi="Bookman Old Style"/>
          <w:sz w:val="20"/>
          <w:szCs w:val="20"/>
        </w:rPr>
        <w:t xml:space="preserve"> для Аналог</w:t>
      </w:r>
      <w:r w:rsidR="006568BA">
        <w:rPr>
          <w:rFonts w:ascii="Bookman Old Style" w:hAnsi="Bookman Old Style"/>
          <w:sz w:val="20"/>
          <w:szCs w:val="20"/>
        </w:rPr>
        <w:t>а</w:t>
      </w:r>
      <w:r w:rsidR="00BF325B" w:rsidRPr="00BF325B">
        <w:rPr>
          <w:rFonts w:ascii="Bookman Old Style" w:hAnsi="Bookman Old Style"/>
          <w:sz w:val="20"/>
          <w:szCs w:val="20"/>
        </w:rPr>
        <w:t xml:space="preserve"> № 4 понижающий корректирующий коэффициент составляет -8%.</w:t>
      </w:r>
      <w:r w:rsidR="006568BA">
        <w:rPr>
          <w:rFonts w:ascii="Bookman Old Style" w:hAnsi="Bookman Old Style"/>
          <w:sz w:val="20"/>
          <w:szCs w:val="20"/>
        </w:rPr>
        <w:t xml:space="preserve"> </w:t>
      </w:r>
      <w:r w:rsidR="006568BA" w:rsidRPr="006568BA">
        <w:rPr>
          <w:rFonts w:ascii="Bookman Old Style" w:hAnsi="Bookman Old Style"/>
          <w:sz w:val="20"/>
          <w:szCs w:val="20"/>
        </w:rPr>
        <w:t xml:space="preserve">При расчете арендной ставки нежилого помещения </w:t>
      </w:r>
      <w:r w:rsidR="006568BA">
        <w:rPr>
          <w:rFonts w:ascii="Bookman Old Style" w:hAnsi="Bookman Old Style"/>
          <w:sz w:val="20"/>
          <w:szCs w:val="20"/>
        </w:rPr>
        <w:t>административно-офисного</w:t>
      </w:r>
      <w:r w:rsidR="006568BA" w:rsidRPr="006568BA">
        <w:rPr>
          <w:rFonts w:ascii="Bookman Old Style" w:hAnsi="Bookman Old Style"/>
          <w:sz w:val="20"/>
          <w:szCs w:val="20"/>
        </w:rPr>
        <w:t xml:space="preserve"> назначения площадью </w:t>
      </w:r>
      <w:r w:rsidR="006568BA">
        <w:rPr>
          <w:rFonts w:ascii="Bookman Old Style" w:hAnsi="Bookman Old Style"/>
          <w:sz w:val="20"/>
          <w:szCs w:val="20"/>
        </w:rPr>
        <w:t>300-1000</w:t>
      </w:r>
      <w:r w:rsidR="006568BA" w:rsidRPr="006568BA">
        <w:rPr>
          <w:rFonts w:ascii="Bookman Old Style" w:hAnsi="Bookman Old Style"/>
          <w:sz w:val="20"/>
          <w:szCs w:val="20"/>
        </w:rPr>
        <w:t xml:space="preserve"> кв.м., понижающий корректирующий коэффициент для Аналогов № 1</w:t>
      </w:r>
      <w:r w:rsidR="006568BA">
        <w:rPr>
          <w:rFonts w:ascii="Bookman Old Style" w:hAnsi="Bookman Old Style"/>
          <w:sz w:val="20"/>
          <w:szCs w:val="20"/>
        </w:rPr>
        <w:t>-3</w:t>
      </w:r>
      <w:r w:rsidR="006568BA" w:rsidRPr="006568BA">
        <w:rPr>
          <w:rFonts w:ascii="Bookman Old Style" w:hAnsi="Bookman Old Style"/>
          <w:sz w:val="20"/>
          <w:szCs w:val="20"/>
        </w:rPr>
        <w:t xml:space="preserve"> составляет -</w:t>
      </w:r>
      <w:r w:rsidR="006568BA">
        <w:rPr>
          <w:rFonts w:ascii="Bookman Old Style" w:hAnsi="Bookman Old Style"/>
          <w:sz w:val="20"/>
          <w:szCs w:val="20"/>
        </w:rPr>
        <w:t>7%.</w:t>
      </w:r>
    </w:p>
    <w:p w:rsidR="00BF325B" w:rsidRPr="00BF325B" w:rsidRDefault="00BF325B" w:rsidP="00303E37">
      <w:pPr>
        <w:pStyle w:val="aff2"/>
        <w:numPr>
          <w:ilvl w:val="0"/>
          <w:numId w:val="46"/>
        </w:numPr>
        <w:spacing w:before="120" w:after="120"/>
        <w:contextualSpacing w:val="0"/>
        <w:jc w:val="both"/>
        <w:rPr>
          <w:rFonts w:ascii="Bookman Old Style" w:hAnsi="Bookman Old Style"/>
          <w:iCs/>
          <w:sz w:val="20"/>
          <w:szCs w:val="20"/>
        </w:rPr>
      </w:pPr>
      <w:r w:rsidRPr="00BF325B">
        <w:rPr>
          <w:rFonts w:ascii="Bookman Old Style" w:hAnsi="Bookman Old Style"/>
          <w:sz w:val="20"/>
          <w:szCs w:val="20"/>
        </w:rPr>
        <w:t>Наличие отопления. По данному элементу сравнения выявлено отличие Объект</w:t>
      </w:r>
      <w:r w:rsidR="006568BA">
        <w:rPr>
          <w:rFonts w:ascii="Bookman Old Style" w:hAnsi="Bookman Old Style"/>
          <w:sz w:val="20"/>
          <w:szCs w:val="20"/>
        </w:rPr>
        <w:t>а</w:t>
      </w:r>
      <w:r w:rsidRPr="00BF325B">
        <w:rPr>
          <w:rFonts w:ascii="Bookman Old Style" w:hAnsi="Bookman Old Style"/>
          <w:sz w:val="20"/>
          <w:szCs w:val="20"/>
        </w:rPr>
        <w:t xml:space="preserve"> оценки и объектов аналогов. Данная корректировка определена с использованием шкалы корректировок</w:t>
      </w:r>
      <w:r w:rsidRPr="001F1CCF">
        <w:rPr>
          <w:rFonts w:ascii="Bookman Old Style" w:hAnsi="Bookman Old Style"/>
          <w:sz w:val="20"/>
          <w:szCs w:val="20"/>
          <w:vertAlign w:val="superscript"/>
        </w:rPr>
        <w:footnoteReference w:id="62"/>
      </w:r>
      <w:r w:rsidRPr="001F1CCF">
        <w:rPr>
          <w:rFonts w:ascii="Bookman Old Style" w:hAnsi="Bookman Old Style"/>
          <w:sz w:val="20"/>
          <w:szCs w:val="20"/>
        </w:rPr>
        <w:t>.</w:t>
      </w:r>
      <w:r>
        <w:rPr>
          <w:rFonts w:ascii="Bookman Old Style" w:hAnsi="Bookman Old Style"/>
          <w:sz w:val="20"/>
          <w:szCs w:val="20"/>
        </w:rPr>
        <w:t xml:space="preserve"> </w:t>
      </w:r>
      <w:r w:rsidRPr="00BF325B">
        <w:rPr>
          <w:rFonts w:ascii="Bookman Old Style" w:hAnsi="Bookman Old Style"/>
          <w:iCs/>
          <w:sz w:val="20"/>
          <w:szCs w:val="20"/>
        </w:rPr>
        <w:t xml:space="preserve">Экспертное значение диапазона отношения ставки аренды </w:t>
      </w:r>
      <w:r>
        <w:rPr>
          <w:rFonts w:ascii="Bookman Old Style" w:hAnsi="Bookman Old Style"/>
          <w:iCs/>
          <w:sz w:val="20"/>
          <w:szCs w:val="20"/>
        </w:rPr>
        <w:t>отапливаемых производственно-складских</w:t>
      </w:r>
      <w:r w:rsidRPr="00BF325B">
        <w:rPr>
          <w:rFonts w:ascii="Bookman Old Style" w:hAnsi="Bookman Old Style"/>
          <w:iCs/>
          <w:sz w:val="20"/>
          <w:szCs w:val="20"/>
        </w:rPr>
        <w:t xml:space="preserve"> объектов к ставке аренды такого же </w:t>
      </w:r>
      <w:r>
        <w:rPr>
          <w:rFonts w:ascii="Bookman Old Style" w:hAnsi="Bookman Old Style"/>
          <w:iCs/>
          <w:sz w:val="20"/>
          <w:szCs w:val="20"/>
        </w:rPr>
        <w:t xml:space="preserve">неотапливаемого </w:t>
      </w:r>
      <w:r w:rsidRPr="00BF325B">
        <w:rPr>
          <w:rFonts w:ascii="Bookman Old Style" w:hAnsi="Bookman Old Style"/>
          <w:iCs/>
          <w:sz w:val="20"/>
          <w:szCs w:val="20"/>
        </w:rPr>
        <w:t xml:space="preserve">объекта, </w:t>
      </w:r>
      <w:r>
        <w:rPr>
          <w:rFonts w:ascii="Bookman Old Style" w:hAnsi="Bookman Old Style"/>
          <w:iCs/>
          <w:sz w:val="20"/>
          <w:szCs w:val="20"/>
        </w:rPr>
        <w:t>составляет диапазон 0,72</w:t>
      </w:r>
      <w:r w:rsidRPr="00BF325B">
        <w:rPr>
          <w:rFonts w:ascii="Bookman Old Style" w:hAnsi="Bookman Old Style"/>
          <w:iCs/>
          <w:sz w:val="20"/>
          <w:szCs w:val="20"/>
        </w:rPr>
        <w:t>-0,7</w:t>
      </w:r>
      <w:r>
        <w:rPr>
          <w:rFonts w:ascii="Bookman Old Style" w:hAnsi="Bookman Old Style"/>
          <w:iCs/>
          <w:sz w:val="20"/>
          <w:szCs w:val="20"/>
        </w:rPr>
        <w:t>5</w:t>
      </w:r>
      <w:r w:rsidRPr="00BF325B">
        <w:rPr>
          <w:rFonts w:ascii="Bookman Old Style" w:hAnsi="Bookman Old Style"/>
          <w:iCs/>
          <w:sz w:val="20"/>
          <w:szCs w:val="20"/>
        </w:rPr>
        <w:t>. При расчете выбрано рекомендованное среднее значение 0,7</w:t>
      </w:r>
      <w:r>
        <w:rPr>
          <w:rFonts w:ascii="Bookman Old Style" w:hAnsi="Bookman Old Style"/>
          <w:iCs/>
          <w:sz w:val="20"/>
          <w:szCs w:val="20"/>
        </w:rPr>
        <w:t>3</w:t>
      </w:r>
      <w:r w:rsidRPr="00BF325B">
        <w:rPr>
          <w:rFonts w:ascii="Bookman Old Style" w:hAnsi="Bookman Old Style"/>
          <w:iCs/>
          <w:sz w:val="20"/>
          <w:szCs w:val="20"/>
        </w:rPr>
        <w:t>, понижающая корректировка составит величину -2</w:t>
      </w:r>
      <w:r>
        <w:rPr>
          <w:rFonts w:ascii="Bookman Old Style" w:hAnsi="Bookman Old Style"/>
          <w:iCs/>
          <w:sz w:val="20"/>
          <w:szCs w:val="20"/>
        </w:rPr>
        <w:t>7</w:t>
      </w:r>
      <w:r w:rsidRPr="00BF325B">
        <w:rPr>
          <w:rFonts w:ascii="Bookman Old Style" w:hAnsi="Bookman Old Style"/>
          <w:iCs/>
          <w:sz w:val="20"/>
          <w:szCs w:val="20"/>
        </w:rPr>
        <w:t xml:space="preserve">,0%.  </w:t>
      </w:r>
    </w:p>
    <w:p w:rsidR="006A199E" w:rsidRDefault="006A199E" w:rsidP="00303E37">
      <w:pPr>
        <w:pStyle w:val="aff2"/>
        <w:numPr>
          <w:ilvl w:val="0"/>
          <w:numId w:val="46"/>
        </w:numPr>
        <w:spacing w:before="120" w:after="120"/>
        <w:contextualSpacing w:val="0"/>
        <w:jc w:val="both"/>
        <w:rPr>
          <w:rFonts w:ascii="Bookman Old Style" w:hAnsi="Bookman Old Style"/>
          <w:sz w:val="20"/>
          <w:szCs w:val="20"/>
        </w:rPr>
      </w:pPr>
      <w:r w:rsidRPr="006A199E">
        <w:rPr>
          <w:rFonts w:ascii="Bookman Old Style" w:hAnsi="Bookman Old Style"/>
          <w:sz w:val="20"/>
          <w:szCs w:val="20"/>
        </w:rPr>
        <w:t>Техническое состояние нежилого помещения. Расчет корректировки проведен экспертным методом</w:t>
      </w:r>
      <w:r w:rsidRPr="00431CC5">
        <w:rPr>
          <w:rFonts w:ascii="Bookman Old Style" w:hAnsi="Bookman Old Style"/>
          <w:sz w:val="20"/>
          <w:szCs w:val="20"/>
          <w:vertAlign w:val="superscript"/>
        </w:rPr>
        <w:footnoteReference w:id="63"/>
      </w:r>
      <w:r w:rsidRPr="006A199E">
        <w:rPr>
          <w:rFonts w:ascii="Bookman Old Style" w:hAnsi="Bookman Old Style"/>
          <w:sz w:val="20"/>
          <w:szCs w:val="20"/>
        </w:rPr>
        <w:t xml:space="preserve">. Экспертное значение диапазона отношения </w:t>
      </w:r>
      <w:r w:rsidRPr="006A199E">
        <w:rPr>
          <w:rFonts w:ascii="Bookman Old Style" w:hAnsi="Bookman Old Style"/>
          <w:iCs/>
          <w:sz w:val="20"/>
          <w:szCs w:val="20"/>
        </w:rPr>
        <w:t xml:space="preserve">ставки аренды </w:t>
      </w:r>
      <w:r w:rsidR="004663F5">
        <w:rPr>
          <w:rFonts w:ascii="Bookman Old Style" w:hAnsi="Bookman Old Style"/>
          <w:sz w:val="20"/>
          <w:szCs w:val="20"/>
        </w:rPr>
        <w:t>административно-офисных</w:t>
      </w:r>
      <w:r w:rsidRPr="006A199E">
        <w:rPr>
          <w:rFonts w:ascii="Bookman Old Style" w:hAnsi="Bookman Old Style"/>
          <w:sz w:val="20"/>
          <w:szCs w:val="20"/>
        </w:rPr>
        <w:t xml:space="preserve"> </w:t>
      </w:r>
      <w:r w:rsidR="00390688">
        <w:rPr>
          <w:rFonts w:ascii="Bookman Old Style" w:hAnsi="Bookman Old Style"/>
          <w:sz w:val="20"/>
          <w:szCs w:val="20"/>
        </w:rPr>
        <w:t xml:space="preserve">и производственно-складских </w:t>
      </w:r>
      <w:r w:rsidRPr="006A199E">
        <w:rPr>
          <w:rFonts w:ascii="Bookman Old Style" w:hAnsi="Bookman Old Style"/>
          <w:sz w:val="20"/>
          <w:szCs w:val="20"/>
        </w:rPr>
        <w:t xml:space="preserve">объектов находящихся в неудовлетворительном состоянии к </w:t>
      </w:r>
      <w:r w:rsidRPr="006A199E">
        <w:rPr>
          <w:rFonts w:ascii="Bookman Old Style" w:hAnsi="Bookman Old Style"/>
          <w:iCs/>
          <w:sz w:val="20"/>
          <w:szCs w:val="20"/>
        </w:rPr>
        <w:t>ставк</w:t>
      </w:r>
      <w:r>
        <w:rPr>
          <w:rFonts w:ascii="Bookman Old Style" w:hAnsi="Bookman Old Style"/>
          <w:iCs/>
          <w:sz w:val="20"/>
          <w:szCs w:val="20"/>
        </w:rPr>
        <w:t>е</w:t>
      </w:r>
      <w:r w:rsidRPr="006A199E">
        <w:rPr>
          <w:rFonts w:ascii="Bookman Old Style" w:hAnsi="Bookman Old Style"/>
          <w:iCs/>
          <w:sz w:val="20"/>
          <w:szCs w:val="20"/>
        </w:rPr>
        <w:t xml:space="preserve"> аренды </w:t>
      </w:r>
      <w:r w:rsidRPr="006A199E">
        <w:rPr>
          <w:rFonts w:ascii="Bookman Old Style" w:hAnsi="Bookman Old Style"/>
          <w:sz w:val="20"/>
          <w:szCs w:val="20"/>
        </w:rPr>
        <w:t>такого же объекта, находящегося в удовлетворительном состоянии составляет диапазон 0,71-0,76</w:t>
      </w:r>
      <w:r w:rsidR="00390688">
        <w:rPr>
          <w:rFonts w:ascii="Bookman Old Style" w:hAnsi="Bookman Old Style"/>
          <w:sz w:val="20"/>
          <w:szCs w:val="20"/>
        </w:rPr>
        <w:t xml:space="preserve"> и 0,72-0,76 соответственно</w:t>
      </w:r>
      <w:r w:rsidRPr="006A199E">
        <w:rPr>
          <w:rFonts w:ascii="Bookman Old Style" w:hAnsi="Bookman Old Style"/>
          <w:sz w:val="20"/>
          <w:szCs w:val="20"/>
        </w:rPr>
        <w:t xml:space="preserve">. При расчете выбрано рекомендованное среднее значение 0,74, </w:t>
      </w:r>
      <w:r w:rsidR="006568BA">
        <w:rPr>
          <w:rFonts w:ascii="Bookman Old Style" w:hAnsi="Bookman Old Style"/>
          <w:sz w:val="20"/>
          <w:szCs w:val="20"/>
        </w:rPr>
        <w:t>повышающая</w:t>
      </w:r>
      <w:r w:rsidRPr="006A199E">
        <w:rPr>
          <w:rFonts w:ascii="Bookman Old Style" w:hAnsi="Bookman Old Style"/>
          <w:sz w:val="20"/>
          <w:szCs w:val="20"/>
        </w:rPr>
        <w:t xml:space="preserve"> корректировка составит величину </w:t>
      </w:r>
      <w:r w:rsidR="006568BA">
        <w:rPr>
          <w:rFonts w:ascii="Bookman Old Style" w:hAnsi="Bookman Old Style"/>
          <w:sz w:val="20"/>
          <w:szCs w:val="20"/>
        </w:rPr>
        <w:t>+</w:t>
      </w:r>
      <w:r w:rsidRPr="006A199E">
        <w:rPr>
          <w:rFonts w:ascii="Bookman Old Style" w:hAnsi="Bookman Old Style"/>
          <w:sz w:val="20"/>
          <w:szCs w:val="20"/>
        </w:rPr>
        <w:t xml:space="preserve">26,0%. </w:t>
      </w:r>
      <w:r>
        <w:rPr>
          <w:rFonts w:ascii="Bookman Old Style" w:hAnsi="Bookman Old Style"/>
          <w:sz w:val="20"/>
          <w:szCs w:val="20"/>
        </w:rPr>
        <w:t xml:space="preserve"> </w:t>
      </w:r>
    </w:p>
    <w:p w:rsidR="006568BA" w:rsidRDefault="006568BA" w:rsidP="006568BA">
      <w:pPr>
        <w:pStyle w:val="aff2"/>
        <w:numPr>
          <w:ilvl w:val="0"/>
          <w:numId w:val="46"/>
        </w:numPr>
        <w:spacing w:before="120" w:after="120"/>
        <w:contextualSpacing w:val="0"/>
        <w:jc w:val="both"/>
        <w:rPr>
          <w:rFonts w:ascii="Bookman Old Style" w:hAnsi="Bookman Old Style"/>
          <w:sz w:val="20"/>
          <w:szCs w:val="20"/>
        </w:rPr>
      </w:pPr>
      <w:r w:rsidRPr="006568BA">
        <w:rPr>
          <w:rFonts w:ascii="Bookman Old Style" w:hAnsi="Bookman Old Style"/>
          <w:sz w:val="20"/>
          <w:szCs w:val="20"/>
        </w:rPr>
        <w:t>Наличие железнодорожных путей. Расчет корректировки проведен экспертным методом . Экспертное значение диапазона отношения удельной стоимости объектов оборудованных железнодорожной веткой к удельной цене такого же объекта, без железнодорожной ветки составляет диапазон 1,13-1,16. При расчете выбрано рекомендованное среднее значение 1,14, понижающая корректировка составит величину -14%</w:t>
      </w:r>
      <w:r>
        <w:rPr>
          <w:rFonts w:ascii="Bookman Old Style" w:hAnsi="Bookman Old Style"/>
          <w:sz w:val="20"/>
          <w:szCs w:val="20"/>
        </w:rPr>
        <w:t>.</w:t>
      </w:r>
    </w:p>
    <w:p w:rsidR="006568BA" w:rsidRPr="006568BA" w:rsidRDefault="006568BA" w:rsidP="006568BA">
      <w:pPr>
        <w:pStyle w:val="aff2"/>
        <w:numPr>
          <w:ilvl w:val="0"/>
          <w:numId w:val="46"/>
        </w:numPr>
        <w:spacing w:before="120" w:after="120"/>
        <w:ind w:left="714" w:hanging="357"/>
        <w:contextualSpacing w:val="0"/>
        <w:jc w:val="both"/>
        <w:rPr>
          <w:rFonts w:ascii="Bookman Old Style" w:hAnsi="Bookman Old Style"/>
          <w:sz w:val="20"/>
          <w:szCs w:val="20"/>
        </w:rPr>
      </w:pPr>
      <w:r w:rsidRPr="006568BA">
        <w:rPr>
          <w:rFonts w:ascii="Bookman Old Style" w:hAnsi="Bookman Old Style"/>
          <w:sz w:val="20"/>
          <w:szCs w:val="20"/>
        </w:rPr>
        <w:t xml:space="preserve">Расположение относительно красной линии административно-офисных помещений. По данному элементу сравнения выявлено отличие Объекта оценки и объектов аналогов. Объекты, расположенные внутри квартала стоят дешевле чем объекты, расположенные на красной линии. Расчет корректировки проведен экспертным методом . Экспертное значение диапазона отношения удельной стоимости объектов расположенных внутри квартала к удельной цене такого же объекта, расположенных на красной линии составляет диапазон 0,70-0,88. При расчете выбрано рекомендованное среднее значение </w:t>
      </w:r>
      <w:r>
        <w:rPr>
          <w:rFonts w:ascii="Bookman Old Style" w:hAnsi="Bookman Old Style"/>
          <w:sz w:val="20"/>
          <w:szCs w:val="20"/>
        </w:rPr>
        <w:t>0,79</w:t>
      </w:r>
      <w:r w:rsidRPr="006568BA">
        <w:rPr>
          <w:rFonts w:ascii="Bookman Old Style" w:hAnsi="Bookman Old Style"/>
          <w:sz w:val="20"/>
          <w:szCs w:val="20"/>
        </w:rPr>
        <w:t xml:space="preserve"> </w:t>
      </w:r>
    </w:p>
    <w:p w:rsidR="006568BA" w:rsidRDefault="006568BA" w:rsidP="006568BA">
      <w:pPr>
        <w:pStyle w:val="aff2"/>
        <w:numPr>
          <w:ilvl w:val="0"/>
          <w:numId w:val="46"/>
        </w:numPr>
        <w:spacing w:before="120" w:after="120"/>
        <w:ind w:left="714" w:hanging="357"/>
        <w:contextualSpacing w:val="0"/>
        <w:jc w:val="both"/>
        <w:rPr>
          <w:rFonts w:ascii="Bookman Old Style" w:hAnsi="Bookman Old Style"/>
          <w:sz w:val="20"/>
          <w:szCs w:val="20"/>
        </w:rPr>
      </w:pPr>
      <w:r w:rsidRPr="006568BA">
        <w:rPr>
          <w:rFonts w:ascii="Bookman Old Style" w:hAnsi="Bookman Old Style"/>
          <w:sz w:val="20"/>
          <w:szCs w:val="20"/>
        </w:rPr>
        <w:lastRenderedPageBreak/>
        <w:t>При этом расчет повышающей корректировки, проведен по формуле:</w:t>
      </w:r>
    </w:p>
    <w:p w:rsidR="006568BA" w:rsidRPr="00B86796" w:rsidRDefault="006C4CCF" w:rsidP="006568BA">
      <w:pPr>
        <w:spacing w:before="120" w:after="120"/>
        <w:ind w:left="720"/>
        <w:jc w:val="both"/>
        <w:rPr>
          <w:rFonts w:ascii="Bookman Old Style" w:hAnsi="Bookman Old Style"/>
          <w:sz w:val="20"/>
          <w:szCs w:val="20"/>
        </w:rPr>
      </w:pPr>
      <m:oMathPara>
        <m:oMath>
          <m:sSub>
            <m:sSubPr>
              <m:ctrlPr>
                <w:rPr>
                  <w:rFonts w:ascii="Cambria Math" w:hAnsi="Cambria Math"/>
                  <w:i/>
                  <w:sz w:val="20"/>
                  <w:szCs w:val="20"/>
                </w:rPr>
              </m:ctrlPr>
            </m:sSubPr>
            <m:e>
              <m:r>
                <w:rPr>
                  <w:rFonts w:ascii="Cambria Math" w:hAnsi="Cambria Math"/>
                  <w:sz w:val="20"/>
                  <w:szCs w:val="20"/>
                  <w:lang w:val="en-US"/>
                </w:rPr>
                <m:t>K</m:t>
              </m:r>
            </m:e>
            <m:sub>
              <m:r>
                <w:rPr>
                  <w:rFonts w:ascii="Cambria Math" w:hAnsi="Cambria Math"/>
                  <w:sz w:val="20"/>
                  <w:szCs w:val="20"/>
                </w:rPr>
                <m:t>состояние</m:t>
              </m:r>
            </m:sub>
          </m:sSub>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0,79</m:t>
              </m:r>
            </m:den>
          </m:f>
          <m:r>
            <w:rPr>
              <w:rFonts w:ascii="Cambria Math" w:hAnsi="Cambria Math"/>
              <w:sz w:val="20"/>
              <w:szCs w:val="20"/>
            </w:rPr>
            <m:t>-1=+26,6%</m:t>
          </m:r>
        </m:oMath>
      </m:oMathPara>
    </w:p>
    <w:p w:rsidR="006A199E" w:rsidRPr="00431CC5" w:rsidRDefault="006A199E" w:rsidP="00303E37">
      <w:pPr>
        <w:numPr>
          <w:ilvl w:val="0"/>
          <w:numId w:val="46"/>
        </w:numPr>
        <w:spacing w:before="120" w:after="120"/>
        <w:jc w:val="both"/>
        <w:rPr>
          <w:rFonts w:ascii="Bookman Old Style" w:hAnsi="Bookman Old Style"/>
          <w:sz w:val="20"/>
          <w:szCs w:val="20"/>
        </w:rPr>
      </w:pPr>
      <w:r w:rsidRPr="00431CC5">
        <w:rPr>
          <w:rFonts w:ascii="Bookman Old Style" w:hAnsi="Bookman Old Style"/>
          <w:sz w:val="20"/>
          <w:szCs w:val="20"/>
        </w:rPr>
        <w:t xml:space="preserve">Обоснование схемы согласования результатов. Расчет средневзвешенного значения рыночной стоимости. Для объектов аналогов сумма внесенных корректировок, по которым, значительна от базовой стоимости предложения, присвоены меньшие весовые значения. Данный факт объясняется снижением относительной ошибки в расчете. При этом необходимо отметить, что валовая корректировка рассчитывается по модулю. </w:t>
      </w:r>
    </w:p>
    <w:p w:rsidR="006A199E" w:rsidRPr="00431CC5" w:rsidRDefault="006A199E" w:rsidP="006A199E">
      <w:pPr>
        <w:spacing w:before="120" w:after="120"/>
        <w:ind w:left="720"/>
        <w:rPr>
          <w:rFonts w:ascii="Bookman Old Style" w:hAnsi="Bookman Old Style"/>
          <w:sz w:val="20"/>
          <w:szCs w:val="20"/>
        </w:rPr>
      </w:pPr>
      <w:r w:rsidRPr="00431CC5">
        <w:rPr>
          <w:rFonts w:ascii="Bookman Old Style" w:hAnsi="Bookman Old Style"/>
          <w:sz w:val="20"/>
          <w:szCs w:val="20"/>
        </w:rPr>
        <w:t>Вес аналога рассчитывается по формуле:</w:t>
      </w:r>
    </w:p>
    <w:p w:rsidR="006A199E" w:rsidRPr="00431CC5" w:rsidRDefault="006A199E" w:rsidP="006A199E">
      <w:pPr>
        <w:spacing w:before="120" w:after="120"/>
        <w:ind w:left="720"/>
        <w:rPr>
          <w:rFonts w:ascii="Bookman Old Style" w:hAnsi="Bookman Old Style"/>
          <w:i/>
          <w:sz w:val="20"/>
          <w:szCs w:val="20"/>
          <w:lang w:val="en-GB"/>
        </w:rPr>
      </w:pPr>
      <m:oMathPara>
        <m:oMath>
          <m:r>
            <w:rPr>
              <w:rFonts w:ascii="Cambria Math" w:hAnsi="Cambria Math"/>
              <w:sz w:val="20"/>
              <w:szCs w:val="20"/>
            </w:rPr>
            <m:t>W=</m:t>
          </m:r>
          <m:d>
            <m:dPr>
              <m:ctrlPr>
                <w:rPr>
                  <w:rFonts w:ascii="Cambria Math" w:hAnsi="Cambria Math"/>
                  <w:i/>
                  <w:sz w:val="20"/>
                  <w:szCs w:val="20"/>
                </w:rPr>
              </m:ctrlPr>
            </m:dPr>
            <m:e>
              <m:r>
                <w:rPr>
                  <w:rFonts w:ascii="Cambria Math" w:hAnsi="Cambria Math"/>
                  <w:sz w:val="20"/>
                  <w:szCs w:val="20"/>
                </w:rPr>
                <m:t>1-</m:t>
              </m:r>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n</m:t>
                      </m:r>
                    </m:sub>
                  </m:sSub>
                </m:num>
                <m:den>
                  <m:nary>
                    <m:naryPr>
                      <m:chr m:val="∑"/>
                      <m:limLoc m:val="undOvr"/>
                      <m:subHide m:val="on"/>
                      <m:supHide m:val="on"/>
                      <m:ctrlPr>
                        <w:rPr>
                          <w:rFonts w:ascii="Cambria Math" w:hAnsi="Cambria Math"/>
                          <w:i/>
                          <w:sz w:val="20"/>
                          <w:szCs w:val="20"/>
                        </w:rPr>
                      </m:ctrlPr>
                    </m:naryPr>
                    <m:sub/>
                    <m:sup/>
                    <m:e>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n</m:t>
                          </m:r>
                        </m:sub>
                      </m:sSub>
                    </m:e>
                  </m:nary>
                </m:den>
              </m:f>
            </m:e>
          </m:d>
          <m:r>
            <w:rPr>
              <w:rFonts w:ascii="Cambria Math" w:hAnsi="Cambria Math"/>
              <w:sz w:val="20"/>
              <w:szCs w:val="20"/>
            </w:rPr>
            <m:t>÷</m:t>
          </m:r>
          <m:d>
            <m:dPr>
              <m:ctrlPr>
                <w:rPr>
                  <w:rFonts w:ascii="Cambria Math" w:hAnsi="Cambria Math"/>
                  <w:i/>
                  <w:sz w:val="20"/>
                  <w:szCs w:val="20"/>
                </w:rPr>
              </m:ctrlPr>
            </m:dPr>
            <m:e>
              <m:r>
                <w:rPr>
                  <w:rFonts w:ascii="Cambria Math" w:hAnsi="Cambria Math"/>
                  <w:sz w:val="20"/>
                  <w:szCs w:val="20"/>
                </w:rPr>
                <m:t>n-1</m:t>
              </m:r>
            </m:e>
          </m:d>
        </m:oMath>
      </m:oMathPara>
    </w:p>
    <w:p w:rsidR="006A199E" w:rsidRPr="00431CC5" w:rsidRDefault="006A199E" w:rsidP="006A199E">
      <w:pPr>
        <w:spacing w:before="120" w:after="120"/>
        <w:ind w:left="720"/>
        <w:rPr>
          <w:rFonts w:ascii="Bookman Old Style" w:hAnsi="Bookman Old Style"/>
          <w:sz w:val="20"/>
          <w:szCs w:val="20"/>
        </w:rPr>
      </w:pPr>
      <w:r w:rsidRPr="00431CC5">
        <w:rPr>
          <w:rFonts w:ascii="Bookman Old Style" w:hAnsi="Bookman Old Style"/>
          <w:sz w:val="20"/>
          <w:szCs w:val="20"/>
        </w:rPr>
        <w:t>где:</w:t>
      </w:r>
    </w:p>
    <w:p w:rsidR="006A199E" w:rsidRPr="00431CC5" w:rsidRDefault="006A199E" w:rsidP="006A199E">
      <w:pPr>
        <w:spacing w:before="120" w:after="120"/>
        <w:ind w:left="720"/>
        <w:rPr>
          <w:rFonts w:ascii="Bookman Old Style" w:hAnsi="Bookman Old Style"/>
          <w:sz w:val="20"/>
          <w:szCs w:val="20"/>
        </w:rPr>
      </w:pPr>
      <w:r w:rsidRPr="00431CC5">
        <w:rPr>
          <w:rFonts w:ascii="Bookman Old Style" w:hAnsi="Bookman Old Style"/>
          <w:sz w:val="20"/>
          <w:szCs w:val="20"/>
          <w:lang w:val="en-GB"/>
        </w:rPr>
        <w:t>W</w:t>
      </w:r>
      <w:r w:rsidRPr="00431CC5">
        <w:rPr>
          <w:rFonts w:ascii="Bookman Old Style" w:hAnsi="Bookman Old Style"/>
          <w:sz w:val="20"/>
          <w:szCs w:val="20"/>
        </w:rPr>
        <w:t xml:space="preserve"> – вес аналога;</w:t>
      </w:r>
    </w:p>
    <w:p w:rsidR="006A199E" w:rsidRPr="00431CC5" w:rsidRDefault="006A199E" w:rsidP="006A199E">
      <w:pPr>
        <w:spacing w:before="120" w:after="120"/>
        <w:ind w:left="720"/>
        <w:rPr>
          <w:rFonts w:ascii="Bookman Old Style" w:hAnsi="Bookman Old Style"/>
          <w:sz w:val="20"/>
          <w:szCs w:val="20"/>
        </w:rPr>
      </w:pPr>
      <w:r w:rsidRPr="00431CC5">
        <w:rPr>
          <w:rFonts w:ascii="Bookman Old Style" w:hAnsi="Bookman Old Style"/>
          <w:sz w:val="20"/>
          <w:szCs w:val="20"/>
          <w:lang w:val="en-GB"/>
        </w:rPr>
        <w:t>Vn</w:t>
      </w:r>
      <w:r w:rsidRPr="00431CC5">
        <w:rPr>
          <w:rFonts w:ascii="Bookman Old Style" w:hAnsi="Bookman Old Style"/>
          <w:sz w:val="20"/>
          <w:szCs w:val="20"/>
        </w:rPr>
        <w:t xml:space="preserve"> – валовая корректировка аналога;</w:t>
      </w:r>
    </w:p>
    <w:p w:rsidR="006A199E" w:rsidRPr="00431CC5" w:rsidRDefault="006A199E" w:rsidP="006A199E">
      <w:pPr>
        <w:spacing w:before="120" w:after="120"/>
        <w:ind w:left="720"/>
        <w:rPr>
          <w:rFonts w:ascii="Bookman Old Style" w:hAnsi="Bookman Old Style"/>
          <w:sz w:val="20"/>
          <w:szCs w:val="20"/>
        </w:rPr>
      </w:pPr>
      <w:r w:rsidRPr="00431CC5">
        <w:rPr>
          <w:rFonts w:ascii="Bookman Old Style" w:hAnsi="Bookman Old Style"/>
          <w:sz w:val="20"/>
          <w:szCs w:val="20"/>
        </w:rPr>
        <w:t>∑</w:t>
      </w:r>
      <w:r w:rsidRPr="00431CC5">
        <w:rPr>
          <w:rFonts w:ascii="Bookman Old Style" w:hAnsi="Bookman Old Style"/>
          <w:sz w:val="20"/>
          <w:szCs w:val="20"/>
          <w:lang w:val="en-GB"/>
        </w:rPr>
        <w:t>Vn</w:t>
      </w:r>
      <w:r w:rsidRPr="00431CC5">
        <w:rPr>
          <w:rFonts w:ascii="Bookman Old Style" w:hAnsi="Bookman Old Style"/>
          <w:sz w:val="20"/>
          <w:szCs w:val="20"/>
        </w:rPr>
        <w:t xml:space="preserve"> – сумма валовых корректировок используемых аналогов;</w:t>
      </w:r>
    </w:p>
    <w:p w:rsidR="006A199E" w:rsidRPr="00431CC5" w:rsidRDefault="006A199E" w:rsidP="006A199E">
      <w:pPr>
        <w:spacing w:before="120" w:after="120"/>
        <w:ind w:left="720"/>
        <w:rPr>
          <w:rFonts w:ascii="Bookman Old Style" w:hAnsi="Bookman Old Style"/>
          <w:sz w:val="20"/>
          <w:szCs w:val="20"/>
        </w:rPr>
      </w:pPr>
      <w:r w:rsidRPr="00431CC5">
        <w:rPr>
          <w:rFonts w:ascii="Bookman Old Style" w:hAnsi="Bookman Old Style"/>
          <w:sz w:val="20"/>
          <w:szCs w:val="20"/>
        </w:rPr>
        <w:t>(</w:t>
      </w:r>
      <w:r w:rsidRPr="00431CC5">
        <w:rPr>
          <w:rFonts w:ascii="Bookman Old Style" w:hAnsi="Bookman Old Style"/>
          <w:sz w:val="20"/>
          <w:szCs w:val="20"/>
          <w:lang w:val="en-GB"/>
        </w:rPr>
        <w:t>n</w:t>
      </w:r>
      <w:r w:rsidRPr="00431CC5">
        <w:rPr>
          <w:rFonts w:ascii="Bookman Old Style" w:hAnsi="Bookman Old Style"/>
          <w:sz w:val="20"/>
          <w:szCs w:val="20"/>
        </w:rPr>
        <w:t>-1) – количество аналогов уменьшенное на 1.</w:t>
      </w:r>
    </w:p>
    <w:p w:rsidR="006A199E" w:rsidRDefault="006A199E" w:rsidP="006A199E">
      <w:pPr>
        <w:spacing w:before="120" w:after="120"/>
        <w:ind w:left="720"/>
        <w:jc w:val="both"/>
        <w:rPr>
          <w:rFonts w:ascii="Bookman Old Style" w:hAnsi="Bookman Old Style"/>
          <w:sz w:val="20"/>
          <w:szCs w:val="20"/>
        </w:rPr>
      </w:pPr>
      <w:r w:rsidRPr="00431CC5">
        <w:rPr>
          <w:rFonts w:ascii="Bookman Old Style" w:hAnsi="Bookman Old Style"/>
          <w:sz w:val="20"/>
          <w:szCs w:val="20"/>
        </w:rPr>
        <w:t>Выбранные объекты аналоги, соответствуют объекту оценки по своим экономическим, материальным, техническим и другим характеристикам, определяющим их стоимость</w:t>
      </w:r>
      <w:r w:rsidRPr="00431CC5">
        <w:rPr>
          <w:rFonts w:ascii="Bookman Old Style" w:hAnsi="Bookman Old Style"/>
          <w:sz w:val="20"/>
          <w:szCs w:val="20"/>
          <w:vertAlign w:val="superscript"/>
        </w:rPr>
        <w:footnoteReference w:id="64"/>
      </w:r>
      <w:r w:rsidRPr="00431CC5">
        <w:rPr>
          <w:rFonts w:ascii="Bookman Old Style" w:hAnsi="Bookman Old Style"/>
          <w:sz w:val="20"/>
          <w:szCs w:val="20"/>
        </w:rPr>
        <w:t>. ФСО устанавливает обязанность оценщика корректировать объект аналог в зависимости от элементов сравнения, что в данной оценочной работе было проведено исходя из элементов сравнения существенных для итоговой величины стоимости.</w:t>
      </w:r>
    </w:p>
    <w:p w:rsidR="006A199E" w:rsidRPr="006A199E" w:rsidRDefault="006A199E" w:rsidP="006A199E">
      <w:pPr>
        <w:keepNext/>
        <w:spacing w:before="120" w:after="120"/>
        <w:outlineLvl w:val="2"/>
        <w:rPr>
          <w:rFonts w:ascii="Bookman Old Style" w:hAnsi="Bookman Old Style"/>
          <w:b/>
          <w:bCs/>
          <w:sz w:val="20"/>
          <w:szCs w:val="20"/>
        </w:rPr>
      </w:pPr>
      <w:bookmarkStart w:id="293" w:name="_Toc348605198"/>
      <w:bookmarkStart w:id="294" w:name="_Toc359256073"/>
      <w:bookmarkStart w:id="295" w:name="_Toc411006094"/>
      <w:bookmarkStart w:id="296" w:name="_Toc419473036"/>
      <w:bookmarkStart w:id="297" w:name="_Toc461206414"/>
      <w:r w:rsidRPr="006A199E">
        <w:rPr>
          <w:rFonts w:ascii="Bookman Old Style" w:hAnsi="Bookman Old Style"/>
          <w:b/>
          <w:bCs/>
          <w:sz w:val="20"/>
          <w:szCs w:val="20"/>
        </w:rPr>
        <w:t>5.5.3. Определение периода прогнозирования</w:t>
      </w:r>
      <w:bookmarkEnd w:id="293"/>
      <w:bookmarkEnd w:id="294"/>
      <w:bookmarkEnd w:id="295"/>
      <w:bookmarkEnd w:id="296"/>
      <w:bookmarkEnd w:id="297"/>
    </w:p>
    <w:p w:rsidR="006A199E" w:rsidRPr="006A199E" w:rsidRDefault="006A199E" w:rsidP="006A199E">
      <w:pPr>
        <w:spacing w:before="120" w:after="120"/>
        <w:ind w:firstLine="708"/>
        <w:jc w:val="both"/>
        <w:rPr>
          <w:rFonts w:ascii="Bookman Old Style" w:hAnsi="Bookman Old Style"/>
          <w:sz w:val="20"/>
          <w:szCs w:val="20"/>
        </w:rPr>
      </w:pPr>
      <w:r w:rsidRPr="006A199E">
        <w:rPr>
          <w:rFonts w:ascii="Bookman Old Style" w:hAnsi="Bookman Old Style"/>
          <w:sz w:val="20"/>
          <w:szCs w:val="20"/>
        </w:rPr>
        <w:t>При определении периода прогнозирования, сделан вывод о возможности выбора периода сроком 1 год, что объясняется выбором метода проведения оценки в рамках доходного подхода. Определение чистого операционного дохода проведено в первый год после даты оценки, доход от объекта прогнозируется стабильный.</w:t>
      </w:r>
    </w:p>
    <w:p w:rsidR="006A199E" w:rsidRPr="006A199E" w:rsidRDefault="006A199E" w:rsidP="006A199E">
      <w:pPr>
        <w:keepNext/>
        <w:spacing w:before="120" w:after="120"/>
        <w:jc w:val="both"/>
        <w:outlineLvl w:val="2"/>
        <w:rPr>
          <w:rFonts w:ascii="Bookman Old Style" w:hAnsi="Bookman Old Style"/>
          <w:b/>
          <w:bCs/>
          <w:sz w:val="20"/>
          <w:szCs w:val="20"/>
        </w:rPr>
      </w:pPr>
      <w:bookmarkStart w:id="298" w:name="_Toc270845898"/>
      <w:bookmarkStart w:id="299" w:name="_Toc276315109"/>
      <w:bookmarkStart w:id="300" w:name="_Toc290644273"/>
      <w:bookmarkStart w:id="301" w:name="_Toc294085339"/>
      <w:bookmarkStart w:id="302" w:name="_Toc305749090"/>
      <w:bookmarkStart w:id="303" w:name="_Toc305247302"/>
      <w:bookmarkStart w:id="304" w:name="_Toc318810266"/>
      <w:bookmarkStart w:id="305" w:name="_Toc348605199"/>
      <w:bookmarkStart w:id="306" w:name="_Toc359256074"/>
      <w:bookmarkStart w:id="307" w:name="_Toc411006095"/>
      <w:bookmarkStart w:id="308" w:name="_Toc419473037"/>
      <w:bookmarkStart w:id="309" w:name="_Toc461206415"/>
      <w:r w:rsidRPr="006A199E">
        <w:rPr>
          <w:rFonts w:ascii="Bookman Old Style" w:hAnsi="Bookman Old Style"/>
          <w:b/>
          <w:bCs/>
          <w:sz w:val="20"/>
          <w:szCs w:val="20"/>
        </w:rPr>
        <w:t>5.5.4. Расчет коэффициента капитализации</w:t>
      </w:r>
      <w:bookmarkEnd w:id="298"/>
      <w:bookmarkEnd w:id="299"/>
      <w:bookmarkEnd w:id="300"/>
      <w:bookmarkEnd w:id="301"/>
      <w:bookmarkEnd w:id="302"/>
      <w:bookmarkEnd w:id="303"/>
      <w:bookmarkEnd w:id="304"/>
      <w:bookmarkEnd w:id="305"/>
      <w:bookmarkEnd w:id="306"/>
      <w:bookmarkEnd w:id="307"/>
      <w:bookmarkEnd w:id="308"/>
      <w:bookmarkEnd w:id="309"/>
      <w:r w:rsidRPr="006A199E">
        <w:rPr>
          <w:rFonts w:ascii="Bookman Old Style" w:hAnsi="Bookman Old Style"/>
          <w:b/>
          <w:bCs/>
          <w:sz w:val="20"/>
          <w:szCs w:val="20"/>
        </w:rPr>
        <w:t xml:space="preserve"> </w:t>
      </w:r>
    </w:p>
    <w:p w:rsidR="006A199E" w:rsidRPr="006A199E" w:rsidRDefault="006A199E" w:rsidP="006A199E">
      <w:pPr>
        <w:spacing w:before="120" w:after="120"/>
        <w:ind w:firstLine="709"/>
        <w:jc w:val="both"/>
        <w:rPr>
          <w:rFonts w:ascii="Bookman Old Style" w:hAnsi="Bookman Old Style"/>
          <w:sz w:val="20"/>
          <w:szCs w:val="20"/>
        </w:rPr>
      </w:pPr>
      <w:r w:rsidRPr="006A199E">
        <w:rPr>
          <w:rFonts w:ascii="Bookman Old Style" w:hAnsi="Bookman Old Style"/>
          <w:sz w:val="20"/>
          <w:szCs w:val="20"/>
        </w:rPr>
        <w:t xml:space="preserve">Коэффициент капитализации состоит из двух частей: </w:t>
      </w:r>
    </w:p>
    <w:p w:rsidR="006A199E" w:rsidRPr="006A199E" w:rsidRDefault="006A199E" w:rsidP="006A199E">
      <w:pPr>
        <w:spacing w:before="120" w:after="120"/>
        <w:ind w:firstLine="709"/>
        <w:rPr>
          <w:rFonts w:ascii="Bookman Old Style" w:hAnsi="Bookman Old Style"/>
          <w:sz w:val="20"/>
          <w:szCs w:val="20"/>
        </w:rPr>
      </w:pPr>
      <w:r w:rsidRPr="006A199E">
        <w:rPr>
          <w:rFonts w:ascii="Bookman Old Style" w:hAnsi="Bookman Old Style"/>
          <w:sz w:val="20"/>
          <w:szCs w:val="20"/>
        </w:rPr>
        <w:t xml:space="preserve">1) ставки дохода на капитал (ставка доходности инвестиций), являющейся компенсацией, которая должна быть выплачена инвестору за использование денежных средств с учетом риска и других факторов, связанных с конкретным объектом недвижимости; </w:t>
      </w:r>
    </w:p>
    <w:p w:rsidR="006A199E" w:rsidRPr="006A199E" w:rsidRDefault="006A199E" w:rsidP="006A199E">
      <w:pPr>
        <w:spacing w:before="120" w:after="120"/>
        <w:ind w:firstLine="709"/>
        <w:jc w:val="both"/>
        <w:rPr>
          <w:rFonts w:ascii="Bookman Old Style" w:hAnsi="Bookman Old Style"/>
          <w:sz w:val="20"/>
          <w:szCs w:val="20"/>
        </w:rPr>
      </w:pPr>
      <w:r w:rsidRPr="006A199E">
        <w:rPr>
          <w:rFonts w:ascii="Bookman Old Style" w:hAnsi="Bookman Old Style"/>
          <w:sz w:val="20"/>
          <w:szCs w:val="20"/>
        </w:rPr>
        <w:t xml:space="preserve">2) нормы возврата капитала, т.е. погашение суммы первоначальных вложений. Причем этот элемент коэффициента капитализации применяется, только к изнашиваемой части активов. </w:t>
      </w:r>
    </w:p>
    <w:p w:rsidR="006A199E" w:rsidRPr="006A199E" w:rsidRDefault="006A199E" w:rsidP="006A199E">
      <w:pPr>
        <w:autoSpaceDE w:val="0"/>
        <w:autoSpaceDN w:val="0"/>
        <w:adjustRightInd w:val="0"/>
        <w:spacing w:before="120" w:after="120"/>
        <w:jc w:val="center"/>
        <w:rPr>
          <w:rFonts w:ascii="Bookman Old Style" w:hAnsi="Bookman Old Style"/>
          <w:sz w:val="20"/>
          <w:szCs w:val="20"/>
        </w:rPr>
      </w:pPr>
      <m:oMath>
        <m:r>
          <w:rPr>
            <w:rFonts w:ascii="Cambria Math" w:hAnsi="Cambria Math"/>
            <w:sz w:val="20"/>
            <w:szCs w:val="20"/>
          </w:rPr>
          <m:t>R=</m:t>
        </m:r>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дох.кап.</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норм.возвр</m:t>
            </m:r>
          </m:sub>
        </m:sSub>
      </m:oMath>
      <w:r w:rsidRPr="006A199E">
        <w:rPr>
          <w:rFonts w:ascii="Bookman Old Style" w:hAnsi="Bookman Old Style"/>
          <w:sz w:val="20"/>
          <w:szCs w:val="20"/>
        </w:rPr>
        <w:t>;</w:t>
      </w:r>
    </w:p>
    <w:p w:rsidR="006A199E" w:rsidRPr="006A199E" w:rsidRDefault="006A199E" w:rsidP="006A199E">
      <w:pPr>
        <w:autoSpaceDE w:val="0"/>
        <w:autoSpaceDN w:val="0"/>
        <w:adjustRightInd w:val="0"/>
        <w:spacing w:before="120" w:after="120"/>
        <w:ind w:left="708"/>
        <w:rPr>
          <w:rFonts w:ascii="Bookman Old Style" w:hAnsi="Bookman Old Style"/>
          <w:sz w:val="20"/>
          <w:szCs w:val="20"/>
        </w:rPr>
      </w:pPr>
      <w:r w:rsidRPr="006A199E">
        <w:rPr>
          <w:rFonts w:ascii="Bookman Old Style" w:hAnsi="Bookman Old Style"/>
          <w:sz w:val="20"/>
          <w:szCs w:val="20"/>
        </w:rPr>
        <w:t>Где:</w:t>
      </w:r>
    </w:p>
    <w:p w:rsidR="006A199E" w:rsidRPr="006A199E" w:rsidRDefault="006A199E" w:rsidP="006A199E">
      <w:pPr>
        <w:spacing w:before="120" w:after="120"/>
        <w:ind w:left="708"/>
        <w:jc w:val="both"/>
        <w:rPr>
          <w:rFonts w:ascii="Bookman Old Style" w:hAnsi="Bookman Old Style"/>
          <w:sz w:val="20"/>
          <w:szCs w:val="20"/>
        </w:rPr>
      </w:pPr>
      <m:oMath>
        <m:r>
          <w:rPr>
            <w:rFonts w:ascii="Cambria Math" w:hAnsi="Cambria Math"/>
            <w:sz w:val="20"/>
            <w:szCs w:val="20"/>
          </w:rPr>
          <m:t>R</m:t>
        </m:r>
      </m:oMath>
      <w:r w:rsidRPr="006A199E">
        <w:rPr>
          <w:rFonts w:ascii="Bookman Old Style" w:hAnsi="Bookman Old Style"/>
          <w:sz w:val="20"/>
          <w:szCs w:val="20"/>
        </w:rPr>
        <w:t xml:space="preserve"> - коэффициент капитализации;</w:t>
      </w:r>
    </w:p>
    <w:p w:rsidR="006A199E" w:rsidRPr="006A199E" w:rsidRDefault="006C4CCF" w:rsidP="006A199E">
      <w:pPr>
        <w:spacing w:before="120" w:after="120"/>
        <w:ind w:left="708"/>
        <w:jc w:val="both"/>
        <w:rPr>
          <w:rFonts w:ascii="Bookman Old Style" w:hAnsi="Bookman Old Style"/>
          <w:sz w:val="20"/>
          <w:szCs w:val="20"/>
        </w:rPr>
      </w:pPr>
      <m:oMath>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дох.кап.</m:t>
            </m:r>
          </m:sub>
        </m:sSub>
      </m:oMath>
      <w:r w:rsidR="006A199E" w:rsidRPr="006A199E">
        <w:rPr>
          <w:rFonts w:ascii="Bookman Old Style" w:hAnsi="Bookman Old Style"/>
          <w:sz w:val="20"/>
          <w:szCs w:val="20"/>
        </w:rPr>
        <w:t xml:space="preserve"> - ставка дохода на капитал;</w:t>
      </w:r>
    </w:p>
    <w:p w:rsidR="006A199E" w:rsidRPr="006A199E" w:rsidRDefault="006C4CCF" w:rsidP="006A199E">
      <w:pPr>
        <w:spacing w:before="120" w:after="120"/>
        <w:ind w:left="708"/>
        <w:jc w:val="both"/>
        <w:rPr>
          <w:rFonts w:ascii="Bookman Old Style" w:hAnsi="Bookman Old Style"/>
          <w:sz w:val="20"/>
          <w:szCs w:val="20"/>
        </w:rPr>
      </w:pPr>
      <m:oMath>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норм.возвр</m:t>
            </m:r>
          </m:sub>
        </m:sSub>
      </m:oMath>
      <w:r w:rsidR="006A199E" w:rsidRPr="006A199E">
        <w:rPr>
          <w:rFonts w:ascii="Bookman Old Style" w:hAnsi="Bookman Old Style"/>
          <w:sz w:val="20"/>
          <w:szCs w:val="20"/>
        </w:rPr>
        <w:t xml:space="preserve"> - норма возврата капитала;</w:t>
      </w:r>
    </w:p>
    <w:p w:rsidR="006A199E" w:rsidRPr="006A199E" w:rsidRDefault="006A199E" w:rsidP="006A199E">
      <w:pPr>
        <w:spacing w:before="120" w:after="120"/>
        <w:ind w:firstLine="709"/>
        <w:jc w:val="both"/>
        <w:rPr>
          <w:rFonts w:ascii="Bookman Old Style" w:hAnsi="Bookman Old Style"/>
          <w:sz w:val="20"/>
          <w:szCs w:val="20"/>
        </w:rPr>
      </w:pPr>
      <w:r w:rsidRPr="006A199E">
        <w:rPr>
          <w:rFonts w:ascii="Bookman Old Style" w:hAnsi="Bookman Old Style"/>
          <w:sz w:val="20"/>
          <w:szCs w:val="20"/>
        </w:rPr>
        <w:t xml:space="preserve">Существуют три способа расчета нормы возврата капитала </w:t>
      </w:r>
    </w:p>
    <w:p w:rsidR="006A199E" w:rsidRPr="006A199E" w:rsidRDefault="006A199E" w:rsidP="00303E37">
      <w:pPr>
        <w:numPr>
          <w:ilvl w:val="0"/>
          <w:numId w:val="47"/>
        </w:numPr>
        <w:spacing w:before="120" w:after="120"/>
        <w:ind w:left="709"/>
        <w:jc w:val="both"/>
        <w:rPr>
          <w:rFonts w:ascii="Bookman Old Style" w:hAnsi="Bookman Old Style"/>
          <w:sz w:val="20"/>
          <w:szCs w:val="20"/>
        </w:rPr>
      </w:pPr>
      <w:r w:rsidRPr="006A199E">
        <w:rPr>
          <w:rFonts w:ascii="Bookman Old Style" w:hAnsi="Bookman Old Style"/>
          <w:sz w:val="20"/>
          <w:szCs w:val="20"/>
        </w:rPr>
        <w:t xml:space="preserve">прямолинейный возврат капитала (метод Ринга); </w:t>
      </w:r>
    </w:p>
    <w:p w:rsidR="006A199E" w:rsidRPr="006A199E" w:rsidRDefault="006A199E" w:rsidP="00303E37">
      <w:pPr>
        <w:numPr>
          <w:ilvl w:val="0"/>
          <w:numId w:val="47"/>
        </w:numPr>
        <w:spacing w:before="120" w:after="120"/>
        <w:ind w:left="709"/>
        <w:jc w:val="both"/>
        <w:rPr>
          <w:rFonts w:ascii="Bookman Old Style" w:hAnsi="Bookman Old Style"/>
          <w:sz w:val="20"/>
          <w:szCs w:val="20"/>
        </w:rPr>
      </w:pPr>
      <w:r w:rsidRPr="006A199E">
        <w:rPr>
          <w:rFonts w:ascii="Bookman Old Style" w:hAnsi="Bookman Old Style"/>
          <w:sz w:val="20"/>
          <w:szCs w:val="20"/>
        </w:rPr>
        <w:t xml:space="preserve">возврат капитала по фонду возмещения и ставке дохода ни инвестиции (метод Инвуда ), его иногда называют аннуитетным методом; </w:t>
      </w:r>
    </w:p>
    <w:p w:rsidR="006A199E" w:rsidRPr="006A199E" w:rsidRDefault="006A199E" w:rsidP="00303E37">
      <w:pPr>
        <w:numPr>
          <w:ilvl w:val="0"/>
          <w:numId w:val="47"/>
        </w:numPr>
        <w:spacing w:before="120" w:after="120"/>
        <w:ind w:left="709"/>
        <w:jc w:val="both"/>
        <w:rPr>
          <w:rFonts w:ascii="Bookman Old Style" w:hAnsi="Bookman Old Style"/>
          <w:sz w:val="20"/>
          <w:szCs w:val="20"/>
        </w:rPr>
      </w:pPr>
      <w:r w:rsidRPr="006A199E">
        <w:rPr>
          <w:rFonts w:ascii="Bookman Old Style" w:hAnsi="Bookman Old Style"/>
          <w:sz w:val="20"/>
          <w:szCs w:val="20"/>
        </w:rPr>
        <w:t xml:space="preserve">возврат капитала по фонду возмещения и безрисковой ставке процента (метод Хоскольда). </w:t>
      </w:r>
    </w:p>
    <w:p w:rsidR="006A199E" w:rsidRPr="006A199E" w:rsidRDefault="006A199E" w:rsidP="006A199E">
      <w:pPr>
        <w:spacing w:before="120" w:after="120"/>
        <w:ind w:left="709"/>
        <w:jc w:val="both"/>
        <w:rPr>
          <w:rFonts w:ascii="Bookman Old Style" w:hAnsi="Bookman Old Style" w:cs="Courier New"/>
          <w:sz w:val="20"/>
          <w:szCs w:val="20"/>
        </w:rPr>
      </w:pPr>
      <w:r w:rsidRPr="006A199E">
        <w:rPr>
          <w:rFonts w:ascii="Bookman Old Style" w:hAnsi="Bookman Old Style"/>
          <w:sz w:val="20"/>
          <w:szCs w:val="20"/>
        </w:rPr>
        <w:lastRenderedPageBreak/>
        <w:t>Ставка дохода на инвестиции была рассчитана по методу Инвуда.</w:t>
      </w:r>
    </w:p>
    <w:p w:rsidR="006A199E" w:rsidRPr="006A199E" w:rsidRDefault="006A199E" w:rsidP="006A199E">
      <w:pPr>
        <w:spacing w:before="120" w:after="120"/>
        <w:ind w:firstLine="709"/>
        <w:jc w:val="both"/>
        <w:rPr>
          <w:rFonts w:ascii="Bookman Old Style" w:hAnsi="Bookman Old Style"/>
          <w:sz w:val="20"/>
          <w:szCs w:val="20"/>
        </w:rPr>
      </w:pPr>
      <w:r w:rsidRPr="006A199E">
        <w:rPr>
          <w:rFonts w:ascii="Bookman Old Style" w:hAnsi="Bookman Old Style"/>
          <w:bCs/>
          <w:sz w:val="20"/>
          <w:szCs w:val="20"/>
        </w:rPr>
        <w:t>Метод Инвуда</w:t>
      </w:r>
      <w:r w:rsidRPr="006A199E">
        <w:rPr>
          <w:rFonts w:ascii="Bookman Old Style" w:hAnsi="Bookman Old Style"/>
          <w:b/>
          <w:bCs/>
          <w:sz w:val="20"/>
          <w:szCs w:val="20"/>
        </w:rPr>
        <w:t xml:space="preserve"> </w:t>
      </w:r>
      <w:r w:rsidRPr="006A199E">
        <w:rPr>
          <w:rFonts w:ascii="Bookman Old Style" w:hAnsi="Bookman Old Style"/>
          <w:sz w:val="20"/>
          <w:szCs w:val="20"/>
        </w:rPr>
        <w:t xml:space="preserve">используется, если сумма возврата капитала реинвестируется по ставке доходности инвестиции. В этом случае норма возврата как составная часть коэффициента капитализации равна фактору фонда возмещения при той же ставке процента, что и по инвестициям </w:t>
      </w:r>
    </w:p>
    <w:p w:rsidR="006A199E" w:rsidRPr="006A199E" w:rsidRDefault="006C4CCF" w:rsidP="006A199E">
      <w:pPr>
        <w:autoSpaceDE w:val="0"/>
        <w:autoSpaceDN w:val="0"/>
        <w:adjustRightInd w:val="0"/>
        <w:spacing w:before="80" w:after="120"/>
        <w:jc w:val="center"/>
        <w:rPr>
          <w:rFonts w:asciiTheme="majorHAnsi" w:hAnsiTheme="majorHAnsi"/>
          <w:sz w:val="20"/>
          <w:szCs w:val="20"/>
          <w:lang w:val="en-US"/>
        </w:rPr>
      </w:pPr>
      <m:oMathPara>
        <m:oMath>
          <m:sSub>
            <m:sSubPr>
              <m:ctrlPr>
                <w:rPr>
                  <w:rFonts w:ascii="Cambria Math" w:hAnsi="Cambria Math"/>
                  <w:i/>
                  <w:sz w:val="20"/>
                  <w:szCs w:val="20"/>
                  <w:lang w:val="en-US"/>
                </w:rPr>
              </m:ctrlPr>
            </m:sSubPr>
            <m:e>
              <m:r>
                <w:rPr>
                  <w:rFonts w:ascii="Cambria Math" w:hAnsi="Cambria Math"/>
                  <w:sz w:val="20"/>
                  <w:szCs w:val="20"/>
                  <w:lang w:val="en-US"/>
                </w:rPr>
                <m:t>R</m:t>
              </m:r>
            </m:e>
            <m:sub>
              <m:r>
                <w:rPr>
                  <w:rFonts w:ascii="Cambria Math" w:hAnsi="Cambria Math"/>
                  <w:sz w:val="20"/>
                  <w:szCs w:val="20"/>
                </w:rPr>
                <m:t>норм.возвр</m:t>
              </m:r>
            </m:sub>
          </m:sSub>
          <m:r>
            <w:rPr>
              <w:rFonts w:ascii="Cambria Math" w:hAnsi="Cambria Math"/>
              <w:sz w:val="20"/>
              <w:szCs w:val="20"/>
            </w:rPr>
            <m:t xml:space="preserve">= </m:t>
          </m:r>
          <m:f>
            <m:fPr>
              <m:ctrlPr>
                <w:rPr>
                  <w:rFonts w:ascii="Cambria Math" w:hAnsi="Cambria Math"/>
                  <w:i/>
                  <w:sz w:val="20"/>
                  <w:szCs w:val="20"/>
                  <w:lang w:val="en-US"/>
                </w:rPr>
              </m:ctrlPr>
            </m:fPr>
            <m:num>
              <m:sSub>
                <m:sSubPr>
                  <m:ctrlPr>
                    <w:rPr>
                      <w:rFonts w:ascii="Cambria Math" w:hAnsi="Cambria Math"/>
                      <w:i/>
                      <w:sz w:val="20"/>
                      <w:szCs w:val="20"/>
                      <w:lang w:val="en-US"/>
                    </w:rPr>
                  </m:ctrlPr>
                </m:sSubPr>
                <m:e>
                  <m:r>
                    <w:rPr>
                      <w:rFonts w:ascii="Cambria Math" w:hAnsi="Cambria Math"/>
                      <w:sz w:val="20"/>
                      <w:szCs w:val="20"/>
                      <w:lang w:val="en-US"/>
                    </w:rPr>
                    <m:t>R</m:t>
                  </m:r>
                </m:e>
                <m:sub>
                  <m:r>
                    <w:rPr>
                      <w:rFonts w:ascii="Cambria Math" w:hAnsi="Cambria Math"/>
                      <w:sz w:val="20"/>
                      <w:szCs w:val="20"/>
                    </w:rPr>
                    <m:t>дох.кап.</m:t>
                  </m:r>
                </m:sub>
              </m:sSub>
            </m:num>
            <m:den>
              <m:r>
                <w:rPr>
                  <w:rFonts w:ascii="Cambria Math" w:hAnsi="Cambria Math"/>
                  <w:sz w:val="20"/>
                  <w:szCs w:val="20"/>
                </w:rPr>
                <m:t>(</m:t>
              </m:r>
              <m:sSup>
                <m:sSupPr>
                  <m:ctrlPr>
                    <w:rPr>
                      <w:rFonts w:ascii="Cambria Math" w:hAnsi="Cambria Math"/>
                      <w:i/>
                      <w:sz w:val="20"/>
                      <w:szCs w:val="20"/>
                      <w:lang w:val="en-US"/>
                    </w:rPr>
                  </m:ctrlPr>
                </m:sSupPr>
                <m:e>
                  <m:r>
                    <w:rPr>
                      <w:rFonts w:ascii="Cambria Math" w:hAnsi="Cambria Math"/>
                      <w:sz w:val="20"/>
                      <w:szCs w:val="20"/>
                    </w:rPr>
                    <m:t>1+</m:t>
                  </m:r>
                  <m:sSub>
                    <m:sSubPr>
                      <m:ctrlPr>
                        <w:rPr>
                          <w:rFonts w:ascii="Cambria Math" w:hAnsi="Cambria Math"/>
                          <w:i/>
                          <w:sz w:val="20"/>
                          <w:szCs w:val="20"/>
                          <w:lang w:val="en-US"/>
                        </w:rPr>
                      </m:ctrlPr>
                    </m:sSubPr>
                    <m:e>
                      <m:r>
                        <w:rPr>
                          <w:rFonts w:ascii="Cambria Math" w:hAnsi="Cambria Math"/>
                          <w:sz w:val="20"/>
                          <w:szCs w:val="20"/>
                          <w:lang w:val="en-US"/>
                        </w:rPr>
                        <m:t>R</m:t>
                      </m:r>
                    </m:e>
                    <m:sub>
                      <m:r>
                        <w:rPr>
                          <w:rFonts w:ascii="Cambria Math" w:hAnsi="Cambria Math"/>
                          <w:sz w:val="20"/>
                          <w:szCs w:val="20"/>
                        </w:rPr>
                        <m:t>дох.кап.</m:t>
                      </m:r>
                    </m:sub>
                  </m:sSub>
                  <m:r>
                    <w:rPr>
                      <w:rFonts w:ascii="Cambria Math" w:hAnsi="Cambria Math"/>
                      <w:sz w:val="20"/>
                      <w:szCs w:val="20"/>
                    </w:rPr>
                    <m:t>)</m:t>
                  </m:r>
                </m:e>
                <m:sup>
                  <m:r>
                    <w:rPr>
                      <w:rFonts w:ascii="Cambria Math" w:hAnsi="Cambria Math"/>
                      <w:sz w:val="20"/>
                      <w:szCs w:val="20"/>
                      <w:lang w:val="en-US"/>
                    </w:rPr>
                    <m:t>n</m:t>
                  </m:r>
                </m:sup>
              </m:sSup>
              <m:r>
                <w:rPr>
                  <w:rFonts w:ascii="Cambria Math" w:hAnsi="Cambria Math"/>
                  <w:sz w:val="20"/>
                  <w:szCs w:val="20"/>
                </w:rPr>
                <m:t>-1</m:t>
              </m:r>
            </m:den>
          </m:f>
        </m:oMath>
      </m:oMathPara>
    </w:p>
    <w:p w:rsidR="006A199E" w:rsidRPr="006A199E" w:rsidRDefault="006A199E" w:rsidP="006A199E">
      <w:pPr>
        <w:autoSpaceDE w:val="0"/>
        <w:autoSpaceDN w:val="0"/>
        <w:adjustRightInd w:val="0"/>
        <w:spacing w:before="80" w:after="120"/>
        <w:jc w:val="both"/>
        <w:rPr>
          <w:rFonts w:ascii="Bookman Old Style" w:hAnsi="Bookman Old Style"/>
          <w:sz w:val="20"/>
          <w:szCs w:val="20"/>
        </w:rPr>
      </w:pPr>
      <w:r w:rsidRPr="006A199E">
        <w:rPr>
          <w:rFonts w:asciiTheme="majorHAnsi" w:hAnsiTheme="majorHAnsi"/>
          <w:sz w:val="24"/>
          <w:szCs w:val="24"/>
        </w:rPr>
        <w:t>г</w:t>
      </w:r>
      <w:r w:rsidRPr="006A199E">
        <w:rPr>
          <w:rFonts w:ascii="Bookman Old Style" w:hAnsi="Bookman Old Style"/>
          <w:sz w:val="20"/>
          <w:szCs w:val="20"/>
        </w:rPr>
        <w:t>де:</w:t>
      </w:r>
    </w:p>
    <w:p w:rsidR="006A199E" w:rsidRPr="006A199E" w:rsidRDefault="006C4CCF" w:rsidP="006A199E">
      <w:pPr>
        <w:spacing w:before="120" w:after="120"/>
        <w:jc w:val="both"/>
        <w:rPr>
          <w:rFonts w:ascii="Bookman Old Style" w:hAnsi="Bookman Old Style"/>
          <w:sz w:val="20"/>
          <w:szCs w:val="20"/>
        </w:rPr>
      </w:pPr>
      <m:oMath>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дох.кап.</m:t>
            </m:r>
          </m:sub>
        </m:sSub>
      </m:oMath>
      <w:r w:rsidR="006A199E" w:rsidRPr="006A199E">
        <w:rPr>
          <w:rFonts w:ascii="Bookman Old Style" w:hAnsi="Bookman Old Style"/>
          <w:sz w:val="20"/>
          <w:szCs w:val="20"/>
        </w:rPr>
        <w:t xml:space="preserve"> - ставка дохода на капитал;</w:t>
      </w:r>
    </w:p>
    <w:p w:rsidR="006A199E" w:rsidRPr="006A199E" w:rsidRDefault="006C4CCF" w:rsidP="006A199E">
      <w:pPr>
        <w:spacing w:before="120" w:after="120"/>
        <w:jc w:val="both"/>
        <w:rPr>
          <w:rFonts w:ascii="Bookman Old Style" w:hAnsi="Bookman Old Style"/>
          <w:sz w:val="20"/>
          <w:szCs w:val="20"/>
        </w:rPr>
      </w:pPr>
      <m:oMath>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норм.возвр</m:t>
            </m:r>
          </m:sub>
        </m:sSub>
      </m:oMath>
      <w:r w:rsidR="006A199E" w:rsidRPr="006A199E">
        <w:rPr>
          <w:rFonts w:ascii="Bookman Old Style" w:hAnsi="Bookman Old Style"/>
          <w:sz w:val="20"/>
          <w:szCs w:val="20"/>
        </w:rPr>
        <w:t xml:space="preserve"> - норма возврата инвестиций;</w:t>
      </w:r>
    </w:p>
    <w:p w:rsidR="006A199E" w:rsidRPr="006A199E" w:rsidRDefault="006A199E" w:rsidP="006A199E">
      <w:pPr>
        <w:spacing w:before="120" w:after="120"/>
        <w:jc w:val="both"/>
        <w:rPr>
          <w:rFonts w:ascii="Bookman Old Style" w:eastAsia="NewtonC" w:hAnsi="Bookman Old Style"/>
          <w:bCs/>
          <w:sz w:val="20"/>
          <w:szCs w:val="20"/>
        </w:rPr>
      </w:pPr>
      <w:r w:rsidRPr="006A199E">
        <w:rPr>
          <w:rFonts w:asciiTheme="majorHAnsi" w:hAnsiTheme="majorHAnsi"/>
          <w:sz w:val="20"/>
          <w:szCs w:val="20"/>
        </w:rPr>
        <w:t>n</w:t>
      </w:r>
      <w:r w:rsidRPr="006A199E">
        <w:rPr>
          <w:rFonts w:ascii="Bookman Old Style" w:hAnsi="Bookman Old Style"/>
          <w:sz w:val="20"/>
          <w:szCs w:val="20"/>
        </w:rPr>
        <w:t xml:space="preserve"> -</w:t>
      </w:r>
      <w:r w:rsidRPr="006A199E">
        <w:rPr>
          <w:rFonts w:ascii="Bookman Old Style" w:eastAsia="NewtonC" w:hAnsi="Bookman Old Style"/>
          <w:bCs/>
          <w:sz w:val="20"/>
          <w:szCs w:val="20"/>
        </w:rPr>
        <w:t xml:space="preserve"> период времени до проведения капитального ремонта (предполагаемый срок экономической жизни до капитального ремонта). </w:t>
      </w:r>
      <w:r w:rsidRPr="006A199E">
        <w:rPr>
          <w:rFonts w:ascii="Bookman Old Style" w:eastAsia="NewtonC" w:hAnsi="Bookman Old Style"/>
          <w:bCs/>
          <w:sz w:val="20"/>
          <w:szCs w:val="20"/>
          <w:lang w:val="en-US"/>
        </w:rPr>
        <w:t>n</w:t>
      </w:r>
      <w:r w:rsidRPr="006A199E">
        <w:rPr>
          <w:rFonts w:ascii="Bookman Old Style" w:eastAsia="NewtonC" w:hAnsi="Bookman Old Style"/>
          <w:bCs/>
          <w:sz w:val="20"/>
          <w:szCs w:val="20"/>
        </w:rPr>
        <w:t>=</w:t>
      </w:r>
      <w:r>
        <w:rPr>
          <w:rFonts w:ascii="Bookman Old Style" w:eastAsia="NewtonC" w:hAnsi="Bookman Old Style"/>
          <w:bCs/>
          <w:sz w:val="20"/>
          <w:szCs w:val="20"/>
        </w:rPr>
        <w:t>15</w:t>
      </w:r>
      <w:r w:rsidRPr="006A199E">
        <w:rPr>
          <w:rFonts w:ascii="Bookman Old Style" w:eastAsia="NewtonC" w:hAnsi="Bookman Old Style"/>
          <w:bCs/>
          <w:sz w:val="20"/>
          <w:szCs w:val="20"/>
          <w:vertAlign w:val="superscript"/>
          <w:lang w:val="en-GB"/>
        </w:rPr>
        <w:footnoteReference w:id="65"/>
      </w:r>
      <w:r w:rsidRPr="006A199E">
        <w:rPr>
          <w:rFonts w:ascii="Bookman Old Style" w:eastAsia="NewtonC" w:hAnsi="Bookman Old Style"/>
          <w:bCs/>
          <w:sz w:val="20"/>
          <w:szCs w:val="20"/>
        </w:rPr>
        <w:t>.</w:t>
      </w:r>
    </w:p>
    <w:p w:rsidR="006A199E" w:rsidRPr="006A199E" w:rsidRDefault="006A199E" w:rsidP="006A199E">
      <w:pPr>
        <w:spacing w:before="120"/>
        <w:jc w:val="right"/>
        <w:rPr>
          <w:rFonts w:ascii="Bookman Old Style" w:hAnsi="Bookman Old Style"/>
          <w:b/>
          <w:sz w:val="20"/>
          <w:szCs w:val="20"/>
        </w:rPr>
      </w:pPr>
      <w:r w:rsidRPr="006A199E">
        <w:rPr>
          <w:rFonts w:ascii="Bookman Old Style" w:hAnsi="Bookman Old Style"/>
          <w:b/>
          <w:sz w:val="20"/>
          <w:szCs w:val="20"/>
        </w:rPr>
        <w:t xml:space="preserve">Таблица </w:t>
      </w:r>
      <w:r w:rsidRPr="006A199E">
        <w:rPr>
          <w:rFonts w:ascii="Bookman Old Style" w:hAnsi="Bookman Old Style"/>
          <w:b/>
          <w:bCs/>
          <w:sz w:val="20"/>
          <w:szCs w:val="20"/>
        </w:rPr>
        <w:t>5.5.4.</w:t>
      </w:r>
      <w:r w:rsidRPr="006A199E">
        <w:rPr>
          <w:rFonts w:ascii="Bookman Old Style" w:hAnsi="Bookman Old Style"/>
          <w:b/>
          <w:sz w:val="20"/>
          <w:szCs w:val="20"/>
        </w:rPr>
        <w:t xml:space="preserve">1. Расчет коэффициента капитализации </w:t>
      </w:r>
      <w:r w:rsidR="006568BA">
        <w:rPr>
          <w:rFonts w:ascii="Bookman Old Style" w:hAnsi="Bookman Old Style"/>
          <w:b/>
          <w:sz w:val="20"/>
          <w:szCs w:val="20"/>
        </w:rPr>
        <w:t>для объектов ПСН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33"/>
        <w:gridCol w:w="2509"/>
        <w:gridCol w:w="4879"/>
      </w:tblGrid>
      <w:tr w:rsidR="009E33BE" w:rsidRPr="006A199E" w:rsidTr="009E33BE">
        <w:trPr>
          <w:cantSplit/>
          <w:trHeight w:val="170"/>
        </w:trPr>
        <w:tc>
          <w:tcPr>
            <w:tcW w:w="1455" w:type="pct"/>
            <w:shd w:val="clear" w:color="000000" w:fill="F2F2F2"/>
            <w:vAlign w:val="center"/>
            <w:hideMark/>
          </w:tcPr>
          <w:p w:rsidR="006A199E" w:rsidRPr="006A199E" w:rsidRDefault="006A199E" w:rsidP="006A199E">
            <w:pPr>
              <w:jc w:val="center"/>
              <w:rPr>
                <w:rFonts w:ascii="Cambria" w:hAnsi="Cambria"/>
                <w:b/>
                <w:bCs/>
                <w:color w:val="000000"/>
                <w:sz w:val="16"/>
                <w:szCs w:val="16"/>
              </w:rPr>
            </w:pPr>
            <w:r w:rsidRPr="006A199E">
              <w:rPr>
                <w:rFonts w:ascii="Cambria" w:hAnsi="Cambria"/>
                <w:b/>
                <w:bCs/>
                <w:color w:val="000000"/>
                <w:sz w:val="16"/>
                <w:szCs w:val="16"/>
              </w:rPr>
              <w:t>Показатель</w:t>
            </w:r>
          </w:p>
        </w:tc>
        <w:tc>
          <w:tcPr>
            <w:tcW w:w="1204" w:type="pct"/>
            <w:shd w:val="clear" w:color="000000" w:fill="F2F2F2"/>
            <w:noWrap/>
            <w:vAlign w:val="center"/>
            <w:hideMark/>
          </w:tcPr>
          <w:p w:rsidR="006A199E" w:rsidRPr="006A199E" w:rsidRDefault="006A199E" w:rsidP="006A199E">
            <w:pPr>
              <w:jc w:val="center"/>
              <w:rPr>
                <w:rFonts w:ascii="Cambria" w:hAnsi="Cambria"/>
                <w:b/>
                <w:bCs/>
                <w:color w:val="000000"/>
                <w:sz w:val="16"/>
                <w:szCs w:val="16"/>
              </w:rPr>
            </w:pPr>
            <w:r w:rsidRPr="006A199E">
              <w:rPr>
                <w:rFonts w:ascii="Cambria" w:hAnsi="Cambria"/>
                <w:b/>
                <w:bCs/>
                <w:color w:val="000000"/>
                <w:sz w:val="16"/>
                <w:szCs w:val="16"/>
              </w:rPr>
              <w:t>Значение</w:t>
            </w:r>
          </w:p>
        </w:tc>
        <w:tc>
          <w:tcPr>
            <w:tcW w:w="2341" w:type="pct"/>
            <w:shd w:val="clear" w:color="000000" w:fill="F2F2F2"/>
            <w:noWrap/>
            <w:vAlign w:val="center"/>
            <w:hideMark/>
          </w:tcPr>
          <w:p w:rsidR="006A199E" w:rsidRPr="006A199E" w:rsidRDefault="006A199E" w:rsidP="006A199E">
            <w:pPr>
              <w:jc w:val="center"/>
              <w:rPr>
                <w:rFonts w:ascii="Cambria" w:hAnsi="Cambria"/>
                <w:b/>
                <w:bCs/>
                <w:color w:val="000000"/>
                <w:sz w:val="16"/>
                <w:szCs w:val="16"/>
              </w:rPr>
            </w:pPr>
            <w:r w:rsidRPr="006A199E">
              <w:rPr>
                <w:rFonts w:ascii="Cambria" w:hAnsi="Cambria"/>
                <w:b/>
                <w:bCs/>
                <w:color w:val="000000"/>
                <w:sz w:val="16"/>
                <w:szCs w:val="16"/>
              </w:rPr>
              <w:t>Источник информации</w:t>
            </w:r>
          </w:p>
        </w:tc>
      </w:tr>
      <w:tr w:rsidR="006568BA" w:rsidRPr="006A199E" w:rsidTr="009E33BE">
        <w:trPr>
          <w:cantSplit/>
          <w:trHeight w:val="170"/>
        </w:trPr>
        <w:tc>
          <w:tcPr>
            <w:tcW w:w="1455" w:type="pct"/>
            <w:shd w:val="clear" w:color="auto" w:fill="auto"/>
            <w:vAlign w:val="center"/>
            <w:hideMark/>
          </w:tcPr>
          <w:p w:rsidR="006568BA" w:rsidRPr="006A199E" w:rsidRDefault="006568BA" w:rsidP="006A199E">
            <w:pPr>
              <w:rPr>
                <w:rFonts w:ascii="Cambria" w:hAnsi="Cambria"/>
                <w:color w:val="000000"/>
                <w:sz w:val="16"/>
                <w:szCs w:val="16"/>
              </w:rPr>
            </w:pPr>
            <w:r w:rsidRPr="006A199E">
              <w:rPr>
                <w:rFonts w:ascii="Cambria" w:hAnsi="Cambria"/>
                <w:color w:val="000000"/>
                <w:sz w:val="16"/>
                <w:szCs w:val="16"/>
              </w:rPr>
              <w:t>Ставка аренды для, руб. 1 кв.м. в месяц</w:t>
            </w:r>
          </w:p>
        </w:tc>
        <w:tc>
          <w:tcPr>
            <w:tcW w:w="1204"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148</w:t>
            </w:r>
          </w:p>
        </w:tc>
        <w:tc>
          <w:tcPr>
            <w:tcW w:w="2341" w:type="pct"/>
            <w:shd w:val="clear" w:color="auto" w:fill="auto"/>
            <w:vAlign w:val="center"/>
            <w:hideMark/>
          </w:tcPr>
          <w:p w:rsidR="006568BA" w:rsidRPr="006A199E" w:rsidRDefault="006568BA" w:rsidP="006568BA">
            <w:pPr>
              <w:rPr>
                <w:rFonts w:ascii="Cambria" w:hAnsi="Cambria"/>
                <w:color w:val="000000"/>
                <w:sz w:val="16"/>
                <w:szCs w:val="16"/>
              </w:rPr>
            </w:pPr>
            <w:r w:rsidRPr="006A199E">
              <w:rPr>
                <w:rFonts w:ascii="Cambria" w:hAnsi="Cambria"/>
                <w:color w:val="000000"/>
                <w:sz w:val="16"/>
                <w:szCs w:val="16"/>
              </w:rPr>
              <w:t xml:space="preserve">Среднерыночная ставка аренды </w:t>
            </w:r>
            <w:r>
              <w:rPr>
                <w:rFonts w:ascii="Cambria" w:hAnsi="Cambria"/>
                <w:color w:val="000000"/>
                <w:sz w:val="16"/>
                <w:szCs w:val="16"/>
              </w:rPr>
              <w:t>объектов ПСН</w:t>
            </w:r>
            <w:r w:rsidRPr="006A199E">
              <w:rPr>
                <w:rFonts w:ascii="Cambria" w:hAnsi="Cambria"/>
                <w:color w:val="000000"/>
                <w:sz w:val="16"/>
                <w:szCs w:val="16"/>
              </w:rPr>
              <w:t xml:space="preserve"> в </w:t>
            </w:r>
            <w:r>
              <w:rPr>
                <w:rFonts w:ascii="Cambria" w:hAnsi="Cambria"/>
                <w:color w:val="000000"/>
                <w:sz w:val="16"/>
                <w:szCs w:val="16"/>
              </w:rPr>
              <w:t>Ленинском</w:t>
            </w:r>
            <w:r w:rsidRPr="006A199E">
              <w:rPr>
                <w:rFonts w:ascii="Cambria" w:hAnsi="Cambria"/>
                <w:color w:val="000000"/>
                <w:sz w:val="16"/>
                <w:szCs w:val="16"/>
              </w:rPr>
              <w:t xml:space="preserve"> районе г. Красноярска</w:t>
            </w:r>
          </w:p>
        </w:tc>
      </w:tr>
      <w:tr w:rsidR="006568BA" w:rsidRPr="006A199E" w:rsidTr="009E33BE">
        <w:trPr>
          <w:cantSplit/>
          <w:trHeight w:val="170"/>
        </w:trPr>
        <w:tc>
          <w:tcPr>
            <w:tcW w:w="1455" w:type="pct"/>
            <w:shd w:val="clear" w:color="auto" w:fill="auto"/>
            <w:vAlign w:val="center"/>
            <w:hideMark/>
          </w:tcPr>
          <w:p w:rsidR="006568BA" w:rsidRPr="006A199E" w:rsidRDefault="006568BA" w:rsidP="006A199E">
            <w:pPr>
              <w:rPr>
                <w:rFonts w:ascii="Cambria" w:hAnsi="Cambria"/>
                <w:color w:val="000000"/>
                <w:sz w:val="16"/>
                <w:szCs w:val="16"/>
              </w:rPr>
            </w:pPr>
            <w:r w:rsidRPr="006A199E">
              <w:rPr>
                <w:rFonts w:ascii="Cambria" w:hAnsi="Cambria"/>
                <w:color w:val="000000"/>
                <w:sz w:val="16"/>
                <w:szCs w:val="16"/>
              </w:rPr>
              <w:t>Стоимость продажи, руб. 1 кв.м.</w:t>
            </w:r>
          </w:p>
        </w:tc>
        <w:tc>
          <w:tcPr>
            <w:tcW w:w="1204"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21 393</w:t>
            </w:r>
          </w:p>
        </w:tc>
        <w:tc>
          <w:tcPr>
            <w:tcW w:w="2341" w:type="pct"/>
            <w:shd w:val="clear" w:color="auto" w:fill="auto"/>
            <w:vAlign w:val="center"/>
            <w:hideMark/>
          </w:tcPr>
          <w:p w:rsidR="006568BA" w:rsidRPr="006A199E" w:rsidRDefault="006568BA" w:rsidP="006A199E">
            <w:pPr>
              <w:rPr>
                <w:rFonts w:ascii="Cambria" w:hAnsi="Cambria"/>
                <w:color w:val="000000"/>
                <w:sz w:val="16"/>
                <w:szCs w:val="16"/>
              </w:rPr>
            </w:pPr>
            <w:r w:rsidRPr="006A199E">
              <w:rPr>
                <w:rFonts w:ascii="Cambria" w:hAnsi="Cambria"/>
                <w:color w:val="000000"/>
                <w:sz w:val="16"/>
                <w:szCs w:val="16"/>
              </w:rPr>
              <w:t xml:space="preserve">Среднерыночная стоимость продажи </w:t>
            </w:r>
            <w:r w:rsidRPr="006568BA">
              <w:rPr>
                <w:rFonts w:ascii="Cambria" w:hAnsi="Cambria"/>
                <w:color w:val="000000"/>
                <w:sz w:val="16"/>
                <w:szCs w:val="16"/>
              </w:rPr>
              <w:t>объектов ПСН в Ленинском</w:t>
            </w:r>
            <w:r w:rsidRPr="006A199E">
              <w:rPr>
                <w:rFonts w:ascii="Cambria" w:hAnsi="Cambria"/>
                <w:color w:val="000000"/>
                <w:sz w:val="16"/>
                <w:szCs w:val="16"/>
              </w:rPr>
              <w:t xml:space="preserve"> районе г. Красноярска</w:t>
            </w:r>
            <w:r>
              <w:rPr>
                <w:rFonts w:ascii="Cambria" w:hAnsi="Cambria"/>
                <w:color w:val="000000"/>
                <w:sz w:val="16"/>
                <w:szCs w:val="16"/>
              </w:rPr>
              <w:t xml:space="preserve"> </w:t>
            </w:r>
          </w:p>
        </w:tc>
      </w:tr>
      <w:tr w:rsidR="006568BA" w:rsidRPr="006A199E" w:rsidTr="009E33BE">
        <w:trPr>
          <w:cantSplit/>
          <w:trHeight w:val="170"/>
        </w:trPr>
        <w:tc>
          <w:tcPr>
            <w:tcW w:w="1455" w:type="pct"/>
            <w:shd w:val="clear" w:color="auto" w:fill="auto"/>
            <w:vAlign w:val="center"/>
            <w:hideMark/>
          </w:tcPr>
          <w:p w:rsidR="006568BA" w:rsidRPr="006A199E" w:rsidRDefault="006568BA" w:rsidP="006A199E">
            <w:pPr>
              <w:rPr>
                <w:rFonts w:ascii="Cambria" w:hAnsi="Cambria"/>
                <w:color w:val="000000"/>
                <w:sz w:val="16"/>
                <w:szCs w:val="16"/>
              </w:rPr>
            </w:pPr>
            <w:r w:rsidRPr="006A199E">
              <w:rPr>
                <w:rFonts w:ascii="Cambria" w:hAnsi="Cambria"/>
                <w:color w:val="000000"/>
                <w:sz w:val="16"/>
                <w:szCs w:val="16"/>
              </w:rPr>
              <w:t>ПВД от сдачи в аренду</w:t>
            </w:r>
          </w:p>
        </w:tc>
        <w:tc>
          <w:tcPr>
            <w:tcW w:w="1204"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1 781</w:t>
            </w:r>
          </w:p>
        </w:tc>
        <w:tc>
          <w:tcPr>
            <w:tcW w:w="2341" w:type="pct"/>
            <w:shd w:val="clear" w:color="auto" w:fill="auto"/>
            <w:noWrap/>
            <w:vAlign w:val="center"/>
            <w:hideMark/>
          </w:tcPr>
          <w:p w:rsidR="006568BA" w:rsidRPr="006A199E" w:rsidRDefault="006568BA" w:rsidP="006A199E">
            <w:pPr>
              <w:rPr>
                <w:rFonts w:ascii="Cambria" w:hAnsi="Cambria"/>
                <w:color w:val="000000"/>
                <w:sz w:val="16"/>
                <w:szCs w:val="16"/>
              </w:rPr>
            </w:pPr>
            <w:r w:rsidRPr="006A199E">
              <w:rPr>
                <w:rFonts w:ascii="Cambria" w:hAnsi="Cambria"/>
                <w:color w:val="000000"/>
                <w:sz w:val="16"/>
                <w:szCs w:val="16"/>
              </w:rPr>
              <w:t>Расчет формулы см. пункт 5.5.5.</w:t>
            </w:r>
          </w:p>
        </w:tc>
      </w:tr>
      <w:tr w:rsidR="006568BA" w:rsidRPr="006A199E" w:rsidTr="009E33BE">
        <w:trPr>
          <w:cantSplit/>
          <w:trHeight w:val="170"/>
        </w:trPr>
        <w:tc>
          <w:tcPr>
            <w:tcW w:w="1455" w:type="pct"/>
            <w:shd w:val="clear" w:color="auto" w:fill="auto"/>
            <w:vAlign w:val="center"/>
            <w:hideMark/>
          </w:tcPr>
          <w:p w:rsidR="006568BA" w:rsidRPr="006A199E" w:rsidRDefault="006568BA" w:rsidP="006A199E">
            <w:pPr>
              <w:rPr>
                <w:rFonts w:ascii="Cambria" w:hAnsi="Cambria"/>
                <w:color w:val="000000"/>
                <w:sz w:val="16"/>
                <w:szCs w:val="16"/>
              </w:rPr>
            </w:pPr>
            <w:r w:rsidRPr="006A199E">
              <w:rPr>
                <w:rFonts w:ascii="Cambria" w:hAnsi="Cambria"/>
                <w:color w:val="000000"/>
                <w:sz w:val="16"/>
                <w:szCs w:val="16"/>
              </w:rPr>
              <w:t>ДВД</w:t>
            </w:r>
          </w:p>
        </w:tc>
        <w:tc>
          <w:tcPr>
            <w:tcW w:w="1204"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1 549</w:t>
            </w:r>
          </w:p>
        </w:tc>
        <w:tc>
          <w:tcPr>
            <w:tcW w:w="2341" w:type="pct"/>
            <w:shd w:val="clear" w:color="auto" w:fill="auto"/>
            <w:noWrap/>
            <w:vAlign w:val="center"/>
            <w:hideMark/>
          </w:tcPr>
          <w:p w:rsidR="006568BA" w:rsidRPr="006A199E" w:rsidRDefault="006568BA" w:rsidP="006A199E">
            <w:pPr>
              <w:rPr>
                <w:rFonts w:ascii="Cambria" w:hAnsi="Cambria"/>
                <w:color w:val="000000"/>
                <w:sz w:val="16"/>
                <w:szCs w:val="16"/>
              </w:rPr>
            </w:pPr>
            <w:r w:rsidRPr="006A199E">
              <w:rPr>
                <w:rFonts w:ascii="Cambria" w:hAnsi="Cambria"/>
                <w:color w:val="000000"/>
                <w:sz w:val="16"/>
                <w:szCs w:val="16"/>
              </w:rPr>
              <w:t>Расчет формулы см. пункт 5.5.5.</w:t>
            </w:r>
          </w:p>
        </w:tc>
      </w:tr>
      <w:tr w:rsidR="006568BA" w:rsidRPr="006A199E" w:rsidTr="009E33BE">
        <w:trPr>
          <w:cantSplit/>
          <w:trHeight w:val="170"/>
        </w:trPr>
        <w:tc>
          <w:tcPr>
            <w:tcW w:w="1455" w:type="pct"/>
            <w:shd w:val="clear" w:color="auto" w:fill="auto"/>
            <w:noWrap/>
            <w:vAlign w:val="center"/>
            <w:hideMark/>
          </w:tcPr>
          <w:p w:rsidR="006568BA" w:rsidRPr="006A199E" w:rsidRDefault="006568BA" w:rsidP="006A199E">
            <w:pPr>
              <w:rPr>
                <w:rFonts w:ascii="Cambria" w:hAnsi="Cambria"/>
                <w:color w:val="000000"/>
                <w:sz w:val="16"/>
                <w:szCs w:val="16"/>
              </w:rPr>
            </w:pPr>
            <w:r w:rsidRPr="006A199E">
              <w:rPr>
                <w:rFonts w:ascii="Cambria" w:hAnsi="Cambria"/>
                <w:color w:val="000000"/>
                <w:sz w:val="16"/>
                <w:szCs w:val="16"/>
              </w:rPr>
              <w:t>ЧОД</w:t>
            </w:r>
          </w:p>
        </w:tc>
        <w:tc>
          <w:tcPr>
            <w:tcW w:w="1204"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1270,35</w:t>
            </w:r>
          </w:p>
        </w:tc>
        <w:tc>
          <w:tcPr>
            <w:tcW w:w="2341" w:type="pct"/>
            <w:shd w:val="clear" w:color="auto" w:fill="auto"/>
            <w:noWrap/>
            <w:vAlign w:val="center"/>
            <w:hideMark/>
          </w:tcPr>
          <w:p w:rsidR="006568BA" w:rsidRPr="006A199E" w:rsidRDefault="006568BA" w:rsidP="006A199E">
            <w:pPr>
              <w:rPr>
                <w:rFonts w:ascii="Cambria" w:hAnsi="Cambria"/>
                <w:color w:val="000000"/>
                <w:sz w:val="16"/>
                <w:szCs w:val="16"/>
              </w:rPr>
            </w:pPr>
            <w:r w:rsidRPr="006A199E">
              <w:rPr>
                <w:rFonts w:ascii="Cambria" w:hAnsi="Cambria"/>
                <w:color w:val="000000"/>
                <w:sz w:val="16"/>
                <w:szCs w:val="16"/>
              </w:rPr>
              <w:t> </w:t>
            </w:r>
          </w:p>
        </w:tc>
      </w:tr>
      <w:tr w:rsidR="006568BA" w:rsidRPr="006A199E" w:rsidTr="009E33BE">
        <w:trPr>
          <w:cantSplit/>
          <w:trHeight w:val="170"/>
        </w:trPr>
        <w:tc>
          <w:tcPr>
            <w:tcW w:w="1455" w:type="pct"/>
            <w:shd w:val="clear" w:color="auto" w:fill="auto"/>
            <w:noWrap/>
            <w:vAlign w:val="center"/>
            <w:hideMark/>
          </w:tcPr>
          <w:p w:rsidR="006568BA" w:rsidRPr="006A199E" w:rsidRDefault="006568BA" w:rsidP="006A199E">
            <w:pPr>
              <w:rPr>
                <w:rFonts w:ascii="Cambria" w:hAnsi="Cambria"/>
                <w:color w:val="000000"/>
                <w:sz w:val="16"/>
                <w:szCs w:val="16"/>
              </w:rPr>
            </w:pPr>
            <w:r w:rsidRPr="006A199E">
              <w:rPr>
                <w:rFonts w:ascii="Cambria" w:hAnsi="Cambria"/>
                <w:color w:val="000000"/>
                <w:sz w:val="16"/>
                <w:szCs w:val="16"/>
              </w:rPr>
              <w:t>Ставка дохода</w:t>
            </w:r>
          </w:p>
        </w:tc>
        <w:tc>
          <w:tcPr>
            <w:tcW w:w="1204"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5,94%</w:t>
            </w:r>
          </w:p>
        </w:tc>
        <w:tc>
          <w:tcPr>
            <w:tcW w:w="2341" w:type="pct"/>
            <w:shd w:val="clear" w:color="auto" w:fill="auto"/>
            <w:noWrap/>
            <w:vAlign w:val="center"/>
            <w:hideMark/>
          </w:tcPr>
          <w:p w:rsidR="006568BA" w:rsidRPr="006A199E" w:rsidRDefault="006568BA" w:rsidP="006568BA">
            <w:pPr>
              <w:rPr>
                <w:rFonts w:ascii="Cambria" w:hAnsi="Cambria"/>
                <w:color w:val="000000"/>
                <w:sz w:val="16"/>
                <w:szCs w:val="16"/>
              </w:rPr>
            </w:pPr>
            <w:r w:rsidRPr="006A199E">
              <w:rPr>
                <w:rFonts w:ascii="Cambria" w:hAnsi="Cambria"/>
                <w:color w:val="000000"/>
                <w:sz w:val="16"/>
                <w:szCs w:val="16"/>
              </w:rPr>
              <w:t>Расчет. С=</w:t>
            </w:r>
            <w:r>
              <w:rPr>
                <w:rFonts w:ascii="Cambria" w:hAnsi="Cambria"/>
                <w:color w:val="000000"/>
                <w:sz w:val="16"/>
                <w:szCs w:val="16"/>
              </w:rPr>
              <w:t>1270,35/21393</w:t>
            </w:r>
          </w:p>
        </w:tc>
      </w:tr>
      <w:tr w:rsidR="006568BA" w:rsidRPr="006A199E" w:rsidTr="009E33BE">
        <w:trPr>
          <w:cantSplit/>
          <w:trHeight w:val="188"/>
        </w:trPr>
        <w:tc>
          <w:tcPr>
            <w:tcW w:w="1455" w:type="pct"/>
            <w:vMerge w:val="restart"/>
            <w:shd w:val="clear" w:color="auto" w:fill="auto"/>
            <w:vAlign w:val="center"/>
            <w:hideMark/>
          </w:tcPr>
          <w:p w:rsidR="006568BA" w:rsidRPr="006A199E" w:rsidRDefault="006568BA" w:rsidP="006A199E">
            <w:pPr>
              <w:rPr>
                <w:rFonts w:ascii="Cambria" w:hAnsi="Cambria"/>
                <w:color w:val="000000"/>
                <w:sz w:val="16"/>
                <w:szCs w:val="16"/>
              </w:rPr>
            </w:pPr>
            <w:r w:rsidRPr="006A199E">
              <w:rPr>
                <w:rFonts w:ascii="Cambria" w:hAnsi="Cambria"/>
                <w:color w:val="000000"/>
                <w:sz w:val="16"/>
                <w:szCs w:val="16"/>
              </w:rPr>
              <w:t>Норма возврата капитала, %</w:t>
            </w:r>
          </w:p>
        </w:tc>
        <w:tc>
          <w:tcPr>
            <w:tcW w:w="1204" w:type="pct"/>
            <w:vMerge w:val="restar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4,32%</w:t>
            </w:r>
          </w:p>
        </w:tc>
        <w:tc>
          <w:tcPr>
            <w:tcW w:w="2341" w:type="pct"/>
            <w:vMerge w:val="restart"/>
            <w:shd w:val="clear" w:color="auto" w:fill="auto"/>
            <w:noWrap/>
            <w:vAlign w:val="center"/>
            <w:hideMark/>
          </w:tcPr>
          <w:p w:rsidR="006568BA" w:rsidRPr="004C496B" w:rsidRDefault="006568BA" w:rsidP="00D70166">
            <w:pPr>
              <w:rPr>
                <w:rFonts w:asciiTheme="majorHAnsi" w:hAnsiTheme="majorHAnsi"/>
                <w:color w:val="000000"/>
                <w:sz w:val="16"/>
                <w:szCs w:val="16"/>
              </w:rPr>
            </w:pPr>
            <w:r w:rsidRPr="004C496B">
              <w:rPr>
                <w:rFonts w:asciiTheme="majorHAnsi" w:hAnsiTheme="majorHAnsi"/>
                <w:color w:val="000000"/>
                <w:sz w:val="16"/>
                <w:szCs w:val="16"/>
              </w:rPr>
              <w:t xml:space="preserve">Расчет по формуле:  </w:t>
            </w:r>
            <m:oMath>
              <m:sSub>
                <m:sSubPr>
                  <m:ctrlPr>
                    <w:rPr>
                      <w:rFonts w:ascii="Cambria Math" w:hAnsi="Cambria Math"/>
                      <w:i/>
                      <w:color w:val="000000"/>
                      <w:sz w:val="16"/>
                      <w:szCs w:val="16"/>
                      <w:lang w:val="en-US"/>
                    </w:rPr>
                  </m:ctrlPr>
                </m:sSubPr>
                <m:e>
                  <m:r>
                    <w:rPr>
                      <w:rFonts w:ascii="Cambria Math" w:hAnsi="Cambria Math"/>
                      <w:color w:val="000000"/>
                      <w:sz w:val="16"/>
                      <w:szCs w:val="16"/>
                      <w:lang w:val="en-US"/>
                    </w:rPr>
                    <m:t>R</m:t>
                  </m:r>
                </m:e>
                <m:sub>
                  <m:r>
                    <w:rPr>
                      <w:rFonts w:ascii="Cambria Math" w:hAnsi="Cambria Math"/>
                      <w:color w:val="000000"/>
                      <w:sz w:val="16"/>
                      <w:szCs w:val="16"/>
                    </w:rPr>
                    <m:t>норм.возвр</m:t>
                  </m:r>
                </m:sub>
              </m:sSub>
              <m:r>
                <w:rPr>
                  <w:rFonts w:ascii="Cambria Math" w:hAnsi="Cambria Math"/>
                  <w:color w:val="000000"/>
                  <w:sz w:val="16"/>
                  <w:szCs w:val="16"/>
                </w:rPr>
                <m:t xml:space="preserve">= </m:t>
              </m:r>
              <m:f>
                <m:fPr>
                  <m:ctrlPr>
                    <w:rPr>
                      <w:rFonts w:ascii="Cambria Math" w:hAnsi="Cambria Math"/>
                      <w:i/>
                      <w:color w:val="000000"/>
                      <w:sz w:val="16"/>
                      <w:szCs w:val="16"/>
                      <w:lang w:val="en-US"/>
                    </w:rPr>
                  </m:ctrlPr>
                </m:fPr>
                <m:num>
                  <m:sSub>
                    <m:sSubPr>
                      <m:ctrlPr>
                        <w:rPr>
                          <w:rFonts w:ascii="Cambria Math" w:hAnsi="Cambria Math"/>
                          <w:i/>
                          <w:color w:val="000000"/>
                          <w:sz w:val="16"/>
                          <w:szCs w:val="16"/>
                          <w:lang w:val="en-US"/>
                        </w:rPr>
                      </m:ctrlPr>
                    </m:sSubPr>
                    <m:e>
                      <m:r>
                        <w:rPr>
                          <w:rFonts w:ascii="Cambria Math" w:hAnsi="Cambria Math"/>
                          <w:color w:val="000000"/>
                          <w:sz w:val="16"/>
                          <w:szCs w:val="16"/>
                          <w:lang w:val="en-US"/>
                        </w:rPr>
                        <m:t>R</m:t>
                      </m:r>
                    </m:e>
                    <m:sub>
                      <m:r>
                        <w:rPr>
                          <w:rFonts w:ascii="Cambria Math" w:hAnsi="Cambria Math"/>
                          <w:color w:val="000000"/>
                          <w:sz w:val="16"/>
                          <w:szCs w:val="16"/>
                        </w:rPr>
                        <m:t>дох.кап.</m:t>
                      </m:r>
                    </m:sub>
                  </m:sSub>
                </m:num>
                <m:den>
                  <m:r>
                    <w:rPr>
                      <w:rFonts w:ascii="Cambria Math" w:hAnsi="Cambria Math"/>
                      <w:color w:val="000000"/>
                      <w:sz w:val="16"/>
                      <w:szCs w:val="16"/>
                    </w:rPr>
                    <m:t>(</m:t>
                  </m:r>
                  <m:sSup>
                    <m:sSupPr>
                      <m:ctrlPr>
                        <w:rPr>
                          <w:rFonts w:ascii="Cambria Math" w:hAnsi="Cambria Math"/>
                          <w:i/>
                          <w:color w:val="000000"/>
                          <w:sz w:val="16"/>
                          <w:szCs w:val="16"/>
                          <w:lang w:val="en-US"/>
                        </w:rPr>
                      </m:ctrlPr>
                    </m:sSupPr>
                    <m:e>
                      <m:r>
                        <w:rPr>
                          <w:rFonts w:ascii="Cambria Math" w:hAnsi="Cambria Math"/>
                          <w:color w:val="000000"/>
                          <w:sz w:val="16"/>
                          <w:szCs w:val="16"/>
                        </w:rPr>
                        <m:t>1+</m:t>
                      </m:r>
                      <m:sSub>
                        <m:sSubPr>
                          <m:ctrlPr>
                            <w:rPr>
                              <w:rFonts w:ascii="Cambria Math" w:hAnsi="Cambria Math"/>
                              <w:i/>
                              <w:color w:val="000000"/>
                              <w:sz w:val="16"/>
                              <w:szCs w:val="16"/>
                              <w:lang w:val="en-US"/>
                            </w:rPr>
                          </m:ctrlPr>
                        </m:sSubPr>
                        <m:e>
                          <m:r>
                            <w:rPr>
                              <w:rFonts w:ascii="Cambria Math" w:hAnsi="Cambria Math"/>
                              <w:color w:val="000000"/>
                              <w:sz w:val="16"/>
                              <w:szCs w:val="16"/>
                              <w:lang w:val="en-US"/>
                            </w:rPr>
                            <m:t>R</m:t>
                          </m:r>
                        </m:e>
                        <m:sub>
                          <m:r>
                            <w:rPr>
                              <w:rFonts w:ascii="Cambria Math" w:hAnsi="Cambria Math"/>
                              <w:color w:val="000000"/>
                              <w:sz w:val="16"/>
                              <w:szCs w:val="16"/>
                            </w:rPr>
                            <m:t>дох.кап.</m:t>
                          </m:r>
                        </m:sub>
                      </m:sSub>
                      <m:r>
                        <w:rPr>
                          <w:rFonts w:ascii="Cambria Math" w:hAnsi="Cambria Math"/>
                          <w:color w:val="000000"/>
                          <w:sz w:val="16"/>
                          <w:szCs w:val="16"/>
                        </w:rPr>
                        <m:t>)</m:t>
                      </m:r>
                    </m:e>
                    <m:sup>
                      <m:r>
                        <w:rPr>
                          <w:rFonts w:ascii="Cambria Math" w:hAnsi="Cambria Math"/>
                          <w:color w:val="000000"/>
                          <w:sz w:val="16"/>
                          <w:szCs w:val="16"/>
                          <w:lang w:val="en-US"/>
                        </w:rPr>
                        <m:t>n</m:t>
                      </m:r>
                    </m:sup>
                  </m:sSup>
                  <m:r>
                    <w:rPr>
                      <w:rFonts w:ascii="Cambria Math" w:hAnsi="Cambria Math"/>
                      <w:color w:val="000000"/>
                      <w:sz w:val="16"/>
                      <w:szCs w:val="16"/>
                    </w:rPr>
                    <m:t>-1</m:t>
                  </m:r>
                </m:den>
              </m:f>
            </m:oMath>
          </w:p>
        </w:tc>
      </w:tr>
      <w:tr w:rsidR="006568BA" w:rsidRPr="006A199E" w:rsidTr="009E33BE">
        <w:trPr>
          <w:cantSplit/>
          <w:trHeight w:val="188"/>
        </w:trPr>
        <w:tc>
          <w:tcPr>
            <w:tcW w:w="1455" w:type="pct"/>
            <w:vMerge/>
            <w:vAlign w:val="center"/>
            <w:hideMark/>
          </w:tcPr>
          <w:p w:rsidR="006568BA" w:rsidRPr="006A199E" w:rsidRDefault="006568BA" w:rsidP="006A199E">
            <w:pPr>
              <w:rPr>
                <w:rFonts w:ascii="Cambria" w:hAnsi="Cambria"/>
                <w:color w:val="000000"/>
                <w:sz w:val="16"/>
                <w:szCs w:val="16"/>
              </w:rPr>
            </w:pPr>
          </w:p>
        </w:tc>
        <w:tc>
          <w:tcPr>
            <w:tcW w:w="1204" w:type="pct"/>
            <w:vMerge/>
            <w:vAlign w:val="center"/>
            <w:hideMark/>
          </w:tcPr>
          <w:p w:rsidR="006568BA" w:rsidRPr="006A199E" w:rsidRDefault="006568BA" w:rsidP="006A199E">
            <w:pPr>
              <w:rPr>
                <w:rFonts w:ascii="Cambria" w:hAnsi="Cambria"/>
                <w:color w:val="000000"/>
                <w:sz w:val="16"/>
                <w:szCs w:val="16"/>
              </w:rPr>
            </w:pPr>
          </w:p>
        </w:tc>
        <w:tc>
          <w:tcPr>
            <w:tcW w:w="2341" w:type="pct"/>
            <w:vMerge/>
            <w:vAlign w:val="center"/>
            <w:hideMark/>
          </w:tcPr>
          <w:p w:rsidR="006568BA" w:rsidRPr="006A199E" w:rsidRDefault="006568BA" w:rsidP="006A199E">
            <w:pPr>
              <w:rPr>
                <w:rFonts w:ascii="Cambria" w:hAnsi="Cambria"/>
                <w:color w:val="000000"/>
                <w:sz w:val="16"/>
                <w:szCs w:val="16"/>
              </w:rPr>
            </w:pPr>
          </w:p>
        </w:tc>
      </w:tr>
      <w:tr w:rsidR="006568BA" w:rsidRPr="006A199E" w:rsidTr="009E33BE">
        <w:trPr>
          <w:cantSplit/>
          <w:trHeight w:val="170"/>
        </w:trPr>
        <w:tc>
          <w:tcPr>
            <w:tcW w:w="1455" w:type="pct"/>
            <w:shd w:val="clear" w:color="auto" w:fill="auto"/>
            <w:vAlign w:val="center"/>
            <w:hideMark/>
          </w:tcPr>
          <w:p w:rsidR="006568BA" w:rsidRPr="006A199E" w:rsidRDefault="006568BA" w:rsidP="006A199E">
            <w:pPr>
              <w:rPr>
                <w:rFonts w:ascii="Cambria" w:hAnsi="Cambria"/>
                <w:color w:val="000000"/>
                <w:sz w:val="16"/>
                <w:szCs w:val="16"/>
              </w:rPr>
            </w:pPr>
            <w:r w:rsidRPr="006A199E">
              <w:rPr>
                <w:rFonts w:ascii="Cambria" w:hAnsi="Cambria"/>
                <w:color w:val="000000"/>
                <w:sz w:val="16"/>
                <w:szCs w:val="16"/>
              </w:rPr>
              <w:t>Коэффициент капитализации, %</w:t>
            </w:r>
          </w:p>
        </w:tc>
        <w:tc>
          <w:tcPr>
            <w:tcW w:w="1204"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10,25%</w:t>
            </w:r>
          </w:p>
        </w:tc>
        <w:tc>
          <w:tcPr>
            <w:tcW w:w="2341" w:type="pct"/>
            <w:shd w:val="clear" w:color="auto" w:fill="auto"/>
            <w:noWrap/>
            <w:vAlign w:val="center"/>
            <w:hideMark/>
          </w:tcPr>
          <w:p w:rsidR="006568BA" w:rsidRPr="004C496B" w:rsidRDefault="006568BA" w:rsidP="00D70166">
            <w:pPr>
              <w:rPr>
                <w:rFonts w:asciiTheme="majorHAnsi" w:hAnsiTheme="majorHAnsi"/>
                <w:color w:val="000000"/>
                <w:sz w:val="16"/>
                <w:szCs w:val="16"/>
              </w:rPr>
            </w:pPr>
            <w:r w:rsidRPr="004C496B">
              <w:rPr>
                <w:rFonts w:asciiTheme="majorHAnsi" w:hAnsiTheme="majorHAnsi"/>
                <w:color w:val="000000"/>
                <w:sz w:val="16"/>
                <w:szCs w:val="16"/>
              </w:rPr>
              <w:t xml:space="preserve">Расчет по формуле:  </w:t>
            </w:r>
            <m:oMath>
              <m:sSub>
                <m:sSubPr>
                  <m:ctrlPr>
                    <w:rPr>
                      <w:rFonts w:ascii="Cambria Math" w:hAnsi="Cambria Math"/>
                      <w:i/>
                      <w:color w:val="000000"/>
                      <w:sz w:val="16"/>
                      <w:szCs w:val="16"/>
                      <w:lang w:val="en-US"/>
                    </w:rPr>
                  </m:ctrlPr>
                </m:sSubPr>
                <m:e>
                  <m:r>
                    <w:rPr>
                      <w:rFonts w:ascii="Cambria Math" w:hAnsi="Cambria Math"/>
                      <w:color w:val="000000"/>
                      <w:sz w:val="16"/>
                      <w:szCs w:val="16"/>
                      <w:lang w:val="en-US"/>
                    </w:rPr>
                    <m:t>R</m:t>
                  </m:r>
                </m:e>
                <m:sub>
                  <m:r>
                    <w:rPr>
                      <w:rFonts w:ascii="Cambria Math" w:hAnsi="Cambria Math"/>
                      <w:color w:val="000000"/>
                      <w:sz w:val="16"/>
                      <w:szCs w:val="16"/>
                    </w:rPr>
                    <m:t>норм.возвр</m:t>
                  </m:r>
                </m:sub>
              </m:sSub>
              <m:r>
                <w:rPr>
                  <w:rFonts w:ascii="Cambria Math" w:hAnsi="Cambria Math"/>
                  <w:color w:val="000000"/>
                  <w:sz w:val="16"/>
                  <w:szCs w:val="16"/>
                </w:rPr>
                <m:t xml:space="preserve">= </m:t>
              </m:r>
              <m:f>
                <m:fPr>
                  <m:ctrlPr>
                    <w:rPr>
                      <w:rFonts w:ascii="Cambria Math" w:hAnsi="Cambria Math"/>
                      <w:i/>
                      <w:color w:val="000000"/>
                      <w:sz w:val="16"/>
                      <w:szCs w:val="16"/>
                      <w:lang w:val="en-US"/>
                    </w:rPr>
                  </m:ctrlPr>
                </m:fPr>
                <m:num>
                  <m:sSub>
                    <m:sSubPr>
                      <m:ctrlPr>
                        <w:rPr>
                          <w:rFonts w:ascii="Cambria Math" w:hAnsi="Cambria Math"/>
                          <w:i/>
                          <w:color w:val="000000"/>
                          <w:sz w:val="16"/>
                          <w:szCs w:val="16"/>
                          <w:lang w:val="en-US"/>
                        </w:rPr>
                      </m:ctrlPr>
                    </m:sSubPr>
                    <m:e>
                      <m:r>
                        <w:rPr>
                          <w:rFonts w:ascii="Cambria Math" w:hAnsi="Cambria Math"/>
                          <w:color w:val="000000"/>
                          <w:sz w:val="16"/>
                          <w:szCs w:val="16"/>
                          <w:lang w:val="en-US"/>
                        </w:rPr>
                        <m:t>R</m:t>
                      </m:r>
                    </m:e>
                    <m:sub>
                      <m:r>
                        <w:rPr>
                          <w:rFonts w:ascii="Cambria Math" w:hAnsi="Cambria Math"/>
                          <w:color w:val="000000"/>
                          <w:sz w:val="16"/>
                          <w:szCs w:val="16"/>
                        </w:rPr>
                        <m:t>дох.кап.</m:t>
                      </m:r>
                    </m:sub>
                  </m:sSub>
                </m:num>
                <m:den>
                  <m:r>
                    <w:rPr>
                      <w:rFonts w:ascii="Cambria Math" w:hAnsi="Cambria Math"/>
                      <w:color w:val="000000"/>
                      <w:sz w:val="16"/>
                      <w:szCs w:val="16"/>
                    </w:rPr>
                    <m:t>(</m:t>
                  </m:r>
                  <m:sSup>
                    <m:sSupPr>
                      <m:ctrlPr>
                        <w:rPr>
                          <w:rFonts w:ascii="Cambria Math" w:hAnsi="Cambria Math"/>
                          <w:i/>
                          <w:color w:val="000000"/>
                          <w:sz w:val="16"/>
                          <w:szCs w:val="16"/>
                          <w:lang w:val="en-US"/>
                        </w:rPr>
                      </m:ctrlPr>
                    </m:sSupPr>
                    <m:e>
                      <m:r>
                        <w:rPr>
                          <w:rFonts w:ascii="Cambria Math" w:hAnsi="Cambria Math"/>
                          <w:color w:val="000000"/>
                          <w:sz w:val="16"/>
                          <w:szCs w:val="16"/>
                        </w:rPr>
                        <m:t>1+</m:t>
                      </m:r>
                      <m:sSub>
                        <m:sSubPr>
                          <m:ctrlPr>
                            <w:rPr>
                              <w:rFonts w:ascii="Cambria Math" w:hAnsi="Cambria Math"/>
                              <w:i/>
                              <w:color w:val="000000"/>
                              <w:sz w:val="16"/>
                              <w:szCs w:val="16"/>
                              <w:lang w:val="en-US"/>
                            </w:rPr>
                          </m:ctrlPr>
                        </m:sSubPr>
                        <m:e>
                          <m:r>
                            <w:rPr>
                              <w:rFonts w:ascii="Cambria Math" w:hAnsi="Cambria Math"/>
                              <w:color w:val="000000"/>
                              <w:sz w:val="16"/>
                              <w:szCs w:val="16"/>
                              <w:lang w:val="en-US"/>
                            </w:rPr>
                            <m:t>R</m:t>
                          </m:r>
                        </m:e>
                        <m:sub>
                          <m:r>
                            <w:rPr>
                              <w:rFonts w:ascii="Cambria Math" w:hAnsi="Cambria Math"/>
                              <w:color w:val="000000"/>
                              <w:sz w:val="16"/>
                              <w:szCs w:val="16"/>
                            </w:rPr>
                            <m:t>дох.кап.</m:t>
                          </m:r>
                        </m:sub>
                      </m:sSub>
                      <m:r>
                        <w:rPr>
                          <w:rFonts w:ascii="Cambria Math" w:hAnsi="Cambria Math"/>
                          <w:color w:val="000000"/>
                          <w:sz w:val="16"/>
                          <w:szCs w:val="16"/>
                        </w:rPr>
                        <m:t>)</m:t>
                      </m:r>
                    </m:e>
                    <m:sup>
                      <m:r>
                        <w:rPr>
                          <w:rFonts w:ascii="Cambria Math" w:hAnsi="Cambria Math"/>
                          <w:color w:val="000000"/>
                          <w:sz w:val="16"/>
                          <w:szCs w:val="16"/>
                          <w:lang w:val="en-US"/>
                        </w:rPr>
                        <m:t>n</m:t>
                      </m:r>
                    </m:sup>
                  </m:sSup>
                  <m:r>
                    <w:rPr>
                      <w:rFonts w:ascii="Cambria Math" w:hAnsi="Cambria Math"/>
                      <w:color w:val="000000"/>
                      <w:sz w:val="16"/>
                      <w:szCs w:val="16"/>
                    </w:rPr>
                    <m:t>-1</m:t>
                  </m:r>
                </m:den>
              </m:f>
            </m:oMath>
          </w:p>
        </w:tc>
      </w:tr>
    </w:tbl>
    <w:p w:rsidR="006568BA" w:rsidRPr="006A199E" w:rsidRDefault="006568BA" w:rsidP="006568BA">
      <w:pPr>
        <w:spacing w:before="120"/>
        <w:jc w:val="right"/>
        <w:rPr>
          <w:rFonts w:ascii="Bookman Old Style" w:hAnsi="Bookman Old Style"/>
          <w:b/>
          <w:sz w:val="20"/>
          <w:szCs w:val="20"/>
        </w:rPr>
      </w:pPr>
      <w:bookmarkStart w:id="312" w:name="_Toc330465467"/>
      <w:bookmarkStart w:id="313" w:name="_Toc348605202"/>
      <w:bookmarkStart w:id="314" w:name="_Toc359256077"/>
      <w:bookmarkStart w:id="315" w:name="_Toc419473038"/>
      <w:r w:rsidRPr="006A199E">
        <w:rPr>
          <w:rFonts w:ascii="Bookman Old Style" w:hAnsi="Bookman Old Style"/>
          <w:b/>
          <w:sz w:val="20"/>
          <w:szCs w:val="20"/>
        </w:rPr>
        <w:t xml:space="preserve">Таблица </w:t>
      </w:r>
      <w:r w:rsidRPr="006A199E">
        <w:rPr>
          <w:rFonts w:ascii="Bookman Old Style" w:hAnsi="Bookman Old Style"/>
          <w:b/>
          <w:bCs/>
          <w:sz w:val="20"/>
          <w:szCs w:val="20"/>
        </w:rPr>
        <w:t>5.5.4.</w:t>
      </w:r>
      <w:r>
        <w:rPr>
          <w:rFonts w:ascii="Bookman Old Style" w:hAnsi="Bookman Old Style"/>
          <w:b/>
          <w:sz w:val="20"/>
          <w:szCs w:val="20"/>
        </w:rPr>
        <w:t>2</w:t>
      </w:r>
      <w:r w:rsidRPr="006A199E">
        <w:rPr>
          <w:rFonts w:ascii="Bookman Old Style" w:hAnsi="Bookman Old Style"/>
          <w:b/>
          <w:sz w:val="20"/>
          <w:szCs w:val="20"/>
        </w:rPr>
        <w:t xml:space="preserve">. Расчет коэффициента капитализации </w:t>
      </w:r>
      <w:r>
        <w:rPr>
          <w:rFonts w:ascii="Bookman Old Style" w:hAnsi="Bookman Old Style"/>
          <w:b/>
          <w:sz w:val="20"/>
          <w:szCs w:val="20"/>
        </w:rPr>
        <w:t>для объектов АДМ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33"/>
        <w:gridCol w:w="2509"/>
        <w:gridCol w:w="4879"/>
      </w:tblGrid>
      <w:tr w:rsidR="006568BA" w:rsidRPr="006A199E" w:rsidTr="00D70166">
        <w:trPr>
          <w:cantSplit/>
          <w:trHeight w:val="170"/>
        </w:trPr>
        <w:tc>
          <w:tcPr>
            <w:tcW w:w="1455" w:type="pct"/>
            <w:shd w:val="clear" w:color="000000" w:fill="F2F2F2"/>
            <w:vAlign w:val="center"/>
            <w:hideMark/>
          </w:tcPr>
          <w:p w:rsidR="006568BA" w:rsidRPr="006A199E" w:rsidRDefault="006568BA" w:rsidP="00D70166">
            <w:pPr>
              <w:jc w:val="center"/>
              <w:rPr>
                <w:rFonts w:ascii="Cambria" w:hAnsi="Cambria"/>
                <w:b/>
                <w:bCs/>
                <w:color w:val="000000"/>
                <w:sz w:val="16"/>
                <w:szCs w:val="16"/>
              </w:rPr>
            </w:pPr>
            <w:r w:rsidRPr="006A199E">
              <w:rPr>
                <w:rFonts w:ascii="Cambria" w:hAnsi="Cambria"/>
                <w:b/>
                <w:bCs/>
                <w:color w:val="000000"/>
                <w:sz w:val="16"/>
                <w:szCs w:val="16"/>
              </w:rPr>
              <w:t>Показатель</w:t>
            </w:r>
          </w:p>
        </w:tc>
        <w:tc>
          <w:tcPr>
            <w:tcW w:w="1204" w:type="pct"/>
            <w:shd w:val="clear" w:color="000000" w:fill="F2F2F2"/>
            <w:noWrap/>
            <w:vAlign w:val="center"/>
            <w:hideMark/>
          </w:tcPr>
          <w:p w:rsidR="006568BA" w:rsidRPr="006A199E" w:rsidRDefault="006568BA" w:rsidP="00D70166">
            <w:pPr>
              <w:jc w:val="center"/>
              <w:rPr>
                <w:rFonts w:ascii="Cambria" w:hAnsi="Cambria"/>
                <w:b/>
                <w:bCs/>
                <w:color w:val="000000"/>
                <w:sz w:val="16"/>
                <w:szCs w:val="16"/>
              </w:rPr>
            </w:pPr>
            <w:r w:rsidRPr="006A199E">
              <w:rPr>
                <w:rFonts w:ascii="Cambria" w:hAnsi="Cambria"/>
                <w:b/>
                <w:bCs/>
                <w:color w:val="000000"/>
                <w:sz w:val="16"/>
                <w:szCs w:val="16"/>
              </w:rPr>
              <w:t>Значение</w:t>
            </w:r>
          </w:p>
        </w:tc>
        <w:tc>
          <w:tcPr>
            <w:tcW w:w="2341" w:type="pct"/>
            <w:shd w:val="clear" w:color="000000" w:fill="F2F2F2"/>
            <w:noWrap/>
            <w:vAlign w:val="center"/>
            <w:hideMark/>
          </w:tcPr>
          <w:p w:rsidR="006568BA" w:rsidRPr="006A199E" w:rsidRDefault="006568BA" w:rsidP="00D70166">
            <w:pPr>
              <w:jc w:val="center"/>
              <w:rPr>
                <w:rFonts w:ascii="Cambria" w:hAnsi="Cambria"/>
                <w:b/>
                <w:bCs/>
                <w:color w:val="000000"/>
                <w:sz w:val="16"/>
                <w:szCs w:val="16"/>
              </w:rPr>
            </w:pPr>
            <w:r w:rsidRPr="006A199E">
              <w:rPr>
                <w:rFonts w:ascii="Cambria" w:hAnsi="Cambria"/>
                <w:b/>
                <w:bCs/>
                <w:color w:val="000000"/>
                <w:sz w:val="16"/>
                <w:szCs w:val="16"/>
              </w:rPr>
              <w:t>Источник информации</w:t>
            </w:r>
          </w:p>
        </w:tc>
      </w:tr>
      <w:tr w:rsidR="006568BA" w:rsidRPr="006A199E" w:rsidTr="00D70166">
        <w:trPr>
          <w:cantSplit/>
          <w:trHeight w:val="170"/>
        </w:trPr>
        <w:tc>
          <w:tcPr>
            <w:tcW w:w="1455" w:type="pct"/>
            <w:shd w:val="clear" w:color="auto" w:fill="auto"/>
            <w:vAlign w:val="center"/>
            <w:hideMark/>
          </w:tcPr>
          <w:p w:rsidR="006568BA" w:rsidRPr="006A199E" w:rsidRDefault="006568BA" w:rsidP="00D70166">
            <w:pPr>
              <w:rPr>
                <w:rFonts w:ascii="Cambria" w:hAnsi="Cambria"/>
                <w:color w:val="000000"/>
                <w:sz w:val="16"/>
                <w:szCs w:val="16"/>
              </w:rPr>
            </w:pPr>
            <w:r w:rsidRPr="006A199E">
              <w:rPr>
                <w:rFonts w:ascii="Cambria" w:hAnsi="Cambria"/>
                <w:color w:val="000000"/>
                <w:sz w:val="16"/>
                <w:szCs w:val="16"/>
              </w:rPr>
              <w:t>Ставка аренды для, руб. 1 кв.м. в месяц</w:t>
            </w:r>
          </w:p>
        </w:tc>
        <w:tc>
          <w:tcPr>
            <w:tcW w:w="1204"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367</w:t>
            </w:r>
          </w:p>
        </w:tc>
        <w:tc>
          <w:tcPr>
            <w:tcW w:w="2341" w:type="pct"/>
            <w:shd w:val="clear" w:color="auto" w:fill="auto"/>
            <w:vAlign w:val="center"/>
            <w:hideMark/>
          </w:tcPr>
          <w:p w:rsidR="006568BA" w:rsidRPr="006A199E" w:rsidRDefault="006568BA" w:rsidP="006568BA">
            <w:pPr>
              <w:rPr>
                <w:rFonts w:ascii="Cambria" w:hAnsi="Cambria"/>
                <w:color w:val="000000"/>
                <w:sz w:val="16"/>
                <w:szCs w:val="16"/>
              </w:rPr>
            </w:pPr>
            <w:r w:rsidRPr="006A199E">
              <w:rPr>
                <w:rFonts w:ascii="Cambria" w:hAnsi="Cambria"/>
                <w:color w:val="000000"/>
                <w:sz w:val="16"/>
                <w:szCs w:val="16"/>
              </w:rPr>
              <w:t xml:space="preserve">Среднерыночная ставка аренды </w:t>
            </w:r>
            <w:r>
              <w:rPr>
                <w:rFonts w:ascii="Cambria" w:hAnsi="Cambria"/>
                <w:color w:val="000000"/>
                <w:sz w:val="16"/>
                <w:szCs w:val="16"/>
              </w:rPr>
              <w:t>объектов АДМ</w:t>
            </w:r>
            <w:r w:rsidRPr="006A199E">
              <w:rPr>
                <w:rFonts w:ascii="Cambria" w:hAnsi="Cambria"/>
                <w:color w:val="000000"/>
                <w:sz w:val="16"/>
                <w:szCs w:val="16"/>
              </w:rPr>
              <w:t xml:space="preserve"> в </w:t>
            </w:r>
            <w:r>
              <w:rPr>
                <w:rFonts w:ascii="Cambria" w:hAnsi="Cambria"/>
                <w:color w:val="000000"/>
                <w:sz w:val="16"/>
                <w:szCs w:val="16"/>
              </w:rPr>
              <w:t>Ленинском</w:t>
            </w:r>
            <w:r w:rsidRPr="006A199E">
              <w:rPr>
                <w:rFonts w:ascii="Cambria" w:hAnsi="Cambria"/>
                <w:color w:val="000000"/>
                <w:sz w:val="16"/>
                <w:szCs w:val="16"/>
              </w:rPr>
              <w:t xml:space="preserve"> районе г. Красноярска</w:t>
            </w:r>
          </w:p>
        </w:tc>
      </w:tr>
      <w:tr w:rsidR="006568BA" w:rsidRPr="006A199E" w:rsidTr="00D70166">
        <w:trPr>
          <w:cantSplit/>
          <w:trHeight w:val="170"/>
        </w:trPr>
        <w:tc>
          <w:tcPr>
            <w:tcW w:w="1455" w:type="pct"/>
            <w:shd w:val="clear" w:color="auto" w:fill="auto"/>
            <w:vAlign w:val="center"/>
            <w:hideMark/>
          </w:tcPr>
          <w:p w:rsidR="006568BA" w:rsidRPr="006A199E" w:rsidRDefault="006568BA" w:rsidP="00D70166">
            <w:pPr>
              <w:rPr>
                <w:rFonts w:ascii="Cambria" w:hAnsi="Cambria"/>
                <w:color w:val="000000"/>
                <w:sz w:val="16"/>
                <w:szCs w:val="16"/>
              </w:rPr>
            </w:pPr>
            <w:r w:rsidRPr="006A199E">
              <w:rPr>
                <w:rFonts w:ascii="Cambria" w:hAnsi="Cambria"/>
                <w:color w:val="000000"/>
                <w:sz w:val="16"/>
                <w:szCs w:val="16"/>
              </w:rPr>
              <w:t>Стоимость продажи, руб. 1 кв.м.</w:t>
            </w:r>
          </w:p>
        </w:tc>
        <w:tc>
          <w:tcPr>
            <w:tcW w:w="1204"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67 737</w:t>
            </w:r>
          </w:p>
        </w:tc>
        <w:tc>
          <w:tcPr>
            <w:tcW w:w="2341" w:type="pct"/>
            <w:shd w:val="clear" w:color="auto" w:fill="auto"/>
            <w:vAlign w:val="center"/>
            <w:hideMark/>
          </w:tcPr>
          <w:p w:rsidR="006568BA" w:rsidRPr="006A199E" w:rsidRDefault="006568BA" w:rsidP="006568BA">
            <w:pPr>
              <w:rPr>
                <w:rFonts w:ascii="Cambria" w:hAnsi="Cambria"/>
                <w:color w:val="000000"/>
                <w:sz w:val="16"/>
                <w:szCs w:val="16"/>
              </w:rPr>
            </w:pPr>
            <w:r w:rsidRPr="006A199E">
              <w:rPr>
                <w:rFonts w:ascii="Cambria" w:hAnsi="Cambria"/>
                <w:color w:val="000000"/>
                <w:sz w:val="16"/>
                <w:szCs w:val="16"/>
              </w:rPr>
              <w:t xml:space="preserve">Среднерыночная стоимость продажи </w:t>
            </w:r>
            <w:r w:rsidRPr="006568BA">
              <w:rPr>
                <w:rFonts w:ascii="Cambria" w:hAnsi="Cambria"/>
                <w:color w:val="000000"/>
                <w:sz w:val="16"/>
                <w:szCs w:val="16"/>
              </w:rPr>
              <w:t xml:space="preserve">объектов </w:t>
            </w:r>
            <w:r>
              <w:rPr>
                <w:rFonts w:ascii="Cambria" w:hAnsi="Cambria"/>
                <w:color w:val="000000"/>
                <w:sz w:val="16"/>
                <w:szCs w:val="16"/>
              </w:rPr>
              <w:t>АДМ</w:t>
            </w:r>
            <w:r w:rsidRPr="006568BA">
              <w:rPr>
                <w:rFonts w:ascii="Cambria" w:hAnsi="Cambria"/>
                <w:color w:val="000000"/>
                <w:sz w:val="16"/>
                <w:szCs w:val="16"/>
              </w:rPr>
              <w:t xml:space="preserve"> в Ленинском</w:t>
            </w:r>
            <w:r w:rsidRPr="006A199E">
              <w:rPr>
                <w:rFonts w:ascii="Cambria" w:hAnsi="Cambria"/>
                <w:color w:val="000000"/>
                <w:sz w:val="16"/>
                <w:szCs w:val="16"/>
              </w:rPr>
              <w:t xml:space="preserve"> районе г. Красноярска</w:t>
            </w:r>
            <w:r>
              <w:rPr>
                <w:rFonts w:ascii="Cambria" w:hAnsi="Cambria"/>
                <w:color w:val="000000"/>
                <w:sz w:val="16"/>
                <w:szCs w:val="16"/>
              </w:rPr>
              <w:t xml:space="preserve"> </w:t>
            </w:r>
          </w:p>
        </w:tc>
      </w:tr>
      <w:tr w:rsidR="006568BA" w:rsidRPr="006A199E" w:rsidTr="00D70166">
        <w:trPr>
          <w:cantSplit/>
          <w:trHeight w:val="170"/>
        </w:trPr>
        <w:tc>
          <w:tcPr>
            <w:tcW w:w="1455" w:type="pct"/>
            <w:shd w:val="clear" w:color="auto" w:fill="auto"/>
            <w:vAlign w:val="center"/>
            <w:hideMark/>
          </w:tcPr>
          <w:p w:rsidR="006568BA" w:rsidRPr="006A199E" w:rsidRDefault="006568BA" w:rsidP="00D70166">
            <w:pPr>
              <w:rPr>
                <w:rFonts w:ascii="Cambria" w:hAnsi="Cambria"/>
                <w:color w:val="000000"/>
                <w:sz w:val="16"/>
                <w:szCs w:val="16"/>
              </w:rPr>
            </w:pPr>
            <w:r w:rsidRPr="006A199E">
              <w:rPr>
                <w:rFonts w:ascii="Cambria" w:hAnsi="Cambria"/>
                <w:color w:val="000000"/>
                <w:sz w:val="16"/>
                <w:szCs w:val="16"/>
              </w:rPr>
              <w:t>ПВД от сдачи в аренду</w:t>
            </w:r>
          </w:p>
        </w:tc>
        <w:tc>
          <w:tcPr>
            <w:tcW w:w="1204"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4 406</w:t>
            </w:r>
          </w:p>
        </w:tc>
        <w:tc>
          <w:tcPr>
            <w:tcW w:w="2341" w:type="pct"/>
            <w:shd w:val="clear" w:color="auto" w:fill="auto"/>
            <w:noWrap/>
            <w:vAlign w:val="center"/>
            <w:hideMark/>
          </w:tcPr>
          <w:p w:rsidR="006568BA" w:rsidRPr="006A199E" w:rsidRDefault="006568BA" w:rsidP="00D70166">
            <w:pPr>
              <w:rPr>
                <w:rFonts w:ascii="Cambria" w:hAnsi="Cambria"/>
                <w:color w:val="000000"/>
                <w:sz w:val="16"/>
                <w:szCs w:val="16"/>
              </w:rPr>
            </w:pPr>
            <w:r w:rsidRPr="006A199E">
              <w:rPr>
                <w:rFonts w:ascii="Cambria" w:hAnsi="Cambria"/>
                <w:color w:val="000000"/>
                <w:sz w:val="16"/>
                <w:szCs w:val="16"/>
              </w:rPr>
              <w:t>Расчет формулы см. пункт 5.5.5.</w:t>
            </w:r>
          </w:p>
        </w:tc>
      </w:tr>
      <w:tr w:rsidR="006568BA" w:rsidRPr="006A199E" w:rsidTr="00D70166">
        <w:trPr>
          <w:cantSplit/>
          <w:trHeight w:val="170"/>
        </w:trPr>
        <w:tc>
          <w:tcPr>
            <w:tcW w:w="1455" w:type="pct"/>
            <w:shd w:val="clear" w:color="auto" w:fill="auto"/>
            <w:vAlign w:val="center"/>
            <w:hideMark/>
          </w:tcPr>
          <w:p w:rsidR="006568BA" w:rsidRPr="006A199E" w:rsidRDefault="006568BA" w:rsidP="00D70166">
            <w:pPr>
              <w:rPr>
                <w:rFonts w:ascii="Cambria" w:hAnsi="Cambria"/>
                <w:color w:val="000000"/>
                <w:sz w:val="16"/>
                <w:szCs w:val="16"/>
              </w:rPr>
            </w:pPr>
            <w:r w:rsidRPr="006A199E">
              <w:rPr>
                <w:rFonts w:ascii="Cambria" w:hAnsi="Cambria"/>
                <w:color w:val="000000"/>
                <w:sz w:val="16"/>
                <w:szCs w:val="16"/>
              </w:rPr>
              <w:t>ДВД</w:t>
            </w:r>
          </w:p>
        </w:tc>
        <w:tc>
          <w:tcPr>
            <w:tcW w:w="1204"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3 965</w:t>
            </w:r>
          </w:p>
        </w:tc>
        <w:tc>
          <w:tcPr>
            <w:tcW w:w="2341" w:type="pct"/>
            <w:shd w:val="clear" w:color="auto" w:fill="auto"/>
            <w:noWrap/>
            <w:vAlign w:val="center"/>
            <w:hideMark/>
          </w:tcPr>
          <w:p w:rsidR="006568BA" w:rsidRPr="006A199E" w:rsidRDefault="006568BA" w:rsidP="00D70166">
            <w:pPr>
              <w:rPr>
                <w:rFonts w:ascii="Cambria" w:hAnsi="Cambria"/>
                <w:color w:val="000000"/>
                <w:sz w:val="16"/>
                <w:szCs w:val="16"/>
              </w:rPr>
            </w:pPr>
            <w:r w:rsidRPr="006A199E">
              <w:rPr>
                <w:rFonts w:ascii="Cambria" w:hAnsi="Cambria"/>
                <w:color w:val="000000"/>
                <w:sz w:val="16"/>
                <w:szCs w:val="16"/>
              </w:rPr>
              <w:t>Расчет формулы см. пункт 5.5.5.</w:t>
            </w:r>
          </w:p>
        </w:tc>
      </w:tr>
      <w:tr w:rsidR="006568BA" w:rsidRPr="006A199E" w:rsidTr="00D70166">
        <w:trPr>
          <w:cantSplit/>
          <w:trHeight w:val="170"/>
        </w:trPr>
        <w:tc>
          <w:tcPr>
            <w:tcW w:w="1455" w:type="pct"/>
            <w:shd w:val="clear" w:color="auto" w:fill="auto"/>
            <w:noWrap/>
            <w:vAlign w:val="center"/>
            <w:hideMark/>
          </w:tcPr>
          <w:p w:rsidR="006568BA" w:rsidRPr="006A199E" w:rsidRDefault="006568BA" w:rsidP="00D70166">
            <w:pPr>
              <w:rPr>
                <w:rFonts w:ascii="Cambria" w:hAnsi="Cambria"/>
                <w:color w:val="000000"/>
                <w:sz w:val="16"/>
                <w:szCs w:val="16"/>
              </w:rPr>
            </w:pPr>
            <w:r w:rsidRPr="006A199E">
              <w:rPr>
                <w:rFonts w:ascii="Cambria" w:hAnsi="Cambria"/>
                <w:color w:val="000000"/>
                <w:sz w:val="16"/>
                <w:szCs w:val="16"/>
              </w:rPr>
              <w:t>ЧОД</w:t>
            </w:r>
          </w:p>
        </w:tc>
        <w:tc>
          <w:tcPr>
            <w:tcW w:w="1204"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3251,42</w:t>
            </w:r>
          </w:p>
        </w:tc>
        <w:tc>
          <w:tcPr>
            <w:tcW w:w="2341" w:type="pct"/>
            <w:shd w:val="clear" w:color="auto" w:fill="auto"/>
            <w:noWrap/>
            <w:vAlign w:val="center"/>
            <w:hideMark/>
          </w:tcPr>
          <w:p w:rsidR="006568BA" w:rsidRPr="006A199E" w:rsidRDefault="006568BA" w:rsidP="00D70166">
            <w:pPr>
              <w:rPr>
                <w:rFonts w:ascii="Cambria" w:hAnsi="Cambria"/>
                <w:color w:val="000000"/>
                <w:sz w:val="16"/>
                <w:szCs w:val="16"/>
              </w:rPr>
            </w:pPr>
            <w:r w:rsidRPr="006A199E">
              <w:rPr>
                <w:rFonts w:ascii="Cambria" w:hAnsi="Cambria"/>
                <w:color w:val="000000"/>
                <w:sz w:val="16"/>
                <w:szCs w:val="16"/>
              </w:rPr>
              <w:t> </w:t>
            </w:r>
          </w:p>
        </w:tc>
      </w:tr>
      <w:tr w:rsidR="006568BA" w:rsidRPr="006A199E" w:rsidTr="00D70166">
        <w:trPr>
          <w:cantSplit/>
          <w:trHeight w:val="170"/>
        </w:trPr>
        <w:tc>
          <w:tcPr>
            <w:tcW w:w="1455" w:type="pct"/>
            <w:shd w:val="clear" w:color="auto" w:fill="auto"/>
            <w:noWrap/>
            <w:vAlign w:val="center"/>
            <w:hideMark/>
          </w:tcPr>
          <w:p w:rsidR="006568BA" w:rsidRPr="006A199E" w:rsidRDefault="006568BA" w:rsidP="00D70166">
            <w:pPr>
              <w:rPr>
                <w:rFonts w:ascii="Cambria" w:hAnsi="Cambria"/>
                <w:color w:val="000000"/>
                <w:sz w:val="16"/>
                <w:szCs w:val="16"/>
              </w:rPr>
            </w:pPr>
            <w:r w:rsidRPr="006A199E">
              <w:rPr>
                <w:rFonts w:ascii="Cambria" w:hAnsi="Cambria"/>
                <w:color w:val="000000"/>
                <w:sz w:val="16"/>
                <w:szCs w:val="16"/>
              </w:rPr>
              <w:t>Ставка дохода</w:t>
            </w:r>
          </w:p>
        </w:tc>
        <w:tc>
          <w:tcPr>
            <w:tcW w:w="1204"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4,80%</w:t>
            </w:r>
          </w:p>
        </w:tc>
        <w:tc>
          <w:tcPr>
            <w:tcW w:w="2341" w:type="pct"/>
            <w:shd w:val="clear" w:color="auto" w:fill="auto"/>
            <w:noWrap/>
            <w:vAlign w:val="center"/>
            <w:hideMark/>
          </w:tcPr>
          <w:p w:rsidR="006568BA" w:rsidRPr="006A199E" w:rsidRDefault="006568BA" w:rsidP="006568BA">
            <w:pPr>
              <w:rPr>
                <w:rFonts w:ascii="Cambria" w:hAnsi="Cambria"/>
                <w:color w:val="000000"/>
                <w:sz w:val="16"/>
                <w:szCs w:val="16"/>
              </w:rPr>
            </w:pPr>
            <w:r w:rsidRPr="006A199E">
              <w:rPr>
                <w:rFonts w:ascii="Cambria" w:hAnsi="Cambria"/>
                <w:color w:val="000000"/>
                <w:sz w:val="16"/>
                <w:szCs w:val="16"/>
              </w:rPr>
              <w:t>Расчет. С=</w:t>
            </w:r>
            <w:r>
              <w:rPr>
                <w:rFonts w:ascii="Cambria" w:hAnsi="Cambria"/>
                <w:color w:val="000000"/>
                <w:sz w:val="16"/>
                <w:szCs w:val="16"/>
              </w:rPr>
              <w:t>3965/67737</w:t>
            </w:r>
          </w:p>
        </w:tc>
      </w:tr>
      <w:tr w:rsidR="006568BA" w:rsidRPr="006A199E" w:rsidTr="00D70166">
        <w:trPr>
          <w:cantSplit/>
          <w:trHeight w:val="188"/>
        </w:trPr>
        <w:tc>
          <w:tcPr>
            <w:tcW w:w="1455" w:type="pct"/>
            <w:vMerge w:val="restart"/>
            <w:shd w:val="clear" w:color="auto" w:fill="auto"/>
            <w:vAlign w:val="center"/>
            <w:hideMark/>
          </w:tcPr>
          <w:p w:rsidR="006568BA" w:rsidRPr="006A199E" w:rsidRDefault="006568BA" w:rsidP="00D70166">
            <w:pPr>
              <w:rPr>
                <w:rFonts w:ascii="Cambria" w:hAnsi="Cambria"/>
                <w:color w:val="000000"/>
                <w:sz w:val="16"/>
                <w:szCs w:val="16"/>
              </w:rPr>
            </w:pPr>
            <w:r w:rsidRPr="006A199E">
              <w:rPr>
                <w:rFonts w:ascii="Cambria" w:hAnsi="Cambria"/>
                <w:color w:val="000000"/>
                <w:sz w:val="16"/>
                <w:szCs w:val="16"/>
              </w:rPr>
              <w:t>Норма возврата капитала, %</w:t>
            </w:r>
          </w:p>
        </w:tc>
        <w:tc>
          <w:tcPr>
            <w:tcW w:w="1204" w:type="pct"/>
            <w:vMerge w:val="restar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4,70%</w:t>
            </w:r>
          </w:p>
        </w:tc>
        <w:tc>
          <w:tcPr>
            <w:tcW w:w="2341" w:type="pct"/>
            <w:vMerge w:val="restart"/>
            <w:shd w:val="clear" w:color="auto" w:fill="auto"/>
            <w:noWrap/>
            <w:vAlign w:val="center"/>
            <w:hideMark/>
          </w:tcPr>
          <w:p w:rsidR="006568BA" w:rsidRPr="004C496B" w:rsidRDefault="006568BA" w:rsidP="00D70166">
            <w:pPr>
              <w:rPr>
                <w:rFonts w:asciiTheme="majorHAnsi" w:hAnsiTheme="majorHAnsi"/>
                <w:color w:val="000000"/>
                <w:sz w:val="16"/>
                <w:szCs w:val="16"/>
              </w:rPr>
            </w:pPr>
            <w:r w:rsidRPr="004C496B">
              <w:rPr>
                <w:rFonts w:asciiTheme="majorHAnsi" w:hAnsiTheme="majorHAnsi"/>
                <w:color w:val="000000"/>
                <w:sz w:val="16"/>
                <w:szCs w:val="16"/>
              </w:rPr>
              <w:t xml:space="preserve">Расчет по формуле:  </w:t>
            </w:r>
            <m:oMath>
              <m:sSub>
                <m:sSubPr>
                  <m:ctrlPr>
                    <w:rPr>
                      <w:rFonts w:ascii="Cambria Math" w:hAnsi="Cambria Math"/>
                      <w:i/>
                      <w:color w:val="000000"/>
                      <w:sz w:val="16"/>
                      <w:szCs w:val="16"/>
                      <w:lang w:val="en-US"/>
                    </w:rPr>
                  </m:ctrlPr>
                </m:sSubPr>
                <m:e>
                  <m:r>
                    <w:rPr>
                      <w:rFonts w:ascii="Cambria Math" w:hAnsi="Cambria Math"/>
                      <w:color w:val="000000"/>
                      <w:sz w:val="16"/>
                      <w:szCs w:val="16"/>
                      <w:lang w:val="en-US"/>
                    </w:rPr>
                    <m:t>R</m:t>
                  </m:r>
                </m:e>
                <m:sub>
                  <m:r>
                    <w:rPr>
                      <w:rFonts w:ascii="Cambria Math" w:hAnsi="Cambria Math"/>
                      <w:color w:val="000000"/>
                      <w:sz w:val="16"/>
                      <w:szCs w:val="16"/>
                    </w:rPr>
                    <m:t>норм.возвр</m:t>
                  </m:r>
                </m:sub>
              </m:sSub>
              <m:r>
                <w:rPr>
                  <w:rFonts w:ascii="Cambria Math" w:hAnsi="Cambria Math"/>
                  <w:color w:val="000000"/>
                  <w:sz w:val="16"/>
                  <w:szCs w:val="16"/>
                </w:rPr>
                <m:t xml:space="preserve">= </m:t>
              </m:r>
              <m:f>
                <m:fPr>
                  <m:ctrlPr>
                    <w:rPr>
                      <w:rFonts w:ascii="Cambria Math" w:hAnsi="Cambria Math"/>
                      <w:i/>
                      <w:color w:val="000000"/>
                      <w:sz w:val="16"/>
                      <w:szCs w:val="16"/>
                      <w:lang w:val="en-US"/>
                    </w:rPr>
                  </m:ctrlPr>
                </m:fPr>
                <m:num>
                  <m:sSub>
                    <m:sSubPr>
                      <m:ctrlPr>
                        <w:rPr>
                          <w:rFonts w:ascii="Cambria Math" w:hAnsi="Cambria Math"/>
                          <w:i/>
                          <w:color w:val="000000"/>
                          <w:sz w:val="16"/>
                          <w:szCs w:val="16"/>
                          <w:lang w:val="en-US"/>
                        </w:rPr>
                      </m:ctrlPr>
                    </m:sSubPr>
                    <m:e>
                      <m:r>
                        <w:rPr>
                          <w:rFonts w:ascii="Cambria Math" w:hAnsi="Cambria Math"/>
                          <w:color w:val="000000"/>
                          <w:sz w:val="16"/>
                          <w:szCs w:val="16"/>
                          <w:lang w:val="en-US"/>
                        </w:rPr>
                        <m:t>R</m:t>
                      </m:r>
                    </m:e>
                    <m:sub>
                      <m:r>
                        <w:rPr>
                          <w:rFonts w:ascii="Cambria Math" w:hAnsi="Cambria Math"/>
                          <w:color w:val="000000"/>
                          <w:sz w:val="16"/>
                          <w:szCs w:val="16"/>
                        </w:rPr>
                        <m:t>дох.кап.</m:t>
                      </m:r>
                    </m:sub>
                  </m:sSub>
                </m:num>
                <m:den>
                  <m:r>
                    <w:rPr>
                      <w:rFonts w:ascii="Cambria Math" w:hAnsi="Cambria Math"/>
                      <w:color w:val="000000"/>
                      <w:sz w:val="16"/>
                      <w:szCs w:val="16"/>
                    </w:rPr>
                    <m:t>(</m:t>
                  </m:r>
                  <m:sSup>
                    <m:sSupPr>
                      <m:ctrlPr>
                        <w:rPr>
                          <w:rFonts w:ascii="Cambria Math" w:hAnsi="Cambria Math"/>
                          <w:i/>
                          <w:color w:val="000000"/>
                          <w:sz w:val="16"/>
                          <w:szCs w:val="16"/>
                          <w:lang w:val="en-US"/>
                        </w:rPr>
                      </m:ctrlPr>
                    </m:sSupPr>
                    <m:e>
                      <m:r>
                        <w:rPr>
                          <w:rFonts w:ascii="Cambria Math" w:hAnsi="Cambria Math"/>
                          <w:color w:val="000000"/>
                          <w:sz w:val="16"/>
                          <w:szCs w:val="16"/>
                        </w:rPr>
                        <m:t>1+</m:t>
                      </m:r>
                      <m:sSub>
                        <m:sSubPr>
                          <m:ctrlPr>
                            <w:rPr>
                              <w:rFonts w:ascii="Cambria Math" w:hAnsi="Cambria Math"/>
                              <w:i/>
                              <w:color w:val="000000"/>
                              <w:sz w:val="16"/>
                              <w:szCs w:val="16"/>
                              <w:lang w:val="en-US"/>
                            </w:rPr>
                          </m:ctrlPr>
                        </m:sSubPr>
                        <m:e>
                          <m:r>
                            <w:rPr>
                              <w:rFonts w:ascii="Cambria Math" w:hAnsi="Cambria Math"/>
                              <w:color w:val="000000"/>
                              <w:sz w:val="16"/>
                              <w:szCs w:val="16"/>
                              <w:lang w:val="en-US"/>
                            </w:rPr>
                            <m:t>R</m:t>
                          </m:r>
                        </m:e>
                        <m:sub>
                          <m:r>
                            <w:rPr>
                              <w:rFonts w:ascii="Cambria Math" w:hAnsi="Cambria Math"/>
                              <w:color w:val="000000"/>
                              <w:sz w:val="16"/>
                              <w:szCs w:val="16"/>
                            </w:rPr>
                            <m:t>дох.кап.</m:t>
                          </m:r>
                        </m:sub>
                      </m:sSub>
                      <m:r>
                        <w:rPr>
                          <w:rFonts w:ascii="Cambria Math" w:hAnsi="Cambria Math"/>
                          <w:color w:val="000000"/>
                          <w:sz w:val="16"/>
                          <w:szCs w:val="16"/>
                        </w:rPr>
                        <m:t>)</m:t>
                      </m:r>
                    </m:e>
                    <m:sup>
                      <m:r>
                        <w:rPr>
                          <w:rFonts w:ascii="Cambria Math" w:hAnsi="Cambria Math"/>
                          <w:color w:val="000000"/>
                          <w:sz w:val="16"/>
                          <w:szCs w:val="16"/>
                          <w:lang w:val="en-US"/>
                        </w:rPr>
                        <m:t>n</m:t>
                      </m:r>
                    </m:sup>
                  </m:sSup>
                  <m:r>
                    <w:rPr>
                      <w:rFonts w:ascii="Cambria Math" w:hAnsi="Cambria Math"/>
                      <w:color w:val="000000"/>
                      <w:sz w:val="16"/>
                      <w:szCs w:val="16"/>
                    </w:rPr>
                    <m:t>-1</m:t>
                  </m:r>
                </m:den>
              </m:f>
            </m:oMath>
          </w:p>
        </w:tc>
      </w:tr>
      <w:tr w:rsidR="006568BA" w:rsidRPr="006A199E" w:rsidTr="00D70166">
        <w:trPr>
          <w:cantSplit/>
          <w:trHeight w:val="188"/>
        </w:trPr>
        <w:tc>
          <w:tcPr>
            <w:tcW w:w="1455" w:type="pct"/>
            <w:vMerge/>
            <w:vAlign w:val="center"/>
            <w:hideMark/>
          </w:tcPr>
          <w:p w:rsidR="006568BA" w:rsidRPr="006A199E" w:rsidRDefault="006568BA" w:rsidP="00D70166">
            <w:pPr>
              <w:rPr>
                <w:rFonts w:ascii="Cambria" w:hAnsi="Cambria"/>
                <w:color w:val="000000"/>
                <w:sz w:val="16"/>
                <w:szCs w:val="16"/>
              </w:rPr>
            </w:pPr>
          </w:p>
        </w:tc>
        <w:tc>
          <w:tcPr>
            <w:tcW w:w="1204" w:type="pct"/>
            <w:vMerge/>
            <w:vAlign w:val="center"/>
            <w:hideMark/>
          </w:tcPr>
          <w:p w:rsidR="006568BA" w:rsidRPr="006A199E" w:rsidRDefault="006568BA" w:rsidP="00D70166">
            <w:pPr>
              <w:rPr>
                <w:rFonts w:ascii="Cambria" w:hAnsi="Cambria"/>
                <w:color w:val="000000"/>
                <w:sz w:val="16"/>
                <w:szCs w:val="16"/>
              </w:rPr>
            </w:pPr>
          </w:p>
        </w:tc>
        <w:tc>
          <w:tcPr>
            <w:tcW w:w="2341" w:type="pct"/>
            <w:vMerge/>
            <w:vAlign w:val="center"/>
            <w:hideMark/>
          </w:tcPr>
          <w:p w:rsidR="006568BA" w:rsidRPr="006A199E" w:rsidRDefault="006568BA" w:rsidP="00D70166">
            <w:pPr>
              <w:rPr>
                <w:rFonts w:ascii="Cambria" w:hAnsi="Cambria"/>
                <w:color w:val="000000"/>
                <w:sz w:val="16"/>
                <w:szCs w:val="16"/>
              </w:rPr>
            </w:pPr>
          </w:p>
        </w:tc>
      </w:tr>
      <w:tr w:rsidR="006568BA" w:rsidRPr="006A199E" w:rsidTr="00D70166">
        <w:trPr>
          <w:cantSplit/>
          <w:trHeight w:val="170"/>
        </w:trPr>
        <w:tc>
          <w:tcPr>
            <w:tcW w:w="1455" w:type="pct"/>
            <w:shd w:val="clear" w:color="auto" w:fill="auto"/>
            <w:vAlign w:val="center"/>
            <w:hideMark/>
          </w:tcPr>
          <w:p w:rsidR="006568BA" w:rsidRPr="006A199E" w:rsidRDefault="006568BA" w:rsidP="00D70166">
            <w:pPr>
              <w:rPr>
                <w:rFonts w:ascii="Cambria" w:hAnsi="Cambria"/>
                <w:color w:val="000000"/>
                <w:sz w:val="16"/>
                <w:szCs w:val="16"/>
              </w:rPr>
            </w:pPr>
            <w:r w:rsidRPr="006A199E">
              <w:rPr>
                <w:rFonts w:ascii="Cambria" w:hAnsi="Cambria"/>
                <w:color w:val="000000"/>
                <w:sz w:val="16"/>
                <w:szCs w:val="16"/>
              </w:rPr>
              <w:t>Коэффициент капитализации, %</w:t>
            </w:r>
          </w:p>
        </w:tc>
        <w:tc>
          <w:tcPr>
            <w:tcW w:w="1204" w:type="pct"/>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9,50%</w:t>
            </w:r>
          </w:p>
        </w:tc>
        <w:tc>
          <w:tcPr>
            <w:tcW w:w="2341" w:type="pct"/>
            <w:shd w:val="clear" w:color="auto" w:fill="auto"/>
            <w:noWrap/>
            <w:vAlign w:val="center"/>
            <w:hideMark/>
          </w:tcPr>
          <w:p w:rsidR="006568BA" w:rsidRPr="004C496B" w:rsidRDefault="006568BA" w:rsidP="00D70166">
            <w:pPr>
              <w:rPr>
                <w:rFonts w:asciiTheme="majorHAnsi" w:hAnsiTheme="majorHAnsi"/>
                <w:color w:val="000000"/>
                <w:sz w:val="16"/>
                <w:szCs w:val="16"/>
              </w:rPr>
            </w:pPr>
            <w:r w:rsidRPr="004C496B">
              <w:rPr>
                <w:rFonts w:asciiTheme="majorHAnsi" w:hAnsiTheme="majorHAnsi"/>
                <w:color w:val="000000"/>
                <w:sz w:val="16"/>
                <w:szCs w:val="16"/>
              </w:rPr>
              <w:t xml:space="preserve">Расчет по формуле:  </w:t>
            </w:r>
            <m:oMath>
              <m:sSub>
                <m:sSubPr>
                  <m:ctrlPr>
                    <w:rPr>
                      <w:rFonts w:ascii="Cambria Math" w:hAnsi="Cambria Math"/>
                      <w:i/>
                      <w:color w:val="000000"/>
                      <w:sz w:val="16"/>
                      <w:szCs w:val="16"/>
                      <w:lang w:val="en-US"/>
                    </w:rPr>
                  </m:ctrlPr>
                </m:sSubPr>
                <m:e>
                  <m:r>
                    <w:rPr>
                      <w:rFonts w:ascii="Cambria Math" w:hAnsi="Cambria Math"/>
                      <w:color w:val="000000"/>
                      <w:sz w:val="16"/>
                      <w:szCs w:val="16"/>
                      <w:lang w:val="en-US"/>
                    </w:rPr>
                    <m:t>R</m:t>
                  </m:r>
                </m:e>
                <m:sub>
                  <m:r>
                    <w:rPr>
                      <w:rFonts w:ascii="Cambria Math" w:hAnsi="Cambria Math"/>
                      <w:color w:val="000000"/>
                      <w:sz w:val="16"/>
                      <w:szCs w:val="16"/>
                    </w:rPr>
                    <m:t>норм.возвр</m:t>
                  </m:r>
                </m:sub>
              </m:sSub>
              <m:r>
                <w:rPr>
                  <w:rFonts w:ascii="Cambria Math" w:hAnsi="Cambria Math"/>
                  <w:color w:val="000000"/>
                  <w:sz w:val="16"/>
                  <w:szCs w:val="16"/>
                </w:rPr>
                <m:t xml:space="preserve">= </m:t>
              </m:r>
              <m:f>
                <m:fPr>
                  <m:ctrlPr>
                    <w:rPr>
                      <w:rFonts w:ascii="Cambria Math" w:hAnsi="Cambria Math"/>
                      <w:i/>
                      <w:color w:val="000000"/>
                      <w:sz w:val="16"/>
                      <w:szCs w:val="16"/>
                      <w:lang w:val="en-US"/>
                    </w:rPr>
                  </m:ctrlPr>
                </m:fPr>
                <m:num>
                  <m:sSub>
                    <m:sSubPr>
                      <m:ctrlPr>
                        <w:rPr>
                          <w:rFonts w:ascii="Cambria Math" w:hAnsi="Cambria Math"/>
                          <w:i/>
                          <w:color w:val="000000"/>
                          <w:sz w:val="16"/>
                          <w:szCs w:val="16"/>
                          <w:lang w:val="en-US"/>
                        </w:rPr>
                      </m:ctrlPr>
                    </m:sSubPr>
                    <m:e>
                      <m:r>
                        <w:rPr>
                          <w:rFonts w:ascii="Cambria Math" w:hAnsi="Cambria Math"/>
                          <w:color w:val="000000"/>
                          <w:sz w:val="16"/>
                          <w:szCs w:val="16"/>
                          <w:lang w:val="en-US"/>
                        </w:rPr>
                        <m:t>R</m:t>
                      </m:r>
                    </m:e>
                    <m:sub>
                      <m:r>
                        <w:rPr>
                          <w:rFonts w:ascii="Cambria Math" w:hAnsi="Cambria Math"/>
                          <w:color w:val="000000"/>
                          <w:sz w:val="16"/>
                          <w:szCs w:val="16"/>
                        </w:rPr>
                        <m:t>дох.кап.</m:t>
                      </m:r>
                    </m:sub>
                  </m:sSub>
                </m:num>
                <m:den>
                  <m:r>
                    <w:rPr>
                      <w:rFonts w:ascii="Cambria Math" w:hAnsi="Cambria Math"/>
                      <w:color w:val="000000"/>
                      <w:sz w:val="16"/>
                      <w:szCs w:val="16"/>
                    </w:rPr>
                    <m:t>(</m:t>
                  </m:r>
                  <m:sSup>
                    <m:sSupPr>
                      <m:ctrlPr>
                        <w:rPr>
                          <w:rFonts w:ascii="Cambria Math" w:hAnsi="Cambria Math"/>
                          <w:i/>
                          <w:color w:val="000000"/>
                          <w:sz w:val="16"/>
                          <w:szCs w:val="16"/>
                          <w:lang w:val="en-US"/>
                        </w:rPr>
                      </m:ctrlPr>
                    </m:sSupPr>
                    <m:e>
                      <m:r>
                        <w:rPr>
                          <w:rFonts w:ascii="Cambria Math" w:hAnsi="Cambria Math"/>
                          <w:color w:val="000000"/>
                          <w:sz w:val="16"/>
                          <w:szCs w:val="16"/>
                        </w:rPr>
                        <m:t>1+</m:t>
                      </m:r>
                      <m:sSub>
                        <m:sSubPr>
                          <m:ctrlPr>
                            <w:rPr>
                              <w:rFonts w:ascii="Cambria Math" w:hAnsi="Cambria Math"/>
                              <w:i/>
                              <w:color w:val="000000"/>
                              <w:sz w:val="16"/>
                              <w:szCs w:val="16"/>
                              <w:lang w:val="en-US"/>
                            </w:rPr>
                          </m:ctrlPr>
                        </m:sSubPr>
                        <m:e>
                          <m:r>
                            <w:rPr>
                              <w:rFonts w:ascii="Cambria Math" w:hAnsi="Cambria Math"/>
                              <w:color w:val="000000"/>
                              <w:sz w:val="16"/>
                              <w:szCs w:val="16"/>
                              <w:lang w:val="en-US"/>
                            </w:rPr>
                            <m:t>R</m:t>
                          </m:r>
                        </m:e>
                        <m:sub>
                          <m:r>
                            <w:rPr>
                              <w:rFonts w:ascii="Cambria Math" w:hAnsi="Cambria Math"/>
                              <w:color w:val="000000"/>
                              <w:sz w:val="16"/>
                              <w:szCs w:val="16"/>
                            </w:rPr>
                            <m:t>дох.кап.</m:t>
                          </m:r>
                        </m:sub>
                      </m:sSub>
                      <m:r>
                        <w:rPr>
                          <w:rFonts w:ascii="Cambria Math" w:hAnsi="Cambria Math"/>
                          <w:color w:val="000000"/>
                          <w:sz w:val="16"/>
                          <w:szCs w:val="16"/>
                        </w:rPr>
                        <m:t>)</m:t>
                      </m:r>
                    </m:e>
                    <m:sup>
                      <m:r>
                        <w:rPr>
                          <w:rFonts w:ascii="Cambria Math" w:hAnsi="Cambria Math"/>
                          <w:color w:val="000000"/>
                          <w:sz w:val="16"/>
                          <w:szCs w:val="16"/>
                          <w:lang w:val="en-US"/>
                        </w:rPr>
                        <m:t>n</m:t>
                      </m:r>
                    </m:sup>
                  </m:sSup>
                  <m:r>
                    <w:rPr>
                      <w:rFonts w:ascii="Cambria Math" w:hAnsi="Cambria Math"/>
                      <w:color w:val="000000"/>
                      <w:sz w:val="16"/>
                      <w:szCs w:val="16"/>
                    </w:rPr>
                    <m:t>-1</m:t>
                  </m:r>
                </m:den>
              </m:f>
            </m:oMath>
          </w:p>
        </w:tc>
      </w:tr>
    </w:tbl>
    <w:p w:rsidR="006A199E" w:rsidRPr="006A199E" w:rsidRDefault="006A199E" w:rsidP="006A199E">
      <w:pPr>
        <w:keepNext/>
        <w:spacing w:before="120" w:after="120"/>
        <w:outlineLvl w:val="2"/>
        <w:rPr>
          <w:rFonts w:ascii="Bookman Old Style" w:hAnsi="Bookman Old Style"/>
          <w:b/>
          <w:bCs/>
          <w:sz w:val="20"/>
          <w:szCs w:val="20"/>
        </w:rPr>
      </w:pPr>
      <w:bookmarkStart w:id="316" w:name="_Toc461206416"/>
      <w:r w:rsidRPr="006A199E">
        <w:rPr>
          <w:rFonts w:ascii="Bookman Old Style" w:hAnsi="Bookman Old Style"/>
          <w:b/>
          <w:bCs/>
          <w:sz w:val="20"/>
          <w:szCs w:val="20"/>
        </w:rPr>
        <w:t>5.5.5. Расчет рыночной стоимости доходным подходом</w:t>
      </w:r>
      <w:bookmarkEnd w:id="312"/>
      <w:bookmarkEnd w:id="313"/>
      <w:bookmarkEnd w:id="314"/>
      <w:bookmarkEnd w:id="315"/>
      <w:bookmarkEnd w:id="316"/>
    </w:p>
    <w:p w:rsidR="006A199E" w:rsidRPr="006A199E" w:rsidRDefault="006A199E" w:rsidP="006A199E">
      <w:pPr>
        <w:spacing w:before="120"/>
        <w:jc w:val="both"/>
        <w:rPr>
          <w:rFonts w:ascii="Bookman Old Style" w:hAnsi="Bookman Old Style"/>
          <w:sz w:val="20"/>
          <w:szCs w:val="20"/>
        </w:rPr>
      </w:pPr>
      <w:r w:rsidRPr="006A199E">
        <w:rPr>
          <w:rFonts w:ascii="Bookman Old Style" w:hAnsi="Bookman Old Style"/>
          <w:sz w:val="20"/>
          <w:szCs w:val="20"/>
        </w:rPr>
        <w:tab/>
        <w:t>После проведения расчета рыночного уровня арендной платы, ставки капитализации помещений, исследования возможности элемента Объекта оценки приносить поток доходов в будущем, проведен расчет стоимости доходным подходом по формуле:</w:t>
      </w:r>
    </w:p>
    <w:p w:rsidR="006A199E" w:rsidRPr="006A199E" w:rsidRDefault="006C4CCF" w:rsidP="006A199E">
      <w:pPr>
        <w:spacing w:before="120"/>
        <w:jc w:val="center"/>
        <w:rPr>
          <w:rFonts w:ascii="Bookman Old Style" w:hAnsi="Bookman Old Style"/>
          <w:sz w:val="20"/>
          <w:szCs w:val="20"/>
        </w:rPr>
      </w:pPr>
      <m:oMathPara>
        <m:oMath>
          <m:sSub>
            <m:sSubPr>
              <m:ctrlPr>
                <w:rPr>
                  <w:rFonts w:ascii="Cambria Math" w:hAnsi="Cambria Math"/>
                  <w:i/>
                  <w:sz w:val="20"/>
                  <w:szCs w:val="20"/>
                </w:rPr>
              </m:ctrlPr>
            </m:sSubPr>
            <m:e>
              <m:r>
                <w:rPr>
                  <w:rFonts w:ascii="Cambria Math" w:hAnsi="Cambria Math"/>
                  <w:sz w:val="20"/>
                  <w:szCs w:val="20"/>
                </w:rPr>
                <m:t>С</m:t>
              </m:r>
            </m:e>
            <m:sub>
              <m:r>
                <w:rPr>
                  <w:rFonts w:ascii="Cambria Math" w:hAnsi="Cambria Math"/>
                  <w:sz w:val="20"/>
                  <w:szCs w:val="20"/>
                </w:rPr>
                <m:t xml:space="preserve">р </m:t>
              </m:r>
            </m:sub>
          </m:sSub>
          <m:r>
            <w:rPr>
              <w:rFonts w:ascii="Cambria Math" w:hAnsi="Cambria Math"/>
              <w:sz w:val="20"/>
              <w:szCs w:val="20"/>
            </w:rPr>
            <m:t xml:space="preserve">= </m:t>
          </m:r>
          <m:f>
            <m:fPr>
              <m:ctrlPr>
                <w:rPr>
                  <w:rFonts w:ascii="Cambria Math" w:hAnsi="Cambria Math"/>
                  <w:i/>
                  <w:sz w:val="20"/>
                  <w:szCs w:val="20"/>
                </w:rPr>
              </m:ctrlPr>
            </m:fPr>
            <m:num>
              <m:r>
                <w:rPr>
                  <w:rFonts w:ascii="Cambria Math" w:hAnsi="Cambria Math"/>
                  <w:sz w:val="20"/>
                  <w:szCs w:val="20"/>
                  <w:lang w:val="en-US"/>
                </w:rPr>
                <m:t>S×ДВД</m:t>
              </m:r>
            </m:num>
            <m:den>
              <m:r>
                <w:rPr>
                  <w:rFonts w:ascii="Cambria Math" w:hAnsi="Cambria Math"/>
                  <w:sz w:val="20"/>
                  <w:szCs w:val="20"/>
                  <w:lang w:val="en-US"/>
                </w:rPr>
                <m:t>R</m:t>
              </m:r>
            </m:den>
          </m:f>
        </m:oMath>
      </m:oMathPara>
    </w:p>
    <w:p w:rsidR="006A199E" w:rsidRPr="006A199E" w:rsidRDefault="006A199E" w:rsidP="006A199E">
      <w:pPr>
        <w:spacing w:before="120"/>
        <w:jc w:val="both"/>
        <w:rPr>
          <w:rFonts w:ascii="Bookman Old Style" w:hAnsi="Bookman Old Style"/>
          <w:sz w:val="20"/>
          <w:szCs w:val="20"/>
        </w:rPr>
      </w:pPr>
      <w:r w:rsidRPr="006A199E">
        <w:rPr>
          <w:rFonts w:ascii="Bookman Old Style" w:hAnsi="Bookman Old Style"/>
          <w:sz w:val="20"/>
          <w:szCs w:val="20"/>
        </w:rPr>
        <w:t>Где:</w:t>
      </w:r>
    </w:p>
    <w:p w:rsidR="006A199E" w:rsidRPr="006A199E" w:rsidRDefault="006A199E" w:rsidP="006A199E">
      <w:pPr>
        <w:spacing w:before="120"/>
        <w:jc w:val="both"/>
        <w:rPr>
          <w:rFonts w:ascii="Bookman Old Style" w:hAnsi="Bookman Old Style"/>
          <w:sz w:val="20"/>
          <w:szCs w:val="20"/>
        </w:rPr>
      </w:pPr>
      <w:r w:rsidRPr="006A199E">
        <w:rPr>
          <w:rFonts w:ascii="Bookman Old Style" w:hAnsi="Bookman Old Style"/>
          <w:sz w:val="20"/>
          <w:szCs w:val="20"/>
        </w:rPr>
        <w:t>С</w:t>
      </w:r>
      <w:r w:rsidRPr="006A199E">
        <w:rPr>
          <w:rFonts w:ascii="Bookman Old Style" w:hAnsi="Bookman Old Style"/>
          <w:sz w:val="20"/>
          <w:szCs w:val="20"/>
          <w:vertAlign w:val="subscript"/>
        </w:rPr>
        <w:t>р</w:t>
      </w:r>
      <w:r w:rsidRPr="006A199E">
        <w:rPr>
          <w:rFonts w:ascii="Bookman Old Style" w:hAnsi="Bookman Old Style"/>
          <w:sz w:val="20"/>
          <w:szCs w:val="20"/>
        </w:rPr>
        <w:t xml:space="preserve"> - Стоимость объекта оценки, руб.</w:t>
      </w:r>
    </w:p>
    <w:p w:rsidR="006A199E" w:rsidRPr="006A199E" w:rsidRDefault="006A199E" w:rsidP="006A199E">
      <w:pPr>
        <w:spacing w:before="120"/>
        <w:jc w:val="both"/>
        <w:rPr>
          <w:rFonts w:ascii="Bookman Old Style" w:hAnsi="Bookman Old Style"/>
          <w:sz w:val="20"/>
          <w:szCs w:val="20"/>
        </w:rPr>
      </w:pPr>
      <w:r w:rsidRPr="006A199E">
        <w:rPr>
          <w:rFonts w:ascii="Bookman Old Style" w:hAnsi="Bookman Old Style"/>
          <w:sz w:val="20"/>
          <w:szCs w:val="20"/>
          <w:lang w:val="en-US"/>
        </w:rPr>
        <w:t>S</w:t>
      </w:r>
      <w:r w:rsidRPr="006A199E">
        <w:rPr>
          <w:rFonts w:ascii="Bookman Old Style" w:hAnsi="Bookman Old Style"/>
          <w:sz w:val="20"/>
          <w:szCs w:val="20"/>
        </w:rPr>
        <w:t xml:space="preserve"> – Площадь объекта оценки, кв.м. </w:t>
      </w:r>
    </w:p>
    <w:p w:rsidR="006A199E" w:rsidRPr="006A199E" w:rsidRDefault="006A199E" w:rsidP="006A199E">
      <w:pPr>
        <w:spacing w:before="120"/>
        <w:jc w:val="both"/>
        <w:rPr>
          <w:rFonts w:ascii="Bookman Old Style" w:hAnsi="Bookman Old Style"/>
          <w:sz w:val="20"/>
          <w:szCs w:val="20"/>
        </w:rPr>
      </w:pPr>
      <w:r w:rsidRPr="006A199E">
        <w:rPr>
          <w:rFonts w:ascii="Bookman Old Style" w:hAnsi="Bookman Old Style"/>
          <w:sz w:val="20"/>
          <w:szCs w:val="20"/>
        </w:rPr>
        <w:t xml:space="preserve">ДВД – Действительный валовый доход с 1 кв.м. </w:t>
      </w:r>
    </w:p>
    <w:p w:rsidR="006A199E" w:rsidRPr="006A199E" w:rsidRDefault="006A199E" w:rsidP="006A199E">
      <w:pPr>
        <w:spacing w:before="120"/>
        <w:jc w:val="both"/>
        <w:rPr>
          <w:rFonts w:ascii="Bookman Old Style" w:hAnsi="Bookman Old Style"/>
          <w:sz w:val="20"/>
          <w:szCs w:val="20"/>
        </w:rPr>
      </w:pPr>
      <w:r w:rsidRPr="006A199E">
        <w:rPr>
          <w:rFonts w:ascii="Bookman Old Style" w:hAnsi="Bookman Old Style"/>
          <w:sz w:val="20"/>
          <w:szCs w:val="20"/>
          <w:lang w:val="en-US"/>
        </w:rPr>
        <w:t>R</w:t>
      </w:r>
      <w:r w:rsidRPr="006A199E">
        <w:rPr>
          <w:rFonts w:ascii="Bookman Old Style" w:hAnsi="Bookman Old Style"/>
          <w:sz w:val="20"/>
          <w:szCs w:val="20"/>
        </w:rPr>
        <w:t xml:space="preserve"> – Коэффициент капитализации, %.</w:t>
      </w:r>
    </w:p>
    <w:p w:rsidR="006A199E" w:rsidRPr="006A199E" w:rsidRDefault="006A199E" w:rsidP="006A199E">
      <w:pPr>
        <w:spacing w:before="120" w:after="120"/>
        <w:ind w:firstLine="709"/>
        <w:jc w:val="both"/>
        <w:rPr>
          <w:rFonts w:ascii="Bookman Old Style" w:hAnsi="Bookman Old Style"/>
          <w:sz w:val="20"/>
          <w:szCs w:val="20"/>
        </w:rPr>
      </w:pPr>
      <w:r w:rsidRPr="006A199E">
        <w:rPr>
          <w:rFonts w:ascii="Bookman Old Style" w:hAnsi="Bookman Old Style"/>
          <w:sz w:val="20"/>
          <w:szCs w:val="20"/>
        </w:rPr>
        <w:t>Действительный валовый доход (ДВД) рассчитывается по формуле:</w:t>
      </w:r>
    </w:p>
    <w:p w:rsidR="006A199E" w:rsidRPr="006A199E" w:rsidRDefault="006A199E" w:rsidP="006A199E">
      <w:pPr>
        <w:spacing w:before="120"/>
        <w:jc w:val="center"/>
        <w:rPr>
          <w:rFonts w:ascii="Bookman Old Style" w:hAnsi="Bookman Old Style"/>
          <w:sz w:val="20"/>
          <w:szCs w:val="20"/>
        </w:rPr>
      </w:pPr>
      <m:oMathPara>
        <m:oMath>
          <m:r>
            <w:rPr>
              <w:rFonts w:ascii="Cambria Math" w:hAnsi="Cambria Math"/>
              <w:sz w:val="20"/>
              <w:szCs w:val="20"/>
            </w:rPr>
            <m:t>ПВД=</m:t>
          </m:r>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a</m:t>
              </m:r>
            </m:sub>
          </m:sSub>
          <m:r>
            <w:rPr>
              <w:rFonts w:ascii="Cambria Math" w:hAnsi="Cambria Math"/>
              <w:sz w:val="20"/>
              <w:szCs w:val="20"/>
            </w:rPr>
            <m:t>×12</m:t>
          </m:r>
        </m:oMath>
      </m:oMathPara>
    </w:p>
    <w:p w:rsidR="00DB0AEE" w:rsidRDefault="00DB0AEE" w:rsidP="006A199E">
      <w:pPr>
        <w:spacing w:before="120"/>
        <w:jc w:val="both"/>
        <w:rPr>
          <w:rFonts w:ascii="Bookman Old Style" w:hAnsi="Bookman Old Style"/>
          <w:sz w:val="20"/>
          <w:szCs w:val="20"/>
        </w:rPr>
      </w:pPr>
    </w:p>
    <w:p w:rsidR="006A199E" w:rsidRPr="006A199E" w:rsidRDefault="006A199E" w:rsidP="006A199E">
      <w:pPr>
        <w:spacing w:before="120"/>
        <w:jc w:val="both"/>
        <w:rPr>
          <w:rFonts w:ascii="Bookman Old Style" w:hAnsi="Bookman Old Style"/>
          <w:sz w:val="20"/>
          <w:szCs w:val="20"/>
        </w:rPr>
      </w:pPr>
      <w:r w:rsidRPr="006A199E">
        <w:rPr>
          <w:rFonts w:ascii="Bookman Old Style" w:hAnsi="Bookman Old Style"/>
          <w:sz w:val="20"/>
          <w:szCs w:val="20"/>
        </w:rPr>
        <w:t>где:</w:t>
      </w:r>
    </w:p>
    <w:p w:rsidR="006A199E" w:rsidRPr="006A199E" w:rsidRDefault="006A199E" w:rsidP="006A199E">
      <w:pPr>
        <w:spacing w:before="120"/>
        <w:jc w:val="both"/>
        <w:rPr>
          <w:rFonts w:ascii="Bookman Old Style" w:hAnsi="Bookman Old Style"/>
          <w:sz w:val="20"/>
          <w:szCs w:val="20"/>
        </w:rPr>
      </w:pPr>
      <w:r w:rsidRPr="006A199E">
        <w:rPr>
          <w:rFonts w:ascii="Bookman Old Style" w:hAnsi="Bookman Old Style"/>
          <w:sz w:val="20"/>
          <w:szCs w:val="20"/>
        </w:rPr>
        <w:object w:dxaOrig="52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1pt;height:18.4pt" o:ole="">
            <v:imagedata r:id="rId75" o:title=""/>
          </v:shape>
          <o:OLEObject Type="Embed" ProgID="Equation.3" ShapeID="_x0000_i1025" DrawAspect="Content" ObjectID="_1543683898" r:id="rId76"/>
        </w:object>
      </w:r>
      <w:r w:rsidRPr="006A199E">
        <w:rPr>
          <w:rFonts w:ascii="Bookman Old Style" w:hAnsi="Bookman Old Style"/>
          <w:sz w:val="20"/>
          <w:szCs w:val="20"/>
        </w:rPr>
        <w:t xml:space="preserve">арендная ставка за </w:t>
      </w:r>
      <w:smartTag w:uri="urn:schemas-microsoft-com:office:smarttags" w:element="metricconverter">
        <w:smartTagPr>
          <w:attr w:name="ProductID" w:val="1 м2"/>
        </w:smartTagPr>
        <w:r w:rsidRPr="006A199E">
          <w:rPr>
            <w:rFonts w:ascii="Bookman Old Style" w:hAnsi="Bookman Old Style"/>
            <w:sz w:val="20"/>
            <w:szCs w:val="20"/>
          </w:rPr>
          <w:t>1 м</w:t>
        </w:r>
        <w:r w:rsidRPr="006A199E">
          <w:rPr>
            <w:rFonts w:ascii="Bookman Old Style" w:hAnsi="Bookman Old Style"/>
            <w:sz w:val="20"/>
            <w:szCs w:val="20"/>
            <w:vertAlign w:val="superscript"/>
          </w:rPr>
          <w:t>2</w:t>
        </w:r>
      </w:smartTag>
      <w:r w:rsidRPr="006A199E">
        <w:rPr>
          <w:rFonts w:ascii="Bookman Old Style" w:hAnsi="Bookman Old Style"/>
          <w:sz w:val="20"/>
          <w:szCs w:val="20"/>
        </w:rPr>
        <w:t>.</w:t>
      </w:r>
    </w:p>
    <w:p w:rsidR="006A199E" w:rsidRPr="006A199E" w:rsidRDefault="006A199E" w:rsidP="006A199E">
      <w:pPr>
        <w:spacing w:before="120" w:after="120"/>
        <w:ind w:firstLine="709"/>
        <w:jc w:val="both"/>
        <w:rPr>
          <w:rFonts w:ascii="Bookman Old Style" w:hAnsi="Bookman Old Style"/>
          <w:bCs/>
          <w:sz w:val="20"/>
          <w:szCs w:val="20"/>
        </w:rPr>
      </w:pPr>
      <w:r w:rsidRPr="006A199E">
        <w:rPr>
          <w:rFonts w:ascii="Bookman Old Style" w:hAnsi="Bookman Old Style"/>
          <w:bCs/>
          <w:sz w:val="20"/>
          <w:szCs w:val="20"/>
        </w:rPr>
        <w:t>Потенциальный валовый доход рассчитывается по формуле:</w:t>
      </w:r>
    </w:p>
    <w:p w:rsidR="006A199E" w:rsidRPr="006A199E" w:rsidRDefault="006A199E" w:rsidP="006A199E">
      <w:pPr>
        <w:spacing w:before="120"/>
        <w:jc w:val="center"/>
        <w:rPr>
          <w:rFonts w:ascii="Bookman Old Style" w:hAnsi="Bookman Old Style"/>
          <w:bCs/>
          <w:sz w:val="20"/>
          <w:szCs w:val="20"/>
        </w:rPr>
      </w:pPr>
      <m:oMathPara>
        <m:oMath>
          <m:r>
            <w:rPr>
              <w:rFonts w:ascii="Cambria Math" w:hAnsi="Cambria Math"/>
              <w:sz w:val="20"/>
              <w:szCs w:val="20"/>
            </w:rPr>
            <m:t xml:space="preserve">ДВД=ПВД*(1- </m:t>
          </m:r>
          <m:sSub>
            <m:sSubPr>
              <m:ctrlPr>
                <w:rPr>
                  <w:rFonts w:ascii="Cambria Math" w:hAnsi="Cambria Math"/>
                  <w:bCs/>
                  <w:i/>
                  <w:sz w:val="20"/>
                  <w:szCs w:val="20"/>
                </w:rPr>
              </m:ctrlPr>
            </m:sSubPr>
            <m:e>
              <m:r>
                <w:rPr>
                  <w:rFonts w:ascii="Cambria Math" w:hAnsi="Cambria Math"/>
                  <w:sz w:val="20"/>
                  <w:szCs w:val="20"/>
                </w:rPr>
                <m:t>К</m:t>
              </m:r>
            </m:e>
            <m:sub>
              <m:r>
                <w:rPr>
                  <w:rFonts w:ascii="Cambria Math" w:hAnsi="Cambria Math"/>
                  <w:sz w:val="20"/>
                  <w:szCs w:val="20"/>
                </w:rPr>
                <m:t>недозагр</m:t>
              </m:r>
            </m:sub>
          </m:sSub>
          <m:r>
            <w:rPr>
              <w:rFonts w:ascii="Cambria Math" w:hAnsi="Cambria Math"/>
              <w:sz w:val="20"/>
              <w:szCs w:val="20"/>
            </w:rPr>
            <m:t>)</m:t>
          </m:r>
        </m:oMath>
      </m:oMathPara>
    </w:p>
    <w:p w:rsidR="006A199E" w:rsidRPr="006A199E" w:rsidRDefault="006A199E" w:rsidP="006A199E">
      <w:pPr>
        <w:spacing w:before="120"/>
        <w:jc w:val="both"/>
        <w:rPr>
          <w:rFonts w:ascii="Bookman Old Style" w:hAnsi="Bookman Old Style"/>
          <w:bCs/>
          <w:sz w:val="20"/>
          <w:szCs w:val="20"/>
        </w:rPr>
      </w:pPr>
      <w:r w:rsidRPr="006A199E">
        <w:rPr>
          <w:rFonts w:ascii="Bookman Old Style" w:hAnsi="Bookman Old Style"/>
          <w:bCs/>
          <w:sz w:val="20"/>
          <w:szCs w:val="20"/>
        </w:rPr>
        <w:t>где:</w:t>
      </w:r>
    </w:p>
    <w:p w:rsidR="006A199E" w:rsidRPr="006A199E" w:rsidRDefault="006A199E" w:rsidP="006A199E">
      <w:pPr>
        <w:spacing w:before="120"/>
        <w:jc w:val="both"/>
        <w:rPr>
          <w:rFonts w:ascii="Bookman Old Style" w:hAnsi="Bookman Old Style"/>
          <w:bCs/>
          <w:sz w:val="20"/>
          <w:szCs w:val="20"/>
        </w:rPr>
      </w:pPr>
      <w:r w:rsidRPr="006A199E">
        <w:rPr>
          <w:rFonts w:ascii="Bookman Old Style" w:hAnsi="Bookman Old Style"/>
          <w:bCs/>
          <w:sz w:val="20"/>
          <w:szCs w:val="20"/>
        </w:rPr>
        <w:object w:dxaOrig="1100" w:dyaOrig="380">
          <v:shape id="_x0000_i1026" type="#_x0000_t75" style="width:54.4pt;height:17.6pt" o:ole="">
            <v:imagedata r:id="rId77" o:title=""/>
          </v:shape>
          <o:OLEObject Type="Embed" ProgID="Equation.3" ShapeID="_x0000_i1026" DrawAspect="Content" ObjectID="_1543683899" r:id="rId78"/>
        </w:object>
      </w:r>
      <w:r w:rsidRPr="006A199E">
        <w:rPr>
          <w:rFonts w:ascii="Bookman Old Style" w:hAnsi="Bookman Old Style"/>
          <w:bCs/>
          <w:sz w:val="20"/>
          <w:szCs w:val="20"/>
        </w:rPr>
        <w:t>коэффициент недозагрузки.</w:t>
      </w:r>
    </w:p>
    <w:p w:rsidR="006A199E" w:rsidRPr="006A199E" w:rsidRDefault="006A199E" w:rsidP="006A199E">
      <w:pPr>
        <w:spacing w:before="120" w:after="120"/>
        <w:ind w:firstLine="709"/>
        <w:jc w:val="both"/>
        <w:rPr>
          <w:rFonts w:ascii="Bookman Old Style" w:hAnsi="Bookman Old Style"/>
          <w:bCs/>
          <w:sz w:val="20"/>
          <w:szCs w:val="20"/>
        </w:rPr>
      </w:pPr>
      <w:r w:rsidRPr="006A199E">
        <w:rPr>
          <w:rFonts w:ascii="Bookman Old Style" w:hAnsi="Bookman Old Style"/>
          <w:bCs/>
          <w:sz w:val="20"/>
          <w:szCs w:val="20"/>
        </w:rPr>
        <w:t>Коэффициент недозагрузки определялся на основании данных «Справочник оценщика недвижимости»</w:t>
      </w:r>
      <w:r>
        <w:rPr>
          <w:rFonts w:ascii="Bookman Old Style" w:hAnsi="Bookman Old Style"/>
          <w:bCs/>
          <w:sz w:val="20"/>
          <w:szCs w:val="20"/>
        </w:rPr>
        <w:t xml:space="preserve"> для активного рынка</w:t>
      </w:r>
      <w:r w:rsidR="006568BA">
        <w:rPr>
          <w:rFonts w:ascii="Bookman Old Style" w:hAnsi="Bookman Old Style"/>
          <w:bCs/>
          <w:sz w:val="20"/>
          <w:szCs w:val="20"/>
        </w:rPr>
        <w:t xml:space="preserve"> для объектов надвижимости ПСН</w:t>
      </w:r>
      <w:r w:rsidR="006568BA" w:rsidRPr="006A199E">
        <w:rPr>
          <w:rFonts w:ascii="Bookman Old Style" w:hAnsi="Bookman Old Style"/>
          <w:bCs/>
          <w:sz w:val="20"/>
          <w:szCs w:val="20"/>
        </w:rPr>
        <w:t xml:space="preserve"> </w:t>
      </w:r>
      <w:r w:rsidRPr="006A199E">
        <w:rPr>
          <w:rFonts w:ascii="Bookman Old Style" w:hAnsi="Bookman Old Style"/>
          <w:bCs/>
          <w:sz w:val="20"/>
          <w:szCs w:val="20"/>
        </w:rPr>
        <w:t>выбрано значение 1</w:t>
      </w:r>
      <w:r w:rsidR="006568BA">
        <w:rPr>
          <w:rFonts w:ascii="Bookman Old Style" w:hAnsi="Bookman Old Style"/>
          <w:bCs/>
          <w:sz w:val="20"/>
          <w:szCs w:val="20"/>
        </w:rPr>
        <w:t>3</w:t>
      </w:r>
      <w:r w:rsidRPr="006A199E">
        <w:rPr>
          <w:rFonts w:ascii="Bookman Old Style" w:hAnsi="Bookman Old Style"/>
          <w:bCs/>
          <w:sz w:val="20"/>
          <w:szCs w:val="20"/>
        </w:rPr>
        <w:t>%</w:t>
      </w:r>
      <w:r w:rsidR="006568BA">
        <w:rPr>
          <w:rFonts w:ascii="Bookman Old Style" w:hAnsi="Bookman Old Style"/>
          <w:bCs/>
          <w:sz w:val="20"/>
          <w:szCs w:val="20"/>
        </w:rPr>
        <w:t>,</w:t>
      </w:r>
      <w:r w:rsidR="006568BA" w:rsidRPr="006568BA">
        <w:rPr>
          <w:rFonts w:ascii="Bookman Old Style" w:hAnsi="Bookman Old Style"/>
          <w:bCs/>
          <w:sz w:val="20"/>
          <w:szCs w:val="20"/>
        </w:rPr>
        <w:t xml:space="preserve"> </w:t>
      </w:r>
      <w:r w:rsidR="006568BA">
        <w:rPr>
          <w:rFonts w:ascii="Bookman Old Style" w:hAnsi="Bookman Old Style"/>
          <w:bCs/>
          <w:sz w:val="20"/>
          <w:szCs w:val="20"/>
        </w:rPr>
        <w:t>для объектов надвижимости АДМ</w:t>
      </w:r>
      <w:r w:rsidR="006568BA" w:rsidRPr="006A199E">
        <w:rPr>
          <w:rFonts w:ascii="Bookman Old Style" w:hAnsi="Bookman Old Style"/>
          <w:bCs/>
          <w:sz w:val="20"/>
          <w:szCs w:val="20"/>
        </w:rPr>
        <w:t xml:space="preserve"> выбрано значение 1</w:t>
      </w:r>
      <w:r w:rsidR="006568BA">
        <w:rPr>
          <w:rFonts w:ascii="Bookman Old Style" w:hAnsi="Bookman Old Style"/>
          <w:bCs/>
          <w:sz w:val="20"/>
          <w:szCs w:val="20"/>
        </w:rPr>
        <w:t>0</w:t>
      </w:r>
      <w:r w:rsidR="006568BA" w:rsidRPr="006A199E">
        <w:rPr>
          <w:rFonts w:ascii="Bookman Old Style" w:hAnsi="Bookman Old Style"/>
          <w:bCs/>
          <w:sz w:val="20"/>
          <w:szCs w:val="20"/>
        </w:rPr>
        <w:t>%</w:t>
      </w:r>
      <w:r w:rsidR="006568BA">
        <w:rPr>
          <w:rFonts w:ascii="Bookman Old Style" w:hAnsi="Bookman Old Style"/>
          <w:bCs/>
          <w:sz w:val="20"/>
          <w:szCs w:val="20"/>
        </w:rPr>
        <w:t xml:space="preserve"> </w:t>
      </w:r>
      <w:r w:rsidRPr="006A199E">
        <w:rPr>
          <w:rFonts w:ascii="Bookman Old Style" w:hAnsi="Bookman Old Style"/>
          <w:bCs/>
          <w:sz w:val="20"/>
          <w:szCs w:val="20"/>
          <w:vertAlign w:val="superscript"/>
        </w:rPr>
        <w:footnoteReference w:id="66"/>
      </w:r>
      <w:r w:rsidRPr="006A199E">
        <w:rPr>
          <w:rFonts w:ascii="Bookman Old Style" w:hAnsi="Bookman Old Style"/>
          <w:bCs/>
          <w:sz w:val="20"/>
          <w:szCs w:val="20"/>
        </w:rPr>
        <w:t>.</w:t>
      </w:r>
    </w:p>
    <w:p w:rsidR="006A199E" w:rsidRPr="006A199E" w:rsidRDefault="006A199E" w:rsidP="006A199E">
      <w:pPr>
        <w:spacing w:before="120" w:after="120"/>
        <w:jc w:val="right"/>
        <w:rPr>
          <w:rFonts w:ascii="Bookman Old Style" w:hAnsi="Bookman Old Style"/>
          <w:b/>
          <w:sz w:val="20"/>
          <w:szCs w:val="20"/>
        </w:rPr>
      </w:pPr>
      <w:r w:rsidRPr="006A199E">
        <w:rPr>
          <w:rFonts w:ascii="Bookman Old Style" w:hAnsi="Bookman Old Style"/>
          <w:b/>
          <w:sz w:val="20"/>
          <w:szCs w:val="20"/>
        </w:rPr>
        <w:t xml:space="preserve">Таблица 5.5.5.1. Расчет стоимости </w:t>
      </w:r>
      <w:r>
        <w:rPr>
          <w:rFonts w:ascii="Bookman Old Style" w:hAnsi="Bookman Old Style"/>
          <w:b/>
          <w:sz w:val="20"/>
          <w:szCs w:val="20"/>
        </w:rPr>
        <w:t xml:space="preserve">элементов </w:t>
      </w:r>
      <w:r w:rsidRPr="006A199E">
        <w:rPr>
          <w:rFonts w:ascii="Bookman Old Style" w:hAnsi="Bookman Old Style"/>
          <w:b/>
          <w:sz w:val="20"/>
          <w:szCs w:val="20"/>
        </w:rPr>
        <w:t>Объекта оценки</w:t>
      </w:r>
    </w:p>
    <w:tbl>
      <w:tblPr>
        <w:tblW w:w="5085" w:type="pct"/>
        <w:tblLayout w:type="fixed"/>
        <w:tblLook w:val="04A0"/>
      </w:tblPr>
      <w:tblGrid>
        <w:gridCol w:w="2753"/>
        <w:gridCol w:w="1596"/>
        <w:gridCol w:w="1416"/>
        <w:gridCol w:w="2404"/>
        <w:gridCol w:w="2429"/>
      </w:tblGrid>
      <w:tr w:rsidR="006568BA" w:rsidRPr="006568BA" w:rsidTr="006568BA">
        <w:trPr>
          <w:cantSplit/>
          <w:trHeight w:val="170"/>
        </w:trPr>
        <w:tc>
          <w:tcPr>
            <w:tcW w:w="1299"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Показатель</w:t>
            </w:r>
          </w:p>
        </w:tc>
        <w:tc>
          <w:tcPr>
            <w:tcW w:w="1421" w:type="pct"/>
            <w:gridSpan w:val="2"/>
            <w:tcBorders>
              <w:top w:val="single" w:sz="4" w:space="0" w:color="auto"/>
              <w:left w:val="nil"/>
              <w:bottom w:val="single" w:sz="4" w:space="0" w:color="auto"/>
              <w:right w:val="single" w:sz="4" w:space="0" w:color="auto"/>
            </w:tcBorders>
            <w:shd w:val="clear" w:color="000000" w:fill="F2F2F2"/>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 xml:space="preserve">Нежилое здание, назначение: 2- этажный (подземных этажей -1), общая площадь 4216,7 кв. м.,  инв.№ 04:401:001:015107160:0001, лит. В3, в,в1,В2,В4,В5,В6, адрес: г. Красноярск, ул. Айвазовского, 37 «А» Кадастровый номер: 24:50:0500203:386 </w:t>
            </w:r>
          </w:p>
        </w:tc>
        <w:tc>
          <w:tcPr>
            <w:tcW w:w="1134" w:type="pct"/>
            <w:tcBorders>
              <w:top w:val="single" w:sz="4" w:space="0" w:color="auto"/>
              <w:left w:val="nil"/>
              <w:bottom w:val="single" w:sz="4" w:space="0" w:color="auto"/>
              <w:right w:val="single" w:sz="4" w:space="0" w:color="auto"/>
            </w:tcBorders>
            <w:shd w:val="clear" w:color="000000" w:fill="F2F2F2"/>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Холодный склад, назначение: нежилое, 1- этажный,  общая площадь 1002,2 кв. метра, инв. № 01:3396:013795, лит. В1, адрес: г. Красноярск, ул. Айвазовского, 37 «А», строение 3. Кадастровый номер: 24:50:0500203:398</w:t>
            </w:r>
          </w:p>
        </w:tc>
        <w:tc>
          <w:tcPr>
            <w:tcW w:w="1146" w:type="pct"/>
            <w:tcBorders>
              <w:top w:val="single" w:sz="4" w:space="0" w:color="auto"/>
              <w:left w:val="nil"/>
              <w:bottom w:val="single" w:sz="4" w:space="0" w:color="auto"/>
              <w:right w:val="single" w:sz="4" w:space="0" w:color="auto"/>
            </w:tcBorders>
            <w:shd w:val="clear" w:color="000000" w:fill="F2F2F2"/>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Склад готовой продукции, назначение: нежилое, 1-этажный, общая площадь 1497,2 кв. м.,  инв. № 01:3237:012895, лит. В3,  адрес: г. Красноярск, ул. Айвазовского,37 «А», строен. 1, Кадастровый номер 24:50:0000000:0:105432</w:t>
            </w:r>
          </w:p>
        </w:tc>
      </w:tr>
      <w:tr w:rsidR="006568BA" w:rsidRPr="006568BA" w:rsidTr="006568BA">
        <w:trPr>
          <w:cantSplit/>
          <w:trHeight w:val="170"/>
        </w:trPr>
        <w:tc>
          <w:tcPr>
            <w:tcW w:w="1299" w:type="pct"/>
            <w:tcBorders>
              <w:top w:val="nil"/>
              <w:left w:val="single" w:sz="4" w:space="0" w:color="auto"/>
              <w:bottom w:val="single" w:sz="4" w:space="0" w:color="auto"/>
              <w:right w:val="single" w:sz="4" w:space="0" w:color="auto"/>
            </w:tcBorders>
            <w:shd w:val="clear" w:color="000000" w:fill="F2F2F2"/>
            <w:noWrap/>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Назначение</w:t>
            </w:r>
          </w:p>
        </w:tc>
        <w:tc>
          <w:tcPr>
            <w:tcW w:w="753" w:type="pct"/>
            <w:tcBorders>
              <w:top w:val="nil"/>
              <w:left w:val="nil"/>
              <w:bottom w:val="single" w:sz="4" w:space="0" w:color="auto"/>
              <w:right w:val="single" w:sz="4" w:space="0" w:color="auto"/>
            </w:tcBorders>
            <w:shd w:val="clear" w:color="000000" w:fill="F2F2F2"/>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ПСН</w:t>
            </w:r>
          </w:p>
        </w:tc>
        <w:tc>
          <w:tcPr>
            <w:tcW w:w="667" w:type="pct"/>
            <w:tcBorders>
              <w:top w:val="nil"/>
              <w:left w:val="nil"/>
              <w:bottom w:val="single" w:sz="4" w:space="0" w:color="auto"/>
              <w:right w:val="single" w:sz="4" w:space="0" w:color="auto"/>
            </w:tcBorders>
            <w:shd w:val="clear" w:color="000000" w:fill="F2F2F2"/>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АДМ</w:t>
            </w:r>
          </w:p>
        </w:tc>
        <w:tc>
          <w:tcPr>
            <w:tcW w:w="1134" w:type="pct"/>
            <w:tcBorders>
              <w:top w:val="nil"/>
              <w:left w:val="nil"/>
              <w:bottom w:val="single" w:sz="4" w:space="0" w:color="auto"/>
              <w:right w:val="single" w:sz="4" w:space="0" w:color="auto"/>
            </w:tcBorders>
            <w:shd w:val="clear" w:color="000000" w:fill="F2F2F2"/>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ПСН</w:t>
            </w:r>
          </w:p>
        </w:tc>
        <w:tc>
          <w:tcPr>
            <w:tcW w:w="1146" w:type="pct"/>
            <w:tcBorders>
              <w:top w:val="nil"/>
              <w:left w:val="nil"/>
              <w:bottom w:val="single" w:sz="4" w:space="0" w:color="auto"/>
              <w:right w:val="single" w:sz="4" w:space="0" w:color="auto"/>
            </w:tcBorders>
            <w:shd w:val="clear" w:color="000000" w:fill="F2F2F2"/>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ПСН</w:t>
            </w:r>
          </w:p>
        </w:tc>
      </w:tr>
      <w:tr w:rsidR="006568BA" w:rsidRPr="006568BA" w:rsidTr="006568BA">
        <w:trPr>
          <w:cantSplit/>
          <w:trHeight w:val="170"/>
        </w:trPr>
        <w:tc>
          <w:tcPr>
            <w:tcW w:w="1299" w:type="pct"/>
            <w:tcBorders>
              <w:top w:val="nil"/>
              <w:left w:val="single" w:sz="4" w:space="0" w:color="auto"/>
              <w:bottom w:val="single" w:sz="4" w:space="0" w:color="auto"/>
              <w:right w:val="single" w:sz="4" w:space="0" w:color="auto"/>
            </w:tcBorders>
            <w:shd w:val="clear" w:color="auto" w:fill="auto"/>
            <w:noWrap/>
            <w:vAlign w:val="center"/>
            <w:hideMark/>
          </w:tcPr>
          <w:p w:rsidR="006568BA" w:rsidRPr="006568BA" w:rsidRDefault="006568BA" w:rsidP="006568BA">
            <w:pPr>
              <w:rPr>
                <w:rFonts w:ascii="Cambria" w:hAnsi="Cambria"/>
                <w:color w:val="000000"/>
                <w:sz w:val="16"/>
                <w:szCs w:val="16"/>
              </w:rPr>
            </w:pPr>
            <w:r w:rsidRPr="006568BA">
              <w:rPr>
                <w:rFonts w:ascii="Cambria" w:hAnsi="Cambria"/>
                <w:color w:val="000000"/>
                <w:sz w:val="16"/>
                <w:szCs w:val="16"/>
              </w:rPr>
              <w:t>Площадь, кв.м.</w:t>
            </w:r>
          </w:p>
        </w:tc>
        <w:tc>
          <w:tcPr>
            <w:tcW w:w="753" w:type="pct"/>
            <w:tcBorders>
              <w:top w:val="nil"/>
              <w:left w:val="nil"/>
              <w:bottom w:val="single" w:sz="4" w:space="0" w:color="auto"/>
              <w:right w:val="single" w:sz="4" w:space="0" w:color="auto"/>
            </w:tcBorders>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150</w:t>
            </w:r>
          </w:p>
        </w:tc>
        <w:tc>
          <w:tcPr>
            <w:tcW w:w="667" w:type="pct"/>
            <w:tcBorders>
              <w:top w:val="nil"/>
              <w:left w:val="nil"/>
              <w:bottom w:val="single" w:sz="4" w:space="0" w:color="auto"/>
              <w:right w:val="single" w:sz="4" w:space="0" w:color="auto"/>
            </w:tcBorders>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337</w:t>
            </w:r>
          </w:p>
        </w:tc>
        <w:tc>
          <w:tcPr>
            <w:tcW w:w="1134" w:type="pct"/>
            <w:tcBorders>
              <w:top w:val="nil"/>
              <w:left w:val="nil"/>
              <w:bottom w:val="single" w:sz="4" w:space="0" w:color="auto"/>
              <w:right w:val="single" w:sz="4" w:space="0" w:color="auto"/>
            </w:tcBorders>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109</w:t>
            </w:r>
          </w:p>
        </w:tc>
        <w:tc>
          <w:tcPr>
            <w:tcW w:w="1146" w:type="pct"/>
            <w:tcBorders>
              <w:top w:val="nil"/>
              <w:left w:val="nil"/>
              <w:bottom w:val="single" w:sz="4" w:space="0" w:color="auto"/>
              <w:right w:val="single" w:sz="4" w:space="0" w:color="auto"/>
            </w:tcBorders>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150</w:t>
            </w:r>
          </w:p>
        </w:tc>
      </w:tr>
      <w:tr w:rsidR="006568BA" w:rsidRPr="006568BA" w:rsidTr="006568BA">
        <w:trPr>
          <w:cantSplit/>
          <w:trHeight w:val="170"/>
        </w:trPr>
        <w:tc>
          <w:tcPr>
            <w:tcW w:w="1299" w:type="pct"/>
            <w:tcBorders>
              <w:top w:val="nil"/>
              <w:left w:val="single" w:sz="4" w:space="0" w:color="auto"/>
              <w:bottom w:val="single" w:sz="4" w:space="0" w:color="auto"/>
              <w:right w:val="single" w:sz="4" w:space="0" w:color="auto"/>
            </w:tcBorders>
            <w:shd w:val="clear" w:color="auto" w:fill="auto"/>
            <w:vAlign w:val="center"/>
            <w:hideMark/>
          </w:tcPr>
          <w:p w:rsidR="006568BA" w:rsidRPr="006568BA" w:rsidRDefault="006568BA" w:rsidP="006568BA">
            <w:pPr>
              <w:rPr>
                <w:rFonts w:ascii="Cambria" w:hAnsi="Cambria"/>
                <w:color w:val="000000"/>
                <w:sz w:val="16"/>
                <w:szCs w:val="16"/>
              </w:rPr>
            </w:pPr>
            <w:r w:rsidRPr="006568BA">
              <w:rPr>
                <w:rFonts w:ascii="Cambria" w:hAnsi="Cambria"/>
                <w:color w:val="000000"/>
                <w:sz w:val="16"/>
                <w:szCs w:val="16"/>
              </w:rPr>
              <w:t>Арендная ставка за 1 м2, руб. в месяц</w:t>
            </w:r>
          </w:p>
        </w:tc>
        <w:tc>
          <w:tcPr>
            <w:tcW w:w="753" w:type="pct"/>
            <w:tcBorders>
              <w:top w:val="nil"/>
              <w:left w:val="nil"/>
              <w:bottom w:val="single" w:sz="4" w:space="0" w:color="auto"/>
              <w:right w:val="single" w:sz="4" w:space="0" w:color="auto"/>
            </w:tcBorders>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6 788 340</w:t>
            </w:r>
          </w:p>
        </w:tc>
        <w:tc>
          <w:tcPr>
            <w:tcW w:w="667" w:type="pct"/>
            <w:tcBorders>
              <w:top w:val="nil"/>
              <w:left w:val="nil"/>
              <w:bottom w:val="single" w:sz="4" w:space="0" w:color="auto"/>
              <w:right w:val="single" w:sz="4" w:space="0" w:color="auto"/>
            </w:tcBorders>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1 801 198</w:t>
            </w:r>
          </w:p>
        </w:tc>
        <w:tc>
          <w:tcPr>
            <w:tcW w:w="1134" w:type="pct"/>
            <w:tcBorders>
              <w:top w:val="nil"/>
              <w:left w:val="nil"/>
              <w:bottom w:val="single" w:sz="4" w:space="0" w:color="auto"/>
              <w:right w:val="single" w:sz="4" w:space="0" w:color="auto"/>
            </w:tcBorders>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1 310 878</w:t>
            </w:r>
          </w:p>
        </w:tc>
        <w:tc>
          <w:tcPr>
            <w:tcW w:w="1146" w:type="pct"/>
            <w:tcBorders>
              <w:top w:val="nil"/>
              <w:left w:val="nil"/>
              <w:bottom w:val="single" w:sz="4" w:space="0" w:color="auto"/>
              <w:right w:val="single" w:sz="4" w:space="0" w:color="auto"/>
            </w:tcBorders>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2 694 960</w:t>
            </w:r>
          </w:p>
        </w:tc>
      </w:tr>
      <w:tr w:rsidR="006568BA" w:rsidRPr="006568BA" w:rsidTr="006568BA">
        <w:trPr>
          <w:cantSplit/>
          <w:trHeight w:val="170"/>
        </w:trPr>
        <w:tc>
          <w:tcPr>
            <w:tcW w:w="1299" w:type="pct"/>
            <w:tcBorders>
              <w:top w:val="nil"/>
              <w:left w:val="single" w:sz="4" w:space="0" w:color="auto"/>
              <w:bottom w:val="single" w:sz="4" w:space="0" w:color="auto"/>
              <w:right w:val="single" w:sz="4" w:space="0" w:color="auto"/>
            </w:tcBorders>
            <w:shd w:val="clear" w:color="auto" w:fill="auto"/>
            <w:noWrap/>
            <w:vAlign w:val="center"/>
            <w:hideMark/>
          </w:tcPr>
          <w:p w:rsidR="006568BA" w:rsidRPr="006568BA" w:rsidRDefault="006568BA" w:rsidP="006568BA">
            <w:pPr>
              <w:rPr>
                <w:rFonts w:ascii="Cambria" w:hAnsi="Cambria"/>
                <w:color w:val="000000"/>
                <w:sz w:val="16"/>
                <w:szCs w:val="16"/>
              </w:rPr>
            </w:pPr>
            <w:r w:rsidRPr="006568BA">
              <w:rPr>
                <w:rFonts w:ascii="Cambria" w:hAnsi="Cambria"/>
                <w:color w:val="000000"/>
                <w:sz w:val="16"/>
                <w:szCs w:val="16"/>
              </w:rPr>
              <w:t>ПВД, руб</w:t>
            </w:r>
          </w:p>
        </w:tc>
        <w:tc>
          <w:tcPr>
            <w:tcW w:w="753" w:type="pct"/>
            <w:tcBorders>
              <w:top w:val="nil"/>
              <w:left w:val="nil"/>
              <w:bottom w:val="single" w:sz="4" w:space="0" w:color="auto"/>
              <w:right w:val="single" w:sz="4" w:space="0" w:color="auto"/>
            </w:tcBorders>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5 905 856</w:t>
            </w:r>
          </w:p>
        </w:tc>
        <w:tc>
          <w:tcPr>
            <w:tcW w:w="667" w:type="pct"/>
            <w:tcBorders>
              <w:top w:val="nil"/>
              <w:left w:val="nil"/>
              <w:bottom w:val="single" w:sz="4" w:space="0" w:color="auto"/>
              <w:right w:val="single" w:sz="4" w:space="0" w:color="auto"/>
            </w:tcBorders>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1 621 078</w:t>
            </w:r>
          </w:p>
        </w:tc>
        <w:tc>
          <w:tcPr>
            <w:tcW w:w="1134" w:type="pct"/>
            <w:tcBorders>
              <w:top w:val="nil"/>
              <w:left w:val="nil"/>
              <w:bottom w:val="single" w:sz="4" w:space="0" w:color="auto"/>
              <w:right w:val="single" w:sz="4" w:space="0" w:color="auto"/>
            </w:tcBorders>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1 140 464</w:t>
            </w:r>
          </w:p>
        </w:tc>
        <w:tc>
          <w:tcPr>
            <w:tcW w:w="1146" w:type="pct"/>
            <w:tcBorders>
              <w:top w:val="nil"/>
              <w:left w:val="nil"/>
              <w:bottom w:val="single" w:sz="4" w:space="0" w:color="auto"/>
              <w:right w:val="single" w:sz="4" w:space="0" w:color="auto"/>
            </w:tcBorders>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2 344 615</w:t>
            </w:r>
          </w:p>
        </w:tc>
      </w:tr>
      <w:tr w:rsidR="006568BA" w:rsidRPr="006568BA" w:rsidTr="006568BA">
        <w:trPr>
          <w:cantSplit/>
          <w:trHeight w:val="170"/>
        </w:trPr>
        <w:tc>
          <w:tcPr>
            <w:tcW w:w="1299" w:type="pct"/>
            <w:tcBorders>
              <w:top w:val="nil"/>
              <w:left w:val="single" w:sz="4" w:space="0" w:color="auto"/>
              <w:bottom w:val="single" w:sz="4" w:space="0" w:color="auto"/>
              <w:right w:val="single" w:sz="4" w:space="0" w:color="auto"/>
            </w:tcBorders>
            <w:shd w:val="clear" w:color="auto" w:fill="auto"/>
            <w:noWrap/>
            <w:vAlign w:val="center"/>
            <w:hideMark/>
          </w:tcPr>
          <w:p w:rsidR="006568BA" w:rsidRPr="006568BA" w:rsidRDefault="006568BA" w:rsidP="006568BA">
            <w:pPr>
              <w:rPr>
                <w:rFonts w:ascii="Cambria" w:hAnsi="Cambria"/>
                <w:color w:val="000000"/>
                <w:sz w:val="16"/>
                <w:szCs w:val="16"/>
              </w:rPr>
            </w:pPr>
            <w:r w:rsidRPr="006568BA">
              <w:rPr>
                <w:rFonts w:ascii="Cambria" w:hAnsi="Cambria"/>
                <w:color w:val="000000"/>
                <w:sz w:val="16"/>
                <w:szCs w:val="16"/>
              </w:rPr>
              <w:t>ДВД, руб</w:t>
            </w:r>
          </w:p>
        </w:tc>
        <w:tc>
          <w:tcPr>
            <w:tcW w:w="753" w:type="pct"/>
            <w:tcBorders>
              <w:top w:val="nil"/>
              <w:left w:val="nil"/>
              <w:bottom w:val="single" w:sz="4" w:space="0" w:color="auto"/>
              <w:right w:val="single" w:sz="4" w:space="0" w:color="auto"/>
            </w:tcBorders>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4 842 802</w:t>
            </w:r>
          </w:p>
        </w:tc>
        <w:tc>
          <w:tcPr>
            <w:tcW w:w="667" w:type="pct"/>
            <w:tcBorders>
              <w:top w:val="nil"/>
              <w:left w:val="nil"/>
              <w:bottom w:val="single" w:sz="4" w:space="0" w:color="auto"/>
              <w:right w:val="single" w:sz="4" w:space="0" w:color="auto"/>
            </w:tcBorders>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1 329 284</w:t>
            </w:r>
          </w:p>
        </w:tc>
        <w:tc>
          <w:tcPr>
            <w:tcW w:w="1134" w:type="pct"/>
            <w:tcBorders>
              <w:top w:val="nil"/>
              <w:left w:val="nil"/>
              <w:bottom w:val="single" w:sz="4" w:space="0" w:color="auto"/>
              <w:right w:val="single" w:sz="4" w:space="0" w:color="auto"/>
            </w:tcBorders>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935 180</w:t>
            </w:r>
          </w:p>
        </w:tc>
        <w:tc>
          <w:tcPr>
            <w:tcW w:w="1146" w:type="pct"/>
            <w:tcBorders>
              <w:top w:val="nil"/>
              <w:left w:val="nil"/>
              <w:bottom w:val="single" w:sz="4" w:space="0" w:color="auto"/>
              <w:right w:val="single" w:sz="4" w:space="0" w:color="auto"/>
            </w:tcBorders>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1 922 584</w:t>
            </w:r>
          </w:p>
        </w:tc>
      </w:tr>
      <w:tr w:rsidR="006568BA" w:rsidRPr="006568BA" w:rsidTr="006568BA">
        <w:trPr>
          <w:cantSplit/>
          <w:trHeight w:val="170"/>
        </w:trPr>
        <w:tc>
          <w:tcPr>
            <w:tcW w:w="1299" w:type="pct"/>
            <w:tcBorders>
              <w:top w:val="nil"/>
              <w:left w:val="single" w:sz="4" w:space="0" w:color="auto"/>
              <w:bottom w:val="single" w:sz="4" w:space="0" w:color="auto"/>
              <w:right w:val="single" w:sz="4" w:space="0" w:color="auto"/>
            </w:tcBorders>
            <w:shd w:val="clear" w:color="auto" w:fill="auto"/>
            <w:noWrap/>
            <w:vAlign w:val="center"/>
            <w:hideMark/>
          </w:tcPr>
          <w:p w:rsidR="006568BA" w:rsidRPr="006568BA" w:rsidRDefault="006568BA" w:rsidP="006568BA">
            <w:pPr>
              <w:rPr>
                <w:rFonts w:ascii="Cambria" w:hAnsi="Cambria"/>
                <w:color w:val="000000"/>
                <w:sz w:val="16"/>
                <w:szCs w:val="16"/>
              </w:rPr>
            </w:pPr>
            <w:r w:rsidRPr="006568BA">
              <w:rPr>
                <w:rFonts w:ascii="Cambria" w:hAnsi="Cambria"/>
                <w:color w:val="000000"/>
                <w:sz w:val="16"/>
                <w:szCs w:val="16"/>
              </w:rPr>
              <w:t>ЧОД</w:t>
            </w:r>
          </w:p>
        </w:tc>
        <w:tc>
          <w:tcPr>
            <w:tcW w:w="753" w:type="pct"/>
            <w:tcBorders>
              <w:top w:val="nil"/>
              <w:left w:val="nil"/>
              <w:bottom w:val="single" w:sz="4" w:space="0" w:color="auto"/>
              <w:right w:val="single" w:sz="4" w:space="0" w:color="auto"/>
            </w:tcBorders>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10,25%</w:t>
            </w:r>
          </w:p>
        </w:tc>
        <w:tc>
          <w:tcPr>
            <w:tcW w:w="667" w:type="pct"/>
            <w:tcBorders>
              <w:top w:val="nil"/>
              <w:left w:val="nil"/>
              <w:bottom w:val="single" w:sz="4" w:space="0" w:color="auto"/>
              <w:right w:val="single" w:sz="4" w:space="0" w:color="auto"/>
            </w:tcBorders>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9,50%</w:t>
            </w:r>
          </w:p>
        </w:tc>
        <w:tc>
          <w:tcPr>
            <w:tcW w:w="1134" w:type="pct"/>
            <w:tcBorders>
              <w:top w:val="nil"/>
              <w:left w:val="nil"/>
              <w:bottom w:val="single" w:sz="4" w:space="0" w:color="auto"/>
              <w:right w:val="single" w:sz="4" w:space="0" w:color="auto"/>
            </w:tcBorders>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10,25%</w:t>
            </w:r>
          </w:p>
        </w:tc>
        <w:tc>
          <w:tcPr>
            <w:tcW w:w="1146" w:type="pct"/>
            <w:tcBorders>
              <w:top w:val="nil"/>
              <w:left w:val="nil"/>
              <w:bottom w:val="single" w:sz="4" w:space="0" w:color="auto"/>
              <w:right w:val="single" w:sz="4" w:space="0" w:color="auto"/>
            </w:tcBorders>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10,25%</w:t>
            </w:r>
          </w:p>
        </w:tc>
      </w:tr>
      <w:tr w:rsidR="006568BA" w:rsidRPr="006568BA" w:rsidTr="006568BA">
        <w:trPr>
          <w:cantSplit/>
          <w:trHeight w:val="170"/>
        </w:trPr>
        <w:tc>
          <w:tcPr>
            <w:tcW w:w="1299" w:type="pct"/>
            <w:tcBorders>
              <w:top w:val="nil"/>
              <w:left w:val="single" w:sz="4" w:space="0" w:color="auto"/>
              <w:bottom w:val="single" w:sz="4" w:space="0" w:color="auto"/>
              <w:right w:val="single" w:sz="4" w:space="0" w:color="auto"/>
            </w:tcBorders>
            <w:shd w:val="clear" w:color="auto" w:fill="auto"/>
            <w:noWrap/>
            <w:vAlign w:val="center"/>
            <w:hideMark/>
          </w:tcPr>
          <w:p w:rsidR="006568BA" w:rsidRPr="006568BA" w:rsidRDefault="006568BA" w:rsidP="006568BA">
            <w:pPr>
              <w:rPr>
                <w:rFonts w:ascii="Cambria" w:hAnsi="Cambria"/>
                <w:color w:val="000000"/>
                <w:sz w:val="16"/>
                <w:szCs w:val="16"/>
              </w:rPr>
            </w:pPr>
            <w:r w:rsidRPr="006568BA">
              <w:rPr>
                <w:rFonts w:ascii="Cambria" w:hAnsi="Cambria"/>
                <w:color w:val="000000"/>
                <w:sz w:val="16"/>
                <w:szCs w:val="16"/>
              </w:rPr>
              <w:t>Коэффициент капитализации, R, %</w:t>
            </w:r>
          </w:p>
        </w:tc>
        <w:tc>
          <w:tcPr>
            <w:tcW w:w="753" w:type="pct"/>
            <w:tcBorders>
              <w:top w:val="nil"/>
              <w:left w:val="nil"/>
              <w:bottom w:val="single" w:sz="4" w:space="0" w:color="auto"/>
              <w:right w:val="single" w:sz="4" w:space="0" w:color="auto"/>
            </w:tcBorders>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47 225 566</w:t>
            </w:r>
          </w:p>
        </w:tc>
        <w:tc>
          <w:tcPr>
            <w:tcW w:w="667" w:type="pct"/>
            <w:tcBorders>
              <w:top w:val="nil"/>
              <w:left w:val="nil"/>
              <w:bottom w:val="single" w:sz="4" w:space="0" w:color="auto"/>
              <w:right w:val="single" w:sz="4" w:space="0" w:color="auto"/>
            </w:tcBorders>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13 985 889</w:t>
            </w:r>
          </w:p>
        </w:tc>
        <w:tc>
          <w:tcPr>
            <w:tcW w:w="1134" w:type="pct"/>
            <w:tcBorders>
              <w:top w:val="nil"/>
              <w:left w:val="nil"/>
              <w:bottom w:val="single" w:sz="4" w:space="0" w:color="auto"/>
              <w:right w:val="single" w:sz="4" w:space="0" w:color="auto"/>
            </w:tcBorders>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9 119 599</w:t>
            </w:r>
          </w:p>
        </w:tc>
        <w:tc>
          <w:tcPr>
            <w:tcW w:w="1146" w:type="pct"/>
            <w:tcBorders>
              <w:top w:val="nil"/>
              <w:left w:val="nil"/>
              <w:bottom w:val="single" w:sz="4" w:space="0" w:color="auto"/>
              <w:right w:val="single" w:sz="4" w:space="0" w:color="auto"/>
            </w:tcBorders>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18 748 473</w:t>
            </w:r>
          </w:p>
        </w:tc>
      </w:tr>
      <w:tr w:rsidR="006568BA" w:rsidRPr="006568BA" w:rsidTr="006568BA">
        <w:trPr>
          <w:cantSplit/>
          <w:trHeight w:val="170"/>
        </w:trPr>
        <w:tc>
          <w:tcPr>
            <w:tcW w:w="1299" w:type="pct"/>
            <w:tcBorders>
              <w:top w:val="nil"/>
              <w:left w:val="single" w:sz="4" w:space="0" w:color="auto"/>
              <w:bottom w:val="single" w:sz="4" w:space="0" w:color="auto"/>
              <w:right w:val="single" w:sz="4" w:space="0" w:color="auto"/>
            </w:tcBorders>
            <w:shd w:val="clear" w:color="auto" w:fill="auto"/>
            <w:vAlign w:val="center"/>
            <w:hideMark/>
          </w:tcPr>
          <w:p w:rsidR="006568BA" w:rsidRPr="006568BA" w:rsidRDefault="006568BA" w:rsidP="006568BA">
            <w:pPr>
              <w:rPr>
                <w:rFonts w:ascii="Cambria" w:hAnsi="Cambria"/>
                <w:color w:val="000000"/>
                <w:sz w:val="16"/>
                <w:szCs w:val="16"/>
              </w:rPr>
            </w:pPr>
            <w:r w:rsidRPr="006568BA">
              <w:rPr>
                <w:rFonts w:ascii="Cambria" w:hAnsi="Cambria"/>
                <w:color w:val="000000"/>
                <w:sz w:val="16"/>
                <w:szCs w:val="16"/>
              </w:rPr>
              <w:t>Стоимость объекта доходным подхом, руб.</w:t>
            </w:r>
          </w:p>
        </w:tc>
        <w:tc>
          <w:tcPr>
            <w:tcW w:w="753" w:type="pct"/>
            <w:tcBorders>
              <w:top w:val="nil"/>
              <w:left w:val="nil"/>
              <w:bottom w:val="single" w:sz="4" w:space="0" w:color="auto"/>
              <w:right w:val="single" w:sz="4" w:space="0" w:color="auto"/>
            </w:tcBorders>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47 225 600</w:t>
            </w:r>
          </w:p>
        </w:tc>
        <w:tc>
          <w:tcPr>
            <w:tcW w:w="667" w:type="pct"/>
            <w:tcBorders>
              <w:top w:val="nil"/>
              <w:left w:val="nil"/>
              <w:bottom w:val="single" w:sz="4" w:space="0" w:color="auto"/>
              <w:right w:val="single" w:sz="4" w:space="0" w:color="auto"/>
            </w:tcBorders>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13 985 900</w:t>
            </w:r>
          </w:p>
        </w:tc>
        <w:tc>
          <w:tcPr>
            <w:tcW w:w="1134" w:type="pct"/>
            <w:tcBorders>
              <w:top w:val="nil"/>
              <w:left w:val="nil"/>
              <w:bottom w:val="single" w:sz="4" w:space="0" w:color="auto"/>
              <w:right w:val="single" w:sz="4" w:space="0" w:color="auto"/>
            </w:tcBorders>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9 119 600</w:t>
            </w:r>
          </w:p>
        </w:tc>
        <w:tc>
          <w:tcPr>
            <w:tcW w:w="1146" w:type="pct"/>
            <w:tcBorders>
              <w:top w:val="nil"/>
              <w:left w:val="nil"/>
              <w:bottom w:val="single" w:sz="4" w:space="0" w:color="auto"/>
              <w:right w:val="single" w:sz="4" w:space="0" w:color="auto"/>
            </w:tcBorders>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18 748 500</w:t>
            </w:r>
          </w:p>
        </w:tc>
      </w:tr>
      <w:tr w:rsidR="006568BA" w:rsidRPr="006568BA" w:rsidTr="006568BA">
        <w:trPr>
          <w:cantSplit/>
          <w:trHeight w:val="170"/>
        </w:trPr>
        <w:tc>
          <w:tcPr>
            <w:tcW w:w="1299" w:type="pct"/>
            <w:tcBorders>
              <w:top w:val="nil"/>
              <w:left w:val="single" w:sz="4" w:space="0" w:color="auto"/>
              <w:bottom w:val="single" w:sz="4" w:space="0" w:color="auto"/>
              <w:right w:val="single" w:sz="4" w:space="0" w:color="auto"/>
            </w:tcBorders>
            <w:shd w:val="clear" w:color="auto" w:fill="auto"/>
            <w:vAlign w:val="center"/>
            <w:hideMark/>
          </w:tcPr>
          <w:p w:rsidR="006568BA" w:rsidRPr="006568BA" w:rsidRDefault="006568BA" w:rsidP="006568BA">
            <w:pPr>
              <w:rPr>
                <w:rFonts w:ascii="Cambria" w:hAnsi="Cambria"/>
                <w:color w:val="000000"/>
                <w:sz w:val="16"/>
                <w:szCs w:val="16"/>
              </w:rPr>
            </w:pPr>
            <w:r w:rsidRPr="006568BA">
              <w:rPr>
                <w:rFonts w:ascii="Cambria" w:hAnsi="Cambria"/>
                <w:color w:val="000000"/>
                <w:sz w:val="16"/>
                <w:szCs w:val="16"/>
              </w:rPr>
              <w:t>Стоимость нежилого здания доходным подходом (округл), руб</w:t>
            </w:r>
          </w:p>
        </w:tc>
        <w:tc>
          <w:tcPr>
            <w:tcW w:w="753" w:type="pct"/>
            <w:tcBorders>
              <w:top w:val="nil"/>
              <w:left w:val="nil"/>
              <w:bottom w:val="single" w:sz="4" w:space="0" w:color="auto"/>
              <w:right w:val="single" w:sz="4" w:space="0" w:color="auto"/>
            </w:tcBorders>
            <w:shd w:val="clear" w:color="auto" w:fill="auto"/>
            <w:noWrap/>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47 225 600,00</w:t>
            </w:r>
          </w:p>
        </w:tc>
        <w:tc>
          <w:tcPr>
            <w:tcW w:w="667" w:type="pct"/>
            <w:tcBorders>
              <w:top w:val="nil"/>
              <w:left w:val="nil"/>
              <w:bottom w:val="single" w:sz="4" w:space="0" w:color="auto"/>
              <w:right w:val="single" w:sz="4" w:space="0" w:color="auto"/>
            </w:tcBorders>
            <w:shd w:val="clear" w:color="auto" w:fill="auto"/>
            <w:noWrap/>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13 985 900,00</w:t>
            </w:r>
          </w:p>
        </w:tc>
        <w:tc>
          <w:tcPr>
            <w:tcW w:w="1134" w:type="pct"/>
            <w:tcBorders>
              <w:top w:val="nil"/>
              <w:left w:val="nil"/>
              <w:bottom w:val="single" w:sz="4" w:space="0" w:color="auto"/>
              <w:right w:val="single" w:sz="4" w:space="0" w:color="auto"/>
            </w:tcBorders>
            <w:shd w:val="clear" w:color="auto" w:fill="auto"/>
            <w:noWrap/>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9 119 600,00</w:t>
            </w:r>
          </w:p>
        </w:tc>
        <w:tc>
          <w:tcPr>
            <w:tcW w:w="1146" w:type="pct"/>
            <w:tcBorders>
              <w:top w:val="nil"/>
              <w:left w:val="nil"/>
              <w:bottom w:val="single" w:sz="4" w:space="0" w:color="auto"/>
              <w:right w:val="single" w:sz="4" w:space="0" w:color="auto"/>
            </w:tcBorders>
            <w:shd w:val="clear" w:color="auto" w:fill="auto"/>
            <w:noWrap/>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18 748 500,00</w:t>
            </w:r>
          </w:p>
        </w:tc>
      </w:tr>
    </w:tbl>
    <w:p w:rsidR="006A199E" w:rsidRPr="006A199E" w:rsidRDefault="006A199E" w:rsidP="00303E37">
      <w:pPr>
        <w:numPr>
          <w:ilvl w:val="0"/>
          <w:numId w:val="48"/>
        </w:numPr>
        <w:spacing w:before="120" w:after="120"/>
        <w:ind w:left="714" w:hanging="357"/>
        <w:rPr>
          <w:rFonts w:ascii="Bookman Old Style" w:eastAsia="Calibri" w:hAnsi="Bookman Old Style"/>
          <w:sz w:val="20"/>
          <w:szCs w:val="20"/>
        </w:rPr>
      </w:pPr>
      <w:r w:rsidRPr="006A199E">
        <w:rPr>
          <w:rFonts w:ascii="Bookman Old Style" w:eastAsia="Calibri" w:hAnsi="Bookman Old Style"/>
          <w:sz w:val="20"/>
          <w:szCs w:val="20"/>
        </w:rPr>
        <w:t>Потенциальный валовый доход – представляет собой общий доход от эксплуатации объекта недвижимости.</w:t>
      </w:r>
    </w:p>
    <w:p w:rsidR="006A199E" w:rsidRPr="006A199E" w:rsidRDefault="006A199E" w:rsidP="006A199E">
      <w:pPr>
        <w:spacing w:before="120" w:after="120"/>
        <w:ind w:left="714"/>
        <w:rPr>
          <w:rFonts w:ascii="Bookman Old Style" w:eastAsia="Calibri" w:hAnsi="Bookman Old Style"/>
          <w:sz w:val="20"/>
          <w:szCs w:val="20"/>
        </w:rPr>
      </w:pPr>
      <w:r w:rsidRPr="006A199E">
        <w:rPr>
          <w:rFonts w:ascii="Bookman Old Style" w:eastAsia="Calibri" w:hAnsi="Bookman Old Style"/>
          <w:sz w:val="20"/>
          <w:szCs w:val="20"/>
        </w:rPr>
        <w:t>Расчет потенциального годового валового дохода, проведен по формуле:</w:t>
      </w:r>
    </w:p>
    <w:p w:rsidR="006A199E" w:rsidRPr="006A199E" w:rsidRDefault="006A199E" w:rsidP="006A199E">
      <w:pPr>
        <w:spacing w:before="120" w:after="120"/>
        <w:ind w:left="714"/>
        <w:rPr>
          <w:rFonts w:ascii="Bookman Old Style" w:eastAsia="Calibri" w:hAnsi="Bookman Old Style"/>
          <w:sz w:val="20"/>
          <w:szCs w:val="20"/>
        </w:rPr>
      </w:pPr>
      <m:oMathPara>
        <m:oMath>
          <m:r>
            <w:rPr>
              <w:rFonts w:ascii="Cambria Math" w:eastAsia="Calibri" w:hAnsi="Cambria Math"/>
              <w:sz w:val="20"/>
              <w:szCs w:val="20"/>
            </w:rPr>
            <m:t>ПВД=</m:t>
          </m:r>
          <m:sSub>
            <m:sSubPr>
              <m:ctrlPr>
                <w:rPr>
                  <w:rFonts w:ascii="Cambria Math" w:eastAsia="Calibri" w:hAnsi="Cambria Math"/>
                  <w:i/>
                  <w:sz w:val="20"/>
                  <w:szCs w:val="20"/>
                </w:rPr>
              </m:ctrlPr>
            </m:sSubPr>
            <m:e>
              <m:r>
                <w:rPr>
                  <w:rFonts w:ascii="Cambria Math" w:eastAsia="Calibri" w:hAnsi="Cambria Math"/>
                  <w:sz w:val="20"/>
                  <w:szCs w:val="20"/>
                </w:rPr>
                <m:t>С</m:t>
              </m:r>
            </m:e>
            <m:sub>
              <m:r>
                <w:rPr>
                  <w:rFonts w:ascii="Cambria Math" w:eastAsia="Calibri" w:hAnsi="Cambria Math"/>
                  <w:sz w:val="20"/>
                  <w:szCs w:val="20"/>
                </w:rPr>
                <m:t>а</m:t>
              </m:r>
            </m:sub>
          </m:sSub>
          <m:r>
            <w:rPr>
              <w:rFonts w:ascii="Cambria Math" w:eastAsia="Calibri" w:hAnsi="Cambria Math"/>
              <w:sz w:val="20"/>
              <w:szCs w:val="20"/>
            </w:rPr>
            <m:t>×</m:t>
          </m:r>
          <m:sSub>
            <m:sSubPr>
              <m:ctrlPr>
                <w:rPr>
                  <w:rFonts w:ascii="Cambria Math" w:eastAsia="Calibri" w:hAnsi="Cambria Math"/>
                  <w:i/>
                  <w:sz w:val="20"/>
                  <w:szCs w:val="20"/>
                </w:rPr>
              </m:ctrlPr>
            </m:sSubPr>
            <m:e>
              <m:r>
                <w:rPr>
                  <w:rFonts w:ascii="Cambria Math" w:eastAsia="Calibri" w:hAnsi="Cambria Math"/>
                  <w:sz w:val="20"/>
                  <w:szCs w:val="20"/>
                  <w:lang w:val="en-US"/>
                </w:rPr>
                <m:t>S</m:t>
              </m:r>
            </m:e>
            <m:sub>
              <m:r>
                <w:rPr>
                  <w:rFonts w:ascii="Cambria Math" w:eastAsia="Calibri" w:hAnsi="Cambria Math"/>
                  <w:sz w:val="20"/>
                  <w:szCs w:val="20"/>
                </w:rPr>
                <m:t>объекта</m:t>
              </m:r>
            </m:sub>
          </m:sSub>
          <m:r>
            <w:rPr>
              <w:rFonts w:ascii="Cambria Math" w:eastAsia="Calibri" w:hAnsi="Cambria Math"/>
              <w:sz w:val="20"/>
              <w:szCs w:val="20"/>
            </w:rPr>
            <m:t>×12</m:t>
          </m:r>
        </m:oMath>
      </m:oMathPara>
    </w:p>
    <w:p w:rsidR="006A199E" w:rsidRPr="006A199E" w:rsidRDefault="006A199E" w:rsidP="006A199E">
      <w:pPr>
        <w:spacing w:before="120" w:after="120"/>
        <w:ind w:left="714"/>
        <w:rPr>
          <w:rFonts w:ascii="Bookman Old Style" w:eastAsia="Calibri" w:hAnsi="Bookman Old Style"/>
          <w:sz w:val="20"/>
          <w:szCs w:val="20"/>
        </w:rPr>
      </w:pPr>
      <w:r w:rsidRPr="006A199E">
        <w:rPr>
          <w:rFonts w:ascii="Bookman Old Style" w:eastAsia="Calibri" w:hAnsi="Bookman Old Style"/>
          <w:sz w:val="20"/>
          <w:szCs w:val="20"/>
        </w:rPr>
        <w:t>Где:</w:t>
      </w:r>
    </w:p>
    <w:p w:rsidR="006A199E" w:rsidRPr="006A199E" w:rsidRDefault="006A199E" w:rsidP="006A199E">
      <w:pPr>
        <w:spacing w:before="120" w:after="120"/>
        <w:ind w:left="714"/>
        <w:rPr>
          <w:rFonts w:ascii="Bookman Old Style" w:eastAsia="Calibri" w:hAnsi="Bookman Old Style"/>
          <w:sz w:val="20"/>
          <w:szCs w:val="20"/>
        </w:rPr>
      </w:pPr>
      <w:r w:rsidRPr="006A199E">
        <w:rPr>
          <w:rFonts w:ascii="Bookman Old Style" w:eastAsia="Calibri" w:hAnsi="Bookman Old Style"/>
          <w:sz w:val="20"/>
          <w:szCs w:val="20"/>
        </w:rPr>
        <w:t>С</w:t>
      </w:r>
      <w:r w:rsidRPr="006A199E">
        <w:rPr>
          <w:rFonts w:ascii="Bookman Old Style" w:eastAsia="Calibri" w:hAnsi="Bookman Old Style"/>
          <w:sz w:val="20"/>
          <w:szCs w:val="20"/>
          <w:vertAlign w:val="subscript"/>
        </w:rPr>
        <w:t>а</w:t>
      </w:r>
      <w:r w:rsidRPr="006A199E">
        <w:rPr>
          <w:rFonts w:ascii="Bookman Old Style" w:eastAsia="Calibri" w:hAnsi="Bookman Old Style"/>
          <w:sz w:val="20"/>
          <w:szCs w:val="20"/>
        </w:rPr>
        <w:t xml:space="preserve"> – годовая арендная плата элемента Объекта оценки в зависимости от группы, руб.;</w:t>
      </w:r>
    </w:p>
    <w:p w:rsidR="006A199E" w:rsidRPr="006A199E" w:rsidRDefault="006A199E" w:rsidP="006A199E">
      <w:pPr>
        <w:spacing w:before="120" w:after="120"/>
        <w:ind w:left="714"/>
        <w:rPr>
          <w:rFonts w:ascii="Bookman Old Style" w:eastAsia="Calibri" w:hAnsi="Bookman Old Style"/>
          <w:sz w:val="20"/>
          <w:szCs w:val="20"/>
        </w:rPr>
      </w:pPr>
      <w:r w:rsidRPr="006A199E">
        <w:rPr>
          <w:rFonts w:ascii="Bookman Old Style" w:eastAsia="Calibri" w:hAnsi="Bookman Old Style"/>
          <w:sz w:val="20"/>
          <w:szCs w:val="20"/>
          <w:lang w:val="en-US"/>
        </w:rPr>
        <w:t>S</w:t>
      </w:r>
      <w:r w:rsidRPr="006A199E">
        <w:rPr>
          <w:rFonts w:ascii="Bookman Old Style" w:eastAsia="Calibri" w:hAnsi="Bookman Old Style"/>
          <w:sz w:val="20"/>
          <w:szCs w:val="20"/>
          <w:vertAlign w:val="subscript"/>
        </w:rPr>
        <w:t>объекта</w:t>
      </w:r>
      <w:r w:rsidRPr="006A199E">
        <w:rPr>
          <w:rFonts w:ascii="Bookman Old Style" w:eastAsia="Calibri" w:hAnsi="Bookman Old Style"/>
          <w:sz w:val="20"/>
          <w:szCs w:val="20"/>
        </w:rPr>
        <w:t xml:space="preserve"> – общая площадь элемента Объекта оценки, кв.м.;</w:t>
      </w:r>
    </w:p>
    <w:p w:rsidR="006A199E" w:rsidRPr="006A199E" w:rsidRDefault="006A199E" w:rsidP="006A199E">
      <w:pPr>
        <w:spacing w:before="120" w:after="120"/>
        <w:ind w:left="714"/>
        <w:rPr>
          <w:rFonts w:ascii="Bookman Old Style" w:eastAsia="Calibri" w:hAnsi="Bookman Old Style"/>
          <w:sz w:val="20"/>
          <w:szCs w:val="20"/>
        </w:rPr>
      </w:pPr>
      <w:r w:rsidRPr="006A199E">
        <w:rPr>
          <w:rFonts w:ascii="Bookman Old Style" w:eastAsia="Calibri" w:hAnsi="Bookman Old Style"/>
          <w:sz w:val="20"/>
          <w:szCs w:val="20"/>
        </w:rPr>
        <w:t>12 - количество месяцев в году.</w:t>
      </w:r>
    </w:p>
    <w:p w:rsidR="006A199E" w:rsidRPr="006A199E" w:rsidRDefault="006A199E" w:rsidP="00303E37">
      <w:pPr>
        <w:numPr>
          <w:ilvl w:val="0"/>
          <w:numId w:val="48"/>
        </w:numPr>
        <w:spacing w:before="120" w:after="120"/>
        <w:jc w:val="both"/>
        <w:rPr>
          <w:rFonts w:ascii="Bookman Old Style" w:eastAsia="Calibri" w:hAnsi="Bookman Old Style"/>
          <w:sz w:val="20"/>
          <w:szCs w:val="20"/>
        </w:rPr>
      </w:pPr>
      <w:r w:rsidRPr="006A199E">
        <w:rPr>
          <w:rFonts w:ascii="Bookman Old Style" w:eastAsia="Calibri" w:hAnsi="Bookman Old Style"/>
          <w:sz w:val="20"/>
          <w:szCs w:val="20"/>
        </w:rPr>
        <w:t>Далее спрогнозирован чистый операционный доход (ЧОД). Для учета всех расходов связанных с эксплуатацией объекта недвижимости, например таких как: платежи за коммунальные услуги, уборка, электричество, интернет, охрана, среднегодовые затраты на текущий ремонт, расходы на управление недвижимостью, расходы на замещение и т.п., применяют коэффициент операционных расходов. Наиболее удобный расчет коэффициента операционных расходов осуществляется по каждому типу объектов соответствующего сегмента рынка недвижимости.</w:t>
      </w:r>
    </w:p>
    <w:p w:rsidR="006A199E" w:rsidRPr="006A199E" w:rsidRDefault="006A199E" w:rsidP="006A199E">
      <w:pPr>
        <w:spacing w:before="120" w:after="120"/>
        <w:ind w:left="720"/>
        <w:jc w:val="both"/>
        <w:rPr>
          <w:rFonts w:ascii="Bookman Old Style" w:eastAsia="Calibri" w:hAnsi="Bookman Old Style"/>
          <w:sz w:val="20"/>
          <w:szCs w:val="20"/>
        </w:rPr>
      </w:pPr>
      <w:r w:rsidRPr="006A199E">
        <w:rPr>
          <w:rFonts w:ascii="Bookman Old Style" w:eastAsia="Calibri" w:hAnsi="Bookman Old Style"/>
          <w:sz w:val="20"/>
          <w:szCs w:val="20"/>
        </w:rPr>
        <w:t>Коэффициент операционных доходов при расчете чистого о</w:t>
      </w:r>
      <w:r>
        <w:rPr>
          <w:rFonts w:ascii="Bookman Old Style" w:eastAsia="Calibri" w:hAnsi="Bookman Old Style"/>
          <w:sz w:val="20"/>
          <w:szCs w:val="20"/>
        </w:rPr>
        <w:t>перационного дохода составляет 18</w:t>
      </w:r>
      <w:r w:rsidR="006568BA">
        <w:rPr>
          <w:rFonts w:ascii="Bookman Old Style" w:eastAsia="Calibri" w:hAnsi="Bookman Old Style"/>
          <w:sz w:val="20"/>
          <w:szCs w:val="20"/>
        </w:rPr>
        <w:t>% для объектов ПСН и АДМ</w:t>
      </w:r>
      <w:r w:rsidRPr="006A199E">
        <w:rPr>
          <w:rFonts w:ascii="Bookman Old Style" w:hAnsi="Bookman Old Style"/>
          <w:bCs/>
          <w:sz w:val="20"/>
          <w:szCs w:val="20"/>
          <w:vertAlign w:val="superscript"/>
        </w:rPr>
        <w:footnoteReference w:id="67"/>
      </w:r>
      <w:r w:rsidRPr="006A199E">
        <w:rPr>
          <w:rFonts w:ascii="Bookman Old Style" w:hAnsi="Bookman Old Style"/>
          <w:bCs/>
          <w:sz w:val="20"/>
          <w:szCs w:val="20"/>
        </w:rPr>
        <w:t>.</w:t>
      </w:r>
    </w:p>
    <w:p w:rsidR="006A199E" w:rsidRPr="006A199E" w:rsidRDefault="006A199E" w:rsidP="00303E37">
      <w:pPr>
        <w:numPr>
          <w:ilvl w:val="0"/>
          <w:numId w:val="48"/>
        </w:numPr>
        <w:spacing w:before="120" w:after="120"/>
        <w:jc w:val="both"/>
        <w:rPr>
          <w:rFonts w:ascii="Bookman Old Style" w:hAnsi="Bookman Old Style"/>
          <w:sz w:val="20"/>
          <w:szCs w:val="20"/>
        </w:rPr>
      </w:pPr>
      <w:r w:rsidRPr="006A199E">
        <w:rPr>
          <w:rFonts w:ascii="Bookman Old Style" w:hAnsi="Bookman Old Style"/>
          <w:sz w:val="20"/>
          <w:szCs w:val="20"/>
        </w:rPr>
        <w:lastRenderedPageBreak/>
        <w:t>Используя сведения о ЧОД от эксплуатации элементов Объекта оценки, и данные о коэффициенте капитализации, определена рыночная стоимость элементов Объекта оценки.</w:t>
      </w:r>
    </w:p>
    <w:p w:rsidR="006A199E" w:rsidRPr="006A199E" w:rsidRDefault="006A199E" w:rsidP="006A199E">
      <w:pPr>
        <w:spacing w:before="120" w:after="120"/>
        <w:ind w:left="720"/>
        <w:jc w:val="both"/>
        <w:rPr>
          <w:rFonts w:ascii="Bookman Old Style" w:hAnsi="Bookman Old Style"/>
          <w:sz w:val="20"/>
          <w:szCs w:val="20"/>
        </w:rPr>
      </w:pPr>
      <w:r w:rsidRPr="006A199E">
        <w:rPr>
          <w:rFonts w:ascii="Bookman Old Style" w:hAnsi="Bookman Old Style"/>
          <w:sz w:val="20"/>
          <w:szCs w:val="20"/>
        </w:rPr>
        <w:t xml:space="preserve">Коэффициент чистого дохода составляет </w:t>
      </w:r>
    </w:p>
    <w:p w:rsidR="006A199E" w:rsidRPr="006A199E" w:rsidRDefault="006A199E" w:rsidP="006A199E">
      <w:pPr>
        <w:spacing w:before="120" w:after="120"/>
        <w:ind w:left="720"/>
        <w:jc w:val="both"/>
        <w:rPr>
          <w:rFonts w:ascii="Bookman Old Style" w:hAnsi="Bookman Old Style"/>
          <w:sz w:val="20"/>
          <w:szCs w:val="20"/>
        </w:rPr>
      </w:pPr>
      <w:r w:rsidRPr="006A199E">
        <w:rPr>
          <w:rFonts w:ascii="Bookman Old Style" w:hAnsi="Bookman Old Style"/>
          <w:sz w:val="20"/>
          <w:szCs w:val="20"/>
        </w:rPr>
        <w:t>Расчет проведен по формуле:</w:t>
      </w:r>
    </w:p>
    <w:p w:rsidR="006A199E" w:rsidRPr="006A199E" w:rsidRDefault="006A199E" w:rsidP="006A199E">
      <w:pPr>
        <w:spacing w:before="120" w:after="120"/>
        <w:jc w:val="center"/>
        <w:rPr>
          <w:rFonts w:ascii="Bookman Old Style" w:hAnsi="Bookman Old Style"/>
          <w:sz w:val="20"/>
          <w:szCs w:val="20"/>
        </w:rPr>
      </w:pPr>
      <m:oMathPara>
        <m:oMath>
          <m:r>
            <w:rPr>
              <w:rFonts w:ascii="Cambria Math" w:hAnsi="Cambria Math"/>
              <w:sz w:val="20"/>
              <w:szCs w:val="20"/>
            </w:rPr>
            <m:t>V=</m:t>
          </m:r>
          <m:f>
            <m:fPr>
              <m:ctrlPr>
                <w:rPr>
                  <w:rFonts w:ascii="Cambria Math" w:hAnsi="Cambria Math"/>
                  <w:i/>
                </w:rPr>
              </m:ctrlPr>
            </m:fPr>
            <m:num>
              <m:r>
                <w:rPr>
                  <w:rFonts w:ascii="Cambria Math" w:hAnsi="Cambria Math"/>
                  <w:sz w:val="20"/>
                  <w:szCs w:val="20"/>
                </w:rPr>
                <m:t>I</m:t>
              </m:r>
            </m:num>
            <m:den>
              <m:r>
                <w:rPr>
                  <w:rFonts w:ascii="Cambria Math" w:hAnsi="Cambria Math"/>
                  <w:sz w:val="20"/>
                  <w:szCs w:val="20"/>
                  <w:lang w:val="en-US"/>
                </w:rPr>
                <m:t>R</m:t>
              </m:r>
            </m:den>
          </m:f>
        </m:oMath>
      </m:oMathPara>
    </w:p>
    <w:p w:rsidR="006A199E" w:rsidRPr="006A199E" w:rsidRDefault="006A199E" w:rsidP="006A199E">
      <w:pPr>
        <w:spacing w:before="120" w:after="120"/>
        <w:ind w:left="720"/>
        <w:jc w:val="both"/>
        <w:rPr>
          <w:rFonts w:ascii="Bookman Old Style" w:hAnsi="Bookman Old Style"/>
          <w:sz w:val="20"/>
          <w:szCs w:val="20"/>
        </w:rPr>
      </w:pPr>
      <w:r w:rsidRPr="006A199E">
        <w:rPr>
          <w:rFonts w:ascii="Bookman Old Style" w:hAnsi="Bookman Old Style"/>
          <w:sz w:val="20"/>
          <w:szCs w:val="20"/>
        </w:rPr>
        <w:t xml:space="preserve">Где: </w:t>
      </w:r>
    </w:p>
    <w:p w:rsidR="006A199E" w:rsidRPr="006A199E" w:rsidRDefault="006A199E" w:rsidP="006A199E">
      <w:pPr>
        <w:spacing w:before="120" w:after="120"/>
        <w:ind w:left="720"/>
        <w:rPr>
          <w:rFonts w:ascii="Bookman Old Style" w:hAnsi="Bookman Old Style"/>
          <w:sz w:val="20"/>
          <w:szCs w:val="20"/>
        </w:rPr>
      </w:pPr>
      <w:r w:rsidRPr="006A199E">
        <w:rPr>
          <w:rFonts w:ascii="Bookman Old Style" w:hAnsi="Bookman Old Style"/>
          <w:sz w:val="20"/>
          <w:szCs w:val="20"/>
          <w:lang w:val="en-US"/>
        </w:rPr>
        <w:t>V</w:t>
      </w:r>
      <w:r w:rsidRPr="006A199E">
        <w:rPr>
          <w:rFonts w:ascii="Bookman Old Style" w:hAnsi="Bookman Old Style"/>
          <w:sz w:val="20"/>
          <w:szCs w:val="20"/>
        </w:rPr>
        <w:t xml:space="preserve"> – стоимость оцениваемого объекта;</w:t>
      </w:r>
    </w:p>
    <w:p w:rsidR="006A199E" w:rsidRPr="006A199E" w:rsidRDefault="006A199E" w:rsidP="006A199E">
      <w:pPr>
        <w:spacing w:before="120" w:after="120"/>
        <w:ind w:left="720"/>
        <w:rPr>
          <w:rFonts w:ascii="Bookman Old Style" w:hAnsi="Bookman Old Style"/>
          <w:sz w:val="20"/>
          <w:szCs w:val="20"/>
        </w:rPr>
      </w:pPr>
      <w:r w:rsidRPr="006A199E">
        <w:rPr>
          <w:rFonts w:ascii="Bookman Old Style" w:hAnsi="Bookman Old Style"/>
          <w:sz w:val="20"/>
          <w:szCs w:val="20"/>
          <w:lang w:val="en-US"/>
        </w:rPr>
        <w:t>I</w:t>
      </w:r>
      <w:r w:rsidRPr="006A199E">
        <w:rPr>
          <w:rFonts w:ascii="Bookman Old Style" w:hAnsi="Bookman Old Style"/>
          <w:sz w:val="20"/>
          <w:szCs w:val="20"/>
        </w:rPr>
        <w:t xml:space="preserve"> – чистый операционный доход от эксплуатации недвижимости;</w:t>
      </w:r>
    </w:p>
    <w:p w:rsidR="006A199E" w:rsidRPr="006A199E" w:rsidRDefault="006A199E" w:rsidP="006A199E">
      <w:pPr>
        <w:spacing w:before="120" w:after="120"/>
        <w:ind w:left="720"/>
        <w:rPr>
          <w:rFonts w:ascii="Bookman Old Style" w:hAnsi="Bookman Old Style"/>
          <w:sz w:val="20"/>
          <w:szCs w:val="20"/>
        </w:rPr>
      </w:pPr>
      <w:r w:rsidRPr="006A199E">
        <w:rPr>
          <w:rFonts w:ascii="Bookman Old Style" w:hAnsi="Bookman Old Style"/>
          <w:sz w:val="20"/>
          <w:szCs w:val="20"/>
          <w:lang w:val="en-US"/>
        </w:rPr>
        <w:t>R</w:t>
      </w:r>
      <w:r w:rsidRPr="006A199E">
        <w:rPr>
          <w:rFonts w:ascii="Bookman Old Style" w:hAnsi="Bookman Old Style"/>
          <w:sz w:val="20"/>
          <w:szCs w:val="20"/>
        </w:rPr>
        <w:t xml:space="preserve"> – модельный коэффициент капитализации.</w:t>
      </w:r>
    </w:p>
    <w:p w:rsidR="006A199E" w:rsidRDefault="006A199E" w:rsidP="006A199E">
      <w:pPr>
        <w:spacing w:before="120" w:after="120"/>
        <w:ind w:firstLine="709"/>
        <w:jc w:val="both"/>
        <w:rPr>
          <w:rFonts w:ascii="Bookman Old Style" w:hAnsi="Bookman Old Style"/>
          <w:sz w:val="20"/>
          <w:szCs w:val="20"/>
        </w:rPr>
      </w:pPr>
      <w:r w:rsidRPr="006A199E">
        <w:rPr>
          <w:rFonts w:ascii="Bookman Old Style" w:hAnsi="Bookman Old Style"/>
          <w:sz w:val="20"/>
          <w:szCs w:val="20"/>
        </w:rPr>
        <w:t>В результате проведенного расчета определена рыночная стоимость элементов Объекта оценки методом доходного подхода.</w:t>
      </w:r>
    </w:p>
    <w:p w:rsidR="006568BA" w:rsidRPr="006A199E" w:rsidRDefault="006568BA" w:rsidP="006568BA">
      <w:pPr>
        <w:keepNext/>
        <w:spacing w:before="120" w:after="120"/>
        <w:jc w:val="both"/>
        <w:outlineLvl w:val="1"/>
        <w:rPr>
          <w:rFonts w:ascii="Bookman Old Style" w:hAnsi="Bookman Old Style"/>
          <w:b/>
          <w:sz w:val="20"/>
          <w:szCs w:val="20"/>
        </w:rPr>
      </w:pPr>
      <w:bookmarkStart w:id="317" w:name="_Toc461206417"/>
      <w:r w:rsidRPr="006A199E">
        <w:rPr>
          <w:rFonts w:ascii="Bookman Old Style" w:hAnsi="Bookman Old Style"/>
          <w:b/>
          <w:sz w:val="20"/>
          <w:szCs w:val="20"/>
        </w:rPr>
        <w:t>5.</w:t>
      </w:r>
      <w:r>
        <w:rPr>
          <w:rFonts w:ascii="Bookman Old Style" w:hAnsi="Bookman Old Style"/>
          <w:b/>
          <w:sz w:val="20"/>
          <w:szCs w:val="20"/>
        </w:rPr>
        <w:t>6.</w:t>
      </w:r>
      <w:r w:rsidRPr="006A199E">
        <w:rPr>
          <w:rFonts w:ascii="Bookman Old Style" w:hAnsi="Bookman Old Style"/>
          <w:b/>
          <w:sz w:val="20"/>
          <w:szCs w:val="20"/>
        </w:rPr>
        <w:t xml:space="preserve"> ОПРЕДЕЛЕНИЕ СТОИМОСТИ ИМУЩЕСТВА </w:t>
      </w:r>
      <w:r>
        <w:rPr>
          <w:rFonts w:ascii="Bookman Old Style" w:hAnsi="Bookman Old Style"/>
          <w:b/>
          <w:sz w:val="20"/>
          <w:szCs w:val="20"/>
        </w:rPr>
        <w:t>ЗАТРАТНЫМ</w:t>
      </w:r>
      <w:r w:rsidRPr="006A199E">
        <w:rPr>
          <w:rFonts w:ascii="Bookman Old Style" w:hAnsi="Bookman Old Style"/>
          <w:b/>
          <w:sz w:val="20"/>
          <w:szCs w:val="20"/>
        </w:rPr>
        <w:t xml:space="preserve"> ПОДХОДОМ</w:t>
      </w:r>
      <w:bookmarkEnd w:id="317"/>
    </w:p>
    <w:p w:rsidR="006568BA" w:rsidRPr="00B8379A" w:rsidRDefault="006568BA" w:rsidP="006568BA">
      <w:pPr>
        <w:keepNext/>
        <w:spacing w:before="120" w:after="120"/>
        <w:jc w:val="both"/>
        <w:outlineLvl w:val="2"/>
        <w:rPr>
          <w:rFonts w:ascii="Bookman Old Style" w:hAnsi="Bookman Old Style"/>
          <w:b/>
          <w:bCs/>
          <w:sz w:val="20"/>
          <w:szCs w:val="20"/>
        </w:rPr>
      </w:pPr>
      <w:bookmarkStart w:id="318" w:name="_Toc396143375"/>
      <w:bookmarkStart w:id="319" w:name="_Toc447021007"/>
      <w:bookmarkStart w:id="320" w:name="_Toc449529994"/>
      <w:bookmarkStart w:id="321" w:name="_Toc461206418"/>
      <w:r w:rsidRPr="00B8379A">
        <w:rPr>
          <w:rFonts w:ascii="Bookman Old Style" w:hAnsi="Bookman Old Style"/>
          <w:b/>
          <w:bCs/>
          <w:sz w:val="20"/>
          <w:szCs w:val="20"/>
        </w:rPr>
        <w:t>5.</w:t>
      </w:r>
      <w:r>
        <w:rPr>
          <w:rFonts w:ascii="Bookman Old Style" w:hAnsi="Bookman Old Style"/>
          <w:b/>
          <w:bCs/>
          <w:sz w:val="20"/>
          <w:szCs w:val="20"/>
        </w:rPr>
        <w:t>6</w:t>
      </w:r>
      <w:r w:rsidRPr="00B8379A">
        <w:rPr>
          <w:rFonts w:ascii="Bookman Old Style" w:hAnsi="Bookman Old Style"/>
          <w:b/>
          <w:bCs/>
          <w:sz w:val="20"/>
          <w:szCs w:val="20"/>
        </w:rPr>
        <w:t>.1. Определение рыночной стоимости затратным подходом</w:t>
      </w:r>
      <w:bookmarkEnd w:id="318"/>
      <w:bookmarkEnd w:id="319"/>
      <w:bookmarkEnd w:id="320"/>
      <w:bookmarkEnd w:id="321"/>
    </w:p>
    <w:p w:rsidR="006568BA" w:rsidRPr="000E51C8" w:rsidRDefault="006568BA" w:rsidP="006568BA">
      <w:pPr>
        <w:spacing w:before="120" w:after="120"/>
        <w:ind w:firstLine="708"/>
        <w:jc w:val="both"/>
        <w:rPr>
          <w:rFonts w:ascii="Bookman Old Style" w:hAnsi="Bookman Old Style"/>
          <w:sz w:val="20"/>
          <w:szCs w:val="20"/>
        </w:rPr>
      </w:pPr>
      <w:r w:rsidRPr="000E51C8">
        <w:rPr>
          <w:rFonts w:ascii="Bookman Old Style" w:hAnsi="Bookman Old Style"/>
          <w:sz w:val="20"/>
          <w:szCs w:val="20"/>
        </w:rPr>
        <w:t>ФСО № 1, статья 3, пункт 15: «Затратный подход – совокупность методов оценки стоимости объекта оценки, основанных на определении затрат, необходимых для воспроизводства либо замещения объекта оценки с учетом износа и устареваний».</w:t>
      </w:r>
    </w:p>
    <w:p w:rsidR="006568BA" w:rsidRPr="000E51C8" w:rsidRDefault="006568BA" w:rsidP="006568BA">
      <w:pPr>
        <w:spacing w:before="120" w:after="120"/>
        <w:ind w:firstLine="708"/>
        <w:jc w:val="both"/>
        <w:rPr>
          <w:rFonts w:ascii="Bookman Old Style" w:hAnsi="Bookman Old Style"/>
          <w:sz w:val="20"/>
          <w:szCs w:val="20"/>
        </w:rPr>
      </w:pPr>
      <w:r w:rsidRPr="000E51C8">
        <w:rPr>
          <w:rFonts w:ascii="Bookman Old Style" w:hAnsi="Bookman Old Style"/>
          <w:sz w:val="20"/>
          <w:szCs w:val="20"/>
        </w:rPr>
        <w:t>Логика затратного подхода заключается в принципе замещения: благоразумный покупатель не будет платить за имущество больше стоимости приобретения замещающего имущества эквивалентной полезности.</w:t>
      </w:r>
    </w:p>
    <w:p w:rsidR="006568BA" w:rsidRPr="008945CD" w:rsidRDefault="006568BA" w:rsidP="006568BA">
      <w:pPr>
        <w:pStyle w:val="3"/>
        <w:spacing w:after="120"/>
        <w:rPr>
          <w:rFonts w:ascii="Bookman Old Style" w:hAnsi="Bookman Old Style"/>
          <w:sz w:val="20"/>
          <w:szCs w:val="20"/>
        </w:rPr>
      </w:pPr>
      <w:bookmarkStart w:id="322" w:name="_Toc404275184"/>
      <w:bookmarkStart w:id="323" w:name="_Toc433887950"/>
      <w:bookmarkStart w:id="324" w:name="_Toc447021008"/>
      <w:bookmarkStart w:id="325" w:name="_Toc449529995"/>
      <w:bookmarkStart w:id="326" w:name="_Toc461206419"/>
      <w:r>
        <w:rPr>
          <w:rFonts w:ascii="Bookman Old Style" w:hAnsi="Bookman Old Style"/>
          <w:sz w:val="20"/>
          <w:szCs w:val="20"/>
        </w:rPr>
        <w:t>5</w:t>
      </w:r>
      <w:r w:rsidRPr="008945CD">
        <w:rPr>
          <w:rFonts w:ascii="Bookman Old Style" w:hAnsi="Bookman Old Style"/>
          <w:sz w:val="20"/>
          <w:szCs w:val="20"/>
        </w:rPr>
        <w:t>.</w:t>
      </w:r>
      <w:r>
        <w:rPr>
          <w:rFonts w:ascii="Bookman Old Style" w:hAnsi="Bookman Old Style"/>
          <w:sz w:val="20"/>
          <w:szCs w:val="20"/>
        </w:rPr>
        <w:t>6.1</w:t>
      </w:r>
      <w:r w:rsidRPr="008945CD">
        <w:rPr>
          <w:rFonts w:ascii="Bookman Old Style" w:hAnsi="Bookman Old Style"/>
          <w:sz w:val="20"/>
          <w:szCs w:val="20"/>
        </w:rPr>
        <w:t>.1. Расчет стоимости затрат</w:t>
      </w:r>
      <w:bookmarkEnd w:id="322"/>
      <w:bookmarkEnd w:id="323"/>
      <w:bookmarkEnd w:id="324"/>
      <w:bookmarkEnd w:id="325"/>
      <w:bookmarkEnd w:id="326"/>
      <w:r w:rsidRPr="008945CD">
        <w:rPr>
          <w:rFonts w:ascii="Bookman Old Style" w:hAnsi="Bookman Old Style"/>
          <w:sz w:val="20"/>
          <w:szCs w:val="20"/>
        </w:rPr>
        <w:t xml:space="preserve"> </w:t>
      </w:r>
    </w:p>
    <w:p w:rsidR="006568BA" w:rsidRDefault="006568BA" w:rsidP="006568BA">
      <w:pPr>
        <w:spacing w:before="120" w:after="120"/>
        <w:ind w:firstLine="709"/>
        <w:jc w:val="both"/>
        <w:rPr>
          <w:rFonts w:ascii="Bookman Old Style" w:hAnsi="Bookman Old Style"/>
          <w:sz w:val="20"/>
          <w:szCs w:val="20"/>
        </w:rPr>
      </w:pPr>
      <w:r w:rsidRPr="00C35D86">
        <w:rPr>
          <w:rFonts w:ascii="Bookman Old Style" w:hAnsi="Bookman Old Style"/>
          <w:sz w:val="20"/>
          <w:szCs w:val="20"/>
        </w:rPr>
        <w:t>ФСО № 1, статья 3, пункт 1</w:t>
      </w:r>
      <w:r>
        <w:rPr>
          <w:rFonts w:ascii="Bookman Old Style" w:hAnsi="Bookman Old Style"/>
          <w:sz w:val="20"/>
          <w:szCs w:val="20"/>
        </w:rPr>
        <w:t>8</w:t>
      </w:r>
      <w:r w:rsidRPr="00C35D86">
        <w:rPr>
          <w:rFonts w:ascii="Bookman Old Style" w:hAnsi="Bookman Old Style"/>
          <w:sz w:val="20"/>
          <w:szCs w:val="20"/>
        </w:rPr>
        <w:t xml:space="preserve">: </w:t>
      </w:r>
    </w:p>
    <w:p w:rsidR="006568BA" w:rsidRPr="00EB4E1A" w:rsidRDefault="006568BA" w:rsidP="006568BA">
      <w:pPr>
        <w:spacing w:before="120" w:after="120"/>
        <w:ind w:firstLine="709"/>
        <w:jc w:val="both"/>
        <w:rPr>
          <w:rFonts w:ascii="Bookman Old Style" w:hAnsi="Bookman Old Style"/>
          <w:sz w:val="20"/>
          <w:szCs w:val="20"/>
        </w:rPr>
      </w:pPr>
      <w:r>
        <w:rPr>
          <w:rFonts w:ascii="Bookman Old Style" w:hAnsi="Bookman Old Style"/>
          <w:sz w:val="20"/>
          <w:szCs w:val="20"/>
        </w:rPr>
        <w:t>«</w:t>
      </w:r>
      <w:r w:rsidRPr="00EB4E1A">
        <w:rPr>
          <w:rFonts w:ascii="Bookman Old Style" w:hAnsi="Bookman Old Style"/>
          <w:sz w:val="20"/>
          <w:szCs w:val="20"/>
        </w:rPr>
        <w:t>Затраты на воспроизводство машин и оборудования (без учета износа и устареваний) определяются на основе сравнения с затратами на создание или производство либо приобретение точной копии объекта оценки. Затраты на замещение машин и оборудования (без учета износа и устареваний) определяются на основе сравнения с затратами на создание или производство либо приобретение объекта, имеющего аналогичные полезные свойства.</w:t>
      </w:r>
      <w:r>
        <w:rPr>
          <w:rFonts w:ascii="Bookman Old Style" w:hAnsi="Bookman Old Style"/>
          <w:sz w:val="20"/>
          <w:szCs w:val="20"/>
        </w:rPr>
        <w:t>»</w:t>
      </w:r>
    </w:p>
    <w:p w:rsidR="006568BA" w:rsidRPr="008945CD" w:rsidRDefault="006568BA" w:rsidP="006568BA">
      <w:pPr>
        <w:autoSpaceDE w:val="0"/>
        <w:autoSpaceDN w:val="0"/>
        <w:adjustRightInd w:val="0"/>
        <w:spacing w:before="120" w:after="120"/>
        <w:ind w:firstLine="708"/>
        <w:jc w:val="both"/>
        <w:rPr>
          <w:rFonts w:ascii="Bookman Old Style" w:hAnsi="Bookman Old Style"/>
          <w:color w:val="000000"/>
          <w:sz w:val="20"/>
          <w:szCs w:val="20"/>
        </w:rPr>
      </w:pPr>
      <w:r w:rsidRPr="008945CD">
        <w:rPr>
          <w:rFonts w:ascii="Bookman Old Style" w:hAnsi="Bookman Old Style"/>
          <w:color w:val="000000"/>
          <w:sz w:val="20"/>
          <w:szCs w:val="20"/>
        </w:rPr>
        <w:t>В настоящей оценочной работе применен метод:</w:t>
      </w:r>
    </w:p>
    <w:p w:rsidR="006568BA" w:rsidRPr="00152E23" w:rsidRDefault="006568BA" w:rsidP="006568BA">
      <w:pPr>
        <w:pStyle w:val="19"/>
        <w:numPr>
          <w:ilvl w:val="0"/>
          <w:numId w:val="62"/>
        </w:numPr>
        <w:autoSpaceDE w:val="0"/>
        <w:autoSpaceDN w:val="0"/>
        <w:adjustRightInd w:val="0"/>
        <w:spacing w:before="120" w:after="120"/>
        <w:ind w:left="993" w:hanging="284"/>
        <w:contextualSpacing w:val="0"/>
        <w:jc w:val="both"/>
        <w:rPr>
          <w:rFonts w:ascii="Bookman Old Style" w:hAnsi="Bookman Old Style"/>
          <w:color w:val="000000"/>
          <w:sz w:val="20"/>
          <w:szCs w:val="20"/>
        </w:rPr>
      </w:pPr>
      <w:r>
        <w:rPr>
          <w:rFonts w:ascii="Bookman Old Style" w:hAnsi="Bookman Old Style"/>
          <w:sz w:val="20"/>
          <w:szCs w:val="20"/>
        </w:rPr>
        <w:t>Метод р</w:t>
      </w:r>
      <w:r w:rsidRPr="00744A04">
        <w:rPr>
          <w:rFonts w:ascii="Bookman Old Style" w:hAnsi="Bookman Old Style"/>
          <w:sz w:val="20"/>
          <w:szCs w:val="20"/>
        </w:rPr>
        <w:t>асчета по цене однородного объекта</w:t>
      </w:r>
      <w:r>
        <w:rPr>
          <w:rFonts w:ascii="Bookman Old Style" w:hAnsi="Bookman Old Style"/>
          <w:sz w:val="20"/>
          <w:szCs w:val="20"/>
        </w:rPr>
        <w:t>.</w:t>
      </w:r>
    </w:p>
    <w:p w:rsidR="006568BA" w:rsidRDefault="006568BA" w:rsidP="006568BA">
      <w:pPr>
        <w:spacing w:before="120" w:after="120"/>
        <w:ind w:firstLine="708"/>
        <w:jc w:val="both"/>
        <w:rPr>
          <w:rFonts w:ascii="Bookman Old Style" w:hAnsi="Bookman Old Style"/>
          <w:sz w:val="20"/>
          <w:szCs w:val="20"/>
        </w:rPr>
      </w:pPr>
      <w:r w:rsidRPr="00AF0E6B">
        <w:rPr>
          <w:rFonts w:ascii="Bookman Old Style" w:hAnsi="Bookman Old Style"/>
          <w:sz w:val="20"/>
          <w:szCs w:val="20"/>
        </w:rPr>
        <w:t>Сущность метода заключается в том, что для оцениваемого объекта, если объект не сложный и конструктивно однородный, подбирают конструктивно и технологически однородный объект. При этом предполагают, что полная себестоимость изготовления однородного объекта близка к себестоимости изготовления оцениваемого объекта.</w:t>
      </w:r>
    </w:p>
    <w:p w:rsidR="006568BA" w:rsidRDefault="006568BA" w:rsidP="006568BA">
      <w:pPr>
        <w:autoSpaceDE w:val="0"/>
        <w:autoSpaceDN w:val="0"/>
        <w:adjustRightInd w:val="0"/>
        <w:spacing w:before="120" w:after="120"/>
        <w:ind w:firstLine="708"/>
        <w:jc w:val="both"/>
        <w:rPr>
          <w:rFonts w:ascii="Bookman Old Style" w:hAnsi="Bookman Old Style"/>
          <w:color w:val="000000"/>
          <w:sz w:val="20"/>
          <w:szCs w:val="20"/>
        </w:rPr>
      </w:pPr>
      <w:r w:rsidRPr="000E51C8">
        <w:rPr>
          <w:rFonts w:ascii="Bookman Old Style" w:hAnsi="Bookman Old Style"/>
          <w:color w:val="000000"/>
          <w:sz w:val="20"/>
          <w:szCs w:val="20"/>
        </w:rPr>
        <w:t xml:space="preserve">В результате </w:t>
      </w:r>
      <w:r>
        <w:rPr>
          <w:rFonts w:ascii="Bookman Old Style" w:hAnsi="Bookman Old Style"/>
          <w:color w:val="000000"/>
          <w:sz w:val="20"/>
          <w:szCs w:val="20"/>
        </w:rPr>
        <w:t>анализа первичного рынка были подобраны аналоги для</w:t>
      </w:r>
      <w:r w:rsidRPr="000E51C8">
        <w:rPr>
          <w:rFonts w:ascii="Bookman Old Style" w:hAnsi="Bookman Old Style"/>
          <w:color w:val="000000"/>
          <w:sz w:val="20"/>
          <w:szCs w:val="20"/>
        </w:rPr>
        <w:t xml:space="preserve"> элементов Объекта </w:t>
      </w:r>
      <w:r w:rsidRPr="00A636A7">
        <w:rPr>
          <w:rFonts w:ascii="Bookman Old Style" w:hAnsi="Bookman Old Style"/>
          <w:color w:val="000000"/>
          <w:sz w:val="20"/>
          <w:szCs w:val="20"/>
        </w:rPr>
        <w:t xml:space="preserve">оценки, представленные в </w:t>
      </w:r>
      <w:r>
        <w:rPr>
          <w:rFonts w:ascii="Bookman Old Style" w:hAnsi="Bookman Old Style"/>
          <w:color w:val="000000"/>
          <w:sz w:val="20"/>
          <w:szCs w:val="20"/>
        </w:rPr>
        <w:t xml:space="preserve">договоре купли-продажи между ООО «Окно» и ООО «ТСК «ОРП Сервис», </w:t>
      </w:r>
      <w:r w:rsidRPr="00A636A7">
        <w:rPr>
          <w:rFonts w:ascii="Bookman Old Style" w:hAnsi="Bookman Old Style"/>
          <w:color w:val="000000"/>
          <w:sz w:val="20"/>
          <w:szCs w:val="20"/>
        </w:rPr>
        <w:t>поставляющей</w:t>
      </w:r>
      <w:r>
        <w:rPr>
          <w:rFonts w:ascii="Bookman Old Style" w:hAnsi="Bookman Old Style"/>
          <w:color w:val="000000"/>
          <w:sz w:val="20"/>
          <w:szCs w:val="20"/>
        </w:rPr>
        <w:t xml:space="preserve"> оборудования производства страны Турция</w:t>
      </w:r>
      <w:r w:rsidRPr="00A636A7">
        <w:rPr>
          <w:rFonts w:ascii="Bookman Old Style" w:hAnsi="Bookman Old Style"/>
          <w:color w:val="000000"/>
          <w:sz w:val="20"/>
          <w:szCs w:val="20"/>
          <w:vertAlign w:val="superscript"/>
        </w:rPr>
        <w:footnoteReference w:id="68"/>
      </w:r>
      <w:r>
        <w:rPr>
          <w:rFonts w:ascii="Bookman Old Style" w:hAnsi="Bookman Old Style"/>
          <w:color w:val="000000"/>
          <w:sz w:val="20"/>
          <w:szCs w:val="20"/>
        </w:rPr>
        <w:t>.</w:t>
      </w:r>
    </w:p>
    <w:p w:rsidR="006568BA" w:rsidRDefault="006568BA" w:rsidP="006568BA">
      <w:pPr>
        <w:jc w:val="right"/>
        <w:rPr>
          <w:rFonts w:ascii="Bookman Old Style" w:hAnsi="Bookman Old Style"/>
          <w:b/>
          <w:sz w:val="20"/>
          <w:szCs w:val="20"/>
        </w:rPr>
      </w:pPr>
      <w:r w:rsidRPr="000E51C8">
        <w:rPr>
          <w:rFonts w:ascii="Bookman Old Style" w:hAnsi="Bookman Old Style"/>
          <w:b/>
          <w:sz w:val="20"/>
          <w:szCs w:val="20"/>
        </w:rPr>
        <w:t xml:space="preserve">Таблица </w:t>
      </w:r>
      <w:r w:rsidRPr="004105D8">
        <w:rPr>
          <w:rFonts w:ascii="Bookman Old Style" w:hAnsi="Bookman Old Style"/>
          <w:b/>
          <w:sz w:val="20"/>
          <w:szCs w:val="20"/>
        </w:rPr>
        <w:t>5.</w:t>
      </w:r>
      <w:r>
        <w:rPr>
          <w:rFonts w:ascii="Bookman Old Style" w:hAnsi="Bookman Old Style"/>
          <w:b/>
          <w:sz w:val="20"/>
          <w:szCs w:val="20"/>
        </w:rPr>
        <w:t>6</w:t>
      </w:r>
      <w:r w:rsidRPr="004105D8">
        <w:rPr>
          <w:rFonts w:ascii="Bookman Old Style" w:hAnsi="Bookman Old Style"/>
          <w:b/>
          <w:sz w:val="20"/>
          <w:szCs w:val="20"/>
        </w:rPr>
        <w:t>.1.1.1. Стоимость затрат на воспроизводство/замещение объектов аналогов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7"/>
        <w:gridCol w:w="2702"/>
        <w:gridCol w:w="2772"/>
        <w:gridCol w:w="786"/>
        <w:gridCol w:w="1105"/>
        <w:gridCol w:w="1309"/>
        <w:gridCol w:w="1240"/>
      </w:tblGrid>
      <w:tr w:rsidR="006568BA" w:rsidRPr="006568BA" w:rsidTr="006568BA">
        <w:trPr>
          <w:cantSplit/>
          <w:trHeight w:val="170"/>
        </w:trPr>
        <w:tc>
          <w:tcPr>
            <w:tcW w:w="243" w:type="pct"/>
            <w:shd w:val="clear" w:color="000000" w:fill="F2F2F2"/>
            <w:vAlign w:val="center"/>
            <w:hideMark/>
          </w:tcPr>
          <w:p w:rsidR="006568BA" w:rsidRPr="006568BA" w:rsidRDefault="006568BA" w:rsidP="006568BA">
            <w:pPr>
              <w:jc w:val="center"/>
              <w:rPr>
                <w:rFonts w:ascii="Cambria" w:hAnsi="Cambria"/>
                <w:b/>
                <w:bCs/>
                <w:sz w:val="16"/>
                <w:szCs w:val="16"/>
              </w:rPr>
            </w:pPr>
            <w:r w:rsidRPr="006568BA">
              <w:rPr>
                <w:rFonts w:ascii="Cambria" w:hAnsi="Cambria"/>
                <w:b/>
                <w:bCs/>
                <w:sz w:val="16"/>
                <w:szCs w:val="16"/>
              </w:rPr>
              <w:t>№ п.п.</w:t>
            </w:r>
          </w:p>
        </w:tc>
        <w:tc>
          <w:tcPr>
            <w:tcW w:w="1296" w:type="pct"/>
            <w:shd w:val="clear" w:color="000000" w:fill="F2F2F2"/>
            <w:vAlign w:val="center"/>
            <w:hideMark/>
          </w:tcPr>
          <w:p w:rsidR="006568BA" w:rsidRPr="006568BA" w:rsidRDefault="006568BA" w:rsidP="006568BA">
            <w:pPr>
              <w:jc w:val="center"/>
              <w:rPr>
                <w:rFonts w:ascii="Cambria" w:hAnsi="Cambria"/>
                <w:b/>
                <w:bCs/>
                <w:sz w:val="16"/>
                <w:szCs w:val="16"/>
              </w:rPr>
            </w:pPr>
            <w:r w:rsidRPr="006568BA">
              <w:rPr>
                <w:rFonts w:ascii="Cambria" w:hAnsi="Cambria"/>
                <w:b/>
                <w:bCs/>
                <w:sz w:val="16"/>
                <w:szCs w:val="16"/>
              </w:rPr>
              <w:t>Наименование элемента Объекта оценки</w:t>
            </w:r>
          </w:p>
        </w:tc>
        <w:tc>
          <w:tcPr>
            <w:tcW w:w="1330" w:type="pct"/>
            <w:shd w:val="clear" w:color="000000" w:fill="F2F2F2"/>
            <w:vAlign w:val="center"/>
            <w:hideMark/>
          </w:tcPr>
          <w:p w:rsidR="006568BA" w:rsidRPr="006568BA" w:rsidRDefault="006568BA" w:rsidP="006568BA">
            <w:pPr>
              <w:jc w:val="center"/>
              <w:rPr>
                <w:rFonts w:ascii="Cambria" w:hAnsi="Cambria"/>
                <w:b/>
                <w:bCs/>
                <w:sz w:val="16"/>
                <w:szCs w:val="16"/>
              </w:rPr>
            </w:pPr>
            <w:r w:rsidRPr="006568BA">
              <w:rPr>
                <w:rFonts w:ascii="Cambria" w:hAnsi="Cambria"/>
                <w:b/>
                <w:bCs/>
                <w:sz w:val="16"/>
                <w:szCs w:val="16"/>
              </w:rPr>
              <w:t>Наименование аналога</w:t>
            </w:r>
          </w:p>
        </w:tc>
        <w:tc>
          <w:tcPr>
            <w:tcW w:w="377" w:type="pct"/>
            <w:shd w:val="clear" w:color="000000" w:fill="F2F2F2"/>
            <w:vAlign w:val="center"/>
            <w:hideMark/>
          </w:tcPr>
          <w:p w:rsidR="006568BA" w:rsidRPr="006568BA" w:rsidRDefault="006568BA" w:rsidP="006568BA">
            <w:pPr>
              <w:jc w:val="center"/>
              <w:rPr>
                <w:rFonts w:ascii="Cambria" w:hAnsi="Cambria"/>
                <w:b/>
                <w:bCs/>
                <w:sz w:val="16"/>
                <w:szCs w:val="16"/>
              </w:rPr>
            </w:pPr>
            <w:r w:rsidRPr="006568BA">
              <w:rPr>
                <w:rFonts w:ascii="Cambria" w:hAnsi="Cambria"/>
                <w:b/>
                <w:bCs/>
                <w:sz w:val="16"/>
                <w:szCs w:val="16"/>
              </w:rPr>
              <w:t>Кол-во, шт</w:t>
            </w:r>
          </w:p>
        </w:tc>
        <w:tc>
          <w:tcPr>
            <w:tcW w:w="530" w:type="pct"/>
            <w:shd w:val="clear" w:color="000000" w:fill="F2F2F2"/>
            <w:vAlign w:val="center"/>
            <w:hideMark/>
          </w:tcPr>
          <w:p w:rsidR="006568BA" w:rsidRPr="006568BA" w:rsidRDefault="006568BA" w:rsidP="006568BA">
            <w:pPr>
              <w:jc w:val="center"/>
              <w:rPr>
                <w:rFonts w:ascii="Cambria" w:hAnsi="Cambria"/>
                <w:b/>
                <w:bCs/>
                <w:sz w:val="16"/>
                <w:szCs w:val="16"/>
              </w:rPr>
            </w:pPr>
            <w:r w:rsidRPr="006568BA">
              <w:rPr>
                <w:rFonts w:ascii="Cambria" w:hAnsi="Cambria"/>
                <w:b/>
                <w:bCs/>
                <w:sz w:val="16"/>
                <w:szCs w:val="16"/>
              </w:rPr>
              <w:t>Стоимость аналога, долл. (euro)</w:t>
            </w:r>
          </w:p>
        </w:tc>
        <w:tc>
          <w:tcPr>
            <w:tcW w:w="628" w:type="pct"/>
            <w:shd w:val="clear" w:color="000000" w:fill="F2F2F2"/>
            <w:vAlign w:val="center"/>
            <w:hideMark/>
          </w:tcPr>
          <w:p w:rsidR="006568BA" w:rsidRPr="006568BA" w:rsidRDefault="006568BA" w:rsidP="006568BA">
            <w:pPr>
              <w:jc w:val="center"/>
              <w:rPr>
                <w:rFonts w:ascii="Cambria" w:hAnsi="Cambria"/>
                <w:b/>
                <w:bCs/>
                <w:sz w:val="16"/>
                <w:szCs w:val="16"/>
              </w:rPr>
            </w:pPr>
            <w:r w:rsidRPr="006568BA">
              <w:rPr>
                <w:rFonts w:ascii="Cambria" w:hAnsi="Cambria"/>
                <w:b/>
                <w:bCs/>
                <w:sz w:val="16"/>
                <w:szCs w:val="16"/>
              </w:rPr>
              <w:t>Курс доллара на дату оценки., руб.</w:t>
            </w:r>
          </w:p>
        </w:tc>
        <w:tc>
          <w:tcPr>
            <w:tcW w:w="595" w:type="pct"/>
            <w:shd w:val="clear" w:color="000000" w:fill="F2F2F2"/>
            <w:vAlign w:val="center"/>
            <w:hideMark/>
          </w:tcPr>
          <w:p w:rsidR="006568BA" w:rsidRPr="006568BA" w:rsidRDefault="006568BA" w:rsidP="006568BA">
            <w:pPr>
              <w:jc w:val="center"/>
              <w:rPr>
                <w:rFonts w:ascii="Cambria" w:hAnsi="Cambria"/>
                <w:b/>
                <w:bCs/>
                <w:sz w:val="16"/>
                <w:szCs w:val="16"/>
              </w:rPr>
            </w:pPr>
            <w:r w:rsidRPr="006568BA">
              <w:rPr>
                <w:rFonts w:ascii="Cambria" w:hAnsi="Cambria"/>
                <w:b/>
                <w:bCs/>
                <w:sz w:val="16"/>
                <w:szCs w:val="16"/>
              </w:rPr>
              <w:t>Стоимость аналога, руб./шт.</w:t>
            </w:r>
          </w:p>
        </w:tc>
      </w:tr>
      <w:tr w:rsidR="006568BA" w:rsidRPr="006568BA" w:rsidTr="006568BA">
        <w:trPr>
          <w:cantSplit/>
          <w:trHeight w:val="170"/>
        </w:trPr>
        <w:tc>
          <w:tcPr>
            <w:tcW w:w="243" w:type="pct"/>
            <w:shd w:val="clear" w:color="auto" w:fill="auto"/>
            <w:noWrap/>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1</w:t>
            </w:r>
          </w:p>
        </w:tc>
        <w:tc>
          <w:tcPr>
            <w:tcW w:w="1296" w:type="pct"/>
            <w:shd w:val="clear" w:color="auto" w:fill="auto"/>
            <w:vAlign w:val="center"/>
            <w:hideMark/>
          </w:tcPr>
          <w:p w:rsidR="006568BA" w:rsidRPr="006568BA" w:rsidRDefault="006568BA" w:rsidP="006568BA">
            <w:pPr>
              <w:rPr>
                <w:rFonts w:ascii="Cambria" w:hAnsi="Cambria"/>
                <w:sz w:val="16"/>
                <w:szCs w:val="16"/>
              </w:rPr>
            </w:pPr>
            <w:r w:rsidRPr="006568BA">
              <w:rPr>
                <w:rFonts w:ascii="Cambria" w:hAnsi="Cambria"/>
                <w:sz w:val="16"/>
                <w:szCs w:val="16"/>
              </w:rPr>
              <w:t>Центр обработки и нарезания ПВХ профилей  KABAN Makina FA 1030</w:t>
            </w:r>
          </w:p>
        </w:tc>
        <w:tc>
          <w:tcPr>
            <w:tcW w:w="1330" w:type="pct"/>
            <w:shd w:val="clear" w:color="auto" w:fill="auto"/>
            <w:vAlign w:val="center"/>
            <w:hideMark/>
          </w:tcPr>
          <w:p w:rsidR="006568BA" w:rsidRPr="006568BA" w:rsidRDefault="006568BA" w:rsidP="006568BA">
            <w:pPr>
              <w:rPr>
                <w:rFonts w:ascii="Cambria" w:hAnsi="Cambria"/>
                <w:sz w:val="16"/>
                <w:szCs w:val="16"/>
              </w:rPr>
            </w:pPr>
            <w:r w:rsidRPr="006568BA">
              <w:rPr>
                <w:rFonts w:ascii="Cambria" w:hAnsi="Cambria"/>
                <w:sz w:val="16"/>
                <w:szCs w:val="16"/>
              </w:rPr>
              <w:t>Центр обработки и нарезания ПВХ профилей  KABAN Makina FA 1031</w:t>
            </w:r>
          </w:p>
        </w:tc>
        <w:tc>
          <w:tcPr>
            <w:tcW w:w="377" w:type="pct"/>
            <w:shd w:val="clear" w:color="auto" w:fill="auto"/>
            <w:noWrap/>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1</w:t>
            </w:r>
          </w:p>
        </w:tc>
        <w:tc>
          <w:tcPr>
            <w:tcW w:w="530" w:type="pct"/>
            <w:shd w:val="clear" w:color="auto" w:fill="auto"/>
            <w:noWrap/>
            <w:vAlign w:val="center"/>
            <w:hideMark/>
          </w:tcPr>
          <w:p w:rsidR="006568BA" w:rsidRPr="006568BA" w:rsidRDefault="006568BA" w:rsidP="006568BA">
            <w:pPr>
              <w:jc w:val="right"/>
              <w:rPr>
                <w:rFonts w:ascii="Cambria" w:hAnsi="Cambria"/>
                <w:color w:val="000000"/>
                <w:sz w:val="16"/>
                <w:szCs w:val="16"/>
              </w:rPr>
            </w:pPr>
            <w:r w:rsidRPr="006568BA">
              <w:rPr>
                <w:rFonts w:ascii="Cambria" w:hAnsi="Cambria"/>
                <w:color w:val="000000"/>
                <w:sz w:val="16"/>
                <w:szCs w:val="16"/>
              </w:rPr>
              <w:t>292 500</w:t>
            </w:r>
          </w:p>
        </w:tc>
        <w:tc>
          <w:tcPr>
            <w:tcW w:w="628" w:type="pct"/>
            <w:shd w:val="clear" w:color="auto" w:fill="auto"/>
            <w:noWrap/>
            <w:vAlign w:val="center"/>
            <w:hideMark/>
          </w:tcPr>
          <w:p w:rsidR="006568BA" w:rsidRPr="006568BA" w:rsidRDefault="006568BA" w:rsidP="006568BA">
            <w:pPr>
              <w:jc w:val="right"/>
              <w:rPr>
                <w:rFonts w:ascii="Cambria" w:hAnsi="Cambria"/>
                <w:sz w:val="16"/>
                <w:szCs w:val="16"/>
              </w:rPr>
            </w:pPr>
            <w:r w:rsidRPr="006568BA">
              <w:rPr>
                <w:rFonts w:ascii="Cambria" w:hAnsi="Cambria"/>
                <w:sz w:val="16"/>
                <w:szCs w:val="16"/>
              </w:rPr>
              <w:t>73,2135</w:t>
            </w:r>
          </w:p>
        </w:tc>
        <w:tc>
          <w:tcPr>
            <w:tcW w:w="595" w:type="pct"/>
            <w:shd w:val="clear" w:color="auto" w:fill="auto"/>
            <w:noWrap/>
            <w:vAlign w:val="center"/>
            <w:hideMark/>
          </w:tcPr>
          <w:p w:rsidR="006568BA" w:rsidRDefault="006568BA">
            <w:pPr>
              <w:jc w:val="right"/>
              <w:rPr>
                <w:rFonts w:ascii="Cambria" w:hAnsi="Cambria"/>
                <w:color w:val="000000"/>
                <w:sz w:val="16"/>
                <w:szCs w:val="16"/>
              </w:rPr>
            </w:pPr>
            <w:r>
              <w:rPr>
                <w:rFonts w:ascii="Cambria" w:hAnsi="Cambria"/>
                <w:color w:val="000000"/>
                <w:sz w:val="16"/>
                <w:szCs w:val="16"/>
              </w:rPr>
              <w:t>21 414 949</w:t>
            </w:r>
          </w:p>
        </w:tc>
      </w:tr>
      <w:tr w:rsidR="006568BA" w:rsidRPr="006568BA" w:rsidTr="006568BA">
        <w:trPr>
          <w:cantSplit/>
          <w:trHeight w:val="170"/>
        </w:trPr>
        <w:tc>
          <w:tcPr>
            <w:tcW w:w="243" w:type="pct"/>
            <w:shd w:val="clear" w:color="auto" w:fill="auto"/>
            <w:noWrap/>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2</w:t>
            </w:r>
          </w:p>
        </w:tc>
        <w:tc>
          <w:tcPr>
            <w:tcW w:w="1296" w:type="pct"/>
            <w:shd w:val="clear" w:color="auto" w:fill="auto"/>
            <w:vAlign w:val="center"/>
            <w:hideMark/>
          </w:tcPr>
          <w:p w:rsidR="006568BA" w:rsidRPr="006568BA" w:rsidRDefault="006568BA" w:rsidP="006568BA">
            <w:pPr>
              <w:rPr>
                <w:rFonts w:ascii="Cambria" w:hAnsi="Cambria"/>
                <w:sz w:val="16"/>
                <w:szCs w:val="16"/>
              </w:rPr>
            </w:pPr>
            <w:r w:rsidRPr="006568BA">
              <w:rPr>
                <w:rFonts w:ascii="Cambria" w:hAnsi="Cambria"/>
                <w:sz w:val="16"/>
                <w:szCs w:val="16"/>
              </w:rPr>
              <w:t>Станок для рубки армирования  KABAN Makina КС1010</w:t>
            </w:r>
          </w:p>
        </w:tc>
        <w:tc>
          <w:tcPr>
            <w:tcW w:w="1330" w:type="pct"/>
            <w:shd w:val="clear" w:color="auto" w:fill="auto"/>
            <w:vAlign w:val="center"/>
            <w:hideMark/>
          </w:tcPr>
          <w:p w:rsidR="006568BA" w:rsidRPr="006568BA" w:rsidRDefault="006568BA" w:rsidP="006568BA">
            <w:pPr>
              <w:rPr>
                <w:rFonts w:ascii="Cambria" w:hAnsi="Cambria"/>
                <w:sz w:val="16"/>
                <w:szCs w:val="16"/>
              </w:rPr>
            </w:pPr>
            <w:r w:rsidRPr="006568BA">
              <w:rPr>
                <w:rFonts w:ascii="Cambria" w:hAnsi="Cambria"/>
                <w:sz w:val="16"/>
                <w:szCs w:val="16"/>
              </w:rPr>
              <w:t>Станок для рубки армирования  KABAN Makina КС1011</w:t>
            </w:r>
          </w:p>
        </w:tc>
        <w:tc>
          <w:tcPr>
            <w:tcW w:w="377" w:type="pct"/>
            <w:shd w:val="clear" w:color="auto" w:fill="auto"/>
            <w:noWrap/>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1</w:t>
            </w:r>
          </w:p>
        </w:tc>
        <w:tc>
          <w:tcPr>
            <w:tcW w:w="530" w:type="pct"/>
            <w:shd w:val="clear" w:color="auto" w:fill="auto"/>
            <w:noWrap/>
            <w:vAlign w:val="center"/>
            <w:hideMark/>
          </w:tcPr>
          <w:p w:rsidR="006568BA" w:rsidRPr="006568BA" w:rsidRDefault="006568BA" w:rsidP="006568BA">
            <w:pPr>
              <w:jc w:val="right"/>
              <w:rPr>
                <w:rFonts w:ascii="Cambria" w:hAnsi="Cambria"/>
                <w:color w:val="000000"/>
                <w:sz w:val="16"/>
                <w:szCs w:val="16"/>
              </w:rPr>
            </w:pPr>
            <w:r w:rsidRPr="006568BA">
              <w:rPr>
                <w:rFonts w:ascii="Cambria" w:hAnsi="Cambria"/>
                <w:color w:val="000000"/>
                <w:sz w:val="16"/>
                <w:szCs w:val="16"/>
              </w:rPr>
              <w:t>10563</w:t>
            </w:r>
          </w:p>
        </w:tc>
        <w:tc>
          <w:tcPr>
            <w:tcW w:w="628" w:type="pct"/>
            <w:shd w:val="clear" w:color="auto" w:fill="auto"/>
            <w:noWrap/>
            <w:vAlign w:val="center"/>
            <w:hideMark/>
          </w:tcPr>
          <w:p w:rsidR="006568BA" w:rsidRPr="006568BA" w:rsidRDefault="006568BA" w:rsidP="006568BA">
            <w:pPr>
              <w:jc w:val="right"/>
              <w:rPr>
                <w:rFonts w:ascii="Cambria" w:hAnsi="Cambria"/>
                <w:sz w:val="16"/>
                <w:szCs w:val="16"/>
              </w:rPr>
            </w:pPr>
            <w:r w:rsidRPr="006568BA">
              <w:rPr>
                <w:rFonts w:ascii="Cambria" w:hAnsi="Cambria"/>
                <w:sz w:val="16"/>
                <w:szCs w:val="16"/>
              </w:rPr>
              <w:t>73,2135</w:t>
            </w:r>
          </w:p>
        </w:tc>
        <w:tc>
          <w:tcPr>
            <w:tcW w:w="595" w:type="pct"/>
            <w:shd w:val="clear" w:color="auto" w:fill="auto"/>
            <w:noWrap/>
            <w:vAlign w:val="center"/>
            <w:hideMark/>
          </w:tcPr>
          <w:p w:rsidR="006568BA" w:rsidRDefault="006568BA">
            <w:pPr>
              <w:jc w:val="right"/>
              <w:rPr>
                <w:rFonts w:ascii="Cambria" w:hAnsi="Cambria"/>
                <w:color w:val="000000"/>
                <w:sz w:val="16"/>
                <w:szCs w:val="16"/>
              </w:rPr>
            </w:pPr>
            <w:r>
              <w:rPr>
                <w:rFonts w:ascii="Cambria" w:hAnsi="Cambria"/>
                <w:color w:val="000000"/>
                <w:sz w:val="16"/>
                <w:szCs w:val="16"/>
              </w:rPr>
              <w:t>773 354</w:t>
            </w:r>
          </w:p>
        </w:tc>
      </w:tr>
      <w:tr w:rsidR="006568BA" w:rsidRPr="006568BA" w:rsidTr="006568BA">
        <w:trPr>
          <w:cantSplit/>
          <w:trHeight w:val="170"/>
        </w:trPr>
        <w:tc>
          <w:tcPr>
            <w:tcW w:w="243" w:type="pct"/>
            <w:shd w:val="clear" w:color="auto" w:fill="auto"/>
            <w:noWrap/>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3</w:t>
            </w:r>
          </w:p>
        </w:tc>
        <w:tc>
          <w:tcPr>
            <w:tcW w:w="1296" w:type="pct"/>
            <w:shd w:val="clear" w:color="auto" w:fill="auto"/>
            <w:vAlign w:val="center"/>
            <w:hideMark/>
          </w:tcPr>
          <w:p w:rsidR="006568BA" w:rsidRPr="006568BA" w:rsidRDefault="006568BA" w:rsidP="006568BA">
            <w:pPr>
              <w:rPr>
                <w:rFonts w:ascii="Cambria" w:hAnsi="Cambria"/>
                <w:sz w:val="16"/>
                <w:szCs w:val="16"/>
              </w:rPr>
            </w:pPr>
            <w:r w:rsidRPr="006568BA">
              <w:rPr>
                <w:rFonts w:ascii="Cambria" w:hAnsi="Cambria"/>
                <w:sz w:val="16"/>
                <w:szCs w:val="16"/>
              </w:rPr>
              <w:t>Цифровая система измерения  KABAN Makina DS500</w:t>
            </w:r>
          </w:p>
        </w:tc>
        <w:tc>
          <w:tcPr>
            <w:tcW w:w="1330" w:type="pct"/>
            <w:shd w:val="clear" w:color="auto" w:fill="auto"/>
            <w:vAlign w:val="center"/>
            <w:hideMark/>
          </w:tcPr>
          <w:p w:rsidR="006568BA" w:rsidRPr="006568BA" w:rsidRDefault="006568BA" w:rsidP="006568BA">
            <w:pPr>
              <w:rPr>
                <w:rFonts w:ascii="Cambria" w:hAnsi="Cambria"/>
                <w:sz w:val="16"/>
                <w:szCs w:val="16"/>
              </w:rPr>
            </w:pPr>
            <w:r w:rsidRPr="006568BA">
              <w:rPr>
                <w:rFonts w:ascii="Cambria" w:hAnsi="Cambria"/>
                <w:sz w:val="16"/>
                <w:szCs w:val="16"/>
              </w:rPr>
              <w:t>Цифровая система измерения  KABAN Makina DS501</w:t>
            </w:r>
          </w:p>
        </w:tc>
        <w:tc>
          <w:tcPr>
            <w:tcW w:w="377" w:type="pct"/>
            <w:shd w:val="clear" w:color="auto" w:fill="auto"/>
            <w:noWrap/>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1</w:t>
            </w:r>
          </w:p>
        </w:tc>
        <w:tc>
          <w:tcPr>
            <w:tcW w:w="530" w:type="pct"/>
            <w:shd w:val="clear" w:color="auto" w:fill="auto"/>
            <w:noWrap/>
            <w:vAlign w:val="center"/>
            <w:hideMark/>
          </w:tcPr>
          <w:p w:rsidR="006568BA" w:rsidRPr="006568BA" w:rsidRDefault="006568BA" w:rsidP="006568BA">
            <w:pPr>
              <w:jc w:val="right"/>
              <w:rPr>
                <w:rFonts w:ascii="Cambria" w:hAnsi="Cambria"/>
                <w:color w:val="000000"/>
                <w:sz w:val="16"/>
                <w:szCs w:val="16"/>
              </w:rPr>
            </w:pPr>
            <w:r w:rsidRPr="006568BA">
              <w:rPr>
                <w:rFonts w:ascii="Cambria" w:hAnsi="Cambria"/>
                <w:color w:val="000000"/>
                <w:sz w:val="16"/>
                <w:szCs w:val="16"/>
              </w:rPr>
              <w:t>6500</w:t>
            </w:r>
          </w:p>
        </w:tc>
        <w:tc>
          <w:tcPr>
            <w:tcW w:w="628" w:type="pct"/>
            <w:shd w:val="clear" w:color="auto" w:fill="auto"/>
            <w:noWrap/>
            <w:vAlign w:val="center"/>
            <w:hideMark/>
          </w:tcPr>
          <w:p w:rsidR="006568BA" w:rsidRPr="006568BA" w:rsidRDefault="006568BA" w:rsidP="006568BA">
            <w:pPr>
              <w:jc w:val="right"/>
              <w:rPr>
                <w:rFonts w:ascii="Cambria" w:hAnsi="Cambria"/>
                <w:sz w:val="16"/>
                <w:szCs w:val="16"/>
              </w:rPr>
            </w:pPr>
            <w:r w:rsidRPr="006568BA">
              <w:rPr>
                <w:rFonts w:ascii="Cambria" w:hAnsi="Cambria"/>
                <w:sz w:val="16"/>
                <w:szCs w:val="16"/>
              </w:rPr>
              <w:t>73,2135</w:t>
            </w:r>
          </w:p>
        </w:tc>
        <w:tc>
          <w:tcPr>
            <w:tcW w:w="595" w:type="pct"/>
            <w:shd w:val="clear" w:color="auto" w:fill="auto"/>
            <w:noWrap/>
            <w:vAlign w:val="center"/>
            <w:hideMark/>
          </w:tcPr>
          <w:p w:rsidR="006568BA" w:rsidRDefault="006568BA">
            <w:pPr>
              <w:jc w:val="right"/>
              <w:rPr>
                <w:rFonts w:ascii="Cambria" w:hAnsi="Cambria"/>
                <w:color w:val="000000"/>
                <w:sz w:val="16"/>
                <w:szCs w:val="16"/>
              </w:rPr>
            </w:pPr>
            <w:r>
              <w:rPr>
                <w:rFonts w:ascii="Cambria" w:hAnsi="Cambria"/>
                <w:color w:val="000000"/>
                <w:sz w:val="16"/>
                <w:szCs w:val="16"/>
              </w:rPr>
              <w:t>475 888</w:t>
            </w:r>
          </w:p>
        </w:tc>
      </w:tr>
      <w:tr w:rsidR="006568BA" w:rsidRPr="006568BA" w:rsidTr="006568BA">
        <w:trPr>
          <w:cantSplit/>
          <w:trHeight w:val="170"/>
        </w:trPr>
        <w:tc>
          <w:tcPr>
            <w:tcW w:w="243" w:type="pct"/>
            <w:shd w:val="clear" w:color="auto" w:fill="auto"/>
            <w:noWrap/>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lastRenderedPageBreak/>
              <w:t>4</w:t>
            </w:r>
          </w:p>
        </w:tc>
        <w:tc>
          <w:tcPr>
            <w:tcW w:w="1296" w:type="pct"/>
            <w:shd w:val="clear" w:color="auto" w:fill="auto"/>
            <w:vAlign w:val="center"/>
            <w:hideMark/>
          </w:tcPr>
          <w:p w:rsidR="006568BA" w:rsidRPr="006568BA" w:rsidRDefault="006568BA" w:rsidP="006568BA">
            <w:pPr>
              <w:rPr>
                <w:rFonts w:ascii="Cambria" w:hAnsi="Cambria"/>
                <w:sz w:val="16"/>
                <w:szCs w:val="16"/>
              </w:rPr>
            </w:pPr>
            <w:r w:rsidRPr="006568BA">
              <w:rPr>
                <w:rFonts w:ascii="Cambria" w:hAnsi="Cambria"/>
                <w:sz w:val="16"/>
                <w:szCs w:val="16"/>
              </w:rPr>
              <w:t>Цифровой измерительный компас KABAN Makina DК 100</w:t>
            </w:r>
          </w:p>
        </w:tc>
        <w:tc>
          <w:tcPr>
            <w:tcW w:w="1330" w:type="pct"/>
            <w:shd w:val="clear" w:color="auto" w:fill="auto"/>
            <w:vAlign w:val="center"/>
            <w:hideMark/>
          </w:tcPr>
          <w:p w:rsidR="006568BA" w:rsidRPr="006568BA" w:rsidRDefault="006568BA" w:rsidP="006568BA">
            <w:pPr>
              <w:rPr>
                <w:rFonts w:ascii="Cambria" w:hAnsi="Cambria"/>
                <w:sz w:val="16"/>
                <w:szCs w:val="16"/>
              </w:rPr>
            </w:pPr>
            <w:r w:rsidRPr="006568BA">
              <w:rPr>
                <w:rFonts w:ascii="Cambria" w:hAnsi="Cambria"/>
                <w:sz w:val="16"/>
                <w:szCs w:val="16"/>
              </w:rPr>
              <w:t>Цифровой измерительный компас KABAN Makina DК 101</w:t>
            </w:r>
          </w:p>
        </w:tc>
        <w:tc>
          <w:tcPr>
            <w:tcW w:w="377" w:type="pct"/>
            <w:shd w:val="clear" w:color="auto" w:fill="auto"/>
            <w:noWrap/>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1</w:t>
            </w:r>
          </w:p>
        </w:tc>
        <w:tc>
          <w:tcPr>
            <w:tcW w:w="530" w:type="pct"/>
            <w:shd w:val="clear" w:color="auto" w:fill="auto"/>
            <w:noWrap/>
            <w:vAlign w:val="center"/>
            <w:hideMark/>
          </w:tcPr>
          <w:p w:rsidR="006568BA" w:rsidRPr="006568BA" w:rsidRDefault="006568BA" w:rsidP="006568BA">
            <w:pPr>
              <w:jc w:val="right"/>
              <w:rPr>
                <w:rFonts w:ascii="Cambria" w:hAnsi="Cambria"/>
                <w:color w:val="000000"/>
                <w:sz w:val="16"/>
                <w:szCs w:val="16"/>
              </w:rPr>
            </w:pPr>
            <w:r w:rsidRPr="006568BA">
              <w:rPr>
                <w:rFonts w:ascii="Cambria" w:hAnsi="Cambria"/>
                <w:color w:val="000000"/>
                <w:sz w:val="16"/>
                <w:szCs w:val="16"/>
              </w:rPr>
              <w:t>2275</w:t>
            </w:r>
          </w:p>
        </w:tc>
        <w:tc>
          <w:tcPr>
            <w:tcW w:w="628" w:type="pct"/>
            <w:shd w:val="clear" w:color="auto" w:fill="auto"/>
            <w:noWrap/>
            <w:vAlign w:val="center"/>
            <w:hideMark/>
          </w:tcPr>
          <w:p w:rsidR="006568BA" w:rsidRPr="006568BA" w:rsidRDefault="006568BA" w:rsidP="006568BA">
            <w:pPr>
              <w:jc w:val="right"/>
              <w:rPr>
                <w:rFonts w:ascii="Cambria" w:hAnsi="Cambria"/>
                <w:sz w:val="16"/>
                <w:szCs w:val="16"/>
              </w:rPr>
            </w:pPr>
            <w:r w:rsidRPr="006568BA">
              <w:rPr>
                <w:rFonts w:ascii="Cambria" w:hAnsi="Cambria"/>
                <w:sz w:val="16"/>
                <w:szCs w:val="16"/>
              </w:rPr>
              <w:t>73,2135</w:t>
            </w:r>
          </w:p>
        </w:tc>
        <w:tc>
          <w:tcPr>
            <w:tcW w:w="595" w:type="pct"/>
            <w:shd w:val="clear" w:color="auto" w:fill="auto"/>
            <w:noWrap/>
            <w:vAlign w:val="center"/>
            <w:hideMark/>
          </w:tcPr>
          <w:p w:rsidR="006568BA" w:rsidRDefault="006568BA">
            <w:pPr>
              <w:jc w:val="right"/>
              <w:rPr>
                <w:rFonts w:ascii="Cambria" w:hAnsi="Cambria"/>
                <w:color w:val="000000"/>
                <w:sz w:val="16"/>
                <w:szCs w:val="16"/>
              </w:rPr>
            </w:pPr>
            <w:r>
              <w:rPr>
                <w:rFonts w:ascii="Cambria" w:hAnsi="Cambria"/>
                <w:color w:val="000000"/>
                <w:sz w:val="16"/>
                <w:szCs w:val="16"/>
              </w:rPr>
              <w:t>166 561</w:t>
            </w:r>
          </w:p>
        </w:tc>
      </w:tr>
      <w:tr w:rsidR="006568BA" w:rsidRPr="006568BA" w:rsidTr="006568BA">
        <w:trPr>
          <w:cantSplit/>
          <w:trHeight w:val="170"/>
        </w:trPr>
        <w:tc>
          <w:tcPr>
            <w:tcW w:w="243" w:type="pct"/>
            <w:shd w:val="clear" w:color="auto" w:fill="auto"/>
            <w:noWrap/>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5</w:t>
            </w:r>
          </w:p>
        </w:tc>
        <w:tc>
          <w:tcPr>
            <w:tcW w:w="1296" w:type="pct"/>
            <w:shd w:val="clear" w:color="auto" w:fill="auto"/>
            <w:vAlign w:val="center"/>
            <w:hideMark/>
          </w:tcPr>
          <w:p w:rsidR="006568BA" w:rsidRPr="006568BA" w:rsidRDefault="006568BA" w:rsidP="006568BA">
            <w:pPr>
              <w:rPr>
                <w:rFonts w:ascii="Cambria" w:hAnsi="Cambria"/>
                <w:sz w:val="16"/>
                <w:szCs w:val="16"/>
              </w:rPr>
            </w:pPr>
            <w:r w:rsidRPr="006568BA">
              <w:rPr>
                <w:rFonts w:ascii="Cambria" w:hAnsi="Cambria"/>
                <w:sz w:val="16"/>
                <w:szCs w:val="16"/>
              </w:rPr>
              <w:t>Станок одноголовочный сварочный   KABAN Makina ВА2030</w:t>
            </w:r>
          </w:p>
        </w:tc>
        <w:tc>
          <w:tcPr>
            <w:tcW w:w="1330" w:type="pct"/>
            <w:shd w:val="clear" w:color="auto" w:fill="auto"/>
            <w:vAlign w:val="center"/>
            <w:hideMark/>
          </w:tcPr>
          <w:p w:rsidR="006568BA" w:rsidRPr="006568BA" w:rsidRDefault="006568BA" w:rsidP="006568BA">
            <w:pPr>
              <w:rPr>
                <w:rFonts w:ascii="Cambria" w:hAnsi="Cambria"/>
                <w:sz w:val="16"/>
                <w:szCs w:val="16"/>
              </w:rPr>
            </w:pPr>
            <w:r w:rsidRPr="006568BA">
              <w:rPr>
                <w:rFonts w:ascii="Cambria" w:hAnsi="Cambria"/>
                <w:sz w:val="16"/>
                <w:szCs w:val="16"/>
              </w:rPr>
              <w:t>Станок одноголовочный сварочный   KABAN Makina ВА2031</w:t>
            </w:r>
          </w:p>
        </w:tc>
        <w:tc>
          <w:tcPr>
            <w:tcW w:w="377" w:type="pct"/>
            <w:shd w:val="clear" w:color="auto" w:fill="auto"/>
            <w:noWrap/>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1</w:t>
            </w:r>
          </w:p>
        </w:tc>
        <w:tc>
          <w:tcPr>
            <w:tcW w:w="530" w:type="pct"/>
            <w:shd w:val="clear" w:color="auto" w:fill="auto"/>
            <w:noWrap/>
            <w:vAlign w:val="center"/>
            <w:hideMark/>
          </w:tcPr>
          <w:p w:rsidR="006568BA" w:rsidRPr="006568BA" w:rsidRDefault="006568BA" w:rsidP="006568BA">
            <w:pPr>
              <w:jc w:val="right"/>
              <w:rPr>
                <w:rFonts w:ascii="Cambria" w:hAnsi="Cambria"/>
                <w:color w:val="000000"/>
                <w:sz w:val="16"/>
                <w:szCs w:val="16"/>
              </w:rPr>
            </w:pPr>
            <w:r w:rsidRPr="006568BA">
              <w:rPr>
                <w:rFonts w:ascii="Cambria" w:hAnsi="Cambria"/>
                <w:color w:val="000000"/>
                <w:sz w:val="16"/>
                <w:szCs w:val="16"/>
              </w:rPr>
              <w:t>3754</w:t>
            </w:r>
          </w:p>
        </w:tc>
        <w:tc>
          <w:tcPr>
            <w:tcW w:w="628" w:type="pct"/>
            <w:shd w:val="clear" w:color="auto" w:fill="auto"/>
            <w:noWrap/>
            <w:vAlign w:val="center"/>
            <w:hideMark/>
          </w:tcPr>
          <w:p w:rsidR="006568BA" w:rsidRPr="006568BA" w:rsidRDefault="006568BA" w:rsidP="006568BA">
            <w:pPr>
              <w:jc w:val="right"/>
              <w:rPr>
                <w:rFonts w:ascii="Cambria" w:hAnsi="Cambria"/>
                <w:sz w:val="16"/>
                <w:szCs w:val="16"/>
              </w:rPr>
            </w:pPr>
            <w:r w:rsidRPr="006568BA">
              <w:rPr>
                <w:rFonts w:ascii="Cambria" w:hAnsi="Cambria"/>
                <w:sz w:val="16"/>
                <w:szCs w:val="16"/>
              </w:rPr>
              <w:t>73,2135</w:t>
            </w:r>
          </w:p>
        </w:tc>
        <w:tc>
          <w:tcPr>
            <w:tcW w:w="595" w:type="pct"/>
            <w:shd w:val="clear" w:color="auto" w:fill="auto"/>
            <w:noWrap/>
            <w:vAlign w:val="center"/>
            <w:hideMark/>
          </w:tcPr>
          <w:p w:rsidR="006568BA" w:rsidRDefault="006568BA">
            <w:pPr>
              <w:jc w:val="right"/>
              <w:rPr>
                <w:rFonts w:ascii="Cambria" w:hAnsi="Cambria"/>
                <w:color w:val="000000"/>
                <w:sz w:val="16"/>
                <w:szCs w:val="16"/>
              </w:rPr>
            </w:pPr>
            <w:r>
              <w:rPr>
                <w:rFonts w:ascii="Cambria" w:hAnsi="Cambria"/>
                <w:color w:val="000000"/>
                <w:sz w:val="16"/>
                <w:szCs w:val="16"/>
              </w:rPr>
              <w:t>274 843</w:t>
            </w:r>
          </w:p>
        </w:tc>
      </w:tr>
      <w:tr w:rsidR="006568BA" w:rsidRPr="006568BA" w:rsidTr="006568BA">
        <w:trPr>
          <w:cantSplit/>
          <w:trHeight w:val="170"/>
        </w:trPr>
        <w:tc>
          <w:tcPr>
            <w:tcW w:w="243" w:type="pct"/>
            <w:shd w:val="clear" w:color="auto" w:fill="auto"/>
            <w:noWrap/>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6</w:t>
            </w:r>
          </w:p>
        </w:tc>
        <w:tc>
          <w:tcPr>
            <w:tcW w:w="1296" w:type="pct"/>
            <w:shd w:val="clear" w:color="auto" w:fill="auto"/>
            <w:vAlign w:val="center"/>
            <w:hideMark/>
          </w:tcPr>
          <w:p w:rsidR="006568BA" w:rsidRPr="006568BA" w:rsidRDefault="006568BA" w:rsidP="006568BA">
            <w:pPr>
              <w:rPr>
                <w:rFonts w:ascii="Cambria" w:hAnsi="Cambria"/>
                <w:sz w:val="16"/>
                <w:szCs w:val="16"/>
              </w:rPr>
            </w:pPr>
            <w:r w:rsidRPr="006568BA">
              <w:rPr>
                <w:rFonts w:ascii="Cambria" w:hAnsi="Cambria"/>
                <w:sz w:val="16"/>
                <w:szCs w:val="16"/>
              </w:rPr>
              <w:t>Автоматический копировально-фрезерный станок для фрезерования отверстий  под ручку и фурнитуру KABAN Makina DE 4060</w:t>
            </w:r>
          </w:p>
        </w:tc>
        <w:tc>
          <w:tcPr>
            <w:tcW w:w="1330" w:type="pct"/>
            <w:shd w:val="clear" w:color="auto" w:fill="auto"/>
            <w:vAlign w:val="center"/>
            <w:hideMark/>
          </w:tcPr>
          <w:p w:rsidR="006568BA" w:rsidRPr="006568BA" w:rsidRDefault="006568BA" w:rsidP="006568BA">
            <w:pPr>
              <w:rPr>
                <w:rFonts w:ascii="Cambria" w:hAnsi="Cambria"/>
                <w:sz w:val="16"/>
                <w:szCs w:val="16"/>
              </w:rPr>
            </w:pPr>
            <w:r w:rsidRPr="006568BA">
              <w:rPr>
                <w:rFonts w:ascii="Cambria" w:hAnsi="Cambria"/>
                <w:sz w:val="16"/>
                <w:szCs w:val="16"/>
              </w:rPr>
              <w:t>Автоматический копировально-фрезерный станок для фрезерования отверстий  под ручку и фурнитуру KABAN Makina DE 4061</w:t>
            </w:r>
          </w:p>
        </w:tc>
        <w:tc>
          <w:tcPr>
            <w:tcW w:w="377" w:type="pct"/>
            <w:shd w:val="clear" w:color="auto" w:fill="auto"/>
            <w:noWrap/>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1</w:t>
            </w:r>
          </w:p>
        </w:tc>
        <w:tc>
          <w:tcPr>
            <w:tcW w:w="530" w:type="pct"/>
            <w:shd w:val="clear" w:color="auto" w:fill="auto"/>
            <w:noWrap/>
            <w:vAlign w:val="center"/>
            <w:hideMark/>
          </w:tcPr>
          <w:p w:rsidR="006568BA" w:rsidRPr="006568BA" w:rsidRDefault="006568BA" w:rsidP="006568BA">
            <w:pPr>
              <w:jc w:val="right"/>
              <w:rPr>
                <w:rFonts w:ascii="Cambria" w:hAnsi="Cambria"/>
                <w:color w:val="000000"/>
                <w:sz w:val="16"/>
                <w:szCs w:val="16"/>
              </w:rPr>
            </w:pPr>
            <w:r w:rsidRPr="006568BA">
              <w:rPr>
                <w:rFonts w:ascii="Cambria" w:hAnsi="Cambria"/>
                <w:color w:val="000000"/>
                <w:sz w:val="16"/>
                <w:szCs w:val="16"/>
              </w:rPr>
              <w:t>4436</w:t>
            </w:r>
          </w:p>
        </w:tc>
        <w:tc>
          <w:tcPr>
            <w:tcW w:w="628" w:type="pct"/>
            <w:shd w:val="clear" w:color="auto" w:fill="auto"/>
            <w:noWrap/>
            <w:vAlign w:val="center"/>
            <w:hideMark/>
          </w:tcPr>
          <w:p w:rsidR="006568BA" w:rsidRPr="006568BA" w:rsidRDefault="006568BA" w:rsidP="006568BA">
            <w:pPr>
              <w:jc w:val="right"/>
              <w:rPr>
                <w:rFonts w:ascii="Cambria" w:hAnsi="Cambria"/>
                <w:sz w:val="16"/>
                <w:szCs w:val="16"/>
              </w:rPr>
            </w:pPr>
            <w:r w:rsidRPr="006568BA">
              <w:rPr>
                <w:rFonts w:ascii="Cambria" w:hAnsi="Cambria"/>
                <w:sz w:val="16"/>
                <w:szCs w:val="16"/>
              </w:rPr>
              <w:t>73,2135</w:t>
            </w:r>
          </w:p>
        </w:tc>
        <w:tc>
          <w:tcPr>
            <w:tcW w:w="595" w:type="pct"/>
            <w:shd w:val="clear" w:color="auto" w:fill="auto"/>
            <w:noWrap/>
            <w:vAlign w:val="center"/>
            <w:hideMark/>
          </w:tcPr>
          <w:p w:rsidR="006568BA" w:rsidRDefault="006568BA">
            <w:pPr>
              <w:jc w:val="right"/>
              <w:rPr>
                <w:rFonts w:ascii="Cambria" w:hAnsi="Cambria"/>
                <w:color w:val="000000"/>
                <w:sz w:val="16"/>
                <w:szCs w:val="16"/>
              </w:rPr>
            </w:pPr>
            <w:r>
              <w:rPr>
                <w:rFonts w:ascii="Cambria" w:hAnsi="Cambria"/>
                <w:color w:val="000000"/>
                <w:sz w:val="16"/>
                <w:szCs w:val="16"/>
              </w:rPr>
              <w:t>324 775</w:t>
            </w:r>
          </w:p>
        </w:tc>
      </w:tr>
      <w:tr w:rsidR="006568BA" w:rsidRPr="006568BA" w:rsidTr="006568BA">
        <w:trPr>
          <w:cantSplit/>
          <w:trHeight w:val="170"/>
        </w:trPr>
        <w:tc>
          <w:tcPr>
            <w:tcW w:w="243" w:type="pct"/>
            <w:shd w:val="clear" w:color="auto" w:fill="auto"/>
            <w:noWrap/>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7</w:t>
            </w:r>
          </w:p>
        </w:tc>
        <w:tc>
          <w:tcPr>
            <w:tcW w:w="1296" w:type="pct"/>
            <w:shd w:val="clear" w:color="auto" w:fill="auto"/>
            <w:vAlign w:val="center"/>
            <w:hideMark/>
          </w:tcPr>
          <w:p w:rsidR="006568BA" w:rsidRPr="006568BA" w:rsidRDefault="006568BA" w:rsidP="006568BA">
            <w:pPr>
              <w:rPr>
                <w:rFonts w:ascii="Cambria" w:hAnsi="Cambria"/>
                <w:sz w:val="16"/>
                <w:szCs w:val="16"/>
              </w:rPr>
            </w:pPr>
            <w:r w:rsidRPr="006568BA">
              <w:rPr>
                <w:rFonts w:ascii="Cambria" w:hAnsi="Cambria"/>
                <w:sz w:val="16"/>
                <w:szCs w:val="16"/>
              </w:rPr>
              <w:t>Механический  копировально-фрезерный  станок  KABAN Makina DF4060</w:t>
            </w:r>
          </w:p>
        </w:tc>
        <w:tc>
          <w:tcPr>
            <w:tcW w:w="1330" w:type="pct"/>
            <w:shd w:val="clear" w:color="auto" w:fill="auto"/>
            <w:vAlign w:val="center"/>
            <w:hideMark/>
          </w:tcPr>
          <w:p w:rsidR="006568BA" w:rsidRPr="006568BA" w:rsidRDefault="006568BA" w:rsidP="006568BA">
            <w:pPr>
              <w:rPr>
                <w:rFonts w:ascii="Cambria" w:hAnsi="Cambria"/>
                <w:sz w:val="16"/>
                <w:szCs w:val="16"/>
              </w:rPr>
            </w:pPr>
            <w:r w:rsidRPr="006568BA">
              <w:rPr>
                <w:rFonts w:ascii="Cambria" w:hAnsi="Cambria"/>
                <w:sz w:val="16"/>
                <w:szCs w:val="16"/>
              </w:rPr>
              <w:t>Механический  копировально-фрезерный  станок  KABAN Makina DF4061</w:t>
            </w:r>
          </w:p>
        </w:tc>
        <w:tc>
          <w:tcPr>
            <w:tcW w:w="377" w:type="pct"/>
            <w:shd w:val="clear" w:color="auto" w:fill="auto"/>
            <w:noWrap/>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1</w:t>
            </w:r>
          </w:p>
        </w:tc>
        <w:tc>
          <w:tcPr>
            <w:tcW w:w="530" w:type="pct"/>
            <w:shd w:val="clear" w:color="auto" w:fill="auto"/>
            <w:noWrap/>
            <w:vAlign w:val="center"/>
            <w:hideMark/>
          </w:tcPr>
          <w:p w:rsidR="006568BA" w:rsidRPr="006568BA" w:rsidRDefault="006568BA" w:rsidP="006568BA">
            <w:pPr>
              <w:jc w:val="right"/>
              <w:rPr>
                <w:rFonts w:ascii="Cambria" w:hAnsi="Cambria"/>
                <w:color w:val="000000"/>
                <w:sz w:val="16"/>
                <w:szCs w:val="16"/>
              </w:rPr>
            </w:pPr>
            <w:r w:rsidRPr="006568BA">
              <w:rPr>
                <w:rFonts w:ascii="Cambria" w:hAnsi="Cambria"/>
                <w:color w:val="000000"/>
                <w:sz w:val="16"/>
                <w:szCs w:val="16"/>
              </w:rPr>
              <w:t>2575</w:t>
            </w:r>
          </w:p>
        </w:tc>
        <w:tc>
          <w:tcPr>
            <w:tcW w:w="628" w:type="pct"/>
            <w:shd w:val="clear" w:color="auto" w:fill="auto"/>
            <w:noWrap/>
            <w:vAlign w:val="center"/>
            <w:hideMark/>
          </w:tcPr>
          <w:p w:rsidR="006568BA" w:rsidRPr="006568BA" w:rsidRDefault="006568BA" w:rsidP="006568BA">
            <w:pPr>
              <w:jc w:val="right"/>
              <w:rPr>
                <w:rFonts w:ascii="Cambria" w:hAnsi="Cambria"/>
                <w:sz w:val="16"/>
                <w:szCs w:val="16"/>
              </w:rPr>
            </w:pPr>
            <w:r w:rsidRPr="006568BA">
              <w:rPr>
                <w:rFonts w:ascii="Cambria" w:hAnsi="Cambria"/>
                <w:sz w:val="16"/>
                <w:szCs w:val="16"/>
              </w:rPr>
              <w:t>73,2135</w:t>
            </w:r>
          </w:p>
        </w:tc>
        <w:tc>
          <w:tcPr>
            <w:tcW w:w="595" w:type="pct"/>
            <w:shd w:val="clear" w:color="auto" w:fill="auto"/>
            <w:noWrap/>
            <w:vAlign w:val="center"/>
            <w:hideMark/>
          </w:tcPr>
          <w:p w:rsidR="006568BA" w:rsidRDefault="006568BA">
            <w:pPr>
              <w:jc w:val="right"/>
              <w:rPr>
                <w:rFonts w:ascii="Cambria" w:hAnsi="Cambria"/>
                <w:color w:val="000000"/>
                <w:sz w:val="16"/>
                <w:szCs w:val="16"/>
              </w:rPr>
            </w:pPr>
            <w:r>
              <w:rPr>
                <w:rFonts w:ascii="Cambria" w:hAnsi="Cambria"/>
                <w:color w:val="000000"/>
                <w:sz w:val="16"/>
                <w:szCs w:val="16"/>
              </w:rPr>
              <w:t>188 525</w:t>
            </w:r>
          </w:p>
        </w:tc>
      </w:tr>
      <w:tr w:rsidR="006568BA" w:rsidRPr="006568BA" w:rsidTr="006568BA">
        <w:trPr>
          <w:cantSplit/>
          <w:trHeight w:val="170"/>
        </w:trPr>
        <w:tc>
          <w:tcPr>
            <w:tcW w:w="243" w:type="pct"/>
            <w:shd w:val="clear" w:color="auto" w:fill="auto"/>
            <w:noWrap/>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8</w:t>
            </w:r>
          </w:p>
        </w:tc>
        <w:tc>
          <w:tcPr>
            <w:tcW w:w="1296" w:type="pct"/>
            <w:shd w:val="clear" w:color="auto" w:fill="auto"/>
            <w:vAlign w:val="center"/>
            <w:hideMark/>
          </w:tcPr>
          <w:p w:rsidR="006568BA" w:rsidRPr="006568BA" w:rsidRDefault="006568BA" w:rsidP="006568BA">
            <w:pPr>
              <w:rPr>
                <w:rFonts w:ascii="Cambria" w:hAnsi="Cambria"/>
                <w:sz w:val="16"/>
                <w:szCs w:val="16"/>
              </w:rPr>
            </w:pPr>
            <w:r w:rsidRPr="006568BA">
              <w:rPr>
                <w:rFonts w:ascii="Cambria" w:hAnsi="Cambria"/>
                <w:sz w:val="16"/>
                <w:szCs w:val="16"/>
              </w:rPr>
              <w:t>Автоматический станок для обработки импоста  KABAN Makina СF3060</w:t>
            </w:r>
          </w:p>
        </w:tc>
        <w:tc>
          <w:tcPr>
            <w:tcW w:w="1330" w:type="pct"/>
            <w:shd w:val="clear" w:color="auto" w:fill="auto"/>
            <w:vAlign w:val="center"/>
            <w:hideMark/>
          </w:tcPr>
          <w:p w:rsidR="006568BA" w:rsidRPr="006568BA" w:rsidRDefault="006568BA" w:rsidP="006568BA">
            <w:pPr>
              <w:rPr>
                <w:rFonts w:ascii="Cambria" w:hAnsi="Cambria"/>
                <w:sz w:val="16"/>
                <w:szCs w:val="16"/>
              </w:rPr>
            </w:pPr>
            <w:r w:rsidRPr="006568BA">
              <w:rPr>
                <w:rFonts w:ascii="Cambria" w:hAnsi="Cambria"/>
                <w:sz w:val="16"/>
                <w:szCs w:val="16"/>
              </w:rPr>
              <w:t>Автоматический станок для обработки импоста  KABAN Makina СF3061</w:t>
            </w:r>
          </w:p>
        </w:tc>
        <w:tc>
          <w:tcPr>
            <w:tcW w:w="377" w:type="pct"/>
            <w:shd w:val="clear" w:color="auto" w:fill="auto"/>
            <w:noWrap/>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1</w:t>
            </w:r>
          </w:p>
        </w:tc>
        <w:tc>
          <w:tcPr>
            <w:tcW w:w="530" w:type="pct"/>
            <w:shd w:val="clear" w:color="auto" w:fill="auto"/>
            <w:noWrap/>
            <w:vAlign w:val="center"/>
            <w:hideMark/>
          </w:tcPr>
          <w:p w:rsidR="006568BA" w:rsidRPr="006568BA" w:rsidRDefault="006568BA" w:rsidP="006568BA">
            <w:pPr>
              <w:jc w:val="right"/>
              <w:rPr>
                <w:rFonts w:ascii="Cambria" w:hAnsi="Cambria"/>
                <w:color w:val="000000"/>
                <w:sz w:val="16"/>
                <w:szCs w:val="16"/>
              </w:rPr>
            </w:pPr>
            <w:r w:rsidRPr="006568BA">
              <w:rPr>
                <w:rFonts w:ascii="Cambria" w:hAnsi="Cambria"/>
                <w:color w:val="000000"/>
                <w:sz w:val="16"/>
                <w:szCs w:val="16"/>
              </w:rPr>
              <w:t>2556</w:t>
            </w:r>
          </w:p>
        </w:tc>
        <w:tc>
          <w:tcPr>
            <w:tcW w:w="628" w:type="pct"/>
            <w:shd w:val="clear" w:color="auto" w:fill="auto"/>
            <w:noWrap/>
            <w:vAlign w:val="center"/>
            <w:hideMark/>
          </w:tcPr>
          <w:p w:rsidR="006568BA" w:rsidRPr="006568BA" w:rsidRDefault="006568BA" w:rsidP="006568BA">
            <w:pPr>
              <w:jc w:val="right"/>
              <w:rPr>
                <w:rFonts w:ascii="Cambria" w:hAnsi="Cambria"/>
                <w:sz w:val="16"/>
                <w:szCs w:val="16"/>
              </w:rPr>
            </w:pPr>
            <w:r w:rsidRPr="006568BA">
              <w:rPr>
                <w:rFonts w:ascii="Cambria" w:hAnsi="Cambria"/>
                <w:sz w:val="16"/>
                <w:szCs w:val="16"/>
              </w:rPr>
              <w:t>73,2135</w:t>
            </w:r>
          </w:p>
        </w:tc>
        <w:tc>
          <w:tcPr>
            <w:tcW w:w="595" w:type="pct"/>
            <w:shd w:val="clear" w:color="auto" w:fill="auto"/>
            <w:noWrap/>
            <w:vAlign w:val="center"/>
            <w:hideMark/>
          </w:tcPr>
          <w:p w:rsidR="006568BA" w:rsidRDefault="006568BA">
            <w:pPr>
              <w:jc w:val="right"/>
              <w:rPr>
                <w:rFonts w:ascii="Cambria" w:hAnsi="Cambria"/>
                <w:color w:val="000000"/>
                <w:sz w:val="16"/>
                <w:szCs w:val="16"/>
              </w:rPr>
            </w:pPr>
            <w:r>
              <w:rPr>
                <w:rFonts w:ascii="Cambria" w:hAnsi="Cambria"/>
                <w:color w:val="000000"/>
                <w:sz w:val="16"/>
                <w:szCs w:val="16"/>
              </w:rPr>
              <w:t>187 134</w:t>
            </w:r>
          </w:p>
        </w:tc>
      </w:tr>
    </w:tbl>
    <w:p w:rsidR="006568BA" w:rsidRPr="000E51C8" w:rsidRDefault="006568BA" w:rsidP="006568BA">
      <w:pPr>
        <w:spacing w:before="120" w:after="120"/>
        <w:ind w:firstLine="708"/>
        <w:rPr>
          <w:rFonts w:ascii="Bookman Old Style" w:hAnsi="Bookman Old Style"/>
          <w:sz w:val="20"/>
          <w:szCs w:val="20"/>
        </w:rPr>
      </w:pPr>
      <w:r w:rsidRPr="000E51C8">
        <w:rPr>
          <w:rFonts w:ascii="Bookman Old Style" w:hAnsi="Bookman Old Style"/>
          <w:sz w:val="20"/>
          <w:szCs w:val="20"/>
        </w:rPr>
        <w:t>Обоснование проведения расчета:</w:t>
      </w:r>
    </w:p>
    <w:p w:rsidR="006568BA" w:rsidRDefault="006568BA" w:rsidP="006568BA">
      <w:pPr>
        <w:numPr>
          <w:ilvl w:val="0"/>
          <w:numId w:val="63"/>
        </w:numPr>
        <w:spacing w:before="120" w:after="120"/>
        <w:jc w:val="both"/>
        <w:rPr>
          <w:rFonts w:ascii="Bookman Old Style" w:hAnsi="Bookman Old Style"/>
          <w:sz w:val="20"/>
          <w:szCs w:val="20"/>
        </w:rPr>
      </w:pPr>
      <w:r w:rsidRPr="004105D8">
        <w:rPr>
          <w:rFonts w:ascii="Bookman Old Style" w:hAnsi="Bookman Old Style"/>
          <w:sz w:val="20"/>
          <w:szCs w:val="20"/>
        </w:rPr>
        <w:t>Проведенный анализ первичного рынка движимого имущества выявил наличие информации о цене на прям</w:t>
      </w:r>
      <w:r>
        <w:rPr>
          <w:rFonts w:ascii="Bookman Old Style" w:hAnsi="Bookman Old Style"/>
          <w:sz w:val="20"/>
          <w:szCs w:val="20"/>
        </w:rPr>
        <w:t>ые</w:t>
      </w:r>
      <w:r w:rsidRPr="004105D8">
        <w:rPr>
          <w:rFonts w:ascii="Bookman Old Style" w:hAnsi="Bookman Old Style"/>
          <w:sz w:val="20"/>
          <w:szCs w:val="20"/>
        </w:rPr>
        <w:t xml:space="preserve"> аналог</w:t>
      </w:r>
      <w:r>
        <w:rPr>
          <w:rFonts w:ascii="Bookman Old Style" w:hAnsi="Bookman Old Style"/>
          <w:sz w:val="20"/>
          <w:szCs w:val="20"/>
        </w:rPr>
        <w:t>и</w:t>
      </w:r>
      <w:r w:rsidRPr="004105D8">
        <w:rPr>
          <w:rFonts w:ascii="Bookman Old Style" w:hAnsi="Bookman Old Style"/>
          <w:sz w:val="20"/>
          <w:szCs w:val="20"/>
        </w:rPr>
        <w:t xml:space="preserve"> элемент</w:t>
      </w:r>
      <w:r>
        <w:rPr>
          <w:rFonts w:ascii="Bookman Old Style" w:hAnsi="Bookman Old Style"/>
          <w:sz w:val="20"/>
          <w:szCs w:val="20"/>
        </w:rPr>
        <w:t>ов</w:t>
      </w:r>
      <w:r w:rsidRPr="004105D8">
        <w:rPr>
          <w:rFonts w:ascii="Bookman Old Style" w:hAnsi="Bookman Old Style"/>
          <w:sz w:val="20"/>
          <w:szCs w:val="20"/>
        </w:rPr>
        <w:t xml:space="preserve"> Объекта оценки. Стоимость определена методом расчета по цене однородного объекта. </w:t>
      </w:r>
      <w:r>
        <w:rPr>
          <w:rFonts w:ascii="Bookman Old Style" w:hAnsi="Bookman Old Style"/>
          <w:sz w:val="20"/>
          <w:szCs w:val="20"/>
        </w:rPr>
        <w:t xml:space="preserve">При расчете стоимости новых аналогов, использовался договор купли-продажи оборудования </w:t>
      </w:r>
      <w:r w:rsidRPr="006568BA">
        <w:rPr>
          <w:rFonts w:ascii="Bookman Old Style" w:hAnsi="Bookman Old Style"/>
          <w:sz w:val="20"/>
          <w:szCs w:val="20"/>
        </w:rPr>
        <w:t>между ООО «Окно» и ООО «ТСК «ОРП Сервис», поставляющей оборудования производства страны Турция</w:t>
      </w:r>
      <w:r>
        <w:rPr>
          <w:rStyle w:val="aff0"/>
          <w:rFonts w:ascii="Bookman Old Style" w:hAnsi="Bookman Old Style"/>
          <w:sz w:val="20"/>
          <w:szCs w:val="20"/>
        </w:rPr>
        <w:footnoteReference w:id="69"/>
      </w:r>
      <w:r>
        <w:rPr>
          <w:rFonts w:ascii="Bookman Old Style" w:hAnsi="Bookman Old Style"/>
          <w:sz w:val="20"/>
          <w:szCs w:val="20"/>
        </w:rPr>
        <w:t>;</w:t>
      </w:r>
    </w:p>
    <w:p w:rsidR="006568BA" w:rsidRPr="00E80113" w:rsidRDefault="006568BA" w:rsidP="006568BA">
      <w:pPr>
        <w:numPr>
          <w:ilvl w:val="0"/>
          <w:numId w:val="63"/>
        </w:numPr>
        <w:spacing w:before="120" w:after="120"/>
        <w:jc w:val="both"/>
        <w:rPr>
          <w:rFonts w:ascii="Bookman Old Style" w:hAnsi="Bookman Old Style"/>
          <w:sz w:val="20"/>
          <w:szCs w:val="20"/>
        </w:rPr>
      </w:pPr>
      <w:r w:rsidRPr="00E80113">
        <w:rPr>
          <w:rFonts w:ascii="Bookman Old Style" w:hAnsi="Bookman Old Style"/>
          <w:sz w:val="20"/>
          <w:szCs w:val="20"/>
        </w:rPr>
        <w:t xml:space="preserve">Стоимость нового оборудования в </w:t>
      </w:r>
      <w:r>
        <w:rPr>
          <w:rFonts w:ascii="Bookman Old Style" w:hAnsi="Bookman Old Style"/>
          <w:sz w:val="20"/>
          <w:szCs w:val="20"/>
        </w:rPr>
        <w:t xml:space="preserve">Приложении № 1 к договору купли-продажи оборудования </w:t>
      </w:r>
      <w:r w:rsidRPr="00E80113">
        <w:rPr>
          <w:rFonts w:ascii="Bookman Old Style" w:hAnsi="Bookman Old Style"/>
          <w:sz w:val="20"/>
          <w:szCs w:val="20"/>
        </w:rPr>
        <w:t xml:space="preserve">в </w:t>
      </w:r>
      <w:r w:rsidRPr="006568BA">
        <w:rPr>
          <w:rFonts w:ascii="Bookman Old Style" w:hAnsi="Bookman Old Style"/>
          <w:sz w:val="20"/>
          <w:szCs w:val="20"/>
        </w:rPr>
        <w:t>валют</w:t>
      </w:r>
      <w:r>
        <w:rPr>
          <w:rFonts w:ascii="Bookman Old Style" w:hAnsi="Bookman Old Style"/>
          <w:sz w:val="20"/>
          <w:szCs w:val="20"/>
        </w:rPr>
        <w:t>е</w:t>
      </w:r>
      <w:r w:rsidRPr="006568BA">
        <w:rPr>
          <w:rFonts w:ascii="Bookman Old Style" w:hAnsi="Bookman Old Style"/>
          <w:sz w:val="20"/>
          <w:szCs w:val="20"/>
        </w:rPr>
        <w:t xml:space="preserve"> Европейского союза</w:t>
      </w:r>
      <w:r w:rsidRPr="00E80113">
        <w:rPr>
          <w:rFonts w:ascii="Bookman Old Style" w:hAnsi="Bookman Old Style"/>
          <w:sz w:val="20"/>
          <w:szCs w:val="20"/>
        </w:rPr>
        <w:t xml:space="preserve">. Курс </w:t>
      </w:r>
      <w:r>
        <w:rPr>
          <w:rFonts w:ascii="Bookman Old Style" w:hAnsi="Bookman Old Style"/>
          <w:sz w:val="20"/>
          <w:szCs w:val="20"/>
        </w:rPr>
        <w:t>евро</w:t>
      </w:r>
      <w:r w:rsidRPr="00E80113">
        <w:rPr>
          <w:rFonts w:ascii="Bookman Old Style" w:hAnsi="Bookman Old Style"/>
          <w:sz w:val="20"/>
          <w:szCs w:val="20"/>
        </w:rPr>
        <w:t xml:space="preserve"> на дату оценки составляет </w:t>
      </w:r>
      <w:r w:rsidRPr="006568BA">
        <w:rPr>
          <w:rFonts w:ascii="Bookman Old Style" w:hAnsi="Bookman Old Style"/>
          <w:sz w:val="20"/>
          <w:szCs w:val="20"/>
        </w:rPr>
        <w:t>73,2135</w:t>
      </w:r>
      <w:r w:rsidRPr="00E80113">
        <w:rPr>
          <w:rFonts w:ascii="Bookman Old Style" w:hAnsi="Bookman Old Style"/>
          <w:sz w:val="20"/>
          <w:szCs w:val="20"/>
        </w:rPr>
        <w:t xml:space="preserve"> рублей. </w:t>
      </w:r>
      <w:r>
        <w:rPr>
          <w:rFonts w:ascii="Bookman Old Style" w:hAnsi="Bookman Old Style"/>
          <w:sz w:val="20"/>
          <w:szCs w:val="20"/>
        </w:rPr>
        <w:t xml:space="preserve">Расчет стоимости затрат на воспроизводство проведен путем умножения закупочной стоимости на курс евро на Дату оценки. </w:t>
      </w:r>
    </w:p>
    <w:p w:rsidR="006568BA" w:rsidRPr="00860302" w:rsidRDefault="006568BA" w:rsidP="006568BA">
      <w:pPr>
        <w:pStyle w:val="2f"/>
        <w:numPr>
          <w:ilvl w:val="0"/>
          <w:numId w:val="63"/>
        </w:numPr>
        <w:jc w:val="both"/>
        <w:rPr>
          <w:rFonts w:ascii="Bookman Old Style" w:hAnsi="Bookman Old Style" w:cs="Calibri"/>
          <w:color w:val="000000"/>
          <w:sz w:val="20"/>
          <w:szCs w:val="20"/>
        </w:rPr>
      </w:pPr>
      <w:bookmarkStart w:id="327" w:name="_Toc319330039"/>
      <w:r w:rsidRPr="00860302">
        <w:rPr>
          <w:rFonts w:ascii="Bookman Old Style" w:hAnsi="Bookman Old Style" w:cs="Calibri"/>
          <w:color w:val="000000"/>
          <w:sz w:val="20"/>
          <w:szCs w:val="20"/>
        </w:rPr>
        <w:t xml:space="preserve">При расчете затрат на воспроизводство </w:t>
      </w:r>
      <w:r w:rsidRPr="00A80821">
        <w:rPr>
          <w:rFonts w:ascii="Bookman Old Style" w:hAnsi="Bookman Old Style" w:cs="Calibri"/>
          <w:color w:val="000000"/>
          <w:sz w:val="20"/>
          <w:szCs w:val="20"/>
        </w:rPr>
        <w:t>элемент</w:t>
      </w:r>
      <w:r>
        <w:rPr>
          <w:rFonts w:ascii="Bookman Old Style" w:hAnsi="Bookman Old Style" w:cs="Calibri"/>
          <w:color w:val="000000"/>
          <w:sz w:val="20"/>
          <w:szCs w:val="20"/>
        </w:rPr>
        <w:t>а</w:t>
      </w:r>
      <w:r w:rsidRPr="00A80821">
        <w:rPr>
          <w:rFonts w:ascii="Bookman Old Style" w:hAnsi="Bookman Old Style" w:cs="Calibri"/>
          <w:color w:val="000000"/>
          <w:sz w:val="20"/>
          <w:szCs w:val="20"/>
        </w:rPr>
        <w:t xml:space="preserve"> Объекта оценки</w:t>
      </w:r>
      <w:r w:rsidRPr="00860302">
        <w:rPr>
          <w:rFonts w:ascii="Bookman Old Style" w:hAnsi="Bookman Old Style" w:cs="Calibri"/>
          <w:color w:val="000000"/>
          <w:sz w:val="20"/>
          <w:szCs w:val="20"/>
        </w:rPr>
        <w:t xml:space="preserve">, затраты, необходимые на доставку, монтаж, пусконаладочные работы и обучение персонала – не учитывались. </w:t>
      </w:r>
      <w:r>
        <w:rPr>
          <w:rFonts w:ascii="Bookman Old Style" w:hAnsi="Bookman Old Style" w:cs="Calibri"/>
          <w:color w:val="000000"/>
          <w:sz w:val="20"/>
          <w:szCs w:val="20"/>
        </w:rPr>
        <w:t>Расчет стоимости проведен в предположении о «перемещении».</w:t>
      </w:r>
    </w:p>
    <w:p w:rsidR="006568BA" w:rsidRPr="0076097C" w:rsidRDefault="006568BA" w:rsidP="006568BA">
      <w:pPr>
        <w:pStyle w:val="3"/>
        <w:spacing w:after="120"/>
        <w:rPr>
          <w:rFonts w:ascii="Bookman Old Style" w:hAnsi="Bookman Old Style"/>
          <w:sz w:val="20"/>
          <w:szCs w:val="20"/>
        </w:rPr>
      </w:pPr>
      <w:bookmarkStart w:id="328" w:name="_Toc293674767"/>
      <w:bookmarkStart w:id="329" w:name="_Toc447021009"/>
      <w:bookmarkStart w:id="330" w:name="_Toc449529996"/>
      <w:bookmarkStart w:id="331" w:name="_Toc461206420"/>
      <w:bookmarkEnd w:id="327"/>
      <w:r w:rsidRPr="007A56D6">
        <w:rPr>
          <w:rFonts w:ascii="Bookman Old Style" w:hAnsi="Bookman Old Style"/>
          <w:sz w:val="20"/>
          <w:szCs w:val="20"/>
        </w:rPr>
        <w:t>5.</w:t>
      </w:r>
      <w:r>
        <w:rPr>
          <w:rFonts w:ascii="Bookman Old Style" w:hAnsi="Bookman Old Style"/>
          <w:sz w:val="20"/>
          <w:szCs w:val="20"/>
        </w:rPr>
        <w:t>6</w:t>
      </w:r>
      <w:r w:rsidRPr="007A56D6">
        <w:rPr>
          <w:rFonts w:ascii="Bookman Old Style" w:hAnsi="Bookman Old Style"/>
          <w:sz w:val="20"/>
          <w:szCs w:val="20"/>
        </w:rPr>
        <w:t>.1</w:t>
      </w:r>
      <w:r>
        <w:rPr>
          <w:rFonts w:ascii="Bookman Old Style" w:hAnsi="Bookman Old Style"/>
          <w:sz w:val="20"/>
          <w:szCs w:val="20"/>
        </w:rPr>
        <w:t>.2</w:t>
      </w:r>
      <w:r w:rsidRPr="00EE652F">
        <w:rPr>
          <w:rFonts w:ascii="Bookman Old Style" w:hAnsi="Bookman Old Style"/>
          <w:sz w:val="20"/>
          <w:szCs w:val="20"/>
        </w:rPr>
        <w:t>. Расчет физического износа</w:t>
      </w:r>
      <w:bookmarkEnd w:id="328"/>
      <w:bookmarkEnd w:id="329"/>
      <w:bookmarkEnd w:id="330"/>
      <w:bookmarkEnd w:id="331"/>
    </w:p>
    <w:p w:rsidR="006568BA" w:rsidRPr="000E51C8" w:rsidRDefault="006568BA" w:rsidP="006568BA">
      <w:pPr>
        <w:spacing w:before="120" w:after="120"/>
        <w:ind w:firstLine="708"/>
        <w:jc w:val="both"/>
        <w:rPr>
          <w:rFonts w:ascii="Bookman Old Style" w:hAnsi="Bookman Old Style"/>
          <w:sz w:val="20"/>
          <w:szCs w:val="20"/>
        </w:rPr>
      </w:pPr>
      <w:r w:rsidRPr="000E51C8">
        <w:rPr>
          <w:rFonts w:ascii="Bookman Old Style" w:hAnsi="Bookman Old Style"/>
          <w:sz w:val="20"/>
          <w:szCs w:val="20"/>
        </w:rPr>
        <w:t xml:space="preserve">Физический износ – представляет собой потерю стоимости или полезности имущества в результате использования или истечения срока его службы, вызванного износом, ухудшением, подверженностью воздействию различных факторов, физическими нагрузками и другими подобными факторами. </w:t>
      </w:r>
    </w:p>
    <w:p w:rsidR="006568BA" w:rsidRPr="000E51C8" w:rsidRDefault="006568BA" w:rsidP="006568BA">
      <w:pPr>
        <w:spacing w:before="120" w:after="120"/>
        <w:ind w:firstLine="708"/>
        <w:jc w:val="both"/>
        <w:rPr>
          <w:rFonts w:ascii="Bookman Old Style" w:hAnsi="Bookman Old Style"/>
          <w:sz w:val="20"/>
          <w:szCs w:val="20"/>
        </w:rPr>
      </w:pPr>
      <w:r>
        <w:rPr>
          <w:rFonts w:ascii="Bookman Old Style" w:hAnsi="Bookman Old Style"/>
          <w:sz w:val="20"/>
          <w:szCs w:val="20"/>
        </w:rPr>
        <w:t>Д</w:t>
      </w:r>
      <w:r w:rsidRPr="000E51C8">
        <w:rPr>
          <w:rFonts w:ascii="Bookman Old Style" w:hAnsi="Bookman Old Style"/>
          <w:sz w:val="20"/>
          <w:szCs w:val="20"/>
        </w:rPr>
        <w:t xml:space="preserve">ля расчета величин физического износа элементов Объекта оценки, использовался метод экспертных оценок. </w:t>
      </w:r>
    </w:p>
    <w:p w:rsidR="006568BA" w:rsidRPr="000E51C8" w:rsidRDefault="006568BA" w:rsidP="006568BA">
      <w:pPr>
        <w:spacing w:before="120" w:after="120"/>
        <w:ind w:firstLine="708"/>
        <w:jc w:val="both"/>
        <w:rPr>
          <w:rFonts w:ascii="Bookman Old Style" w:hAnsi="Bookman Old Style"/>
          <w:sz w:val="20"/>
          <w:szCs w:val="20"/>
        </w:rPr>
      </w:pPr>
      <w:r w:rsidRPr="000E51C8">
        <w:rPr>
          <w:rFonts w:ascii="Bookman Old Style" w:hAnsi="Bookman Old Style"/>
          <w:sz w:val="20"/>
          <w:szCs w:val="20"/>
        </w:rPr>
        <w:t>Суть данного метода сводится к следующему:</w:t>
      </w:r>
    </w:p>
    <w:p w:rsidR="006568BA" w:rsidRPr="000E51C8" w:rsidRDefault="006568BA" w:rsidP="006568BA">
      <w:pPr>
        <w:spacing w:before="120" w:after="120"/>
        <w:ind w:firstLine="709"/>
        <w:jc w:val="both"/>
        <w:rPr>
          <w:rFonts w:ascii="Bookman Old Style" w:hAnsi="Bookman Old Style"/>
          <w:sz w:val="20"/>
          <w:szCs w:val="20"/>
        </w:rPr>
      </w:pPr>
      <w:r w:rsidRPr="000E51C8">
        <w:rPr>
          <w:rFonts w:ascii="Bookman Old Style" w:hAnsi="Bookman Old Style"/>
          <w:sz w:val="20"/>
          <w:szCs w:val="20"/>
        </w:rPr>
        <w:t>На основании шкалы экспертных оценок определяется техническое состояние элемента Объекта оценки. Далее присваиваются весовые значения мнениям привлеченных специалистов, и определяется физический износ объекта оценки, по формуле:</w:t>
      </w:r>
    </w:p>
    <w:p w:rsidR="006568BA" w:rsidRPr="000E51C8" w:rsidRDefault="006C4CCF" w:rsidP="006568BA">
      <w:pPr>
        <w:spacing w:before="120" w:after="120"/>
        <w:ind w:firstLine="709"/>
        <w:jc w:val="both"/>
        <w:rPr>
          <w:rFonts w:ascii="Bookman Old Style" w:hAnsi="Bookman Old Style"/>
          <w:sz w:val="20"/>
          <w:szCs w:val="20"/>
          <w:lang w:val="en-GB"/>
        </w:rPr>
      </w:pPr>
      <m:oMathPara>
        <m:oMath>
          <m:sSub>
            <m:sSubPr>
              <m:ctrlPr>
                <w:rPr>
                  <w:rFonts w:ascii="Cambria Math" w:hAnsi="Bookman Old Style"/>
                  <w:sz w:val="20"/>
                  <w:szCs w:val="20"/>
                </w:rPr>
              </m:ctrlPr>
            </m:sSubPr>
            <m:e>
              <m:r>
                <m:rPr>
                  <m:sty m:val="p"/>
                </m:rPr>
                <w:rPr>
                  <w:rFonts w:ascii="Cambria Math" w:hAnsi="Bookman Old Style"/>
                  <w:sz w:val="20"/>
                  <w:szCs w:val="20"/>
                </w:rPr>
                <m:t>И</m:t>
              </m:r>
            </m:e>
            <m:sub>
              <m:r>
                <m:rPr>
                  <m:sty m:val="p"/>
                </m:rPr>
                <w:rPr>
                  <w:rFonts w:ascii="Cambria Math" w:hAnsi="Bookman Old Style"/>
                  <w:sz w:val="20"/>
                  <w:szCs w:val="20"/>
                </w:rPr>
                <m:t>физ</m:t>
              </m:r>
            </m:sub>
          </m:sSub>
          <m:r>
            <w:rPr>
              <w:rFonts w:ascii="Cambria Math" w:hAnsi="Bookman Old Style"/>
              <w:sz w:val="20"/>
              <w:szCs w:val="20"/>
            </w:rPr>
            <m:t>=</m:t>
          </m:r>
          <m:nary>
            <m:naryPr>
              <m:chr m:val="∑"/>
              <m:limLoc m:val="undOvr"/>
              <m:subHide m:val="on"/>
              <m:supHide m:val="on"/>
              <m:ctrlPr>
                <w:rPr>
                  <w:rFonts w:ascii="Cambria Math" w:hAnsi="Bookman Old Style"/>
                  <w:i/>
                  <w:sz w:val="20"/>
                  <w:szCs w:val="20"/>
                </w:rPr>
              </m:ctrlPr>
            </m:naryPr>
            <m:sub/>
            <m:sup/>
            <m:e>
              <m:d>
                <m:dPr>
                  <m:ctrlPr>
                    <w:rPr>
                      <w:rFonts w:ascii="Cambria Math" w:hAnsi="Bookman Old Style"/>
                      <w:i/>
                      <w:sz w:val="20"/>
                      <w:szCs w:val="20"/>
                    </w:rPr>
                  </m:ctrlPr>
                </m:dPr>
                <m:e>
                  <m:sSub>
                    <m:sSubPr>
                      <m:ctrlPr>
                        <w:rPr>
                          <w:rFonts w:ascii="Cambria Math" w:hAnsi="Bookman Old Style"/>
                          <w:i/>
                          <w:sz w:val="20"/>
                          <w:szCs w:val="20"/>
                          <w:lang w:val="en-GB"/>
                        </w:rPr>
                      </m:ctrlPr>
                    </m:sSubPr>
                    <m:e>
                      <m:r>
                        <w:rPr>
                          <w:rFonts w:ascii="Cambria Math" w:hAnsi="Cambria Math"/>
                          <w:sz w:val="20"/>
                          <w:szCs w:val="20"/>
                          <w:lang w:val="en-GB"/>
                        </w:rPr>
                        <m:t>I</m:t>
                      </m:r>
                    </m:e>
                    <m:sub>
                      <m:r>
                        <w:rPr>
                          <w:rFonts w:ascii="Cambria Math" w:hAnsi="Bookman Old Style"/>
                          <w:sz w:val="20"/>
                          <w:szCs w:val="20"/>
                          <w:lang w:val="en-GB"/>
                        </w:rPr>
                        <m:t>1</m:t>
                      </m:r>
                    </m:sub>
                  </m:sSub>
                  <m:r>
                    <w:rPr>
                      <w:rFonts w:ascii="Cambria Math" w:hAnsi="Bookman Old Style"/>
                      <w:sz w:val="20"/>
                      <w:szCs w:val="20"/>
                      <w:lang w:val="en-GB"/>
                    </w:rPr>
                    <m:t>×</m:t>
                  </m:r>
                  <m:sSub>
                    <m:sSubPr>
                      <m:ctrlPr>
                        <w:rPr>
                          <w:rFonts w:ascii="Cambria Math" w:hAnsi="Bookman Old Style"/>
                          <w:i/>
                          <w:sz w:val="20"/>
                          <w:szCs w:val="20"/>
                          <w:lang w:val="en-GB"/>
                        </w:rPr>
                      </m:ctrlPr>
                    </m:sSubPr>
                    <m:e>
                      <m:r>
                        <w:rPr>
                          <w:rFonts w:ascii="Cambria Math" w:hAnsi="Cambria Math"/>
                          <w:sz w:val="20"/>
                          <w:szCs w:val="20"/>
                          <w:lang w:val="en-GB"/>
                        </w:rPr>
                        <m:t>V</m:t>
                      </m:r>
                    </m:e>
                    <m:sub>
                      <m:r>
                        <w:rPr>
                          <w:rFonts w:ascii="Cambria Math" w:hAnsi="Bookman Old Style"/>
                          <w:sz w:val="20"/>
                          <w:szCs w:val="20"/>
                          <w:lang w:val="en-GB"/>
                        </w:rPr>
                        <m:t>1</m:t>
                      </m:r>
                    </m:sub>
                  </m:sSub>
                  <m:r>
                    <w:rPr>
                      <w:rFonts w:ascii="Cambria Math" w:hAnsi="Bookman Old Style"/>
                      <w:sz w:val="20"/>
                      <w:szCs w:val="20"/>
                      <w:lang w:val="en-GB"/>
                    </w:rPr>
                    <m:t>+</m:t>
                  </m:r>
                  <m:sSub>
                    <m:sSubPr>
                      <m:ctrlPr>
                        <w:rPr>
                          <w:rFonts w:ascii="Cambria Math" w:hAnsi="Bookman Old Style"/>
                          <w:i/>
                          <w:sz w:val="20"/>
                          <w:szCs w:val="20"/>
                          <w:lang w:val="en-GB"/>
                        </w:rPr>
                      </m:ctrlPr>
                    </m:sSubPr>
                    <m:e>
                      <m:r>
                        <w:rPr>
                          <w:rFonts w:ascii="Cambria Math" w:hAnsi="Cambria Math"/>
                          <w:sz w:val="20"/>
                          <w:szCs w:val="20"/>
                          <w:lang w:val="en-GB"/>
                        </w:rPr>
                        <m:t>I</m:t>
                      </m:r>
                    </m:e>
                    <m:sub>
                      <m:r>
                        <w:rPr>
                          <w:rFonts w:ascii="Cambria Math" w:hAnsi="Bookman Old Style"/>
                          <w:sz w:val="20"/>
                          <w:szCs w:val="20"/>
                          <w:lang w:val="en-GB"/>
                        </w:rPr>
                        <m:t>2</m:t>
                      </m:r>
                    </m:sub>
                  </m:sSub>
                  <m:r>
                    <w:rPr>
                      <w:rFonts w:ascii="Cambria Math" w:hAnsi="Bookman Old Style"/>
                      <w:sz w:val="20"/>
                      <w:szCs w:val="20"/>
                      <w:lang w:val="en-GB"/>
                    </w:rPr>
                    <m:t>×</m:t>
                  </m:r>
                  <m:sSub>
                    <m:sSubPr>
                      <m:ctrlPr>
                        <w:rPr>
                          <w:rFonts w:ascii="Cambria Math" w:hAnsi="Bookman Old Style"/>
                          <w:i/>
                          <w:sz w:val="20"/>
                          <w:szCs w:val="20"/>
                          <w:lang w:val="en-GB"/>
                        </w:rPr>
                      </m:ctrlPr>
                    </m:sSubPr>
                    <m:e>
                      <m:r>
                        <w:rPr>
                          <w:rFonts w:ascii="Cambria Math" w:hAnsi="Cambria Math"/>
                          <w:sz w:val="20"/>
                          <w:szCs w:val="20"/>
                          <w:lang w:val="en-GB"/>
                        </w:rPr>
                        <m:t>V</m:t>
                      </m:r>
                    </m:e>
                    <m:sub>
                      <m:r>
                        <w:rPr>
                          <w:rFonts w:ascii="Cambria Math" w:hAnsi="Bookman Old Style"/>
                          <w:sz w:val="20"/>
                          <w:szCs w:val="20"/>
                          <w:lang w:val="en-GB"/>
                        </w:rPr>
                        <m:t>2</m:t>
                      </m:r>
                    </m:sub>
                  </m:sSub>
                  <m:r>
                    <w:rPr>
                      <w:rFonts w:ascii="Cambria Math" w:hAnsi="Bookman Old Style"/>
                      <w:sz w:val="20"/>
                      <w:szCs w:val="20"/>
                      <w:lang w:val="en-GB"/>
                    </w:rPr>
                    <m:t>+</m:t>
                  </m:r>
                  <m:sSub>
                    <m:sSubPr>
                      <m:ctrlPr>
                        <w:rPr>
                          <w:rFonts w:ascii="Cambria Math" w:hAnsi="Bookman Old Style"/>
                          <w:i/>
                          <w:sz w:val="20"/>
                          <w:szCs w:val="20"/>
                          <w:lang w:val="en-GB"/>
                        </w:rPr>
                      </m:ctrlPr>
                    </m:sSubPr>
                    <m:e>
                      <m:r>
                        <w:rPr>
                          <w:rFonts w:ascii="Cambria Math" w:hAnsi="Cambria Math"/>
                          <w:sz w:val="20"/>
                          <w:szCs w:val="20"/>
                          <w:lang w:val="en-GB"/>
                        </w:rPr>
                        <m:t>I</m:t>
                      </m:r>
                    </m:e>
                    <m:sub>
                      <m:r>
                        <w:rPr>
                          <w:rFonts w:ascii="Cambria Math" w:hAnsi="Cambria Math"/>
                          <w:sz w:val="20"/>
                          <w:szCs w:val="20"/>
                          <w:lang w:val="en-GB"/>
                        </w:rPr>
                        <m:t>n</m:t>
                      </m:r>
                    </m:sub>
                  </m:sSub>
                  <m:r>
                    <w:rPr>
                      <w:rFonts w:ascii="Cambria Math" w:hAnsi="Bookman Old Style"/>
                      <w:sz w:val="20"/>
                      <w:szCs w:val="20"/>
                      <w:lang w:val="en-GB"/>
                    </w:rPr>
                    <m:t>×</m:t>
                  </m:r>
                  <m:sSub>
                    <m:sSubPr>
                      <m:ctrlPr>
                        <w:rPr>
                          <w:rFonts w:ascii="Cambria Math" w:hAnsi="Bookman Old Style"/>
                          <w:i/>
                          <w:sz w:val="20"/>
                          <w:szCs w:val="20"/>
                          <w:lang w:val="en-GB"/>
                        </w:rPr>
                      </m:ctrlPr>
                    </m:sSubPr>
                    <m:e>
                      <m:r>
                        <w:rPr>
                          <w:rFonts w:ascii="Cambria Math" w:hAnsi="Cambria Math"/>
                          <w:sz w:val="20"/>
                          <w:szCs w:val="20"/>
                          <w:lang w:val="en-GB"/>
                        </w:rPr>
                        <m:t>V</m:t>
                      </m:r>
                    </m:e>
                    <m:sub>
                      <m:r>
                        <w:rPr>
                          <w:rFonts w:ascii="Cambria Math" w:hAnsi="Cambria Math"/>
                          <w:sz w:val="20"/>
                          <w:szCs w:val="20"/>
                          <w:lang w:val="en-GB"/>
                        </w:rPr>
                        <m:t>n</m:t>
                      </m:r>
                    </m:sub>
                  </m:sSub>
                </m:e>
              </m:d>
            </m:e>
          </m:nary>
        </m:oMath>
      </m:oMathPara>
    </w:p>
    <w:p w:rsidR="006568BA" w:rsidRPr="000E51C8" w:rsidRDefault="006568BA" w:rsidP="006568BA">
      <w:pPr>
        <w:tabs>
          <w:tab w:val="left" w:pos="960"/>
        </w:tabs>
        <w:rPr>
          <w:rFonts w:ascii="Bookman Old Style" w:hAnsi="Bookman Old Style"/>
          <w:sz w:val="20"/>
          <w:szCs w:val="20"/>
        </w:rPr>
      </w:pPr>
      <w:r w:rsidRPr="000E51C8">
        <w:rPr>
          <w:rFonts w:ascii="Bookman Old Style" w:hAnsi="Bookman Old Style"/>
          <w:sz w:val="20"/>
          <w:szCs w:val="20"/>
        </w:rPr>
        <w:t>где:</w:t>
      </w:r>
    </w:p>
    <w:p w:rsidR="006568BA" w:rsidRPr="000E51C8" w:rsidRDefault="006568BA" w:rsidP="006568BA">
      <w:pPr>
        <w:tabs>
          <w:tab w:val="left" w:pos="960"/>
        </w:tabs>
        <w:spacing w:before="120" w:after="120"/>
        <w:rPr>
          <w:rFonts w:ascii="Bookman Old Style" w:hAnsi="Bookman Old Style"/>
          <w:sz w:val="20"/>
          <w:szCs w:val="20"/>
        </w:rPr>
      </w:pPr>
      <w:r w:rsidRPr="000E51C8">
        <w:rPr>
          <w:rFonts w:ascii="Bookman Old Style" w:hAnsi="Bookman Old Style"/>
          <w:sz w:val="20"/>
          <w:szCs w:val="20"/>
        </w:rPr>
        <w:t>И</w:t>
      </w:r>
      <w:r w:rsidRPr="000E51C8">
        <w:rPr>
          <w:rFonts w:ascii="Bookman Old Style" w:hAnsi="Bookman Old Style"/>
          <w:sz w:val="20"/>
          <w:szCs w:val="20"/>
          <w:vertAlign w:val="subscript"/>
        </w:rPr>
        <w:t>физ</w:t>
      </w:r>
      <w:r w:rsidRPr="000E51C8">
        <w:rPr>
          <w:rFonts w:ascii="Bookman Old Style" w:hAnsi="Bookman Old Style"/>
          <w:sz w:val="20"/>
          <w:szCs w:val="20"/>
        </w:rPr>
        <w:t xml:space="preserve"> – физический износ элемента объекта оценки;</w:t>
      </w:r>
    </w:p>
    <w:p w:rsidR="006568BA" w:rsidRPr="000E51C8" w:rsidRDefault="006568BA" w:rsidP="006568BA">
      <w:pPr>
        <w:tabs>
          <w:tab w:val="left" w:pos="960"/>
        </w:tabs>
        <w:spacing w:before="120" w:after="120"/>
        <w:rPr>
          <w:rFonts w:ascii="Bookman Old Style" w:hAnsi="Bookman Old Style"/>
          <w:sz w:val="20"/>
          <w:szCs w:val="20"/>
        </w:rPr>
      </w:pPr>
      <w:r w:rsidRPr="000E51C8">
        <w:rPr>
          <w:rFonts w:ascii="Bookman Old Style" w:hAnsi="Bookman Old Style"/>
          <w:sz w:val="20"/>
          <w:szCs w:val="20"/>
          <w:lang w:val="en-GB"/>
        </w:rPr>
        <w:t>I</w:t>
      </w:r>
      <w:r w:rsidRPr="000E51C8">
        <w:rPr>
          <w:rFonts w:ascii="Bookman Old Style" w:hAnsi="Bookman Old Style"/>
          <w:sz w:val="20"/>
          <w:szCs w:val="20"/>
          <w:vertAlign w:val="subscript"/>
        </w:rPr>
        <w:t>1..</w:t>
      </w:r>
      <w:r w:rsidRPr="000E51C8">
        <w:rPr>
          <w:rFonts w:ascii="Bookman Old Style" w:hAnsi="Bookman Old Style"/>
          <w:sz w:val="20"/>
          <w:szCs w:val="20"/>
          <w:vertAlign w:val="subscript"/>
          <w:lang w:val="en-US"/>
        </w:rPr>
        <w:t>n</w:t>
      </w:r>
      <w:r w:rsidRPr="000E51C8">
        <w:rPr>
          <w:rFonts w:ascii="Bookman Old Style" w:hAnsi="Bookman Old Style"/>
          <w:sz w:val="20"/>
          <w:szCs w:val="20"/>
        </w:rPr>
        <w:t xml:space="preserve"> – износ присвоенный объекту оценки экспертом;</w:t>
      </w:r>
    </w:p>
    <w:p w:rsidR="006568BA" w:rsidRPr="000E51C8" w:rsidRDefault="006568BA" w:rsidP="006568BA">
      <w:pPr>
        <w:tabs>
          <w:tab w:val="left" w:pos="960"/>
        </w:tabs>
        <w:spacing w:before="120" w:after="120"/>
        <w:rPr>
          <w:rFonts w:ascii="Bookman Old Style" w:hAnsi="Bookman Old Style"/>
          <w:sz w:val="20"/>
          <w:szCs w:val="20"/>
        </w:rPr>
      </w:pPr>
      <w:r w:rsidRPr="000E51C8">
        <w:rPr>
          <w:rFonts w:ascii="Bookman Old Style" w:hAnsi="Bookman Old Style"/>
          <w:sz w:val="20"/>
          <w:szCs w:val="20"/>
          <w:lang w:val="en-US"/>
        </w:rPr>
        <w:t>V</w:t>
      </w:r>
      <w:r w:rsidRPr="000E51C8">
        <w:rPr>
          <w:rFonts w:ascii="Bookman Old Style" w:hAnsi="Bookman Old Style"/>
          <w:sz w:val="20"/>
          <w:szCs w:val="20"/>
          <w:vertAlign w:val="subscript"/>
        </w:rPr>
        <w:t>1..</w:t>
      </w:r>
      <w:r w:rsidRPr="000E51C8">
        <w:rPr>
          <w:rFonts w:ascii="Bookman Old Style" w:hAnsi="Bookman Old Style"/>
          <w:sz w:val="20"/>
          <w:szCs w:val="20"/>
          <w:vertAlign w:val="subscript"/>
          <w:lang w:val="en-US"/>
        </w:rPr>
        <w:t>n</w:t>
      </w:r>
      <w:r w:rsidRPr="000E51C8">
        <w:rPr>
          <w:rFonts w:ascii="Bookman Old Style" w:hAnsi="Bookman Old Style"/>
          <w:sz w:val="20"/>
          <w:szCs w:val="20"/>
        </w:rPr>
        <w:t xml:space="preserve"> – весовое значение мнению привлеченного специалиста, сумма весовых значений присвоенных мнениям экспертов должна равняться 1,00;</w:t>
      </w:r>
    </w:p>
    <w:p w:rsidR="006568BA" w:rsidRPr="001A53F9" w:rsidRDefault="006568BA" w:rsidP="006568BA">
      <w:pPr>
        <w:spacing w:before="120"/>
        <w:jc w:val="right"/>
        <w:rPr>
          <w:rFonts w:ascii="Bookman Old Style" w:hAnsi="Bookman Old Style"/>
          <w:b/>
          <w:bCs/>
          <w:sz w:val="20"/>
          <w:szCs w:val="20"/>
        </w:rPr>
      </w:pPr>
      <w:r>
        <w:rPr>
          <w:rFonts w:ascii="Bookman Old Style" w:hAnsi="Bookman Old Style"/>
          <w:b/>
          <w:bCs/>
          <w:sz w:val="20"/>
          <w:szCs w:val="20"/>
        </w:rPr>
        <w:t>Таблица 5</w:t>
      </w:r>
      <w:r w:rsidRPr="001A53F9">
        <w:rPr>
          <w:rFonts w:ascii="Bookman Old Style" w:hAnsi="Bookman Old Style"/>
          <w:b/>
          <w:bCs/>
          <w:sz w:val="20"/>
          <w:szCs w:val="20"/>
        </w:rPr>
        <w:t>.</w:t>
      </w:r>
      <w:r>
        <w:rPr>
          <w:rFonts w:ascii="Bookman Old Style" w:hAnsi="Bookman Old Style"/>
          <w:b/>
          <w:bCs/>
          <w:sz w:val="20"/>
          <w:szCs w:val="20"/>
        </w:rPr>
        <w:t>6</w:t>
      </w:r>
      <w:r w:rsidRPr="001A53F9">
        <w:rPr>
          <w:rFonts w:ascii="Bookman Old Style" w:hAnsi="Bookman Old Style"/>
          <w:b/>
          <w:bCs/>
          <w:sz w:val="20"/>
          <w:szCs w:val="20"/>
        </w:rPr>
        <w:t>.</w:t>
      </w:r>
      <w:r>
        <w:rPr>
          <w:rFonts w:ascii="Bookman Old Style" w:hAnsi="Bookman Old Style"/>
          <w:b/>
          <w:bCs/>
          <w:sz w:val="20"/>
          <w:szCs w:val="20"/>
        </w:rPr>
        <w:t>1</w:t>
      </w:r>
      <w:r w:rsidRPr="001A53F9">
        <w:rPr>
          <w:rFonts w:ascii="Bookman Old Style" w:hAnsi="Bookman Old Style"/>
          <w:b/>
          <w:bCs/>
          <w:sz w:val="20"/>
          <w:szCs w:val="20"/>
        </w:rPr>
        <w:t>.</w:t>
      </w:r>
      <w:r>
        <w:rPr>
          <w:rFonts w:ascii="Bookman Old Style" w:hAnsi="Bookman Old Style"/>
          <w:b/>
          <w:bCs/>
          <w:sz w:val="20"/>
          <w:szCs w:val="20"/>
        </w:rPr>
        <w:t>1.</w:t>
      </w:r>
      <w:r w:rsidRPr="001A53F9">
        <w:rPr>
          <w:rFonts w:ascii="Bookman Old Style" w:hAnsi="Bookman Old Style"/>
          <w:b/>
          <w:bCs/>
          <w:sz w:val="20"/>
          <w:szCs w:val="20"/>
        </w:rPr>
        <w:t xml:space="preserve"> Шкала экспертных оценок</w:t>
      </w:r>
      <w:r w:rsidRPr="00D63F1E">
        <w:rPr>
          <w:rFonts w:ascii="Bookman Old Style" w:hAnsi="Bookman Old Style"/>
          <w:b/>
          <w:bCs/>
          <w:sz w:val="20"/>
          <w:szCs w:val="20"/>
          <w:vertAlign w:val="superscript"/>
        </w:rPr>
        <w:footnoteReference w:id="70"/>
      </w:r>
    </w:p>
    <w:tbl>
      <w:tblPr>
        <w:tblW w:w="106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78"/>
        <w:gridCol w:w="5377"/>
        <w:gridCol w:w="3005"/>
      </w:tblGrid>
      <w:tr w:rsidR="006568BA" w:rsidRPr="006D60E9" w:rsidTr="00D70166">
        <w:trPr>
          <w:cantSplit/>
          <w:trHeight w:val="227"/>
        </w:trPr>
        <w:tc>
          <w:tcPr>
            <w:tcW w:w="2278" w:type="dxa"/>
            <w:shd w:val="clear" w:color="auto" w:fill="F2F2F2" w:themeFill="background1" w:themeFillShade="F2"/>
            <w:vAlign w:val="center"/>
          </w:tcPr>
          <w:p w:rsidR="006568BA" w:rsidRPr="006D60E9" w:rsidRDefault="006568BA" w:rsidP="00D70166">
            <w:pPr>
              <w:jc w:val="center"/>
              <w:rPr>
                <w:rFonts w:ascii="Cambria" w:hAnsi="Cambria"/>
                <w:b/>
                <w:bCs/>
                <w:sz w:val="16"/>
                <w:szCs w:val="16"/>
              </w:rPr>
            </w:pPr>
            <w:r w:rsidRPr="006D60E9">
              <w:rPr>
                <w:rFonts w:ascii="Cambria" w:hAnsi="Cambria"/>
                <w:b/>
                <w:bCs/>
                <w:sz w:val="16"/>
                <w:szCs w:val="16"/>
              </w:rPr>
              <w:t>Оценка</w:t>
            </w:r>
          </w:p>
        </w:tc>
        <w:tc>
          <w:tcPr>
            <w:tcW w:w="5377" w:type="dxa"/>
            <w:shd w:val="clear" w:color="auto" w:fill="F2F2F2" w:themeFill="background1" w:themeFillShade="F2"/>
            <w:vAlign w:val="center"/>
          </w:tcPr>
          <w:p w:rsidR="006568BA" w:rsidRPr="006D60E9" w:rsidRDefault="006568BA" w:rsidP="00D70166">
            <w:pPr>
              <w:jc w:val="center"/>
              <w:rPr>
                <w:rFonts w:ascii="Cambria" w:hAnsi="Cambria"/>
                <w:b/>
                <w:bCs/>
                <w:sz w:val="16"/>
                <w:szCs w:val="16"/>
              </w:rPr>
            </w:pPr>
            <w:r w:rsidRPr="006D60E9">
              <w:rPr>
                <w:rFonts w:ascii="Cambria" w:hAnsi="Cambria"/>
                <w:b/>
                <w:bCs/>
                <w:sz w:val="16"/>
                <w:szCs w:val="16"/>
              </w:rPr>
              <w:t>Характеристика технического состояния</w:t>
            </w:r>
          </w:p>
        </w:tc>
        <w:tc>
          <w:tcPr>
            <w:tcW w:w="3005" w:type="dxa"/>
            <w:shd w:val="clear" w:color="auto" w:fill="F2F2F2" w:themeFill="background1" w:themeFillShade="F2"/>
            <w:vAlign w:val="center"/>
          </w:tcPr>
          <w:p w:rsidR="006568BA" w:rsidRPr="006D60E9" w:rsidRDefault="006568BA" w:rsidP="00D70166">
            <w:pPr>
              <w:jc w:val="center"/>
              <w:rPr>
                <w:rFonts w:ascii="Cambria" w:hAnsi="Cambria"/>
                <w:b/>
                <w:bCs/>
                <w:sz w:val="16"/>
                <w:szCs w:val="16"/>
              </w:rPr>
            </w:pPr>
            <w:r w:rsidRPr="006D60E9">
              <w:rPr>
                <w:rFonts w:ascii="Cambria" w:hAnsi="Cambria"/>
                <w:b/>
                <w:bCs/>
                <w:sz w:val="16"/>
                <w:szCs w:val="16"/>
              </w:rPr>
              <w:t>Коэффициент физического износа, %</w:t>
            </w:r>
          </w:p>
        </w:tc>
      </w:tr>
      <w:tr w:rsidR="006568BA" w:rsidRPr="006D60E9" w:rsidTr="00D70166">
        <w:trPr>
          <w:cantSplit/>
          <w:trHeight w:val="227"/>
        </w:trPr>
        <w:tc>
          <w:tcPr>
            <w:tcW w:w="2278" w:type="dxa"/>
            <w:vMerge w:val="restart"/>
            <w:vAlign w:val="center"/>
          </w:tcPr>
          <w:p w:rsidR="006568BA" w:rsidRPr="006D60E9" w:rsidRDefault="006568BA" w:rsidP="00D70166">
            <w:pPr>
              <w:rPr>
                <w:rFonts w:ascii="Cambria" w:hAnsi="Cambria"/>
                <w:bCs/>
                <w:sz w:val="16"/>
                <w:szCs w:val="16"/>
              </w:rPr>
            </w:pPr>
            <w:r w:rsidRPr="006D60E9">
              <w:rPr>
                <w:rFonts w:ascii="Cambria" w:hAnsi="Cambria"/>
                <w:bCs/>
                <w:sz w:val="16"/>
                <w:szCs w:val="16"/>
              </w:rPr>
              <w:t>Новое</w:t>
            </w:r>
          </w:p>
        </w:tc>
        <w:tc>
          <w:tcPr>
            <w:tcW w:w="5377" w:type="dxa"/>
            <w:vMerge w:val="restart"/>
            <w:vAlign w:val="center"/>
          </w:tcPr>
          <w:p w:rsidR="006568BA" w:rsidRPr="006D60E9" w:rsidRDefault="006568BA" w:rsidP="00D70166">
            <w:pPr>
              <w:rPr>
                <w:rFonts w:ascii="Cambria" w:hAnsi="Cambria"/>
                <w:sz w:val="16"/>
                <w:szCs w:val="16"/>
              </w:rPr>
            </w:pPr>
            <w:r w:rsidRPr="006D60E9">
              <w:rPr>
                <w:rFonts w:ascii="Cambria" w:hAnsi="Cambria"/>
                <w:sz w:val="16"/>
                <w:szCs w:val="16"/>
              </w:rPr>
              <w:t>Новое, установленное и еще не эксплуатировавшееся оборудование в отличном состоянии</w:t>
            </w:r>
          </w:p>
        </w:tc>
        <w:tc>
          <w:tcPr>
            <w:tcW w:w="3005" w:type="dxa"/>
            <w:vAlign w:val="center"/>
          </w:tcPr>
          <w:p w:rsidR="006568BA" w:rsidRPr="006D60E9" w:rsidRDefault="006568BA" w:rsidP="00D70166">
            <w:pPr>
              <w:jc w:val="center"/>
              <w:rPr>
                <w:rFonts w:ascii="Cambria" w:hAnsi="Cambria"/>
                <w:sz w:val="16"/>
                <w:szCs w:val="16"/>
              </w:rPr>
            </w:pPr>
            <w:r w:rsidRPr="006D60E9">
              <w:rPr>
                <w:rFonts w:ascii="Cambria" w:hAnsi="Cambria"/>
                <w:sz w:val="16"/>
                <w:szCs w:val="16"/>
              </w:rPr>
              <w:t>0</w:t>
            </w:r>
          </w:p>
        </w:tc>
      </w:tr>
      <w:tr w:rsidR="006568BA" w:rsidRPr="006D60E9" w:rsidTr="00D70166">
        <w:trPr>
          <w:cantSplit/>
          <w:trHeight w:val="227"/>
        </w:trPr>
        <w:tc>
          <w:tcPr>
            <w:tcW w:w="2278" w:type="dxa"/>
            <w:vMerge/>
            <w:vAlign w:val="center"/>
          </w:tcPr>
          <w:p w:rsidR="006568BA" w:rsidRPr="006D60E9" w:rsidRDefault="006568BA" w:rsidP="00D70166">
            <w:pPr>
              <w:rPr>
                <w:rFonts w:ascii="Cambria" w:hAnsi="Cambria"/>
                <w:bCs/>
                <w:sz w:val="16"/>
                <w:szCs w:val="16"/>
              </w:rPr>
            </w:pPr>
          </w:p>
        </w:tc>
        <w:tc>
          <w:tcPr>
            <w:tcW w:w="5377" w:type="dxa"/>
            <w:vMerge/>
            <w:vAlign w:val="center"/>
          </w:tcPr>
          <w:p w:rsidR="006568BA" w:rsidRPr="006D60E9" w:rsidRDefault="006568BA" w:rsidP="00D70166">
            <w:pPr>
              <w:rPr>
                <w:rFonts w:ascii="Cambria" w:hAnsi="Cambria"/>
                <w:sz w:val="16"/>
                <w:szCs w:val="16"/>
              </w:rPr>
            </w:pPr>
          </w:p>
        </w:tc>
        <w:tc>
          <w:tcPr>
            <w:tcW w:w="3005" w:type="dxa"/>
            <w:vAlign w:val="center"/>
          </w:tcPr>
          <w:p w:rsidR="006568BA" w:rsidRPr="006D60E9" w:rsidRDefault="006568BA" w:rsidP="00D70166">
            <w:pPr>
              <w:jc w:val="center"/>
              <w:rPr>
                <w:rFonts w:ascii="Cambria" w:hAnsi="Cambria"/>
                <w:sz w:val="16"/>
                <w:szCs w:val="16"/>
              </w:rPr>
            </w:pPr>
            <w:r w:rsidRPr="006D60E9">
              <w:rPr>
                <w:rFonts w:ascii="Cambria" w:hAnsi="Cambria"/>
                <w:sz w:val="16"/>
                <w:szCs w:val="16"/>
              </w:rPr>
              <w:t>5</w:t>
            </w:r>
          </w:p>
        </w:tc>
      </w:tr>
      <w:tr w:rsidR="006568BA" w:rsidRPr="006D60E9" w:rsidTr="00D70166">
        <w:trPr>
          <w:cantSplit/>
          <w:trHeight w:val="227"/>
        </w:trPr>
        <w:tc>
          <w:tcPr>
            <w:tcW w:w="2278" w:type="dxa"/>
            <w:vMerge w:val="restart"/>
            <w:vAlign w:val="center"/>
          </w:tcPr>
          <w:p w:rsidR="006568BA" w:rsidRPr="006D60E9" w:rsidRDefault="006568BA" w:rsidP="00D70166">
            <w:pPr>
              <w:rPr>
                <w:rFonts w:ascii="Cambria" w:hAnsi="Cambria"/>
                <w:bCs/>
                <w:sz w:val="16"/>
                <w:szCs w:val="16"/>
              </w:rPr>
            </w:pPr>
            <w:r w:rsidRPr="006D60E9">
              <w:rPr>
                <w:rFonts w:ascii="Cambria" w:hAnsi="Cambria"/>
                <w:bCs/>
                <w:sz w:val="16"/>
                <w:szCs w:val="16"/>
              </w:rPr>
              <w:lastRenderedPageBreak/>
              <w:t>Очень хорошее</w:t>
            </w:r>
          </w:p>
        </w:tc>
        <w:tc>
          <w:tcPr>
            <w:tcW w:w="5377" w:type="dxa"/>
            <w:vMerge w:val="restart"/>
            <w:vAlign w:val="center"/>
          </w:tcPr>
          <w:p w:rsidR="006568BA" w:rsidRPr="006D60E9" w:rsidRDefault="006568BA" w:rsidP="00D70166">
            <w:pPr>
              <w:rPr>
                <w:rFonts w:ascii="Cambria" w:hAnsi="Cambria"/>
                <w:sz w:val="16"/>
                <w:szCs w:val="16"/>
              </w:rPr>
            </w:pPr>
            <w:r w:rsidRPr="006D60E9">
              <w:rPr>
                <w:rFonts w:ascii="Cambria" w:hAnsi="Cambria"/>
                <w:sz w:val="16"/>
                <w:szCs w:val="16"/>
              </w:rPr>
              <w:t>Практически новое оборудование, бывшее в недолгой эксплуатации и не требующее ремонта или замены каких-либо частей</w:t>
            </w:r>
          </w:p>
        </w:tc>
        <w:tc>
          <w:tcPr>
            <w:tcW w:w="3005" w:type="dxa"/>
            <w:vAlign w:val="center"/>
          </w:tcPr>
          <w:p w:rsidR="006568BA" w:rsidRPr="006D60E9" w:rsidRDefault="006568BA" w:rsidP="00D70166">
            <w:pPr>
              <w:jc w:val="center"/>
              <w:rPr>
                <w:rFonts w:ascii="Cambria" w:hAnsi="Cambria"/>
                <w:sz w:val="16"/>
                <w:szCs w:val="16"/>
              </w:rPr>
            </w:pPr>
            <w:r w:rsidRPr="006D60E9">
              <w:rPr>
                <w:rFonts w:ascii="Cambria" w:hAnsi="Cambria"/>
                <w:sz w:val="16"/>
                <w:szCs w:val="16"/>
              </w:rPr>
              <w:t>10</w:t>
            </w:r>
          </w:p>
        </w:tc>
      </w:tr>
      <w:tr w:rsidR="006568BA" w:rsidRPr="006D60E9" w:rsidTr="00D70166">
        <w:trPr>
          <w:cantSplit/>
          <w:trHeight w:val="227"/>
        </w:trPr>
        <w:tc>
          <w:tcPr>
            <w:tcW w:w="2278" w:type="dxa"/>
            <w:vMerge/>
            <w:vAlign w:val="center"/>
          </w:tcPr>
          <w:p w:rsidR="006568BA" w:rsidRPr="006D60E9" w:rsidRDefault="006568BA" w:rsidP="00D70166">
            <w:pPr>
              <w:rPr>
                <w:rFonts w:ascii="Cambria" w:hAnsi="Cambria"/>
                <w:bCs/>
                <w:sz w:val="16"/>
                <w:szCs w:val="16"/>
              </w:rPr>
            </w:pPr>
          </w:p>
        </w:tc>
        <w:tc>
          <w:tcPr>
            <w:tcW w:w="5377" w:type="dxa"/>
            <w:vMerge/>
            <w:vAlign w:val="center"/>
          </w:tcPr>
          <w:p w:rsidR="006568BA" w:rsidRPr="006D60E9" w:rsidRDefault="006568BA" w:rsidP="00D70166">
            <w:pPr>
              <w:rPr>
                <w:rFonts w:ascii="Cambria" w:hAnsi="Cambria"/>
                <w:sz w:val="16"/>
                <w:szCs w:val="16"/>
              </w:rPr>
            </w:pPr>
          </w:p>
        </w:tc>
        <w:tc>
          <w:tcPr>
            <w:tcW w:w="3005" w:type="dxa"/>
            <w:vAlign w:val="center"/>
          </w:tcPr>
          <w:p w:rsidR="006568BA" w:rsidRPr="006D60E9" w:rsidRDefault="006568BA" w:rsidP="00D70166">
            <w:pPr>
              <w:jc w:val="center"/>
              <w:rPr>
                <w:rFonts w:ascii="Cambria" w:hAnsi="Cambria"/>
                <w:sz w:val="16"/>
                <w:szCs w:val="16"/>
              </w:rPr>
            </w:pPr>
            <w:r w:rsidRPr="006D60E9">
              <w:rPr>
                <w:rFonts w:ascii="Cambria" w:hAnsi="Cambria"/>
                <w:sz w:val="16"/>
                <w:szCs w:val="16"/>
              </w:rPr>
              <w:t>15</w:t>
            </w:r>
          </w:p>
        </w:tc>
      </w:tr>
      <w:tr w:rsidR="006568BA" w:rsidRPr="006D60E9" w:rsidTr="00D70166">
        <w:trPr>
          <w:cantSplit/>
          <w:trHeight w:val="227"/>
        </w:trPr>
        <w:tc>
          <w:tcPr>
            <w:tcW w:w="2278" w:type="dxa"/>
            <w:vMerge w:val="restart"/>
            <w:vAlign w:val="center"/>
          </w:tcPr>
          <w:p w:rsidR="006568BA" w:rsidRPr="006D60E9" w:rsidRDefault="006568BA" w:rsidP="00D70166">
            <w:pPr>
              <w:rPr>
                <w:rFonts w:ascii="Cambria" w:hAnsi="Cambria"/>
                <w:bCs/>
                <w:sz w:val="16"/>
                <w:szCs w:val="16"/>
              </w:rPr>
            </w:pPr>
            <w:r w:rsidRPr="006D60E9">
              <w:rPr>
                <w:rFonts w:ascii="Cambria" w:hAnsi="Cambria"/>
                <w:bCs/>
                <w:sz w:val="16"/>
                <w:szCs w:val="16"/>
              </w:rPr>
              <w:t>Хорошее</w:t>
            </w:r>
          </w:p>
        </w:tc>
        <w:tc>
          <w:tcPr>
            <w:tcW w:w="5377" w:type="dxa"/>
            <w:vMerge w:val="restart"/>
            <w:vAlign w:val="center"/>
          </w:tcPr>
          <w:p w:rsidR="006568BA" w:rsidRPr="006D60E9" w:rsidRDefault="006568BA" w:rsidP="00D70166">
            <w:pPr>
              <w:rPr>
                <w:rFonts w:ascii="Cambria" w:hAnsi="Cambria"/>
                <w:sz w:val="16"/>
                <w:szCs w:val="16"/>
              </w:rPr>
            </w:pPr>
            <w:r w:rsidRPr="006D60E9">
              <w:rPr>
                <w:rFonts w:ascii="Cambria" w:hAnsi="Cambria"/>
                <w:sz w:val="16"/>
                <w:szCs w:val="16"/>
              </w:rPr>
              <w:t xml:space="preserve">Бывшее в эксплуатации оборудование, полностью отремонтированное или реконструированное, в отличном состоянии </w:t>
            </w:r>
          </w:p>
        </w:tc>
        <w:tc>
          <w:tcPr>
            <w:tcW w:w="3005" w:type="dxa"/>
            <w:vAlign w:val="center"/>
          </w:tcPr>
          <w:p w:rsidR="006568BA" w:rsidRPr="006D60E9" w:rsidRDefault="006568BA" w:rsidP="00D70166">
            <w:pPr>
              <w:jc w:val="center"/>
              <w:rPr>
                <w:rFonts w:ascii="Cambria" w:hAnsi="Cambria"/>
                <w:sz w:val="16"/>
                <w:szCs w:val="16"/>
              </w:rPr>
            </w:pPr>
            <w:r w:rsidRPr="006D60E9">
              <w:rPr>
                <w:rFonts w:ascii="Cambria" w:hAnsi="Cambria"/>
                <w:sz w:val="16"/>
                <w:szCs w:val="16"/>
              </w:rPr>
              <w:t>20</w:t>
            </w:r>
          </w:p>
        </w:tc>
      </w:tr>
      <w:tr w:rsidR="006568BA" w:rsidRPr="006D60E9" w:rsidTr="00D70166">
        <w:trPr>
          <w:cantSplit/>
          <w:trHeight w:val="227"/>
        </w:trPr>
        <w:tc>
          <w:tcPr>
            <w:tcW w:w="2278" w:type="dxa"/>
            <w:vMerge/>
            <w:vAlign w:val="center"/>
          </w:tcPr>
          <w:p w:rsidR="006568BA" w:rsidRPr="006D60E9" w:rsidRDefault="006568BA" w:rsidP="00D70166">
            <w:pPr>
              <w:rPr>
                <w:rFonts w:ascii="Cambria" w:hAnsi="Cambria"/>
                <w:bCs/>
                <w:sz w:val="16"/>
                <w:szCs w:val="16"/>
              </w:rPr>
            </w:pPr>
          </w:p>
        </w:tc>
        <w:tc>
          <w:tcPr>
            <w:tcW w:w="5377" w:type="dxa"/>
            <w:vMerge/>
            <w:vAlign w:val="center"/>
          </w:tcPr>
          <w:p w:rsidR="006568BA" w:rsidRPr="006D60E9" w:rsidRDefault="006568BA" w:rsidP="00D70166">
            <w:pPr>
              <w:rPr>
                <w:rFonts w:ascii="Cambria" w:hAnsi="Cambria"/>
                <w:sz w:val="16"/>
                <w:szCs w:val="16"/>
              </w:rPr>
            </w:pPr>
          </w:p>
        </w:tc>
        <w:tc>
          <w:tcPr>
            <w:tcW w:w="3005" w:type="dxa"/>
            <w:vAlign w:val="center"/>
          </w:tcPr>
          <w:p w:rsidR="006568BA" w:rsidRPr="006D60E9" w:rsidRDefault="006568BA" w:rsidP="00D70166">
            <w:pPr>
              <w:jc w:val="center"/>
              <w:rPr>
                <w:rFonts w:ascii="Cambria" w:hAnsi="Cambria"/>
                <w:sz w:val="16"/>
                <w:szCs w:val="16"/>
              </w:rPr>
            </w:pPr>
            <w:r w:rsidRPr="006D60E9">
              <w:rPr>
                <w:rFonts w:ascii="Cambria" w:hAnsi="Cambria"/>
                <w:sz w:val="16"/>
                <w:szCs w:val="16"/>
              </w:rPr>
              <w:t>25</w:t>
            </w:r>
          </w:p>
        </w:tc>
      </w:tr>
      <w:tr w:rsidR="006568BA" w:rsidRPr="006D60E9" w:rsidTr="00D70166">
        <w:trPr>
          <w:cantSplit/>
          <w:trHeight w:val="227"/>
        </w:trPr>
        <w:tc>
          <w:tcPr>
            <w:tcW w:w="2278" w:type="dxa"/>
            <w:vMerge/>
            <w:vAlign w:val="center"/>
          </w:tcPr>
          <w:p w:rsidR="006568BA" w:rsidRPr="006D60E9" w:rsidRDefault="006568BA" w:rsidP="00D70166">
            <w:pPr>
              <w:rPr>
                <w:rFonts w:ascii="Cambria" w:hAnsi="Cambria"/>
                <w:bCs/>
                <w:sz w:val="16"/>
                <w:szCs w:val="16"/>
              </w:rPr>
            </w:pPr>
          </w:p>
        </w:tc>
        <w:tc>
          <w:tcPr>
            <w:tcW w:w="5377" w:type="dxa"/>
            <w:vMerge/>
            <w:vAlign w:val="center"/>
          </w:tcPr>
          <w:p w:rsidR="006568BA" w:rsidRPr="006D60E9" w:rsidRDefault="006568BA" w:rsidP="00D70166">
            <w:pPr>
              <w:rPr>
                <w:rFonts w:ascii="Cambria" w:hAnsi="Cambria"/>
                <w:sz w:val="16"/>
                <w:szCs w:val="16"/>
              </w:rPr>
            </w:pPr>
          </w:p>
        </w:tc>
        <w:tc>
          <w:tcPr>
            <w:tcW w:w="3005" w:type="dxa"/>
            <w:vAlign w:val="center"/>
          </w:tcPr>
          <w:p w:rsidR="006568BA" w:rsidRPr="006D60E9" w:rsidRDefault="006568BA" w:rsidP="00D70166">
            <w:pPr>
              <w:jc w:val="center"/>
              <w:rPr>
                <w:rFonts w:ascii="Cambria" w:hAnsi="Cambria"/>
                <w:sz w:val="16"/>
                <w:szCs w:val="16"/>
              </w:rPr>
            </w:pPr>
            <w:r w:rsidRPr="006D60E9">
              <w:rPr>
                <w:rFonts w:ascii="Cambria" w:hAnsi="Cambria"/>
                <w:sz w:val="16"/>
                <w:szCs w:val="16"/>
              </w:rPr>
              <w:t>30</w:t>
            </w:r>
          </w:p>
        </w:tc>
      </w:tr>
      <w:tr w:rsidR="006568BA" w:rsidRPr="006D60E9" w:rsidTr="00D70166">
        <w:trPr>
          <w:cantSplit/>
          <w:trHeight w:val="227"/>
        </w:trPr>
        <w:tc>
          <w:tcPr>
            <w:tcW w:w="2278" w:type="dxa"/>
            <w:vMerge/>
            <w:vAlign w:val="center"/>
          </w:tcPr>
          <w:p w:rsidR="006568BA" w:rsidRPr="006D60E9" w:rsidRDefault="006568BA" w:rsidP="00D70166">
            <w:pPr>
              <w:rPr>
                <w:rFonts w:ascii="Cambria" w:hAnsi="Cambria"/>
                <w:bCs/>
                <w:sz w:val="16"/>
                <w:szCs w:val="16"/>
              </w:rPr>
            </w:pPr>
          </w:p>
        </w:tc>
        <w:tc>
          <w:tcPr>
            <w:tcW w:w="5377" w:type="dxa"/>
            <w:vMerge/>
            <w:vAlign w:val="center"/>
          </w:tcPr>
          <w:p w:rsidR="006568BA" w:rsidRPr="006D60E9" w:rsidRDefault="006568BA" w:rsidP="00D70166">
            <w:pPr>
              <w:rPr>
                <w:rFonts w:ascii="Cambria" w:hAnsi="Cambria"/>
                <w:sz w:val="16"/>
                <w:szCs w:val="16"/>
              </w:rPr>
            </w:pPr>
          </w:p>
        </w:tc>
        <w:tc>
          <w:tcPr>
            <w:tcW w:w="3005" w:type="dxa"/>
            <w:vAlign w:val="center"/>
          </w:tcPr>
          <w:p w:rsidR="006568BA" w:rsidRPr="006D60E9" w:rsidRDefault="006568BA" w:rsidP="00D70166">
            <w:pPr>
              <w:jc w:val="center"/>
              <w:rPr>
                <w:rFonts w:ascii="Cambria" w:hAnsi="Cambria"/>
                <w:sz w:val="16"/>
                <w:szCs w:val="16"/>
              </w:rPr>
            </w:pPr>
            <w:r w:rsidRPr="006D60E9">
              <w:rPr>
                <w:rFonts w:ascii="Cambria" w:hAnsi="Cambria"/>
                <w:sz w:val="16"/>
                <w:szCs w:val="16"/>
              </w:rPr>
              <w:t>35</w:t>
            </w:r>
          </w:p>
        </w:tc>
      </w:tr>
      <w:tr w:rsidR="006568BA" w:rsidRPr="006D60E9" w:rsidTr="00D70166">
        <w:trPr>
          <w:cantSplit/>
          <w:trHeight w:val="227"/>
        </w:trPr>
        <w:tc>
          <w:tcPr>
            <w:tcW w:w="2278" w:type="dxa"/>
            <w:vMerge w:val="restart"/>
            <w:vAlign w:val="center"/>
          </w:tcPr>
          <w:p w:rsidR="006568BA" w:rsidRPr="006D60E9" w:rsidRDefault="006568BA" w:rsidP="00D70166">
            <w:pPr>
              <w:rPr>
                <w:rFonts w:ascii="Cambria" w:hAnsi="Cambria"/>
                <w:bCs/>
                <w:sz w:val="16"/>
                <w:szCs w:val="16"/>
              </w:rPr>
            </w:pPr>
            <w:r w:rsidRPr="006D60E9">
              <w:rPr>
                <w:rFonts w:ascii="Cambria" w:hAnsi="Cambria"/>
                <w:bCs/>
                <w:sz w:val="16"/>
                <w:szCs w:val="16"/>
              </w:rPr>
              <w:t>Удовлетворительное</w:t>
            </w:r>
          </w:p>
        </w:tc>
        <w:tc>
          <w:tcPr>
            <w:tcW w:w="5377" w:type="dxa"/>
            <w:vMerge w:val="restart"/>
            <w:vAlign w:val="center"/>
          </w:tcPr>
          <w:p w:rsidR="006568BA" w:rsidRPr="006D60E9" w:rsidRDefault="006568BA" w:rsidP="00D70166">
            <w:pPr>
              <w:rPr>
                <w:rFonts w:ascii="Cambria" w:hAnsi="Cambria"/>
                <w:sz w:val="16"/>
                <w:szCs w:val="16"/>
              </w:rPr>
            </w:pPr>
            <w:r w:rsidRPr="006D60E9">
              <w:rPr>
                <w:rFonts w:ascii="Cambria" w:hAnsi="Cambria"/>
                <w:sz w:val="16"/>
                <w:szCs w:val="16"/>
              </w:rPr>
              <w:t xml:space="preserve">Бывшее в эксплуатации оборудование, требующее некоторого ремонта или замены отдельных мелких частей, таких как подшипники, вкладыши и др. </w:t>
            </w:r>
          </w:p>
        </w:tc>
        <w:tc>
          <w:tcPr>
            <w:tcW w:w="3005" w:type="dxa"/>
            <w:vAlign w:val="center"/>
          </w:tcPr>
          <w:p w:rsidR="006568BA" w:rsidRPr="006D60E9" w:rsidRDefault="006568BA" w:rsidP="00D70166">
            <w:pPr>
              <w:jc w:val="center"/>
              <w:rPr>
                <w:rFonts w:ascii="Cambria" w:hAnsi="Cambria"/>
                <w:sz w:val="16"/>
                <w:szCs w:val="16"/>
              </w:rPr>
            </w:pPr>
            <w:r w:rsidRPr="006D60E9">
              <w:rPr>
                <w:rFonts w:ascii="Cambria" w:hAnsi="Cambria"/>
                <w:sz w:val="16"/>
                <w:szCs w:val="16"/>
              </w:rPr>
              <w:t>40</w:t>
            </w:r>
          </w:p>
        </w:tc>
      </w:tr>
      <w:tr w:rsidR="006568BA" w:rsidRPr="006D60E9" w:rsidTr="00D70166">
        <w:trPr>
          <w:cantSplit/>
          <w:trHeight w:val="227"/>
        </w:trPr>
        <w:tc>
          <w:tcPr>
            <w:tcW w:w="2278" w:type="dxa"/>
            <w:vMerge/>
            <w:vAlign w:val="center"/>
          </w:tcPr>
          <w:p w:rsidR="006568BA" w:rsidRPr="006D60E9" w:rsidRDefault="006568BA" w:rsidP="00D70166">
            <w:pPr>
              <w:rPr>
                <w:rFonts w:ascii="Cambria" w:hAnsi="Cambria"/>
                <w:bCs/>
                <w:sz w:val="16"/>
                <w:szCs w:val="16"/>
              </w:rPr>
            </w:pPr>
          </w:p>
        </w:tc>
        <w:tc>
          <w:tcPr>
            <w:tcW w:w="5377" w:type="dxa"/>
            <w:vMerge/>
            <w:vAlign w:val="center"/>
          </w:tcPr>
          <w:p w:rsidR="006568BA" w:rsidRPr="006D60E9" w:rsidRDefault="006568BA" w:rsidP="00D70166">
            <w:pPr>
              <w:rPr>
                <w:rFonts w:ascii="Cambria" w:hAnsi="Cambria"/>
                <w:sz w:val="16"/>
                <w:szCs w:val="16"/>
              </w:rPr>
            </w:pPr>
          </w:p>
        </w:tc>
        <w:tc>
          <w:tcPr>
            <w:tcW w:w="3005" w:type="dxa"/>
            <w:vAlign w:val="center"/>
          </w:tcPr>
          <w:p w:rsidR="006568BA" w:rsidRPr="006D60E9" w:rsidRDefault="006568BA" w:rsidP="00D70166">
            <w:pPr>
              <w:jc w:val="center"/>
              <w:rPr>
                <w:rFonts w:ascii="Cambria" w:hAnsi="Cambria"/>
                <w:sz w:val="16"/>
                <w:szCs w:val="16"/>
              </w:rPr>
            </w:pPr>
            <w:r w:rsidRPr="006D60E9">
              <w:rPr>
                <w:rFonts w:ascii="Cambria" w:hAnsi="Cambria"/>
                <w:sz w:val="16"/>
                <w:szCs w:val="16"/>
              </w:rPr>
              <w:t>45</w:t>
            </w:r>
          </w:p>
        </w:tc>
      </w:tr>
      <w:tr w:rsidR="006568BA" w:rsidRPr="006D60E9" w:rsidTr="00D70166">
        <w:trPr>
          <w:cantSplit/>
          <w:trHeight w:val="227"/>
        </w:trPr>
        <w:tc>
          <w:tcPr>
            <w:tcW w:w="2278" w:type="dxa"/>
            <w:vMerge/>
            <w:vAlign w:val="center"/>
          </w:tcPr>
          <w:p w:rsidR="006568BA" w:rsidRPr="006D60E9" w:rsidRDefault="006568BA" w:rsidP="00D70166">
            <w:pPr>
              <w:rPr>
                <w:rFonts w:ascii="Cambria" w:hAnsi="Cambria"/>
                <w:bCs/>
                <w:sz w:val="16"/>
                <w:szCs w:val="16"/>
              </w:rPr>
            </w:pPr>
          </w:p>
        </w:tc>
        <w:tc>
          <w:tcPr>
            <w:tcW w:w="5377" w:type="dxa"/>
            <w:vMerge/>
            <w:vAlign w:val="center"/>
          </w:tcPr>
          <w:p w:rsidR="006568BA" w:rsidRPr="006D60E9" w:rsidRDefault="006568BA" w:rsidP="00D70166">
            <w:pPr>
              <w:rPr>
                <w:rFonts w:ascii="Cambria" w:hAnsi="Cambria"/>
                <w:sz w:val="16"/>
                <w:szCs w:val="16"/>
              </w:rPr>
            </w:pPr>
          </w:p>
        </w:tc>
        <w:tc>
          <w:tcPr>
            <w:tcW w:w="3005" w:type="dxa"/>
            <w:vAlign w:val="center"/>
          </w:tcPr>
          <w:p w:rsidR="006568BA" w:rsidRPr="006D60E9" w:rsidRDefault="006568BA" w:rsidP="00D70166">
            <w:pPr>
              <w:jc w:val="center"/>
              <w:rPr>
                <w:rFonts w:ascii="Cambria" w:hAnsi="Cambria"/>
                <w:sz w:val="16"/>
                <w:szCs w:val="16"/>
              </w:rPr>
            </w:pPr>
            <w:r w:rsidRPr="006D60E9">
              <w:rPr>
                <w:rFonts w:ascii="Cambria" w:hAnsi="Cambria"/>
                <w:sz w:val="16"/>
                <w:szCs w:val="16"/>
              </w:rPr>
              <w:t>50</w:t>
            </w:r>
          </w:p>
        </w:tc>
      </w:tr>
      <w:tr w:rsidR="006568BA" w:rsidRPr="006D60E9" w:rsidTr="00D70166">
        <w:trPr>
          <w:cantSplit/>
          <w:trHeight w:val="227"/>
        </w:trPr>
        <w:tc>
          <w:tcPr>
            <w:tcW w:w="2278" w:type="dxa"/>
            <w:vMerge/>
            <w:vAlign w:val="center"/>
          </w:tcPr>
          <w:p w:rsidR="006568BA" w:rsidRPr="006D60E9" w:rsidRDefault="006568BA" w:rsidP="00D70166">
            <w:pPr>
              <w:rPr>
                <w:rFonts w:ascii="Cambria" w:hAnsi="Cambria"/>
                <w:bCs/>
                <w:sz w:val="16"/>
                <w:szCs w:val="16"/>
              </w:rPr>
            </w:pPr>
          </w:p>
        </w:tc>
        <w:tc>
          <w:tcPr>
            <w:tcW w:w="5377" w:type="dxa"/>
            <w:vMerge/>
            <w:vAlign w:val="center"/>
          </w:tcPr>
          <w:p w:rsidR="006568BA" w:rsidRPr="006D60E9" w:rsidRDefault="006568BA" w:rsidP="00D70166">
            <w:pPr>
              <w:rPr>
                <w:rFonts w:ascii="Cambria" w:hAnsi="Cambria"/>
                <w:sz w:val="16"/>
                <w:szCs w:val="16"/>
              </w:rPr>
            </w:pPr>
          </w:p>
        </w:tc>
        <w:tc>
          <w:tcPr>
            <w:tcW w:w="3005" w:type="dxa"/>
            <w:vAlign w:val="center"/>
          </w:tcPr>
          <w:p w:rsidR="006568BA" w:rsidRPr="006D60E9" w:rsidRDefault="006568BA" w:rsidP="00D70166">
            <w:pPr>
              <w:jc w:val="center"/>
              <w:rPr>
                <w:rFonts w:ascii="Cambria" w:hAnsi="Cambria"/>
                <w:sz w:val="16"/>
                <w:szCs w:val="16"/>
              </w:rPr>
            </w:pPr>
            <w:r w:rsidRPr="006D60E9">
              <w:rPr>
                <w:rFonts w:ascii="Cambria" w:hAnsi="Cambria"/>
                <w:sz w:val="16"/>
                <w:szCs w:val="16"/>
              </w:rPr>
              <w:t>55</w:t>
            </w:r>
          </w:p>
        </w:tc>
      </w:tr>
      <w:tr w:rsidR="006568BA" w:rsidRPr="006D60E9" w:rsidTr="00D70166">
        <w:trPr>
          <w:cantSplit/>
          <w:trHeight w:val="227"/>
        </w:trPr>
        <w:tc>
          <w:tcPr>
            <w:tcW w:w="2278" w:type="dxa"/>
            <w:vMerge/>
            <w:vAlign w:val="center"/>
          </w:tcPr>
          <w:p w:rsidR="006568BA" w:rsidRPr="006D60E9" w:rsidRDefault="006568BA" w:rsidP="00D70166">
            <w:pPr>
              <w:rPr>
                <w:rFonts w:ascii="Cambria" w:hAnsi="Cambria"/>
                <w:bCs/>
                <w:sz w:val="16"/>
                <w:szCs w:val="16"/>
              </w:rPr>
            </w:pPr>
          </w:p>
        </w:tc>
        <w:tc>
          <w:tcPr>
            <w:tcW w:w="5377" w:type="dxa"/>
            <w:vMerge/>
            <w:vAlign w:val="center"/>
          </w:tcPr>
          <w:p w:rsidR="006568BA" w:rsidRPr="006D60E9" w:rsidRDefault="006568BA" w:rsidP="00D70166">
            <w:pPr>
              <w:rPr>
                <w:rFonts w:ascii="Cambria" w:hAnsi="Cambria"/>
                <w:sz w:val="16"/>
                <w:szCs w:val="16"/>
              </w:rPr>
            </w:pPr>
          </w:p>
        </w:tc>
        <w:tc>
          <w:tcPr>
            <w:tcW w:w="3005" w:type="dxa"/>
            <w:vAlign w:val="center"/>
          </w:tcPr>
          <w:p w:rsidR="006568BA" w:rsidRPr="006D60E9" w:rsidRDefault="006568BA" w:rsidP="00D70166">
            <w:pPr>
              <w:jc w:val="center"/>
              <w:rPr>
                <w:rFonts w:ascii="Cambria" w:hAnsi="Cambria"/>
                <w:sz w:val="16"/>
                <w:szCs w:val="16"/>
              </w:rPr>
            </w:pPr>
            <w:r w:rsidRPr="006D60E9">
              <w:rPr>
                <w:rFonts w:ascii="Cambria" w:hAnsi="Cambria"/>
                <w:sz w:val="16"/>
                <w:szCs w:val="16"/>
              </w:rPr>
              <w:t>60</w:t>
            </w:r>
          </w:p>
        </w:tc>
      </w:tr>
      <w:tr w:rsidR="006568BA" w:rsidRPr="006D60E9" w:rsidTr="00D70166">
        <w:trPr>
          <w:cantSplit/>
          <w:trHeight w:val="227"/>
        </w:trPr>
        <w:tc>
          <w:tcPr>
            <w:tcW w:w="2278" w:type="dxa"/>
            <w:vMerge w:val="restart"/>
            <w:vAlign w:val="center"/>
          </w:tcPr>
          <w:p w:rsidR="006568BA" w:rsidRPr="006D60E9" w:rsidRDefault="006568BA" w:rsidP="00D70166">
            <w:pPr>
              <w:rPr>
                <w:rFonts w:ascii="Cambria" w:hAnsi="Cambria"/>
                <w:bCs/>
                <w:sz w:val="16"/>
                <w:szCs w:val="16"/>
              </w:rPr>
            </w:pPr>
            <w:r w:rsidRPr="006D60E9">
              <w:rPr>
                <w:rFonts w:ascii="Cambria" w:hAnsi="Cambria"/>
                <w:bCs/>
                <w:sz w:val="16"/>
                <w:szCs w:val="16"/>
              </w:rPr>
              <w:t>Условно пригодное</w:t>
            </w:r>
          </w:p>
        </w:tc>
        <w:tc>
          <w:tcPr>
            <w:tcW w:w="5377" w:type="dxa"/>
            <w:vMerge w:val="restart"/>
            <w:vAlign w:val="center"/>
          </w:tcPr>
          <w:p w:rsidR="006568BA" w:rsidRPr="006D60E9" w:rsidRDefault="006568BA" w:rsidP="00D70166">
            <w:pPr>
              <w:rPr>
                <w:rFonts w:ascii="Cambria" w:hAnsi="Cambria"/>
                <w:sz w:val="16"/>
                <w:szCs w:val="16"/>
              </w:rPr>
            </w:pPr>
            <w:r w:rsidRPr="006D60E9">
              <w:rPr>
                <w:rFonts w:ascii="Cambria" w:hAnsi="Cambria"/>
                <w:sz w:val="16"/>
                <w:szCs w:val="16"/>
              </w:rPr>
              <w:t>Бывшее в эксплуатации оборудование в состоянии, пригодном для дальнейшей эксплуатации, но требующее значительного ремонта или замены главных частей, таких как двигатель и других ответственных узлов</w:t>
            </w:r>
          </w:p>
        </w:tc>
        <w:tc>
          <w:tcPr>
            <w:tcW w:w="3005" w:type="dxa"/>
            <w:vAlign w:val="center"/>
          </w:tcPr>
          <w:p w:rsidR="006568BA" w:rsidRPr="006D60E9" w:rsidRDefault="006568BA" w:rsidP="00D70166">
            <w:pPr>
              <w:jc w:val="center"/>
              <w:rPr>
                <w:rFonts w:ascii="Cambria" w:hAnsi="Cambria"/>
                <w:sz w:val="16"/>
                <w:szCs w:val="16"/>
              </w:rPr>
            </w:pPr>
            <w:r w:rsidRPr="006D60E9">
              <w:rPr>
                <w:rFonts w:ascii="Cambria" w:hAnsi="Cambria"/>
                <w:sz w:val="16"/>
                <w:szCs w:val="16"/>
              </w:rPr>
              <w:t>65</w:t>
            </w:r>
          </w:p>
        </w:tc>
      </w:tr>
      <w:tr w:rsidR="006568BA" w:rsidRPr="006D60E9" w:rsidTr="00D70166">
        <w:trPr>
          <w:cantSplit/>
          <w:trHeight w:val="227"/>
        </w:trPr>
        <w:tc>
          <w:tcPr>
            <w:tcW w:w="2278" w:type="dxa"/>
            <w:vMerge/>
            <w:vAlign w:val="center"/>
          </w:tcPr>
          <w:p w:rsidR="006568BA" w:rsidRPr="006D60E9" w:rsidRDefault="006568BA" w:rsidP="00D70166">
            <w:pPr>
              <w:rPr>
                <w:rFonts w:ascii="Cambria" w:hAnsi="Cambria"/>
                <w:bCs/>
                <w:sz w:val="16"/>
                <w:szCs w:val="16"/>
              </w:rPr>
            </w:pPr>
          </w:p>
        </w:tc>
        <w:tc>
          <w:tcPr>
            <w:tcW w:w="5377" w:type="dxa"/>
            <w:vMerge/>
            <w:vAlign w:val="center"/>
          </w:tcPr>
          <w:p w:rsidR="006568BA" w:rsidRPr="006D60E9" w:rsidRDefault="006568BA" w:rsidP="00D70166">
            <w:pPr>
              <w:rPr>
                <w:rFonts w:ascii="Cambria" w:hAnsi="Cambria"/>
                <w:sz w:val="16"/>
                <w:szCs w:val="16"/>
              </w:rPr>
            </w:pPr>
          </w:p>
        </w:tc>
        <w:tc>
          <w:tcPr>
            <w:tcW w:w="3005" w:type="dxa"/>
            <w:vAlign w:val="center"/>
          </w:tcPr>
          <w:p w:rsidR="006568BA" w:rsidRPr="006D60E9" w:rsidRDefault="006568BA" w:rsidP="00D70166">
            <w:pPr>
              <w:jc w:val="center"/>
              <w:rPr>
                <w:rFonts w:ascii="Cambria" w:hAnsi="Cambria"/>
                <w:sz w:val="16"/>
                <w:szCs w:val="16"/>
              </w:rPr>
            </w:pPr>
            <w:r w:rsidRPr="006D60E9">
              <w:rPr>
                <w:rFonts w:ascii="Cambria" w:hAnsi="Cambria"/>
                <w:sz w:val="16"/>
                <w:szCs w:val="16"/>
              </w:rPr>
              <w:t>70</w:t>
            </w:r>
          </w:p>
        </w:tc>
      </w:tr>
      <w:tr w:rsidR="006568BA" w:rsidRPr="006D60E9" w:rsidTr="00D70166">
        <w:trPr>
          <w:cantSplit/>
          <w:trHeight w:val="227"/>
        </w:trPr>
        <w:tc>
          <w:tcPr>
            <w:tcW w:w="2278" w:type="dxa"/>
            <w:vMerge/>
            <w:vAlign w:val="center"/>
          </w:tcPr>
          <w:p w:rsidR="006568BA" w:rsidRPr="006D60E9" w:rsidRDefault="006568BA" w:rsidP="00D70166">
            <w:pPr>
              <w:rPr>
                <w:rFonts w:ascii="Cambria" w:hAnsi="Cambria"/>
                <w:bCs/>
                <w:sz w:val="16"/>
                <w:szCs w:val="16"/>
              </w:rPr>
            </w:pPr>
          </w:p>
        </w:tc>
        <w:tc>
          <w:tcPr>
            <w:tcW w:w="5377" w:type="dxa"/>
            <w:vMerge/>
            <w:vAlign w:val="center"/>
          </w:tcPr>
          <w:p w:rsidR="006568BA" w:rsidRPr="006D60E9" w:rsidRDefault="006568BA" w:rsidP="00D70166">
            <w:pPr>
              <w:rPr>
                <w:rFonts w:ascii="Cambria" w:hAnsi="Cambria"/>
                <w:sz w:val="16"/>
                <w:szCs w:val="16"/>
              </w:rPr>
            </w:pPr>
          </w:p>
        </w:tc>
        <w:tc>
          <w:tcPr>
            <w:tcW w:w="3005" w:type="dxa"/>
            <w:vAlign w:val="center"/>
          </w:tcPr>
          <w:p w:rsidR="006568BA" w:rsidRPr="006D60E9" w:rsidRDefault="006568BA" w:rsidP="00D70166">
            <w:pPr>
              <w:jc w:val="center"/>
              <w:rPr>
                <w:rFonts w:ascii="Cambria" w:hAnsi="Cambria"/>
                <w:sz w:val="16"/>
                <w:szCs w:val="16"/>
              </w:rPr>
            </w:pPr>
            <w:r w:rsidRPr="006D60E9">
              <w:rPr>
                <w:rFonts w:ascii="Cambria" w:hAnsi="Cambria"/>
                <w:sz w:val="16"/>
                <w:szCs w:val="16"/>
              </w:rPr>
              <w:t>75</w:t>
            </w:r>
          </w:p>
        </w:tc>
      </w:tr>
      <w:tr w:rsidR="006568BA" w:rsidRPr="006D60E9" w:rsidTr="00D70166">
        <w:trPr>
          <w:cantSplit/>
          <w:trHeight w:val="227"/>
        </w:trPr>
        <w:tc>
          <w:tcPr>
            <w:tcW w:w="2278" w:type="dxa"/>
            <w:vMerge/>
            <w:vAlign w:val="center"/>
          </w:tcPr>
          <w:p w:rsidR="006568BA" w:rsidRPr="006D60E9" w:rsidRDefault="006568BA" w:rsidP="00D70166">
            <w:pPr>
              <w:rPr>
                <w:rFonts w:ascii="Cambria" w:hAnsi="Cambria"/>
                <w:bCs/>
                <w:sz w:val="16"/>
                <w:szCs w:val="16"/>
              </w:rPr>
            </w:pPr>
          </w:p>
        </w:tc>
        <w:tc>
          <w:tcPr>
            <w:tcW w:w="5377" w:type="dxa"/>
            <w:vMerge/>
            <w:vAlign w:val="center"/>
          </w:tcPr>
          <w:p w:rsidR="006568BA" w:rsidRPr="006D60E9" w:rsidRDefault="006568BA" w:rsidP="00D70166">
            <w:pPr>
              <w:rPr>
                <w:rFonts w:ascii="Cambria" w:hAnsi="Cambria"/>
                <w:sz w:val="16"/>
                <w:szCs w:val="16"/>
              </w:rPr>
            </w:pPr>
          </w:p>
        </w:tc>
        <w:tc>
          <w:tcPr>
            <w:tcW w:w="3005" w:type="dxa"/>
            <w:vAlign w:val="center"/>
          </w:tcPr>
          <w:p w:rsidR="006568BA" w:rsidRPr="006D60E9" w:rsidRDefault="006568BA" w:rsidP="00D70166">
            <w:pPr>
              <w:jc w:val="center"/>
              <w:rPr>
                <w:rFonts w:ascii="Cambria" w:hAnsi="Cambria"/>
                <w:sz w:val="16"/>
                <w:szCs w:val="16"/>
              </w:rPr>
            </w:pPr>
            <w:r w:rsidRPr="006D60E9">
              <w:rPr>
                <w:rFonts w:ascii="Cambria" w:hAnsi="Cambria"/>
                <w:sz w:val="16"/>
                <w:szCs w:val="16"/>
              </w:rPr>
              <w:t>80</w:t>
            </w:r>
          </w:p>
        </w:tc>
      </w:tr>
      <w:tr w:rsidR="006568BA" w:rsidRPr="006D60E9" w:rsidTr="00D70166">
        <w:trPr>
          <w:cantSplit/>
          <w:trHeight w:val="227"/>
        </w:trPr>
        <w:tc>
          <w:tcPr>
            <w:tcW w:w="2278" w:type="dxa"/>
            <w:vMerge w:val="restart"/>
            <w:vAlign w:val="center"/>
          </w:tcPr>
          <w:p w:rsidR="006568BA" w:rsidRPr="006D60E9" w:rsidRDefault="006568BA" w:rsidP="00D70166">
            <w:pPr>
              <w:rPr>
                <w:rFonts w:ascii="Cambria" w:hAnsi="Cambria"/>
                <w:bCs/>
                <w:sz w:val="16"/>
                <w:szCs w:val="16"/>
              </w:rPr>
            </w:pPr>
            <w:r w:rsidRPr="006D60E9">
              <w:rPr>
                <w:rFonts w:ascii="Cambria" w:hAnsi="Cambria"/>
                <w:bCs/>
                <w:sz w:val="16"/>
                <w:szCs w:val="16"/>
              </w:rPr>
              <w:t>Неудовлетворительное</w:t>
            </w:r>
          </w:p>
        </w:tc>
        <w:tc>
          <w:tcPr>
            <w:tcW w:w="5377" w:type="dxa"/>
            <w:vMerge w:val="restart"/>
            <w:vAlign w:val="center"/>
          </w:tcPr>
          <w:p w:rsidR="006568BA" w:rsidRPr="006D60E9" w:rsidRDefault="006568BA" w:rsidP="00D70166">
            <w:pPr>
              <w:rPr>
                <w:rFonts w:ascii="Cambria" w:hAnsi="Cambria"/>
                <w:sz w:val="16"/>
                <w:szCs w:val="16"/>
              </w:rPr>
            </w:pPr>
            <w:r w:rsidRPr="006D60E9">
              <w:rPr>
                <w:rFonts w:ascii="Cambria" w:hAnsi="Cambria"/>
                <w:sz w:val="16"/>
                <w:szCs w:val="16"/>
              </w:rPr>
              <w:t>Бывшее в эксплуатации оборудование, требующее капитального ремонта, такого как замена рабочих органов основных агрегатов</w:t>
            </w:r>
          </w:p>
        </w:tc>
        <w:tc>
          <w:tcPr>
            <w:tcW w:w="3005" w:type="dxa"/>
            <w:vAlign w:val="center"/>
          </w:tcPr>
          <w:p w:rsidR="006568BA" w:rsidRPr="006D60E9" w:rsidRDefault="006568BA" w:rsidP="00D70166">
            <w:pPr>
              <w:jc w:val="center"/>
              <w:rPr>
                <w:rFonts w:ascii="Cambria" w:hAnsi="Cambria"/>
                <w:sz w:val="16"/>
                <w:szCs w:val="16"/>
              </w:rPr>
            </w:pPr>
            <w:r w:rsidRPr="006D60E9">
              <w:rPr>
                <w:rFonts w:ascii="Cambria" w:hAnsi="Cambria"/>
                <w:sz w:val="16"/>
                <w:szCs w:val="16"/>
              </w:rPr>
              <w:t>85</w:t>
            </w:r>
          </w:p>
        </w:tc>
      </w:tr>
      <w:tr w:rsidR="006568BA" w:rsidRPr="006D60E9" w:rsidTr="00D70166">
        <w:trPr>
          <w:cantSplit/>
          <w:trHeight w:val="227"/>
        </w:trPr>
        <w:tc>
          <w:tcPr>
            <w:tcW w:w="2278" w:type="dxa"/>
            <w:vMerge/>
            <w:vAlign w:val="center"/>
          </w:tcPr>
          <w:p w:rsidR="006568BA" w:rsidRPr="006D60E9" w:rsidRDefault="006568BA" w:rsidP="00D70166">
            <w:pPr>
              <w:rPr>
                <w:rFonts w:ascii="Cambria" w:hAnsi="Cambria"/>
                <w:bCs/>
                <w:sz w:val="16"/>
                <w:szCs w:val="16"/>
              </w:rPr>
            </w:pPr>
          </w:p>
        </w:tc>
        <w:tc>
          <w:tcPr>
            <w:tcW w:w="5377" w:type="dxa"/>
            <w:vMerge/>
            <w:vAlign w:val="center"/>
          </w:tcPr>
          <w:p w:rsidR="006568BA" w:rsidRPr="006D60E9" w:rsidRDefault="006568BA" w:rsidP="00D70166">
            <w:pPr>
              <w:rPr>
                <w:rFonts w:ascii="Cambria" w:hAnsi="Cambria"/>
                <w:sz w:val="16"/>
                <w:szCs w:val="16"/>
              </w:rPr>
            </w:pPr>
          </w:p>
        </w:tc>
        <w:tc>
          <w:tcPr>
            <w:tcW w:w="3005" w:type="dxa"/>
            <w:vAlign w:val="center"/>
          </w:tcPr>
          <w:p w:rsidR="006568BA" w:rsidRPr="006D60E9" w:rsidRDefault="006568BA" w:rsidP="00D70166">
            <w:pPr>
              <w:jc w:val="center"/>
              <w:rPr>
                <w:rFonts w:ascii="Cambria" w:hAnsi="Cambria"/>
                <w:sz w:val="16"/>
                <w:szCs w:val="16"/>
              </w:rPr>
            </w:pPr>
            <w:r w:rsidRPr="006D60E9">
              <w:rPr>
                <w:rFonts w:ascii="Cambria" w:hAnsi="Cambria"/>
                <w:sz w:val="16"/>
                <w:szCs w:val="16"/>
              </w:rPr>
              <w:t>90</w:t>
            </w:r>
          </w:p>
        </w:tc>
      </w:tr>
      <w:tr w:rsidR="006568BA" w:rsidRPr="006D60E9" w:rsidTr="00D70166">
        <w:trPr>
          <w:cantSplit/>
          <w:trHeight w:val="227"/>
        </w:trPr>
        <w:tc>
          <w:tcPr>
            <w:tcW w:w="2278" w:type="dxa"/>
            <w:vAlign w:val="center"/>
          </w:tcPr>
          <w:p w:rsidR="006568BA" w:rsidRPr="006D60E9" w:rsidRDefault="006568BA" w:rsidP="00D70166">
            <w:pPr>
              <w:rPr>
                <w:rFonts w:ascii="Cambria" w:hAnsi="Cambria"/>
                <w:bCs/>
                <w:sz w:val="16"/>
                <w:szCs w:val="16"/>
              </w:rPr>
            </w:pPr>
            <w:r w:rsidRPr="006D60E9">
              <w:rPr>
                <w:rFonts w:ascii="Cambria" w:hAnsi="Cambria"/>
                <w:bCs/>
                <w:sz w:val="16"/>
                <w:szCs w:val="16"/>
              </w:rPr>
              <w:t>Негодное к применению или лом</w:t>
            </w:r>
          </w:p>
        </w:tc>
        <w:tc>
          <w:tcPr>
            <w:tcW w:w="5377" w:type="dxa"/>
            <w:vAlign w:val="center"/>
          </w:tcPr>
          <w:p w:rsidR="006568BA" w:rsidRPr="006D60E9" w:rsidRDefault="006568BA" w:rsidP="00D70166">
            <w:pPr>
              <w:rPr>
                <w:rFonts w:ascii="Cambria" w:hAnsi="Cambria"/>
                <w:sz w:val="16"/>
                <w:szCs w:val="16"/>
              </w:rPr>
            </w:pPr>
            <w:r w:rsidRPr="006D60E9">
              <w:rPr>
                <w:rFonts w:ascii="Cambria" w:hAnsi="Cambria"/>
                <w:sz w:val="16"/>
                <w:szCs w:val="16"/>
              </w:rPr>
              <w:t>Оборудование, в отношении которого нет разумных перспектив на продажу, кроме как по стоимости основных материалов, которые можно из него извлечь</w:t>
            </w:r>
          </w:p>
        </w:tc>
        <w:tc>
          <w:tcPr>
            <w:tcW w:w="3005" w:type="dxa"/>
            <w:vAlign w:val="center"/>
          </w:tcPr>
          <w:p w:rsidR="006568BA" w:rsidRPr="006D60E9" w:rsidRDefault="006568BA" w:rsidP="00D70166">
            <w:pPr>
              <w:jc w:val="center"/>
              <w:rPr>
                <w:rFonts w:ascii="Cambria" w:hAnsi="Cambria"/>
                <w:sz w:val="16"/>
                <w:szCs w:val="16"/>
              </w:rPr>
            </w:pPr>
            <w:r w:rsidRPr="006D60E9">
              <w:rPr>
                <w:rFonts w:ascii="Cambria" w:hAnsi="Cambria"/>
                <w:sz w:val="16"/>
                <w:szCs w:val="16"/>
              </w:rPr>
              <w:t>97,5</w:t>
            </w:r>
          </w:p>
          <w:p w:rsidR="006568BA" w:rsidRPr="006D60E9" w:rsidRDefault="006568BA" w:rsidP="00D70166">
            <w:pPr>
              <w:jc w:val="center"/>
              <w:rPr>
                <w:rFonts w:ascii="Cambria" w:hAnsi="Cambria"/>
                <w:sz w:val="16"/>
                <w:szCs w:val="16"/>
              </w:rPr>
            </w:pPr>
            <w:r w:rsidRPr="006D60E9">
              <w:rPr>
                <w:rFonts w:ascii="Cambria" w:hAnsi="Cambria"/>
                <w:sz w:val="16"/>
                <w:szCs w:val="16"/>
              </w:rPr>
              <w:t>100</w:t>
            </w:r>
          </w:p>
        </w:tc>
      </w:tr>
    </w:tbl>
    <w:p w:rsidR="006568BA" w:rsidRPr="000E51C8" w:rsidRDefault="006568BA" w:rsidP="006568BA">
      <w:pPr>
        <w:spacing w:before="120" w:after="120"/>
        <w:ind w:firstLine="709"/>
        <w:jc w:val="both"/>
        <w:rPr>
          <w:rFonts w:ascii="Bookman Old Style" w:hAnsi="Bookman Old Style"/>
          <w:sz w:val="20"/>
          <w:szCs w:val="20"/>
        </w:rPr>
      </w:pPr>
      <w:r w:rsidRPr="000E51C8">
        <w:rPr>
          <w:rFonts w:ascii="Bookman Old Style" w:hAnsi="Bookman Old Style"/>
          <w:sz w:val="20"/>
          <w:szCs w:val="20"/>
        </w:rPr>
        <w:t xml:space="preserve">При составлении настоящего отчета, </w:t>
      </w:r>
      <w:r>
        <w:rPr>
          <w:rFonts w:ascii="Bookman Old Style" w:hAnsi="Bookman Old Style"/>
          <w:sz w:val="20"/>
          <w:szCs w:val="20"/>
        </w:rPr>
        <w:t xml:space="preserve">для определения качественного состояния имущества, </w:t>
      </w:r>
      <w:r w:rsidRPr="000E51C8">
        <w:rPr>
          <w:rFonts w:ascii="Bookman Old Style" w:hAnsi="Bookman Old Style"/>
          <w:sz w:val="20"/>
          <w:szCs w:val="20"/>
        </w:rPr>
        <w:t>использован Акт осмотра,</w:t>
      </w:r>
      <w:r>
        <w:rPr>
          <w:rFonts w:ascii="Bookman Old Style" w:hAnsi="Bookman Old Style"/>
          <w:sz w:val="20"/>
          <w:szCs w:val="20"/>
        </w:rPr>
        <w:t xml:space="preserve"> </w:t>
      </w:r>
      <w:r w:rsidRPr="000E51C8">
        <w:rPr>
          <w:rFonts w:ascii="Bookman Old Style" w:hAnsi="Bookman Old Style"/>
          <w:sz w:val="20"/>
          <w:szCs w:val="20"/>
        </w:rPr>
        <w:t xml:space="preserve">идентификации и определения технического состояния имущества подлежащего оценке. </w:t>
      </w:r>
    </w:p>
    <w:p w:rsidR="006568BA" w:rsidRPr="000E51C8" w:rsidRDefault="006568BA" w:rsidP="006568BA">
      <w:pPr>
        <w:spacing w:before="120" w:after="120"/>
        <w:jc w:val="both"/>
        <w:rPr>
          <w:rFonts w:ascii="Bookman Old Style" w:hAnsi="Bookman Old Style"/>
          <w:sz w:val="20"/>
          <w:szCs w:val="20"/>
        </w:rPr>
      </w:pPr>
      <w:r w:rsidRPr="000E51C8">
        <w:rPr>
          <w:rFonts w:ascii="Bookman Old Style" w:hAnsi="Bookman Old Style"/>
          <w:sz w:val="20"/>
          <w:szCs w:val="20"/>
        </w:rPr>
        <w:tab/>
        <w:t>При составлении Акта ставились задачи:</w:t>
      </w:r>
    </w:p>
    <w:p w:rsidR="006568BA" w:rsidRPr="000E51C8" w:rsidRDefault="006568BA" w:rsidP="006568BA">
      <w:pPr>
        <w:numPr>
          <w:ilvl w:val="0"/>
          <w:numId w:val="7"/>
        </w:numPr>
        <w:spacing w:before="120" w:after="120"/>
        <w:rPr>
          <w:rFonts w:ascii="Bookman Old Style" w:hAnsi="Bookman Old Style"/>
          <w:sz w:val="20"/>
          <w:szCs w:val="20"/>
        </w:rPr>
      </w:pPr>
      <w:r w:rsidRPr="000E51C8">
        <w:rPr>
          <w:rFonts w:ascii="Bookman Old Style" w:hAnsi="Bookman Old Style"/>
          <w:sz w:val="20"/>
          <w:szCs w:val="20"/>
        </w:rPr>
        <w:t xml:space="preserve">Сравнение представленной описательной информации в </w:t>
      </w:r>
      <w:r>
        <w:rPr>
          <w:rFonts w:ascii="Bookman Old Style" w:hAnsi="Bookman Old Style"/>
          <w:sz w:val="20"/>
          <w:szCs w:val="20"/>
        </w:rPr>
        <w:t>контрактах</w:t>
      </w:r>
      <w:r w:rsidRPr="000E51C8">
        <w:rPr>
          <w:rFonts w:ascii="Bookman Old Style" w:hAnsi="Bookman Old Style"/>
          <w:sz w:val="20"/>
          <w:szCs w:val="20"/>
        </w:rPr>
        <w:t xml:space="preserve"> описях имущества с фактически материальным предметом;</w:t>
      </w:r>
    </w:p>
    <w:p w:rsidR="006568BA" w:rsidRPr="000E51C8" w:rsidRDefault="006568BA" w:rsidP="006568BA">
      <w:pPr>
        <w:numPr>
          <w:ilvl w:val="0"/>
          <w:numId w:val="7"/>
        </w:numPr>
        <w:spacing w:before="120" w:after="120"/>
        <w:jc w:val="both"/>
        <w:rPr>
          <w:rFonts w:ascii="Bookman Old Style" w:hAnsi="Bookman Old Style"/>
          <w:sz w:val="20"/>
          <w:szCs w:val="20"/>
        </w:rPr>
      </w:pPr>
      <w:r w:rsidRPr="000E51C8">
        <w:rPr>
          <w:rFonts w:ascii="Bookman Old Style" w:hAnsi="Bookman Old Style"/>
          <w:sz w:val="20"/>
          <w:szCs w:val="20"/>
        </w:rPr>
        <w:t>Описание качества и состояния имущества;</w:t>
      </w:r>
    </w:p>
    <w:p w:rsidR="006568BA" w:rsidRPr="000E51C8" w:rsidRDefault="006568BA" w:rsidP="006568BA">
      <w:pPr>
        <w:numPr>
          <w:ilvl w:val="0"/>
          <w:numId w:val="7"/>
        </w:numPr>
        <w:spacing w:before="120" w:after="120"/>
        <w:jc w:val="both"/>
        <w:rPr>
          <w:rFonts w:ascii="Bookman Old Style" w:hAnsi="Bookman Old Style"/>
          <w:sz w:val="20"/>
          <w:szCs w:val="20"/>
        </w:rPr>
      </w:pPr>
      <w:r w:rsidRPr="000E51C8">
        <w:rPr>
          <w:rFonts w:ascii="Bookman Old Style" w:hAnsi="Bookman Old Style"/>
          <w:sz w:val="20"/>
          <w:szCs w:val="20"/>
        </w:rPr>
        <w:t>Идентификация объектов;</w:t>
      </w:r>
    </w:p>
    <w:p w:rsidR="006568BA" w:rsidRPr="000E51C8" w:rsidRDefault="006568BA" w:rsidP="006568BA">
      <w:pPr>
        <w:spacing w:before="120" w:after="120"/>
        <w:ind w:firstLine="709"/>
        <w:rPr>
          <w:rFonts w:ascii="Bookman Old Style" w:hAnsi="Bookman Old Style"/>
          <w:sz w:val="20"/>
          <w:szCs w:val="20"/>
        </w:rPr>
      </w:pPr>
      <w:r w:rsidRPr="000E51C8">
        <w:rPr>
          <w:rFonts w:ascii="Bookman Old Style" w:hAnsi="Bookman Old Style"/>
          <w:sz w:val="20"/>
          <w:szCs w:val="20"/>
        </w:rPr>
        <w:t xml:space="preserve">Результаты </w:t>
      </w:r>
      <w:r>
        <w:rPr>
          <w:rFonts w:ascii="Bookman Old Style" w:hAnsi="Bookman Old Style"/>
          <w:sz w:val="20"/>
          <w:szCs w:val="20"/>
        </w:rPr>
        <w:t>расчета</w:t>
      </w:r>
      <w:r w:rsidRPr="000E51C8">
        <w:rPr>
          <w:rFonts w:ascii="Bookman Old Style" w:hAnsi="Bookman Old Style"/>
          <w:sz w:val="20"/>
          <w:szCs w:val="20"/>
        </w:rPr>
        <w:t xml:space="preserve"> физического износа </w:t>
      </w:r>
      <w:r w:rsidRPr="00A636A7">
        <w:rPr>
          <w:rFonts w:ascii="Bookman Old Style" w:hAnsi="Bookman Old Style"/>
          <w:sz w:val="20"/>
          <w:szCs w:val="20"/>
        </w:rPr>
        <w:t>в пункте 5.3.1.5.</w:t>
      </w:r>
    </w:p>
    <w:p w:rsidR="006568BA" w:rsidRPr="005D5DE1" w:rsidRDefault="006568BA" w:rsidP="006568BA">
      <w:pPr>
        <w:pStyle w:val="3"/>
        <w:spacing w:after="120"/>
        <w:rPr>
          <w:rFonts w:ascii="Bookman Old Style" w:hAnsi="Bookman Old Style"/>
          <w:sz w:val="20"/>
          <w:szCs w:val="20"/>
        </w:rPr>
      </w:pPr>
      <w:bookmarkStart w:id="332" w:name="_Toc447021013"/>
      <w:bookmarkStart w:id="333" w:name="_Toc449529997"/>
      <w:bookmarkStart w:id="334" w:name="_Toc461206421"/>
      <w:r w:rsidRPr="005D5DE1">
        <w:rPr>
          <w:rFonts w:ascii="Bookman Old Style" w:hAnsi="Bookman Old Style"/>
          <w:sz w:val="20"/>
          <w:szCs w:val="20"/>
        </w:rPr>
        <w:t>5.</w:t>
      </w:r>
      <w:r>
        <w:rPr>
          <w:rFonts w:ascii="Bookman Old Style" w:hAnsi="Bookman Old Style"/>
          <w:sz w:val="20"/>
          <w:szCs w:val="20"/>
        </w:rPr>
        <w:t>6</w:t>
      </w:r>
      <w:r w:rsidRPr="005D5DE1">
        <w:rPr>
          <w:rFonts w:ascii="Bookman Old Style" w:hAnsi="Bookman Old Style"/>
          <w:sz w:val="20"/>
          <w:szCs w:val="20"/>
        </w:rPr>
        <w:t>.1.3. Расчет функционального устаревания</w:t>
      </w:r>
      <w:bookmarkEnd w:id="332"/>
      <w:bookmarkEnd w:id="333"/>
      <w:bookmarkEnd w:id="334"/>
    </w:p>
    <w:p w:rsidR="006568BA" w:rsidRPr="009144BC" w:rsidRDefault="006568BA" w:rsidP="006568BA">
      <w:pPr>
        <w:spacing w:before="120" w:after="120"/>
        <w:ind w:firstLine="720"/>
        <w:jc w:val="both"/>
        <w:rPr>
          <w:rFonts w:ascii="Bookman Old Style" w:hAnsi="Bookman Old Style"/>
          <w:bCs/>
          <w:sz w:val="20"/>
          <w:szCs w:val="20"/>
        </w:rPr>
      </w:pPr>
      <w:r w:rsidRPr="009144BC">
        <w:rPr>
          <w:rFonts w:ascii="Bookman Old Style" w:hAnsi="Bookman Old Style"/>
          <w:bCs/>
          <w:sz w:val="20"/>
          <w:szCs w:val="20"/>
        </w:rPr>
        <w:t xml:space="preserve">Функциональное устаревание – представляет собой потерю стоимости или полезности имущества, вызванную неэффективностью или неадекватностью самого имущества по сравнению с более эффективным или менее дорогостоящим замещающим имуществом, появившимся в результате развития новых технологий. </w:t>
      </w:r>
    </w:p>
    <w:p w:rsidR="006568BA" w:rsidRPr="009144BC" w:rsidRDefault="006568BA" w:rsidP="006568BA">
      <w:pPr>
        <w:shd w:val="clear" w:color="auto" w:fill="FFFFFF" w:themeFill="background1"/>
        <w:spacing w:before="120" w:after="120"/>
        <w:ind w:firstLine="720"/>
        <w:jc w:val="both"/>
        <w:rPr>
          <w:rFonts w:ascii="Bookman Old Style" w:hAnsi="Bookman Old Style"/>
          <w:bCs/>
          <w:sz w:val="20"/>
          <w:szCs w:val="20"/>
        </w:rPr>
      </w:pPr>
      <w:r w:rsidRPr="009144BC">
        <w:rPr>
          <w:rFonts w:ascii="Bookman Old Style" w:hAnsi="Bookman Old Style"/>
          <w:bCs/>
          <w:sz w:val="20"/>
          <w:szCs w:val="20"/>
        </w:rPr>
        <w:t>Признаками позволяющими предположить наличие функционального устаревания являются избыточные капитальные затраты, чрезмерные операционные издержки, избыточные мощности, неадекватность, отсутствие полезности и т.п.</w:t>
      </w:r>
    </w:p>
    <w:p w:rsidR="006568BA" w:rsidRDefault="006568BA" w:rsidP="006568BA">
      <w:pPr>
        <w:pStyle w:val="af0"/>
        <w:spacing w:before="120" w:beforeAutospacing="0" w:after="120" w:afterAutospacing="0"/>
        <w:ind w:firstLine="709"/>
        <w:jc w:val="both"/>
        <w:rPr>
          <w:rFonts w:ascii="Bookman Old Style" w:hAnsi="Bookman Old Style"/>
          <w:sz w:val="20"/>
          <w:szCs w:val="20"/>
        </w:rPr>
      </w:pPr>
      <w:r w:rsidRPr="009144BC">
        <w:rPr>
          <w:rFonts w:ascii="Bookman Old Style" w:hAnsi="Bookman Old Style"/>
          <w:color w:val="auto"/>
          <w:sz w:val="20"/>
          <w:szCs w:val="20"/>
        </w:rPr>
        <w:t xml:space="preserve">Необходимо отметить, что при расчете стоимости затрат, определена величина затрат на </w:t>
      </w:r>
      <w:r>
        <w:rPr>
          <w:rFonts w:ascii="Bookman Old Style" w:hAnsi="Bookman Old Style"/>
          <w:color w:val="auto"/>
          <w:sz w:val="20"/>
          <w:szCs w:val="20"/>
        </w:rPr>
        <w:t>воспроизводство элементов Объекта оценки. Оборудование является достаточно современным,</w:t>
      </w:r>
      <w:r w:rsidRPr="009144BC">
        <w:rPr>
          <w:rFonts w:ascii="Bookman Old Style" w:hAnsi="Bookman Old Style"/>
          <w:color w:val="auto"/>
          <w:sz w:val="20"/>
          <w:szCs w:val="20"/>
        </w:rPr>
        <w:t xml:space="preserve"> соответственно учет функционального устаревания не требуется</w:t>
      </w:r>
      <w:r w:rsidRPr="001467DC">
        <w:rPr>
          <w:rFonts w:ascii="Bookman Old Style" w:hAnsi="Bookman Old Style"/>
          <w:sz w:val="20"/>
          <w:szCs w:val="20"/>
        </w:rPr>
        <w:t>.</w:t>
      </w:r>
    </w:p>
    <w:p w:rsidR="006568BA" w:rsidRPr="005D5DE1" w:rsidRDefault="006568BA" w:rsidP="006568BA">
      <w:pPr>
        <w:pStyle w:val="3"/>
        <w:spacing w:after="120"/>
        <w:rPr>
          <w:rFonts w:ascii="Bookman Old Style" w:hAnsi="Bookman Old Style"/>
          <w:sz w:val="20"/>
          <w:szCs w:val="20"/>
        </w:rPr>
      </w:pPr>
      <w:bookmarkStart w:id="335" w:name="_Toc293674769"/>
      <w:bookmarkStart w:id="336" w:name="_Toc447021014"/>
      <w:bookmarkStart w:id="337" w:name="_Toc449529998"/>
      <w:bookmarkStart w:id="338" w:name="_Toc461206422"/>
      <w:bookmarkStart w:id="339" w:name="_Toc319330042"/>
      <w:r w:rsidRPr="005D5DE1">
        <w:rPr>
          <w:rFonts w:ascii="Bookman Old Style" w:hAnsi="Bookman Old Style"/>
          <w:sz w:val="20"/>
          <w:szCs w:val="20"/>
        </w:rPr>
        <w:t>5.</w:t>
      </w:r>
      <w:r>
        <w:rPr>
          <w:rFonts w:ascii="Bookman Old Style" w:hAnsi="Bookman Old Style"/>
          <w:sz w:val="20"/>
          <w:szCs w:val="20"/>
        </w:rPr>
        <w:t>6</w:t>
      </w:r>
      <w:r w:rsidRPr="005D5DE1">
        <w:rPr>
          <w:rFonts w:ascii="Bookman Old Style" w:hAnsi="Bookman Old Style"/>
          <w:sz w:val="20"/>
          <w:szCs w:val="20"/>
        </w:rPr>
        <w:t xml:space="preserve">.1.4. Расчет внешнего </w:t>
      </w:r>
      <w:bookmarkEnd w:id="335"/>
      <w:r w:rsidRPr="005D5DE1">
        <w:rPr>
          <w:rFonts w:ascii="Bookman Old Style" w:hAnsi="Bookman Old Style"/>
          <w:sz w:val="20"/>
          <w:szCs w:val="20"/>
        </w:rPr>
        <w:t>устаревания</w:t>
      </w:r>
      <w:bookmarkEnd w:id="336"/>
      <w:bookmarkEnd w:id="337"/>
      <w:bookmarkEnd w:id="338"/>
    </w:p>
    <w:p w:rsidR="006568BA" w:rsidRPr="00C447CD" w:rsidRDefault="006568BA" w:rsidP="006568BA">
      <w:pPr>
        <w:autoSpaceDE w:val="0"/>
        <w:autoSpaceDN w:val="0"/>
        <w:adjustRightInd w:val="0"/>
        <w:spacing w:before="120" w:after="120"/>
        <w:ind w:firstLine="708"/>
        <w:jc w:val="both"/>
        <w:rPr>
          <w:rFonts w:ascii="Bookman Old Style" w:hAnsi="Bookman Old Style"/>
          <w:bCs/>
          <w:sz w:val="20"/>
          <w:szCs w:val="20"/>
        </w:rPr>
      </w:pPr>
      <w:r w:rsidRPr="00C447CD">
        <w:rPr>
          <w:rFonts w:ascii="Bookman Old Style" w:hAnsi="Bookman Old Style"/>
          <w:bCs/>
          <w:sz w:val="20"/>
          <w:szCs w:val="20"/>
        </w:rPr>
        <w:t>Экономическое устаревание – представляет собой утрату стоимости или полезности имущества, вызываемую факторами, внешними по отношению у имуществу, такими как повышение стоимости сырья, труда, снижения спроса на продукцию, увеличения конкуренции, изменения в различных правилах, инфляция или высокие процентные ставки, другие подобные факторы.</w:t>
      </w:r>
    </w:p>
    <w:p w:rsidR="006568BA" w:rsidRPr="00C447CD" w:rsidRDefault="006568BA" w:rsidP="006568BA">
      <w:pPr>
        <w:autoSpaceDE w:val="0"/>
        <w:autoSpaceDN w:val="0"/>
        <w:adjustRightInd w:val="0"/>
        <w:spacing w:before="120" w:after="120"/>
        <w:ind w:firstLine="708"/>
        <w:jc w:val="both"/>
        <w:rPr>
          <w:rFonts w:ascii="Bookman Old Style" w:hAnsi="Bookman Old Style"/>
          <w:bCs/>
          <w:sz w:val="20"/>
          <w:szCs w:val="20"/>
        </w:rPr>
      </w:pPr>
      <w:r w:rsidRPr="00C447CD">
        <w:rPr>
          <w:rFonts w:ascii="Bookman Old Style" w:hAnsi="Bookman Old Style"/>
          <w:bCs/>
          <w:sz w:val="20"/>
          <w:szCs w:val="20"/>
        </w:rPr>
        <w:t>Основными причинами вызывающими устаревание могут быть:</w:t>
      </w:r>
      <w:r>
        <w:rPr>
          <w:rFonts w:ascii="Bookman Old Style" w:hAnsi="Bookman Old Style"/>
          <w:bCs/>
          <w:sz w:val="20"/>
          <w:szCs w:val="20"/>
        </w:rPr>
        <w:t xml:space="preserve"> </w:t>
      </w:r>
    </w:p>
    <w:p w:rsidR="006568BA" w:rsidRPr="00C447CD" w:rsidRDefault="006568BA" w:rsidP="006568BA">
      <w:pPr>
        <w:numPr>
          <w:ilvl w:val="0"/>
          <w:numId w:val="64"/>
        </w:numPr>
        <w:autoSpaceDE w:val="0"/>
        <w:autoSpaceDN w:val="0"/>
        <w:adjustRightInd w:val="0"/>
        <w:spacing w:before="120" w:after="120"/>
        <w:jc w:val="both"/>
        <w:rPr>
          <w:rFonts w:ascii="Bookman Old Style" w:hAnsi="Bookman Old Style"/>
          <w:bCs/>
          <w:sz w:val="20"/>
          <w:szCs w:val="20"/>
        </w:rPr>
      </w:pPr>
      <w:r w:rsidRPr="00C447CD">
        <w:rPr>
          <w:rFonts w:ascii="Bookman Old Style" w:hAnsi="Bookman Old Style"/>
          <w:bCs/>
          <w:sz w:val="20"/>
          <w:szCs w:val="20"/>
        </w:rPr>
        <w:t>Сократившийся спрос на продукцию.</w:t>
      </w:r>
    </w:p>
    <w:p w:rsidR="006568BA" w:rsidRPr="00C447CD" w:rsidRDefault="006568BA" w:rsidP="006568BA">
      <w:pPr>
        <w:numPr>
          <w:ilvl w:val="0"/>
          <w:numId w:val="64"/>
        </w:numPr>
        <w:autoSpaceDE w:val="0"/>
        <w:autoSpaceDN w:val="0"/>
        <w:adjustRightInd w:val="0"/>
        <w:spacing w:before="120" w:after="120"/>
        <w:jc w:val="both"/>
        <w:rPr>
          <w:rFonts w:ascii="Bookman Old Style" w:hAnsi="Bookman Old Style"/>
          <w:bCs/>
          <w:sz w:val="20"/>
          <w:szCs w:val="20"/>
        </w:rPr>
      </w:pPr>
      <w:r w:rsidRPr="00C447CD">
        <w:rPr>
          <w:rFonts w:ascii="Bookman Old Style" w:hAnsi="Bookman Old Style"/>
          <w:bCs/>
          <w:sz w:val="20"/>
          <w:szCs w:val="20"/>
        </w:rPr>
        <w:t>Возросшая конкуренция с импортными изделиями.</w:t>
      </w:r>
    </w:p>
    <w:p w:rsidR="006568BA" w:rsidRPr="00C447CD" w:rsidRDefault="006568BA" w:rsidP="006568BA">
      <w:pPr>
        <w:numPr>
          <w:ilvl w:val="0"/>
          <w:numId w:val="64"/>
        </w:numPr>
        <w:autoSpaceDE w:val="0"/>
        <w:autoSpaceDN w:val="0"/>
        <w:adjustRightInd w:val="0"/>
        <w:spacing w:before="120" w:after="120"/>
        <w:jc w:val="both"/>
        <w:rPr>
          <w:rFonts w:ascii="Bookman Old Style" w:hAnsi="Bookman Old Style"/>
          <w:bCs/>
          <w:sz w:val="20"/>
          <w:szCs w:val="20"/>
        </w:rPr>
      </w:pPr>
      <w:r w:rsidRPr="00C447CD">
        <w:rPr>
          <w:rFonts w:ascii="Bookman Old Style" w:hAnsi="Bookman Old Style"/>
          <w:bCs/>
          <w:sz w:val="20"/>
          <w:szCs w:val="20"/>
        </w:rPr>
        <w:t>Затруднения в снабжении сырьем или комплектующими изделиями.</w:t>
      </w:r>
    </w:p>
    <w:p w:rsidR="006568BA" w:rsidRDefault="006568BA" w:rsidP="006568BA">
      <w:pPr>
        <w:spacing w:before="120" w:after="120"/>
        <w:ind w:firstLine="720"/>
        <w:jc w:val="both"/>
        <w:rPr>
          <w:rFonts w:ascii="Bookman Old Style" w:hAnsi="Bookman Old Style"/>
          <w:sz w:val="20"/>
          <w:szCs w:val="20"/>
        </w:rPr>
      </w:pPr>
      <w:r w:rsidRPr="00C447CD">
        <w:rPr>
          <w:rFonts w:ascii="Bookman Old Style" w:hAnsi="Bookman Old Style"/>
          <w:sz w:val="20"/>
          <w:szCs w:val="20"/>
        </w:rPr>
        <w:t xml:space="preserve">Признаков внешнего устаревания </w:t>
      </w:r>
      <w:r w:rsidRPr="00C447CD">
        <w:rPr>
          <w:rFonts w:ascii="Bookman Old Style" w:hAnsi="Bookman Old Style"/>
          <w:bCs/>
          <w:sz w:val="20"/>
          <w:szCs w:val="20"/>
        </w:rPr>
        <w:t xml:space="preserve">элементов Объекта оценки </w:t>
      </w:r>
      <w:r w:rsidRPr="00C447CD">
        <w:rPr>
          <w:rFonts w:ascii="Bookman Old Style" w:hAnsi="Bookman Old Style"/>
          <w:sz w:val="20"/>
          <w:szCs w:val="20"/>
        </w:rPr>
        <w:t>в ходе проведения оценки выявлено не было</w:t>
      </w:r>
      <w:r>
        <w:rPr>
          <w:rFonts w:ascii="Bookman Old Style" w:hAnsi="Bookman Old Style"/>
          <w:sz w:val="20"/>
          <w:szCs w:val="20"/>
        </w:rPr>
        <w:t>.</w:t>
      </w:r>
    </w:p>
    <w:p w:rsidR="006568BA" w:rsidRPr="005D5DE1" w:rsidRDefault="006568BA" w:rsidP="006568BA">
      <w:pPr>
        <w:pStyle w:val="3"/>
        <w:spacing w:after="120"/>
        <w:rPr>
          <w:rFonts w:ascii="Bookman Old Style" w:hAnsi="Bookman Old Style"/>
          <w:sz w:val="20"/>
          <w:szCs w:val="20"/>
        </w:rPr>
      </w:pPr>
      <w:bookmarkStart w:id="340" w:name="_Toc293674770"/>
      <w:bookmarkStart w:id="341" w:name="_Toc447021015"/>
      <w:bookmarkStart w:id="342" w:name="_Toc449529999"/>
      <w:bookmarkStart w:id="343" w:name="_Toc461206423"/>
      <w:bookmarkEnd w:id="339"/>
      <w:r w:rsidRPr="005D5DE1">
        <w:rPr>
          <w:rFonts w:ascii="Bookman Old Style" w:hAnsi="Bookman Old Style"/>
          <w:sz w:val="20"/>
          <w:szCs w:val="20"/>
        </w:rPr>
        <w:lastRenderedPageBreak/>
        <w:t>5.</w:t>
      </w:r>
      <w:r>
        <w:rPr>
          <w:rFonts w:ascii="Bookman Old Style" w:hAnsi="Bookman Old Style"/>
          <w:sz w:val="20"/>
          <w:szCs w:val="20"/>
        </w:rPr>
        <w:t>6</w:t>
      </w:r>
      <w:r w:rsidRPr="005D5DE1">
        <w:rPr>
          <w:rFonts w:ascii="Bookman Old Style" w:hAnsi="Bookman Old Style"/>
          <w:sz w:val="20"/>
          <w:szCs w:val="20"/>
        </w:rPr>
        <w:t>.1.5. Рыночная стоимость Объектов аренды затратным подходом</w:t>
      </w:r>
      <w:bookmarkEnd w:id="340"/>
      <w:bookmarkEnd w:id="341"/>
      <w:bookmarkEnd w:id="342"/>
      <w:bookmarkEnd w:id="343"/>
    </w:p>
    <w:p w:rsidR="006568BA" w:rsidRPr="004105D8" w:rsidRDefault="006568BA" w:rsidP="006568BA">
      <w:pPr>
        <w:widowControl w:val="0"/>
        <w:autoSpaceDE w:val="0"/>
        <w:autoSpaceDN w:val="0"/>
        <w:adjustRightInd w:val="0"/>
        <w:spacing w:before="120" w:after="120"/>
        <w:ind w:firstLine="709"/>
        <w:jc w:val="both"/>
        <w:rPr>
          <w:rFonts w:ascii="Bookman Old Style" w:hAnsi="Bookman Old Style"/>
          <w:bCs/>
          <w:sz w:val="20"/>
          <w:szCs w:val="20"/>
        </w:rPr>
      </w:pPr>
      <w:r w:rsidRPr="004105D8">
        <w:rPr>
          <w:rFonts w:ascii="Bookman Old Style" w:hAnsi="Bookman Old Style"/>
          <w:bCs/>
          <w:sz w:val="20"/>
          <w:szCs w:val="20"/>
        </w:rPr>
        <w:t xml:space="preserve">После определения стоимости воспроизводства </w:t>
      </w:r>
      <w:r>
        <w:rPr>
          <w:rFonts w:ascii="Bookman Old Style" w:hAnsi="Bookman Old Style"/>
          <w:bCs/>
          <w:sz w:val="20"/>
          <w:szCs w:val="20"/>
        </w:rPr>
        <w:t>элементов Объекта оценки</w:t>
      </w:r>
      <w:r w:rsidRPr="004105D8">
        <w:rPr>
          <w:rFonts w:ascii="Bookman Old Style" w:hAnsi="Bookman Old Style"/>
          <w:bCs/>
          <w:sz w:val="20"/>
          <w:szCs w:val="20"/>
        </w:rPr>
        <w:t>, расчета физического</w:t>
      </w:r>
      <w:r>
        <w:rPr>
          <w:rFonts w:ascii="Bookman Old Style" w:hAnsi="Bookman Old Style"/>
          <w:bCs/>
          <w:sz w:val="20"/>
          <w:szCs w:val="20"/>
        </w:rPr>
        <w:t xml:space="preserve"> износа,</w:t>
      </w:r>
      <w:r w:rsidRPr="004105D8">
        <w:rPr>
          <w:rFonts w:ascii="Bookman Old Style" w:hAnsi="Bookman Old Style"/>
          <w:bCs/>
          <w:sz w:val="20"/>
          <w:szCs w:val="20"/>
        </w:rPr>
        <w:t xml:space="preserve"> функционального и внешнего </w:t>
      </w:r>
      <w:r>
        <w:rPr>
          <w:rFonts w:ascii="Bookman Old Style" w:hAnsi="Bookman Old Style"/>
          <w:bCs/>
          <w:sz w:val="20"/>
          <w:szCs w:val="20"/>
        </w:rPr>
        <w:t>устареваний</w:t>
      </w:r>
      <w:r w:rsidRPr="004105D8">
        <w:rPr>
          <w:rFonts w:ascii="Bookman Old Style" w:hAnsi="Bookman Old Style"/>
          <w:bCs/>
          <w:sz w:val="20"/>
          <w:szCs w:val="20"/>
        </w:rPr>
        <w:t xml:space="preserve">, была определена рыночная стоимость </w:t>
      </w:r>
      <w:r>
        <w:rPr>
          <w:rFonts w:ascii="Bookman Old Style" w:hAnsi="Bookman Old Style"/>
          <w:bCs/>
          <w:sz w:val="20"/>
          <w:szCs w:val="20"/>
        </w:rPr>
        <w:t>имущества</w:t>
      </w:r>
      <w:r w:rsidRPr="004105D8">
        <w:rPr>
          <w:rFonts w:ascii="Bookman Old Style" w:hAnsi="Bookman Old Style"/>
          <w:bCs/>
          <w:sz w:val="20"/>
          <w:szCs w:val="20"/>
        </w:rPr>
        <w:t>.</w:t>
      </w:r>
    </w:p>
    <w:p w:rsidR="006568BA" w:rsidRPr="004105D8" w:rsidRDefault="006568BA" w:rsidP="006568BA">
      <w:pPr>
        <w:widowControl w:val="0"/>
        <w:autoSpaceDE w:val="0"/>
        <w:autoSpaceDN w:val="0"/>
        <w:adjustRightInd w:val="0"/>
        <w:spacing w:before="120" w:after="120"/>
        <w:ind w:firstLine="709"/>
        <w:jc w:val="both"/>
        <w:rPr>
          <w:rFonts w:ascii="Bookman Old Style" w:hAnsi="Bookman Old Style"/>
          <w:bCs/>
          <w:sz w:val="20"/>
          <w:szCs w:val="20"/>
        </w:rPr>
      </w:pPr>
      <w:r w:rsidRPr="004105D8">
        <w:rPr>
          <w:rFonts w:ascii="Bookman Old Style" w:hAnsi="Bookman Old Style"/>
          <w:bCs/>
          <w:sz w:val="20"/>
          <w:szCs w:val="20"/>
        </w:rPr>
        <w:t>Расчет проведен по формуле:</w:t>
      </w:r>
    </w:p>
    <w:p w:rsidR="006568BA" w:rsidRPr="004105D8" w:rsidRDefault="006568BA" w:rsidP="006568BA">
      <w:pPr>
        <w:widowControl w:val="0"/>
        <w:autoSpaceDE w:val="0"/>
        <w:autoSpaceDN w:val="0"/>
        <w:adjustRightInd w:val="0"/>
        <w:spacing w:before="120" w:after="120"/>
        <w:jc w:val="center"/>
        <w:rPr>
          <w:rFonts w:ascii="Bookman Old Style" w:hAnsi="Bookman Old Style"/>
          <w:bCs/>
          <w:sz w:val="20"/>
          <w:szCs w:val="20"/>
        </w:rPr>
      </w:pPr>
      <w:r w:rsidRPr="004105D8">
        <w:rPr>
          <w:rFonts w:ascii="Bookman Old Style" w:hAnsi="Bookman Old Style"/>
          <w:position w:val="-14"/>
          <w:sz w:val="20"/>
          <w:szCs w:val="20"/>
        </w:rPr>
        <w:object w:dxaOrig="2120" w:dyaOrig="380">
          <v:shape id="_x0000_i1027" type="#_x0000_t75" style="width:103.8pt;height:17.6pt" o:ole="">
            <v:imagedata r:id="rId79" o:title=""/>
          </v:shape>
          <o:OLEObject Type="Embed" ProgID="Equation.3" ShapeID="_x0000_i1027" DrawAspect="Content" ObjectID="_1543683900" r:id="rId80"/>
        </w:object>
      </w:r>
    </w:p>
    <w:p w:rsidR="006568BA" w:rsidRPr="004105D8" w:rsidRDefault="006568BA" w:rsidP="006568BA">
      <w:pPr>
        <w:spacing w:before="120" w:after="120"/>
        <w:ind w:left="708"/>
        <w:jc w:val="both"/>
        <w:rPr>
          <w:rFonts w:ascii="Bookman Old Style" w:hAnsi="Bookman Old Style"/>
          <w:sz w:val="20"/>
          <w:szCs w:val="20"/>
        </w:rPr>
      </w:pPr>
      <w:r w:rsidRPr="004105D8">
        <w:rPr>
          <w:rFonts w:ascii="Bookman Old Style" w:hAnsi="Bookman Old Style"/>
          <w:sz w:val="20"/>
          <w:szCs w:val="20"/>
        </w:rPr>
        <w:t>где:</w:t>
      </w:r>
    </w:p>
    <w:p w:rsidR="006568BA" w:rsidRPr="004105D8" w:rsidRDefault="006568BA" w:rsidP="006568BA">
      <w:pPr>
        <w:widowControl w:val="0"/>
        <w:spacing w:before="120" w:after="120"/>
        <w:ind w:left="708"/>
        <w:jc w:val="both"/>
        <w:rPr>
          <w:rFonts w:ascii="Bookman Old Style" w:hAnsi="Bookman Old Style"/>
          <w:sz w:val="20"/>
          <w:szCs w:val="20"/>
        </w:rPr>
      </w:pPr>
      <w:r w:rsidRPr="004105D8">
        <w:rPr>
          <w:rFonts w:ascii="Bookman Old Style" w:hAnsi="Bookman Old Style"/>
          <w:sz w:val="20"/>
          <w:szCs w:val="20"/>
        </w:rPr>
        <w:t>С - рыночная стоимость Объекта аренды;</w:t>
      </w:r>
    </w:p>
    <w:p w:rsidR="006568BA" w:rsidRPr="004105D8" w:rsidRDefault="006568BA" w:rsidP="006568BA">
      <w:pPr>
        <w:spacing w:before="120" w:after="120"/>
        <w:ind w:left="708"/>
        <w:jc w:val="both"/>
        <w:rPr>
          <w:rFonts w:ascii="Bookman Old Style" w:hAnsi="Bookman Old Style"/>
          <w:sz w:val="20"/>
          <w:szCs w:val="20"/>
        </w:rPr>
      </w:pPr>
      <w:r w:rsidRPr="004105D8">
        <w:rPr>
          <w:rFonts w:ascii="Bookman Old Style" w:hAnsi="Bookman Old Style"/>
          <w:sz w:val="20"/>
          <w:szCs w:val="20"/>
        </w:rPr>
        <w:t>С</w:t>
      </w:r>
      <w:r w:rsidRPr="004105D8">
        <w:rPr>
          <w:rFonts w:ascii="Bookman Old Style" w:hAnsi="Bookman Old Style"/>
          <w:sz w:val="20"/>
          <w:szCs w:val="20"/>
          <w:vertAlign w:val="subscript"/>
        </w:rPr>
        <w:t>объект</w:t>
      </w:r>
      <w:r w:rsidRPr="004105D8">
        <w:rPr>
          <w:rFonts w:ascii="Bookman Old Style" w:hAnsi="Bookman Old Style"/>
          <w:sz w:val="20"/>
          <w:szCs w:val="20"/>
        </w:rPr>
        <w:t xml:space="preserve"> - стоимость </w:t>
      </w:r>
      <w:r>
        <w:rPr>
          <w:rFonts w:ascii="Bookman Old Style" w:hAnsi="Bookman Old Style"/>
          <w:sz w:val="20"/>
          <w:szCs w:val="20"/>
        </w:rPr>
        <w:t>воспроизводства Объекта оценки</w:t>
      </w:r>
      <w:r w:rsidRPr="004105D8">
        <w:rPr>
          <w:rFonts w:ascii="Bookman Old Style" w:hAnsi="Bookman Old Style"/>
          <w:sz w:val="20"/>
          <w:szCs w:val="20"/>
        </w:rPr>
        <w:t>;</w:t>
      </w:r>
    </w:p>
    <w:p w:rsidR="006568BA" w:rsidRPr="004105D8" w:rsidRDefault="006568BA" w:rsidP="006568BA">
      <w:pPr>
        <w:spacing w:before="120" w:after="120"/>
        <w:ind w:left="708"/>
        <w:jc w:val="both"/>
        <w:rPr>
          <w:rFonts w:ascii="Bookman Old Style" w:hAnsi="Bookman Old Style"/>
          <w:sz w:val="20"/>
          <w:szCs w:val="20"/>
        </w:rPr>
      </w:pPr>
      <w:r w:rsidRPr="004105D8">
        <w:rPr>
          <w:rFonts w:ascii="Bookman Old Style" w:hAnsi="Bookman Old Style"/>
          <w:sz w:val="20"/>
          <w:szCs w:val="20"/>
        </w:rPr>
        <w:t>И</w:t>
      </w:r>
      <w:r w:rsidRPr="004105D8">
        <w:rPr>
          <w:rFonts w:ascii="Bookman Old Style" w:hAnsi="Bookman Old Style"/>
          <w:sz w:val="20"/>
          <w:szCs w:val="20"/>
          <w:vertAlign w:val="subscript"/>
        </w:rPr>
        <w:t>с</w:t>
      </w:r>
      <w:r w:rsidRPr="004105D8">
        <w:rPr>
          <w:rFonts w:ascii="Bookman Old Style" w:hAnsi="Bookman Old Style"/>
          <w:sz w:val="20"/>
          <w:szCs w:val="20"/>
        </w:rPr>
        <w:t xml:space="preserve"> - совокупный износ.</w:t>
      </w:r>
    </w:p>
    <w:p w:rsidR="006568BA" w:rsidRPr="000E51C8" w:rsidRDefault="006568BA" w:rsidP="006568BA">
      <w:pPr>
        <w:spacing w:before="120" w:after="120"/>
        <w:ind w:firstLine="708"/>
        <w:jc w:val="both"/>
        <w:rPr>
          <w:rFonts w:ascii="Bookman Old Style" w:hAnsi="Bookman Old Style"/>
          <w:sz w:val="20"/>
          <w:szCs w:val="20"/>
        </w:rPr>
      </w:pPr>
      <w:r w:rsidRPr="004105D8">
        <w:rPr>
          <w:rFonts w:ascii="Bookman Old Style" w:hAnsi="Bookman Old Style"/>
          <w:sz w:val="20"/>
          <w:szCs w:val="20"/>
        </w:rPr>
        <w:t>Совокупный износ объекта оценки определяется по формуле:</w:t>
      </w:r>
      <w:r w:rsidRPr="000E51C8">
        <w:rPr>
          <w:rFonts w:ascii="Bookman Old Style" w:hAnsi="Bookman Old Style"/>
          <w:sz w:val="20"/>
          <w:szCs w:val="20"/>
        </w:rPr>
        <w:t>:</w:t>
      </w:r>
    </w:p>
    <w:p w:rsidR="006568BA" w:rsidRPr="000E51C8" w:rsidRDefault="006C4CCF" w:rsidP="006568BA">
      <w:pPr>
        <w:spacing w:before="120" w:after="120"/>
        <w:jc w:val="center"/>
        <w:rPr>
          <w:rFonts w:asciiTheme="majorHAnsi" w:hAnsiTheme="majorHAnsi"/>
          <w:sz w:val="20"/>
          <w:szCs w:val="20"/>
        </w:rPr>
      </w:pPr>
      <m:oMath>
        <m:sSub>
          <m:sSubPr>
            <m:ctrlPr>
              <w:rPr>
                <w:rFonts w:ascii="Cambria Math" w:hAnsiTheme="majorHAnsi"/>
                <w:sz w:val="20"/>
                <w:szCs w:val="20"/>
              </w:rPr>
            </m:ctrlPr>
          </m:sSubPr>
          <m:e>
            <m:r>
              <m:rPr>
                <m:sty m:val="p"/>
              </m:rPr>
              <w:rPr>
                <w:rFonts w:ascii="Cambria Math" w:hAnsi="Cambria Math"/>
                <w:sz w:val="20"/>
                <w:szCs w:val="20"/>
              </w:rPr>
              <m:t>И</m:t>
            </m:r>
          </m:e>
          <m:sub>
            <m:r>
              <m:rPr>
                <m:sty m:val="p"/>
              </m:rPr>
              <w:rPr>
                <w:rFonts w:ascii="Cambria Math" w:hAnsi="Cambria Math"/>
                <w:sz w:val="20"/>
                <w:szCs w:val="20"/>
              </w:rPr>
              <m:t>с</m:t>
            </m:r>
          </m:sub>
        </m:sSub>
        <m:r>
          <m:rPr>
            <m:sty m:val="p"/>
          </m:rPr>
          <w:rPr>
            <w:rFonts w:ascii="Cambria Math" w:hAnsiTheme="majorHAnsi"/>
            <w:sz w:val="20"/>
            <w:szCs w:val="20"/>
          </w:rPr>
          <m:t>=1</m:t>
        </m:r>
        <m:r>
          <m:rPr>
            <m:sty m:val="p"/>
          </m:rPr>
          <w:rPr>
            <w:rFonts w:ascii="Cambria Math" w:hAnsi="Cambria Math"/>
            <w:sz w:val="20"/>
            <w:szCs w:val="20"/>
          </w:rPr>
          <m:t>-</m:t>
        </m:r>
        <m:d>
          <m:dPr>
            <m:ctrlPr>
              <w:rPr>
                <w:rFonts w:ascii="Cambria Math" w:hAnsiTheme="majorHAnsi"/>
                <w:sz w:val="20"/>
                <w:szCs w:val="20"/>
              </w:rPr>
            </m:ctrlPr>
          </m:dPr>
          <m:e>
            <m:r>
              <m:rPr>
                <m:sty m:val="p"/>
              </m:rPr>
              <w:rPr>
                <w:rFonts w:ascii="Cambria Math" w:hAnsiTheme="majorHAnsi"/>
                <w:sz w:val="20"/>
                <w:szCs w:val="20"/>
              </w:rPr>
              <m:t>1</m:t>
            </m:r>
            <m:r>
              <m:rPr>
                <m:sty m:val="p"/>
              </m:rPr>
              <w:rPr>
                <w:rFonts w:ascii="Cambria Math" w:hAnsi="Cambria Math"/>
                <w:sz w:val="20"/>
                <w:szCs w:val="20"/>
              </w:rPr>
              <m:t>-</m:t>
            </m:r>
            <m:sSub>
              <m:sSubPr>
                <m:ctrlPr>
                  <w:rPr>
                    <w:rFonts w:ascii="Cambria Math" w:hAnsiTheme="majorHAnsi"/>
                    <w:sz w:val="20"/>
                    <w:szCs w:val="20"/>
                  </w:rPr>
                </m:ctrlPr>
              </m:sSubPr>
              <m:e>
                <m:r>
                  <m:rPr>
                    <m:sty m:val="p"/>
                  </m:rPr>
                  <w:rPr>
                    <w:rFonts w:ascii="Cambria Math" w:hAnsi="Cambria Math"/>
                    <w:sz w:val="20"/>
                    <w:szCs w:val="20"/>
                  </w:rPr>
                  <m:t>И</m:t>
                </m:r>
              </m:e>
              <m:sub>
                <m:r>
                  <m:rPr>
                    <m:sty m:val="p"/>
                  </m:rPr>
                  <w:rPr>
                    <w:rFonts w:ascii="Cambria Math" w:hAnsi="Cambria Math"/>
                    <w:sz w:val="20"/>
                    <w:szCs w:val="20"/>
                  </w:rPr>
                  <m:t>физ</m:t>
                </m:r>
              </m:sub>
            </m:sSub>
          </m:e>
        </m:d>
        <m:r>
          <m:rPr>
            <m:sty m:val="p"/>
          </m:rPr>
          <w:rPr>
            <w:rFonts w:ascii="Cambria Math" w:hAnsi="Cambria Math"/>
            <w:sz w:val="20"/>
            <w:szCs w:val="20"/>
          </w:rPr>
          <m:t>×</m:t>
        </m:r>
        <m:d>
          <m:dPr>
            <m:ctrlPr>
              <w:rPr>
                <w:rFonts w:ascii="Cambria Math" w:hAnsiTheme="majorHAnsi"/>
                <w:sz w:val="20"/>
                <w:szCs w:val="20"/>
              </w:rPr>
            </m:ctrlPr>
          </m:dPr>
          <m:e>
            <m:r>
              <m:rPr>
                <m:sty m:val="p"/>
              </m:rPr>
              <w:rPr>
                <w:rFonts w:ascii="Cambria Math" w:hAnsiTheme="majorHAnsi"/>
                <w:sz w:val="20"/>
                <w:szCs w:val="20"/>
              </w:rPr>
              <m:t>1</m:t>
            </m:r>
            <m:r>
              <m:rPr>
                <m:sty m:val="p"/>
              </m:rPr>
              <w:rPr>
                <w:rFonts w:ascii="Cambria Math" w:hAnsi="Cambria Math"/>
                <w:sz w:val="20"/>
                <w:szCs w:val="20"/>
              </w:rPr>
              <m:t>-</m:t>
            </m:r>
            <m:sSub>
              <m:sSubPr>
                <m:ctrlPr>
                  <w:rPr>
                    <w:rFonts w:ascii="Cambria Math" w:hAnsiTheme="majorHAnsi"/>
                    <w:sz w:val="20"/>
                    <w:szCs w:val="20"/>
                  </w:rPr>
                </m:ctrlPr>
              </m:sSubPr>
              <m:e>
                <m:r>
                  <m:rPr>
                    <m:sty m:val="p"/>
                  </m:rPr>
                  <w:rPr>
                    <w:rFonts w:ascii="Cambria Math" w:hAnsi="Cambria Math"/>
                    <w:sz w:val="20"/>
                    <w:szCs w:val="20"/>
                  </w:rPr>
                  <m:t>И</m:t>
                </m:r>
              </m:e>
              <m:sub>
                <m:r>
                  <m:rPr>
                    <m:sty m:val="p"/>
                  </m:rPr>
                  <w:rPr>
                    <w:rFonts w:ascii="Cambria Math" w:hAnsi="Cambria Math"/>
                    <w:sz w:val="20"/>
                    <w:szCs w:val="20"/>
                  </w:rPr>
                  <m:t>функц</m:t>
                </m:r>
              </m:sub>
            </m:sSub>
          </m:e>
        </m:d>
        <m:r>
          <m:rPr>
            <m:sty m:val="p"/>
          </m:rPr>
          <w:rPr>
            <w:rFonts w:ascii="Cambria Math" w:hAnsi="Cambria Math"/>
            <w:sz w:val="20"/>
            <w:szCs w:val="20"/>
          </w:rPr>
          <m:t>×</m:t>
        </m:r>
        <m:d>
          <m:dPr>
            <m:ctrlPr>
              <w:rPr>
                <w:rFonts w:ascii="Cambria Math" w:hAnsiTheme="majorHAnsi"/>
                <w:sz w:val="20"/>
                <w:szCs w:val="20"/>
              </w:rPr>
            </m:ctrlPr>
          </m:dPr>
          <m:e>
            <m:r>
              <m:rPr>
                <m:sty m:val="p"/>
              </m:rPr>
              <w:rPr>
                <w:rFonts w:ascii="Cambria Math" w:hAnsiTheme="majorHAnsi"/>
                <w:sz w:val="20"/>
                <w:szCs w:val="20"/>
              </w:rPr>
              <m:t>1</m:t>
            </m:r>
            <m:r>
              <m:rPr>
                <m:sty m:val="p"/>
              </m:rPr>
              <w:rPr>
                <w:rFonts w:ascii="Cambria Math" w:hAnsi="Cambria Math"/>
                <w:sz w:val="20"/>
                <w:szCs w:val="20"/>
              </w:rPr>
              <m:t>-</m:t>
            </m:r>
            <m:sSub>
              <m:sSubPr>
                <m:ctrlPr>
                  <w:rPr>
                    <w:rFonts w:ascii="Cambria Math" w:hAnsiTheme="majorHAnsi"/>
                    <w:sz w:val="20"/>
                    <w:szCs w:val="20"/>
                  </w:rPr>
                </m:ctrlPr>
              </m:sSubPr>
              <m:e>
                <m:r>
                  <m:rPr>
                    <m:sty m:val="p"/>
                  </m:rPr>
                  <w:rPr>
                    <w:rFonts w:ascii="Cambria Math" w:hAnsi="Cambria Math"/>
                    <w:sz w:val="20"/>
                    <w:szCs w:val="20"/>
                  </w:rPr>
                  <m:t>И</m:t>
                </m:r>
              </m:e>
              <m:sub>
                <m:r>
                  <m:rPr>
                    <m:sty m:val="p"/>
                  </m:rPr>
                  <w:rPr>
                    <w:rFonts w:ascii="Cambria Math" w:hAnsi="Cambria Math"/>
                    <w:sz w:val="20"/>
                    <w:szCs w:val="20"/>
                  </w:rPr>
                  <m:t>внеш</m:t>
                </m:r>
              </m:sub>
            </m:sSub>
          </m:e>
        </m:d>
      </m:oMath>
      <w:r w:rsidR="006568BA">
        <w:rPr>
          <w:rFonts w:asciiTheme="majorHAnsi" w:hAnsiTheme="majorHAnsi"/>
          <w:sz w:val="20"/>
          <w:szCs w:val="20"/>
        </w:rPr>
        <w:t>, где</w:t>
      </w:r>
    </w:p>
    <w:p w:rsidR="006568BA" w:rsidRPr="000E51C8" w:rsidRDefault="006568BA" w:rsidP="006568BA">
      <w:pPr>
        <w:spacing w:before="120" w:after="120"/>
        <w:ind w:left="709"/>
        <w:jc w:val="both"/>
        <w:rPr>
          <w:rFonts w:ascii="Bookman Old Style" w:hAnsi="Bookman Old Style"/>
          <w:sz w:val="20"/>
          <w:szCs w:val="20"/>
        </w:rPr>
      </w:pPr>
      <w:r w:rsidRPr="000E51C8">
        <w:rPr>
          <w:rFonts w:ascii="Bookman Old Style" w:hAnsi="Bookman Old Style"/>
          <w:sz w:val="20"/>
          <w:szCs w:val="20"/>
        </w:rPr>
        <w:t>И</w:t>
      </w:r>
      <w:r w:rsidRPr="000E51C8">
        <w:rPr>
          <w:rFonts w:ascii="Bookman Old Style" w:hAnsi="Bookman Old Style"/>
          <w:sz w:val="20"/>
          <w:szCs w:val="20"/>
          <w:vertAlign w:val="subscript"/>
        </w:rPr>
        <w:t>с</w:t>
      </w:r>
      <w:r w:rsidRPr="000E51C8">
        <w:rPr>
          <w:rFonts w:ascii="Bookman Old Style" w:hAnsi="Bookman Old Style"/>
          <w:sz w:val="20"/>
          <w:szCs w:val="20"/>
        </w:rPr>
        <w:t>– величина уменьшения стоимости элемента;</w:t>
      </w:r>
    </w:p>
    <w:p w:rsidR="006568BA" w:rsidRPr="000E51C8" w:rsidRDefault="006568BA" w:rsidP="006568BA">
      <w:pPr>
        <w:spacing w:before="120" w:after="120"/>
        <w:ind w:left="709"/>
        <w:jc w:val="both"/>
        <w:rPr>
          <w:rFonts w:ascii="Bookman Old Style" w:hAnsi="Bookman Old Style"/>
          <w:sz w:val="20"/>
          <w:szCs w:val="20"/>
        </w:rPr>
      </w:pPr>
      <w:r w:rsidRPr="000E51C8">
        <w:rPr>
          <w:rFonts w:ascii="Bookman Old Style" w:hAnsi="Bookman Old Style"/>
          <w:sz w:val="20"/>
          <w:szCs w:val="20"/>
        </w:rPr>
        <w:t>И</w:t>
      </w:r>
      <w:r w:rsidRPr="000E51C8">
        <w:rPr>
          <w:rFonts w:ascii="Bookman Old Style" w:hAnsi="Bookman Old Style"/>
          <w:sz w:val="20"/>
          <w:szCs w:val="20"/>
          <w:vertAlign w:val="subscript"/>
        </w:rPr>
        <w:t>физ</w:t>
      </w:r>
      <w:r w:rsidRPr="000E51C8">
        <w:rPr>
          <w:rFonts w:ascii="Bookman Old Style" w:hAnsi="Bookman Old Style"/>
          <w:sz w:val="20"/>
          <w:szCs w:val="20"/>
        </w:rPr>
        <w:t xml:space="preserve"> – физический износ элемента;</w:t>
      </w:r>
    </w:p>
    <w:p w:rsidR="006568BA" w:rsidRPr="000E51C8" w:rsidRDefault="006568BA" w:rsidP="006568BA">
      <w:pPr>
        <w:spacing w:before="120" w:after="120"/>
        <w:ind w:left="709"/>
        <w:jc w:val="both"/>
        <w:rPr>
          <w:rFonts w:ascii="Bookman Old Style" w:hAnsi="Bookman Old Style"/>
          <w:sz w:val="20"/>
          <w:szCs w:val="20"/>
        </w:rPr>
      </w:pPr>
      <w:r w:rsidRPr="000E51C8">
        <w:rPr>
          <w:rFonts w:ascii="Bookman Old Style" w:hAnsi="Bookman Old Style"/>
          <w:sz w:val="20"/>
          <w:szCs w:val="20"/>
        </w:rPr>
        <w:t>И</w:t>
      </w:r>
      <w:r w:rsidRPr="000E51C8">
        <w:rPr>
          <w:rFonts w:ascii="Bookman Old Style" w:hAnsi="Bookman Old Style"/>
          <w:sz w:val="20"/>
          <w:szCs w:val="20"/>
          <w:vertAlign w:val="subscript"/>
        </w:rPr>
        <w:t>функц</w:t>
      </w:r>
      <w:r w:rsidRPr="000E51C8">
        <w:rPr>
          <w:rFonts w:ascii="Bookman Old Style" w:hAnsi="Bookman Old Style"/>
          <w:sz w:val="20"/>
          <w:szCs w:val="20"/>
        </w:rPr>
        <w:t xml:space="preserve"> – функциональное устаревание элемента;</w:t>
      </w:r>
    </w:p>
    <w:p w:rsidR="006568BA" w:rsidRPr="000E51C8" w:rsidRDefault="006568BA" w:rsidP="006568BA">
      <w:pPr>
        <w:spacing w:before="120" w:after="120"/>
        <w:ind w:left="709"/>
        <w:jc w:val="both"/>
        <w:rPr>
          <w:rFonts w:ascii="Bookman Old Style" w:hAnsi="Bookman Old Style"/>
          <w:sz w:val="20"/>
          <w:szCs w:val="20"/>
        </w:rPr>
      </w:pPr>
      <w:r w:rsidRPr="000E51C8">
        <w:rPr>
          <w:rFonts w:ascii="Bookman Old Style" w:hAnsi="Bookman Old Style"/>
          <w:sz w:val="20"/>
          <w:szCs w:val="20"/>
        </w:rPr>
        <w:t>И</w:t>
      </w:r>
      <w:r w:rsidRPr="000E51C8">
        <w:rPr>
          <w:rFonts w:ascii="Bookman Old Style" w:hAnsi="Bookman Old Style"/>
          <w:sz w:val="20"/>
          <w:szCs w:val="20"/>
          <w:vertAlign w:val="subscript"/>
        </w:rPr>
        <w:t>внеш</w:t>
      </w:r>
      <w:r w:rsidRPr="000E51C8">
        <w:rPr>
          <w:rFonts w:ascii="Bookman Old Style" w:hAnsi="Bookman Old Style"/>
          <w:sz w:val="20"/>
          <w:szCs w:val="20"/>
        </w:rPr>
        <w:t xml:space="preserve"> – внешнее устаревание элемента.</w:t>
      </w:r>
    </w:p>
    <w:p w:rsidR="006568BA" w:rsidRPr="000E51C8" w:rsidRDefault="006568BA" w:rsidP="006568BA">
      <w:pPr>
        <w:spacing w:before="120" w:after="120"/>
        <w:jc w:val="both"/>
        <w:rPr>
          <w:rFonts w:ascii="Bookman Old Style" w:hAnsi="Bookman Old Style"/>
          <w:sz w:val="20"/>
          <w:szCs w:val="20"/>
        </w:rPr>
      </w:pPr>
      <w:r w:rsidRPr="000E51C8">
        <w:rPr>
          <w:rFonts w:ascii="Bookman Old Style" w:hAnsi="Bookman Old Style"/>
          <w:sz w:val="20"/>
          <w:szCs w:val="20"/>
        </w:rPr>
        <w:tab/>
      </w:r>
      <w:r w:rsidRPr="005D5DE1">
        <w:rPr>
          <w:rFonts w:ascii="Bookman Old Style" w:hAnsi="Bookman Old Style"/>
          <w:sz w:val="20"/>
          <w:szCs w:val="20"/>
        </w:rPr>
        <w:t xml:space="preserve">В результате расчета по указанным формулам определена рыночная стоимость </w:t>
      </w:r>
      <w:r>
        <w:rPr>
          <w:rFonts w:ascii="Bookman Old Style" w:hAnsi="Bookman Old Style"/>
          <w:sz w:val="20"/>
          <w:szCs w:val="20"/>
        </w:rPr>
        <w:t>элементов Объекта</w:t>
      </w:r>
      <w:r w:rsidRPr="005D5DE1">
        <w:rPr>
          <w:rFonts w:ascii="Bookman Old Style" w:hAnsi="Bookman Old Style"/>
          <w:sz w:val="20"/>
          <w:szCs w:val="20"/>
        </w:rPr>
        <w:t xml:space="preserve"> </w:t>
      </w:r>
      <w:r>
        <w:rPr>
          <w:rFonts w:ascii="Bookman Old Style" w:hAnsi="Bookman Old Style"/>
          <w:sz w:val="20"/>
          <w:szCs w:val="20"/>
        </w:rPr>
        <w:t>оценки</w:t>
      </w:r>
      <w:r w:rsidRPr="005D5DE1">
        <w:rPr>
          <w:rFonts w:ascii="Bookman Old Style" w:hAnsi="Bookman Old Style"/>
          <w:sz w:val="20"/>
          <w:szCs w:val="20"/>
        </w:rPr>
        <w:t xml:space="preserve"> по состоянию на Дату оценки затратным подходом.</w:t>
      </w:r>
    </w:p>
    <w:p w:rsidR="006568BA" w:rsidRDefault="006568BA" w:rsidP="006568BA">
      <w:pPr>
        <w:spacing w:before="120"/>
        <w:jc w:val="right"/>
        <w:rPr>
          <w:rFonts w:ascii="Bookman Old Style" w:hAnsi="Bookman Old Style"/>
          <w:b/>
          <w:sz w:val="20"/>
          <w:szCs w:val="20"/>
        </w:rPr>
      </w:pPr>
      <w:r w:rsidRPr="000E51C8">
        <w:rPr>
          <w:rFonts w:ascii="Bookman Old Style" w:hAnsi="Bookman Old Style"/>
          <w:b/>
          <w:sz w:val="20"/>
          <w:szCs w:val="20"/>
        </w:rPr>
        <w:t xml:space="preserve">Таблица </w:t>
      </w:r>
      <w:r w:rsidRPr="004105D8">
        <w:rPr>
          <w:rFonts w:ascii="Bookman Old Style" w:hAnsi="Bookman Old Style"/>
          <w:b/>
          <w:sz w:val="20"/>
          <w:szCs w:val="20"/>
        </w:rPr>
        <w:t>5.</w:t>
      </w:r>
      <w:r>
        <w:rPr>
          <w:rFonts w:ascii="Bookman Old Style" w:hAnsi="Bookman Old Style"/>
          <w:b/>
          <w:sz w:val="20"/>
          <w:szCs w:val="20"/>
        </w:rPr>
        <w:t>6</w:t>
      </w:r>
      <w:r w:rsidRPr="004105D8">
        <w:rPr>
          <w:rFonts w:ascii="Bookman Old Style" w:hAnsi="Bookman Old Style"/>
          <w:b/>
          <w:sz w:val="20"/>
          <w:szCs w:val="20"/>
        </w:rPr>
        <w:t>.1.5.1</w:t>
      </w:r>
      <w:r w:rsidRPr="000E51C8">
        <w:rPr>
          <w:rFonts w:ascii="Bookman Old Style" w:hAnsi="Bookman Old Style"/>
          <w:b/>
          <w:sz w:val="20"/>
          <w:szCs w:val="20"/>
        </w:rPr>
        <w:t>. Рыночная стоимость элемента Объекта оценки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45"/>
        <w:gridCol w:w="3061"/>
        <w:gridCol w:w="835"/>
        <w:gridCol w:w="1032"/>
        <w:gridCol w:w="1011"/>
        <w:gridCol w:w="1128"/>
        <w:gridCol w:w="1067"/>
        <w:gridCol w:w="1642"/>
      </w:tblGrid>
      <w:tr w:rsidR="006568BA" w:rsidRPr="006568BA" w:rsidTr="006568BA">
        <w:trPr>
          <w:cantSplit/>
          <w:trHeight w:val="170"/>
        </w:trPr>
        <w:tc>
          <w:tcPr>
            <w:tcW w:w="310" w:type="pct"/>
            <w:shd w:val="clear" w:color="000000" w:fill="F2F2F2"/>
            <w:vAlign w:val="center"/>
            <w:hideMark/>
          </w:tcPr>
          <w:p w:rsidR="006568BA" w:rsidRPr="006568BA" w:rsidRDefault="006568BA" w:rsidP="006568BA">
            <w:pPr>
              <w:jc w:val="center"/>
              <w:rPr>
                <w:rFonts w:ascii="Cambria" w:hAnsi="Cambria"/>
                <w:b/>
                <w:bCs/>
                <w:color w:val="000000"/>
                <w:sz w:val="16"/>
                <w:szCs w:val="16"/>
              </w:rPr>
            </w:pPr>
            <w:r w:rsidRPr="006568BA">
              <w:rPr>
                <w:rFonts w:ascii="Cambria" w:hAnsi="Cambria"/>
                <w:b/>
                <w:bCs/>
                <w:color w:val="000000"/>
                <w:sz w:val="16"/>
                <w:szCs w:val="16"/>
              </w:rPr>
              <w:t>№ п.п.</w:t>
            </w:r>
          </w:p>
        </w:tc>
        <w:tc>
          <w:tcPr>
            <w:tcW w:w="1469" w:type="pct"/>
            <w:shd w:val="clear" w:color="000000" w:fill="F2F2F2"/>
            <w:vAlign w:val="center"/>
            <w:hideMark/>
          </w:tcPr>
          <w:p w:rsidR="006568BA" w:rsidRPr="006568BA" w:rsidRDefault="006568BA" w:rsidP="006568BA">
            <w:pPr>
              <w:jc w:val="center"/>
              <w:rPr>
                <w:rFonts w:ascii="Cambria" w:hAnsi="Cambria"/>
                <w:b/>
                <w:bCs/>
                <w:color w:val="000000"/>
                <w:sz w:val="16"/>
                <w:szCs w:val="16"/>
              </w:rPr>
            </w:pPr>
            <w:r w:rsidRPr="006568BA">
              <w:rPr>
                <w:rFonts w:ascii="Cambria" w:hAnsi="Cambria"/>
                <w:b/>
                <w:bCs/>
                <w:color w:val="000000"/>
                <w:sz w:val="16"/>
                <w:szCs w:val="16"/>
              </w:rPr>
              <w:t>Наименование элемента Объекта ценки</w:t>
            </w:r>
          </w:p>
        </w:tc>
        <w:tc>
          <w:tcPr>
            <w:tcW w:w="401" w:type="pct"/>
            <w:shd w:val="clear" w:color="000000" w:fill="F2F2F2"/>
            <w:vAlign w:val="center"/>
            <w:hideMark/>
          </w:tcPr>
          <w:p w:rsidR="006568BA" w:rsidRPr="006568BA" w:rsidRDefault="006568BA" w:rsidP="006568BA">
            <w:pPr>
              <w:jc w:val="center"/>
              <w:rPr>
                <w:rFonts w:ascii="Cambria" w:hAnsi="Cambria"/>
                <w:b/>
                <w:bCs/>
                <w:color w:val="000000"/>
                <w:sz w:val="16"/>
                <w:szCs w:val="16"/>
              </w:rPr>
            </w:pPr>
            <w:r w:rsidRPr="006568BA">
              <w:rPr>
                <w:rFonts w:ascii="Cambria" w:hAnsi="Cambria"/>
                <w:b/>
                <w:bCs/>
                <w:color w:val="000000"/>
                <w:sz w:val="16"/>
                <w:szCs w:val="16"/>
              </w:rPr>
              <w:t>Кол-во, шт</w:t>
            </w:r>
          </w:p>
        </w:tc>
        <w:tc>
          <w:tcPr>
            <w:tcW w:w="494" w:type="pct"/>
            <w:shd w:val="clear" w:color="000000" w:fill="F2F2F2"/>
            <w:vAlign w:val="center"/>
            <w:hideMark/>
          </w:tcPr>
          <w:p w:rsidR="006568BA" w:rsidRPr="006568BA" w:rsidRDefault="006568BA" w:rsidP="006568BA">
            <w:pPr>
              <w:jc w:val="center"/>
              <w:rPr>
                <w:rFonts w:ascii="Cambria" w:hAnsi="Cambria"/>
                <w:b/>
                <w:bCs/>
                <w:color w:val="000000"/>
                <w:sz w:val="16"/>
                <w:szCs w:val="16"/>
              </w:rPr>
            </w:pPr>
            <w:r w:rsidRPr="006568BA">
              <w:rPr>
                <w:rFonts w:ascii="Cambria" w:hAnsi="Cambria"/>
                <w:b/>
                <w:bCs/>
                <w:color w:val="000000"/>
                <w:sz w:val="16"/>
                <w:szCs w:val="16"/>
              </w:rPr>
              <w:t xml:space="preserve">Стоимость затрат, руб. </w:t>
            </w:r>
          </w:p>
        </w:tc>
        <w:tc>
          <w:tcPr>
            <w:tcW w:w="485" w:type="pct"/>
            <w:shd w:val="clear" w:color="000000" w:fill="F2F2F2"/>
            <w:vAlign w:val="center"/>
            <w:hideMark/>
          </w:tcPr>
          <w:p w:rsidR="006568BA" w:rsidRPr="006568BA" w:rsidRDefault="006568BA" w:rsidP="006568BA">
            <w:pPr>
              <w:jc w:val="center"/>
              <w:rPr>
                <w:rFonts w:ascii="Cambria" w:hAnsi="Cambria"/>
                <w:b/>
                <w:bCs/>
                <w:color w:val="000000"/>
                <w:sz w:val="16"/>
                <w:szCs w:val="16"/>
              </w:rPr>
            </w:pPr>
            <w:r w:rsidRPr="006568BA">
              <w:rPr>
                <w:rFonts w:ascii="Cambria" w:hAnsi="Cambria"/>
                <w:b/>
                <w:bCs/>
                <w:color w:val="000000"/>
                <w:sz w:val="16"/>
                <w:szCs w:val="16"/>
              </w:rPr>
              <w:t xml:space="preserve">И </w:t>
            </w:r>
            <w:r w:rsidRPr="006568BA">
              <w:rPr>
                <w:rFonts w:ascii="Cambria" w:hAnsi="Cambria"/>
                <w:b/>
                <w:bCs/>
                <w:color w:val="000000"/>
                <w:sz w:val="16"/>
                <w:szCs w:val="16"/>
                <w:vertAlign w:val="subscript"/>
              </w:rPr>
              <w:t>физ</w:t>
            </w:r>
            <w:r w:rsidRPr="006568BA">
              <w:rPr>
                <w:rFonts w:ascii="Cambria" w:hAnsi="Cambria"/>
                <w:b/>
                <w:bCs/>
                <w:color w:val="000000"/>
                <w:sz w:val="16"/>
                <w:szCs w:val="16"/>
              </w:rPr>
              <w:t>, %</w:t>
            </w:r>
          </w:p>
        </w:tc>
        <w:tc>
          <w:tcPr>
            <w:tcW w:w="541" w:type="pct"/>
            <w:shd w:val="clear" w:color="000000" w:fill="F2F2F2"/>
            <w:vAlign w:val="center"/>
            <w:hideMark/>
          </w:tcPr>
          <w:p w:rsidR="006568BA" w:rsidRPr="006568BA" w:rsidRDefault="006568BA" w:rsidP="006568BA">
            <w:pPr>
              <w:jc w:val="center"/>
              <w:rPr>
                <w:rFonts w:ascii="Cambria" w:hAnsi="Cambria"/>
                <w:b/>
                <w:bCs/>
                <w:color w:val="000000"/>
                <w:sz w:val="16"/>
                <w:szCs w:val="16"/>
              </w:rPr>
            </w:pPr>
            <w:r w:rsidRPr="006568BA">
              <w:rPr>
                <w:rFonts w:ascii="Cambria" w:hAnsi="Cambria"/>
                <w:b/>
                <w:bCs/>
                <w:color w:val="000000"/>
                <w:sz w:val="16"/>
                <w:szCs w:val="16"/>
              </w:rPr>
              <w:t xml:space="preserve">И </w:t>
            </w:r>
            <w:r w:rsidRPr="006568BA">
              <w:rPr>
                <w:rFonts w:ascii="Cambria" w:hAnsi="Cambria"/>
                <w:b/>
                <w:bCs/>
                <w:color w:val="000000"/>
                <w:sz w:val="16"/>
                <w:szCs w:val="16"/>
                <w:vertAlign w:val="subscript"/>
              </w:rPr>
              <w:t>функц</w:t>
            </w:r>
            <w:r w:rsidRPr="006568BA">
              <w:rPr>
                <w:rFonts w:ascii="Cambria" w:hAnsi="Cambria"/>
                <w:b/>
                <w:bCs/>
                <w:color w:val="000000"/>
                <w:sz w:val="16"/>
                <w:szCs w:val="16"/>
              </w:rPr>
              <w:t>, %</w:t>
            </w:r>
          </w:p>
        </w:tc>
        <w:tc>
          <w:tcPr>
            <w:tcW w:w="512" w:type="pct"/>
            <w:shd w:val="clear" w:color="000000" w:fill="F2F2F2"/>
            <w:vAlign w:val="center"/>
            <w:hideMark/>
          </w:tcPr>
          <w:p w:rsidR="006568BA" w:rsidRPr="006568BA" w:rsidRDefault="006568BA" w:rsidP="006568BA">
            <w:pPr>
              <w:jc w:val="center"/>
              <w:rPr>
                <w:rFonts w:ascii="Cambria" w:hAnsi="Cambria"/>
                <w:b/>
                <w:bCs/>
                <w:color w:val="000000"/>
                <w:sz w:val="16"/>
                <w:szCs w:val="16"/>
              </w:rPr>
            </w:pPr>
            <w:r w:rsidRPr="006568BA">
              <w:rPr>
                <w:rFonts w:ascii="Cambria" w:hAnsi="Cambria"/>
                <w:b/>
                <w:bCs/>
                <w:color w:val="000000"/>
                <w:sz w:val="16"/>
                <w:szCs w:val="16"/>
              </w:rPr>
              <w:t xml:space="preserve">И </w:t>
            </w:r>
            <w:r w:rsidRPr="006568BA">
              <w:rPr>
                <w:rFonts w:ascii="Cambria" w:hAnsi="Cambria"/>
                <w:b/>
                <w:bCs/>
                <w:color w:val="000000"/>
                <w:sz w:val="16"/>
                <w:szCs w:val="16"/>
                <w:vertAlign w:val="subscript"/>
              </w:rPr>
              <w:t>вн</w:t>
            </w:r>
            <w:r w:rsidRPr="006568BA">
              <w:rPr>
                <w:rFonts w:ascii="Cambria" w:hAnsi="Cambria"/>
                <w:b/>
                <w:bCs/>
                <w:color w:val="000000"/>
                <w:sz w:val="16"/>
                <w:szCs w:val="16"/>
              </w:rPr>
              <w:t>, %</w:t>
            </w:r>
          </w:p>
        </w:tc>
        <w:tc>
          <w:tcPr>
            <w:tcW w:w="789" w:type="pct"/>
            <w:shd w:val="clear" w:color="000000" w:fill="F2F2F2"/>
            <w:vAlign w:val="center"/>
            <w:hideMark/>
          </w:tcPr>
          <w:p w:rsidR="006568BA" w:rsidRPr="006568BA" w:rsidRDefault="006568BA" w:rsidP="006568BA">
            <w:pPr>
              <w:jc w:val="center"/>
              <w:rPr>
                <w:rFonts w:ascii="Cambria" w:hAnsi="Cambria"/>
                <w:b/>
                <w:bCs/>
                <w:color w:val="000000"/>
                <w:sz w:val="16"/>
                <w:szCs w:val="16"/>
              </w:rPr>
            </w:pPr>
            <w:r w:rsidRPr="006568BA">
              <w:rPr>
                <w:rFonts w:ascii="Cambria" w:hAnsi="Cambria"/>
                <w:b/>
                <w:bCs/>
                <w:color w:val="000000"/>
                <w:sz w:val="16"/>
                <w:szCs w:val="16"/>
              </w:rPr>
              <w:t xml:space="preserve">Стоимость элемента (округленно), руб. </w:t>
            </w:r>
          </w:p>
        </w:tc>
      </w:tr>
      <w:tr w:rsidR="006568BA" w:rsidRPr="006568BA" w:rsidTr="006568BA">
        <w:trPr>
          <w:cantSplit/>
          <w:trHeight w:val="170"/>
        </w:trPr>
        <w:tc>
          <w:tcPr>
            <w:tcW w:w="310" w:type="pct"/>
            <w:shd w:val="clear" w:color="auto" w:fill="auto"/>
            <w:noWrap/>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1</w:t>
            </w:r>
          </w:p>
        </w:tc>
        <w:tc>
          <w:tcPr>
            <w:tcW w:w="1469" w:type="pct"/>
            <w:shd w:val="clear" w:color="auto" w:fill="auto"/>
            <w:vAlign w:val="center"/>
            <w:hideMark/>
          </w:tcPr>
          <w:p w:rsidR="006568BA" w:rsidRPr="006568BA" w:rsidRDefault="006568BA" w:rsidP="006568BA">
            <w:pPr>
              <w:rPr>
                <w:rFonts w:ascii="Cambria" w:hAnsi="Cambria"/>
                <w:sz w:val="16"/>
                <w:szCs w:val="16"/>
              </w:rPr>
            </w:pPr>
            <w:r w:rsidRPr="006568BA">
              <w:rPr>
                <w:rFonts w:ascii="Cambria" w:hAnsi="Cambria"/>
                <w:sz w:val="16"/>
                <w:szCs w:val="16"/>
              </w:rPr>
              <w:t>Центр обработки и нарезания ПВХ профилей  KABAN Makina FA 1030</w:t>
            </w:r>
          </w:p>
        </w:tc>
        <w:tc>
          <w:tcPr>
            <w:tcW w:w="401" w:type="pct"/>
            <w:shd w:val="clear" w:color="auto" w:fill="auto"/>
            <w:noWrap/>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1</w:t>
            </w:r>
          </w:p>
        </w:tc>
        <w:tc>
          <w:tcPr>
            <w:tcW w:w="494" w:type="pct"/>
            <w:shd w:val="clear" w:color="auto" w:fill="auto"/>
            <w:noWrap/>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21 414 949</w:t>
            </w:r>
          </w:p>
        </w:tc>
        <w:tc>
          <w:tcPr>
            <w:tcW w:w="485" w:type="pct"/>
            <w:shd w:val="clear" w:color="auto" w:fill="auto"/>
            <w:noWrap/>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35,0%</w:t>
            </w:r>
          </w:p>
        </w:tc>
        <w:tc>
          <w:tcPr>
            <w:tcW w:w="541" w:type="pct"/>
            <w:shd w:val="clear" w:color="auto" w:fill="auto"/>
            <w:noWrap/>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0%</w:t>
            </w:r>
          </w:p>
        </w:tc>
        <w:tc>
          <w:tcPr>
            <w:tcW w:w="512" w:type="pct"/>
            <w:shd w:val="clear" w:color="auto" w:fill="auto"/>
            <w:noWrap/>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0%</w:t>
            </w:r>
          </w:p>
        </w:tc>
        <w:tc>
          <w:tcPr>
            <w:tcW w:w="789" w:type="pct"/>
            <w:shd w:val="clear" w:color="auto" w:fill="auto"/>
            <w:noWrap/>
            <w:vAlign w:val="bottom"/>
            <w:hideMark/>
          </w:tcPr>
          <w:p w:rsidR="006568BA" w:rsidRPr="006568BA" w:rsidRDefault="006568BA" w:rsidP="006568BA">
            <w:pPr>
              <w:jc w:val="right"/>
              <w:rPr>
                <w:rFonts w:ascii="Cambria" w:hAnsi="Cambria"/>
                <w:sz w:val="16"/>
                <w:szCs w:val="16"/>
              </w:rPr>
            </w:pPr>
            <w:r w:rsidRPr="006568BA">
              <w:rPr>
                <w:rFonts w:ascii="Cambria" w:hAnsi="Cambria"/>
                <w:sz w:val="16"/>
                <w:szCs w:val="16"/>
              </w:rPr>
              <w:t>13 919 700</w:t>
            </w:r>
          </w:p>
        </w:tc>
      </w:tr>
      <w:tr w:rsidR="006568BA" w:rsidRPr="006568BA" w:rsidTr="006568BA">
        <w:trPr>
          <w:cantSplit/>
          <w:trHeight w:val="170"/>
        </w:trPr>
        <w:tc>
          <w:tcPr>
            <w:tcW w:w="310" w:type="pct"/>
            <w:shd w:val="clear" w:color="auto" w:fill="auto"/>
            <w:noWrap/>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2</w:t>
            </w:r>
          </w:p>
        </w:tc>
        <w:tc>
          <w:tcPr>
            <w:tcW w:w="1469" w:type="pct"/>
            <w:shd w:val="clear" w:color="auto" w:fill="auto"/>
            <w:vAlign w:val="center"/>
            <w:hideMark/>
          </w:tcPr>
          <w:p w:rsidR="006568BA" w:rsidRPr="006568BA" w:rsidRDefault="006568BA" w:rsidP="006568BA">
            <w:pPr>
              <w:rPr>
                <w:rFonts w:ascii="Cambria" w:hAnsi="Cambria"/>
                <w:sz w:val="16"/>
                <w:szCs w:val="16"/>
              </w:rPr>
            </w:pPr>
            <w:r w:rsidRPr="006568BA">
              <w:rPr>
                <w:rFonts w:ascii="Cambria" w:hAnsi="Cambria"/>
                <w:sz w:val="16"/>
                <w:szCs w:val="16"/>
              </w:rPr>
              <w:t>Станок для рубки армирования  KABAN Makina КС1010</w:t>
            </w:r>
          </w:p>
        </w:tc>
        <w:tc>
          <w:tcPr>
            <w:tcW w:w="401" w:type="pct"/>
            <w:shd w:val="clear" w:color="auto" w:fill="auto"/>
            <w:noWrap/>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1</w:t>
            </w:r>
          </w:p>
        </w:tc>
        <w:tc>
          <w:tcPr>
            <w:tcW w:w="494" w:type="pct"/>
            <w:shd w:val="clear" w:color="auto" w:fill="auto"/>
            <w:noWrap/>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773 354</w:t>
            </w:r>
          </w:p>
        </w:tc>
        <w:tc>
          <w:tcPr>
            <w:tcW w:w="485" w:type="pct"/>
            <w:shd w:val="clear" w:color="auto" w:fill="auto"/>
            <w:noWrap/>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35,0%</w:t>
            </w:r>
          </w:p>
        </w:tc>
        <w:tc>
          <w:tcPr>
            <w:tcW w:w="541" w:type="pct"/>
            <w:shd w:val="clear" w:color="auto" w:fill="auto"/>
            <w:noWrap/>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0%</w:t>
            </w:r>
          </w:p>
        </w:tc>
        <w:tc>
          <w:tcPr>
            <w:tcW w:w="512" w:type="pct"/>
            <w:shd w:val="clear" w:color="auto" w:fill="auto"/>
            <w:noWrap/>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0%</w:t>
            </w:r>
          </w:p>
        </w:tc>
        <w:tc>
          <w:tcPr>
            <w:tcW w:w="789" w:type="pct"/>
            <w:shd w:val="clear" w:color="auto" w:fill="auto"/>
            <w:noWrap/>
            <w:vAlign w:val="bottom"/>
            <w:hideMark/>
          </w:tcPr>
          <w:p w:rsidR="006568BA" w:rsidRPr="006568BA" w:rsidRDefault="006568BA" w:rsidP="006568BA">
            <w:pPr>
              <w:jc w:val="right"/>
              <w:rPr>
                <w:rFonts w:ascii="Cambria" w:hAnsi="Cambria"/>
                <w:sz w:val="16"/>
                <w:szCs w:val="16"/>
              </w:rPr>
            </w:pPr>
            <w:r w:rsidRPr="006568BA">
              <w:rPr>
                <w:rFonts w:ascii="Cambria" w:hAnsi="Cambria"/>
                <w:sz w:val="16"/>
                <w:szCs w:val="16"/>
              </w:rPr>
              <w:t>502 700</w:t>
            </w:r>
          </w:p>
        </w:tc>
      </w:tr>
      <w:tr w:rsidR="006568BA" w:rsidRPr="006568BA" w:rsidTr="006568BA">
        <w:trPr>
          <w:cantSplit/>
          <w:trHeight w:val="170"/>
        </w:trPr>
        <w:tc>
          <w:tcPr>
            <w:tcW w:w="310" w:type="pct"/>
            <w:shd w:val="clear" w:color="auto" w:fill="auto"/>
            <w:noWrap/>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3</w:t>
            </w:r>
          </w:p>
        </w:tc>
        <w:tc>
          <w:tcPr>
            <w:tcW w:w="1469" w:type="pct"/>
            <w:shd w:val="clear" w:color="auto" w:fill="auto"/>
            <w:vAlign w:val="center"/>
            <w:hideMark/>
          </w:tcPr>
          <w:p w:rsidR="006568BA" w:rsidRPr="006568BA" w:rsidRDefault="006568BA" w:rsidP="006568BA">
            <w:pPr>
              <w:rPr>
                <w:rFonts w:ascii="Cambria" w:hAnsi="Cambria"/>
                <w:sz w:val="16"/>
                <w:szCs w:val="16"/>
              </w:rPr>
            </w:pPr>
            <w:r w:rsidRPr="006568BA">
              <w:rPr>
                <w:rFonts w:ascii="Cambria" w:hAnsi="Cambria"/>
                <w:sz w:val="16"/>
                <w:szCs w:val="16"/>
              </w:rPr>
              <w:t>Цифровая система измерения  KABAN Makina DS500</w:t>
            </w:r>
          </w:p>
        </w:tc>
        <w:tc>
          <w:tcPr>
            <w:tcW w:w="401" w:type="pct"/>
            <w:shd w:val="clear" w:color="auto" w:fill="auto"/>
            <w:noWrap/>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1</w:t>
            </w:r>
          </w:p>
        </w:tc>
        <w:tc>
          <w:tcPr>
            <w:tcW w:w="494" w:type="pct"/>
            <w:shd w:val="clear" w:color="auto" w:fill="auto"/>
            <w:noWrap/>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475 888</w:t>
            </w:r>
          </w:p>
        </w:tc>
        <w:tc>
          <w:tcPr>
            <w:tcW w:w="485" w:type="pct"/>
            <w:shd w:val="clear" w:color="auto" w:fill="auto"/>
            <w:noWrap/>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35,0%</w:t>
            </w:r>
          </w:p>
        </w:tc>
        <w:tc>
          <w:tcPr>
            <w:tcW w:w="541" w:type="pct"/>
            <w:shd w:val="clear" w:color="auto" w:fill="auto"/>
            <w:noWrap/>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0%</w:t>
            </w:r>
          </w:p>
        </w:tc>
        <w:tc>
          <w:tcPr>
            <w:tcW w:w="512" w:type="pct"/>
            <w:shd w:val="clear" w:color="auto" w:fill="auto"/>
            <w:noWrap/>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0%</w:t>
            </w:r>
          </w:p>
        </w:tc>
        <w:tc>
          <w:tcPr>
            <w:tcW w:w="789" w:type="pct"/>
            <w:shd w:val="clear" w:color="auto" w:fill="auto"/>
            <w:noWrap/>
            <w:vAlign w:val="bottom"/>
            <w:hideMark/>
          </w:tcPr>
          <w:p w:rsidR="006568BA" w:rsidRPr="006568BA" w:rsidRDefault="006568BA" w:rsidP="006568BA">
            <w:pPr>
              <w:jc w:val="right"/>
              <w:rPr>
                <w:rFonts w:ascii="Cambria" w:hAnsi="Cambria"/>
                <w:sz w:val="16"/>
                <w:szCs w:val="16"/>
              </w:rPr>
            </w:pPr>
            <w:r w:rsidRPr="006568BA">
              <w:rPr>
                <w:rFonts w:ascii="Cambria" w:hAnsi="Cambria"/>
                <w:sz w:val="16"/>
                <w:szCs w:val="16"/>
              </w:rPr>
              <w:t>309 300</w:t>
            </w:r>
          </w:p>
        </w:tc>
      </w:tr>
      <w:tr w:rsidR="006568BA" w:rsidRPr="006568BA" w:rsidTr="006568BA">
        <w:trPr>
          <w:cantSplit/>
          <w:trHeight w:val="170"/>
        </w:trPr>
        <w:tc>
          <w:tcPr>
            <w:tcW w:w="310" w:type="pct"/>
            <w:shd w:val="clear" w:color="auto" w:fill="auto"/>
            <w:noWrap/>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4</w:t>
            </w:r>
          </w:p>
        </w:tc>
        <w:tc>
          <w:tcPr>
            <w:tcW w:w="1469" w:type="pct"/>
            <w:shd w:val="clear" w:color="auto" w:fill="auto"/>
            <w:vAlign w:val="center"/>
            <w:hideMark/>
          </w:tcPr>
          <w:p w:rsidR="006568BA" w:rsidRPr="006568BA" w:rsidRDefault="006568BA" w:rsidP="006568BA">
            <w:pPr>
              <w:rPr>
                <w:rFonts w:ascii="Cambria" w:hAnsi="Cambria"/>
                <w:sz w:val="16"/>
                <w:szCs w:val="16"/>
              </w:rPr>
            </w:pPr>
            <w:r w:rsidRPr="006568BA">
              <w:rPr>
                <w:rFonts w:ascii="Cambria" w:hAnsi="Cambria"/>
                <w:sz w:val="16"/>
                <w:szCs w:val="16"/>
              </w:rPr>
              <w:t>Цифровой измерительный компас KABAN Makina DК 100</w:t>
            </w:r>
          </w:p>
        </w:tc>
        <w:tc>
          <w:tcPr>
            <w:tcW w:w="401" w:type="pct"/>
            <w:shd w:val="clear" w:color="auto" w:fill="auto"/>
            <w:noWrap/>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1</w:t>
            </w:r>
          </w:p>
        </w:tc>
        <w:tc>
          <w:tcPr>
            <w:tcW w:w="494" w:type="pct"/>
            <w:shd w:val="clear" w:color="auto" w:fill="auto"/>
            <w:noWrap/>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166 561</w:t>
            </w:r>
          </w:p>
        </w:tc>
        <w:tc>
          <w:tcPr>
            <w:tcW w:w="485" w:type="pct"/>
            <w:shd w:val="clear" w:color="auto" w:fill="auto"/>
            <w:noWrap/>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35,0%</w:t>
            </w:r>
          </w:p>
        </w:tc>
        <w:tc>
          <w:tcPr>
            <w:tcW w:w="541" w:type="pct"/>
            <w:shd w:val="clear" w:color="auto" w:fill="auto"/>
            <w:noWrap/>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0%</w:t>
            </w:r>
          </w:p>
        </w:tc>
        <w:tc>
          <w:tcPr>
            <w:tcW w:w="512" w:type="pct"/>
            <w:shd w:val="clear" w:color="auto" w:fill="auto"/>
            <w:noWrap/>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0%</w:t>
            </w:r>
          </w:p>
        </w:tc>
        <w:tc>
          <w:tcPr>
            <w:tcW w:w="789" w:type="pct"/>
            <w:shd w:val="clear" w:color="auto" w:fill="auto"/>
            <w:noWrap/>
            <w:vAlign w:val="bottom"/>
            <w:hideMark/>
          </w:tcPr>
          <w:p w:rsidR="006568BA" w:rsidRPr="006568BA" w:rsidRDefault="006568BA" w:rsidP="006568BA">
            <w:pPr>
              <w:jc w:val="right"/>
              <w:rPr>
                <w:rFonts w:ascii="Cambria" w:hAnsi="Cambria"/>
                <w:sz w:val="16"/>
                <w:szCs w:val="16"/>
              </w:rPr>
            </w:pPr>
            <w:r w:rsidRPr="006568BA">
              <w:rPr>
                <w:rFonts w:ascii="Cambria" w:hAnsi="Cambria"/>
                <w:sz w:val="16"/>
                <w:szCs w:val="16"/>
              </w:rPr>
              <w:t>108 300</w:t>
            </w:r>
          </w:p>
        </w:tc>
      </w:tr>
      <w:tr w:rsidR="006568BA" w:rsidRPr="006568BA" w:rsidTr="006568BA">
        <w:trPr>
          <w:cantSplit/>
          <w:trHeight w:val="170"/>
        </w:trPr>
        <w:tc>
          <w:tcPr>
            <w:tcW w:w="310" w:type="pct"/>
            <w:shd w:val="clear" w:color="auto" w:fill="auto"/>
            <w:noWrap/>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5</w:t>
            </w:r>
          </w:p>
        </w:tc>
        <w:tc>
          <w:tcPr>
            <w:tcW w:w="1469" w:type="pct"/>
            <w:shd w:val="clear" w:color="auto" w:fill="auto"/>
            <w:vAlign w:val="center"/>
            <w:hideMark/>
          </w:tcPr>
          <w:p w:rsidR="006568BA" w:rsidRPr="006568BA" w:rsidRDefault="006568BA" w:rsidP="006568BA">
            <w:pPr>
              <w:rPr>
                <w:rFonts w:ascii="Cambria" w:hAnsi="Cambria"/>
                <w:sz w:val="16"/>
                <w:szCs w:val="16"/>
              </w:rPr>
            </w:pPr>
            <w:r w:rsidRPr="006568BA">
              <w:rPr>
                <w:rFonts w:ascii="Cambria" w:hAnsi="Cambria"/>
                <w:sz w:val="16"/>
                <w:szCs w:val="16"/>
              </w:rPr>
              <w:t>Станок одноголовочный сварочный   KABAN Makina ВА2030</w:t>
            </w:r>
          </w:p>
        </w:tc>
        <w:tc>
          <w:tcPr>
            <w:tcW w:w="401" w:type="pct"/>
            <w:shd w:val="clear" w:color="auto" w:fill="auto"/>
            <w:noWrap/>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1</w:t>
            </w:r>
          </w:p>
        </w:tc>
        <w:tc>
          <w:tcPr>
            <w:tcW w:w="494" w:type="pct"/>
            <w:shd w:val="clear" w:color="auto" w:fill="auto"/>
            <w:noWrap/>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274 843</w:t>
            </w:r>
          </w:p>
        </w:tc>
        <w:tc>
          <w:tcPr>
            <w:tcW w:w="485" w:type="pct"/>
            <w:shd w:val="clear" w:color="auto" w:fill="auto"/>
            <w:noWrap/>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35,0%</w:t>
            </w:r>
          </w:p>
        </w:tc>
        <w:tc>
          <w:tcPr>
            <w:tcW w:w="541" w:type="pct"/>
            <w:shd w:val="clear" w:color="auto" w:fill="auto"/>
            <w:noWrap/>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0%</w:t>
            </w:r>
          </w:p>
        </w:tc>
        <w:tc>
          <w:tcPr>
            <w:tcW w:w="512" w:type="pct"/>
            <w:shd w:val="clear" w:color="auto" w:fill="auto"/>
            <w:noWrap/>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0%</w:t>
            </w:r>
          </w:p>
        </w:tc>
        <w:tc>
          <w:tcPr>
            <w:tcW w:w="789" w:type="pct"/>
            <w:shd w:val="clear" w:color="auto" w:fill="auto"/>
            <w:noWrap/>
            <w:vAlign w:val="bottom"/>
            <w:hideMark/>
          </w:tcPr>
          <w:p w:rsidR="006568BA" w:rsidRPr="006568BA" w:rsidRDefault="006568BA" w:rsidP="006568BA">
            <w:pPr>
              <w:jc w:val="right"/>
              <w:rPr>
                <w:rFonts w:ascii="Cambria" w:hAnsi="Cambria"/>
                <w:sz w:val="16"/>
                <w:szCs w:val="16"/>
              </w:rPr>
            </w:pPr>
            <w:r w:rsidRPr="006568BA">
              <w:rPr>
                <w:rFonts w:ascii="Cambria" w:hAnsi="Cambria"/>
                <w:sz w:val="16"/>
                <w:szCs w:val="16"/>
              </w:rPr>
              <w:t>178 600</w:t>
            </w:r>
          </w:p>
        </w:tc>
      </w:tr>
      <w:tr w:rsidR="006568BA" w:rsidRPr="006568BA" w:rsidTr="006568BA">
        <w:trPr>
          <w:cantSplit/>
          <w:trHeight w:val="170"/>
        </w:trPr>
        <w:tc>
          <w:tcPr>
            <w:tcW w:w="310" w:type="pct"/>
            <w:shd w:val="clear" w:color="auto" w:fill="auto"/>
            <w:noWrap/>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6</w:t>
            </w:r>
          </w:p>
        </w:tc>
        <w:tc>
          <w:tcPr>
            <w:tcW w:w="1469" w:type="pct"/>
            <w:shd w:val="clear" w:color="auto" w:fill="auto"/>
            <w:vAlign w:val="center"/>
            <w:hideMark/>
          </w:tcPr>
          <w:p w:rsidR="006568BA" w:rsidRPr="006568BA" w:rsidRDefault="006568BA" w:rsidP="006568BA">
            <w:pPr>
              <w:rPr>
                <w:rFonts w:ascii="Cambria" w:hAnsi="Cambria"/>
                <w:sz w:val="16"/>
                <w:szCs w:val="16"/>
              </w:rPr>
            </w:pPr>
            <w:r w:rsidRPr="006568BA">
              <w:rPr>
                <w:rFonts w:ascii="Cambria" w:hAnsi="Cambria"/>
                <w:sz w:val="16"/>
                <w:szCs w:val="16"/>
              </w:rPr>
              <w:t>Автоматический копировально-фрезерный станок для фрезерования отверстий  под ручку и фурнитуру KABAN Makina DE 4060</w:t>
            </w:r>
          </w:p>
        </w:tc>
        <w:tc>
          <w:tcPr>
            <w:tcW w:w="401" w:type="pct"/>
            <w:shd w:val="clear" w:color="auto" w:fill="auto"/>
            <w:noWrap/>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1</w:t>
            </w:r>
          </w:p>
        </w:tc>
        <w:tc>
          <w:tcPr>
            <w:tcW w:w="494" w:type="pct"/>
            <w:shd w:val="clear" w:color="auto" w:fill="auto"/>
            <w:noWrap/>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324 775</w:t>
            </w:r>
          </w:p>
        </w:tc>
        <w:tc>
          <w:tcPr>
            <w:tcW w:w="485" w:type="pct"/>
            <w:shd w:val="clear" w:color="auto" w:fill="auto"/>
            <w:noWrap/>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50,0%</w:t>
            </w:r>
          </w:p>
        </w:tc>
        <w:tc>
          <w:tcPr>
            <w:tcW w:w="541" w:type="pct"/>
            <w:shd w:val="clear" w:color="auto" w:fill="auto"/>
            <w:noWrap/>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0%</w:t>
            </w:r>
          </w:p>
        </w:tc>
        <w:tc>
          <w:tcPr>
            <w:tcW w:w="512" w:type="pct"/>
            <w:shd w:val="clear" w:color="auto" w:fill="auto"/>
            <w:noWrap/>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0%</w:t>
            </w:r>
          </w:p>
        </w:tc>
        <w:tc>
          <w:tcPr>
            <w:tcW w:w="789" w:type="pct"/>
            <w:shd w:val="clear" w:color="auto" w:fill="auto"/>
            <w:noWrap/>
            <w:vAlign w:val="bottom"/>
            <w:hideMark/>
          </w:tcPr>
          <w:p w:rsidR="006568BA" w:rsidRPr="006568BA" w:rsidRDefault="006568BA" w:rsidP="006568BA">
            <w:pPr>
              <w:jc w:val="right"/>
              <w:rPr>
                <w:rFonts w:ascii="Cambria" w:hAnsi="Cambria"/>
                <w:sz w:val="16"/>
                <w:szCs w:val="16"/>
              </w:rPr>
            </w:pPr>
            <w:r w:rsidRPr="006568BA">
              <w:rPr>
                <w:rFonts w:ascii="Cambria" w:hAnsi="Cambria"/>
                <w:sz w:val="16"/>
                <w:szCs w:val="16"/>
              </w:rPr>
              <w:t>162 400</w:t>
            </w:r>
          </w:p>
        </w:tc>
      </w:tr>
      <w:tr w:rsidR="006568BA" w:rsidRPr="006568BA" w:rsidTr="006568BA">
        <w:trPr>
          <w:cantSplit/>
          <w:trHeight w:val="170"/>
        </w:trPr>
        <w:tc>
          <w:tcPr>
            <w:tcW w:w="310" w:type="pct"/>
            <w:shd w:val="clear" w:color="auto" w:fill="auto"/>
            <w:noWrap/>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7</w:t>
            </w:r>
          </w:p>
        </w:tc>
        <w:tc>
          <w:tcPr>
            <w:tcW w:w="1469" w:type="pct"/>
            <w:shd w:val="clear" w:color="auto" w:fill="auto"/>
            <w:vAlign w:val="center"/>
            <w:hideMark/>
          </w:tcPr>
          <w:p w:rsidR="006568BA" w:rsidRPr="006568BA" w:rsidRDefault="006568BA" w:rsidP="006568BA">
            <w:pPr>
              <w:rPr>
                <w:rFonts w:ascii="Cambria" w:hAnsi="Cambria"/>
                <w:sz w:val="16"/>
                <w:szCs w:val="16"/>
              </w:rPr>
            </w:pPr>
            <w:r w:rsidRPr="006568BA">
              <w:rPr>
                <w:rFonts w:ascii="Cambria" w:hAnsi="Cambria"/>
                <w:sz w:val="16"/>
                <w:szCs w:val="16"/>
              </w:rPr>
              <w:t>Механический  копировально-фрезерный  станок  KABAN Makina DF4060</w:t>
            </w:r>
          </w:p>
        </w:tc>
        <w:tc>
          <w:tcPr>
            <w:tcW w:w="401" w:type="pct"/>
            <w:shd w:val="clear" w:color="auto" w:fill="auto"/>
            <w:noWrap/>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1</w:t>
            </w:r>
          </w:p>
        </w:tc>
        <w:tc>
          <w:tcPr>
            <w:tcW w:w="494" w:type="pct"/>
            <w:shd w:val="clear" w:color="auto" w:fill="auto"/>
            <w:noWrap/>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188 525</w:t>
            </w:r>
          </w:p>
        </w:tc>
        <w:tc>
          <w:tcPr>
            <w:tcW w:w="485" w:type="pct"/>
            <w:shd w:val="clear" w:color="auto" w:fill="auto"/>
            <w:noWrap/>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35,0%</w:t>
            </w:r>
          </w:p>
        </w:tc>
        <w:tc>
          <w:tcPr>
            <w:tcW w:w="541" w:type="pct"/>
            <w:shd w:val="clear" w:color="auto" w:fill="auto"/>
            <w:noWrap/>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0%</w:t>
            </w:r>
          </w:p>
        </w:tc>
        <w:tc>
          <w:tcPr>
            <w:tcW w:w="512" w:type="pct"/>
            <w:shd w:val="clear" w:color="auto" w:fill="auto"/>
            <w:noWrap/>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0%</w:t>
            </w:r>
          </w:p>
        </w:tc>
        <w:tc>
          <w:tcPr>
            <w:tcW w:w="789" w:type="pct"/>
            <w:shd w:val="clear" w:color="auto" w:fill="auto"/>
            <w:noWrap/>
            <w:vAlign w:val="bottom"/>
            <w:hideMark/>
          </w:tcPr>
          <w:p w:rsidR="006568BA" w:rsidRPr="006568BA" w:rsidRDefault="006568BA" w:rsidP="006568BA">
            <w:pPr>
              <w:jc w:val="right"/>
              <w:rPr>
                <w:rFonts w:ascii="Cambria" w:hAnsi="Cambria"/>
                <w:sz w:val="16"/>
                <w:szCs w:val="16"/>
              </w:rPr>
            </w:pPr>
            <w:r w:rsidRPr="006568BA">
              <w:rPr>
                <w:rFonts w:ascii="Cambria" w:hAnsi="Cambria"/>
                <w:sz w:val="16"/>
                <w:szCs w:val="16"/>
              </w:rPr>
              <w:t>122 500</w:t>
            </w:r>
          </w:p>
        </w:tc>
      </w:tr>
      <w:tr w:rsidR="006568BA" w:rsidRPr="006568BA" w:rsidTr="006568BA">
        <w:trPr>
          <w:cantSplit/>
          <w:trHeight w:val="170"/>
        </w:trPr>
        <w:tc>
          <w:tcPr>
            <w:tcW w:w="310" w:type="pct"/>
            <w:shd w:val="clear" w:color="auto" w:fill="auto"/>
            <w:noWrap/>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8</w:t>
            </w:r>
          </w:p>
        </w:tc>
        <w:tc>
          <w:tcPr>
            <w:tcW w:w="1469" w:type="pct"/>
            <w:shd w:val="clear" w:color="auto" w:fill="auto"/>
            <w:vAlign w:val="center"/>
            <w:hideMark/>
          </w:tcPr>
          <w:p w:rsidR="006568BA" w:rsidRPr="006568BA" w:rsidRDefault="006568BA" w:rsidP="006568BA">
            <w:pPr>
              <w:rPr>
                <w:rFonts w:ascii="Cambria" w:hAnsi="Cambria"/>
                <w:sz w:val="16"/>
                <w:szCs w:val="16"/>
              </w:rPr>
            </w:pPr>
            <w:r w:rsidRPr="006568BA">
              <w:rPr>
                <w:rFonts w:ascii="Cambria" w:hAnsi="Cambria"/>
                <w:sz w:val="16"/>
                <w:szCs w:val="16"/>
              </w:rPr>
              <w:t>Автоматический станок для обработки импоста  KABAN Makina СF3060</w:t>
            </w:r>
          </w:p>
        </w:tc>
        <w:tc>
          <w:tcPr>
            <w:tcW w:w="401" w:type="pct"/>
            <w:shd w:val="clear" w:color="auto" w:fill="auto"/>
            <w:noWrap/>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1</w:t>
            </w:r>
          </w:p>
        </w:tc>
        <w:tc>
          <w:tcPr>
            <w:tcW w:w="494" w:type="pct"/>
            <w:shd w:val="clear" w:color="auto" w:fill="auto"/>
            <w:noWrap/>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187 134</w:t>
            </w:r>
          </w:p>
        </w:tc>
        <w:tc>
          <w:tcPr>
            <w:tcW w:w="485" w:type="pct"/>
            <w:shd w:val="clear" w:color="auto" w:fill="auto"/>
            <w:noWrap/>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35,0%</w:t>
            </w:r>
          </w:p>
        </w:tc>
        <w:tc>
          <w:tcPr>
            <w:tcW w:w="541" w:type="pct"/>
            <w:shd w:val="clear" w:color="auto" w:fill="auto"/>
            <w:noWrap/>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0%</w:t>
            </w:r>
          </w:p>
        </w:tc>
        <w:tc>
          <w:tcPr>
            <w:tcW w:w="512" w:type="pct"/>
            <w:shd w:val="clear" w:color="auto" w:fill="auto"/>
            <w:noWrap/>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0%</w:t>
            </w:r>
          </w:p>
        </w:tc>
        <w:tc>
          <w:tcPr>
            <w:tcW w:w="789" w:type="pct"/>
            <w:shd w:val="clear" w:color="auto" w:fill="auto"/>
            <w:noWrap/>
            <w:vAlign w:val="bottom"/>
            <w:hideMark/>
          </w:tcPr>
          <w:p w:rsidR="006568BA" w:rsidRPr="006568BA" w:rsidRDefault="006568BA" w:rsidP="006568BA">
            <w:pPr>
              <w:jc w:val="right"/>
              <w:rPr>
                <w:rFonts w:ascii="Cambria" w:hAnsi="Cambria"/>
                <w:sz w:val="16"/>
                <w:szCs w:val="16"/>
              </w:rPr>
            </w:pPr>
            <w:r w:rsidRPr="006568BA">
              <w:rPr>
                <w:rFonts w:ascii="Cambria" w:hAnsi="Cambria"/>
                <w:sz w:val="16"/>
                <w:szCs w:val="16"/>
              </w:rPr>
              <w:t>121 600</w:t>
            </w:r>
          </w:p>
        </w:tc>
      </w:tr>
    </w:tbl>
    <w:p w:rsidR="006568BA" w:rsidRPr="006A199E" w:rsidRDefault="006568BA" w:rsidP="006A199E">
      <w:pPr>
        <w:spacing w:before="120" w:after="120"/>
        <w:ind w:firstLine="709"/>
        <w:jc w:val="both"/>
        <w:rPr>
          <w:rFonts w:ascii="Bookman Old Style" w:hAnsi="Bookman Old Style"/>
          <w:sz w:val="20"/>
          <w:szCs w:val="20"/>
        </w:rPr>
      </w:pPr>
    </w:p>
    <w:p w:rsidR="006A199E" w:rsidRDefault="006A199E" w:rsidP="006A199E">
      <w:pPr>
        <w:overflowPunct w:val="0"/>
        <w:autoSpaceDE w:val="0"/>
        <w:autoSpaceDN w:val="0"/>
        <w:adjustRightInd w:val="0"/>
        <w:spacing w:before="100" w:after="100"/>
        <w:ind w:firstLine="708"/>
        <w:jc w:val="right"/>
        <w:rPr>
          <w:rFonts w:ascii="Bookman Old Style" w:hAnsi="Bookman Old Style"/>
          <w:b/>
          <w:bCs/>
          <w:sz w:val="20"/>
          <w:szCs w:val="20"/>
        </w:rPr>
      </w:pPr>
    </w:p>
    <w:p w:rsidR="006A199E" w:rsidRDefault="006A199E" w:rsidP="006A199E">
      <w:pPr>
        <w:overflowPunct w:val="0"/>
        <w:autoSpaceDE w:val="0"/>
        <w:autoSpaceDN w:val="0"/>
        <w:adjustRightInd w:val="0"/>
        <w:spacing w:before="100" w:after="100"/>
        <w:ind w:firstLine="708"/>
        <w:jc w:val="right"/>
        <w:rPr>
          <w:rFonts w:ascii="Bookman Old Style" w:hAnsi="Bookman Old Style"/>
          <w:b/>
          <w:bCs/>
          <w:sz w:val="20"/>
          <w:szCs w:val="20"/>
        </w:rPr>
      </w:pPr>
    </w:p>
    <w:p w:rsidR="006A199E" w:rsidRDefault="006A199E" w:rsidP="006A199E">
      <w:pPr>
        <w:overflowPunct w:val="0"/>
        <w:autoSpaceDE w:val="0"/>
        <w:autoSpaceDN w:val="0"/>
        <w:adjustRightInd w:val="0"/>
        <w:spacing w:before="100" w:after="100"/>
        <w:ind w:firstLine="708"/>
        <w:jc w:val="right"/>
        <w:rPr>
          <w:rFonts w:ascii="Bookman Old Style" w:hAnsi="Bookman Old Style"/>
          <w:b/>
          <w:bCs/>
          <w:sz w:val="20"/>
          <w:szCs w:val="20"/>
        </w:rPr>
      </w:pPr>
    </w:p>
    <w:p w:rsidR="006A199E" w:rsidRDefault="006A199E" w:rsidP="006A199E">
      <w:pPr>
        <w:overflowPunct w:val="0"/>
        <w:autoSpaceDE w:val="0"/>
        <w:autoSpaceDN w:val="0"/>
        <w:adjustRightInd w:val="0"/>
        <w:spacing w:before="100" w:after="100"/>
        <w:ind w:firstLine="708"/>
        <w:jc w:val="right"/>
        <w:rPr>
          <w:rFonts w:ascii="Bookman Old Style" w:hAnsi="Bookman Old Style"/>
          <w:b/>
          <w:bCs/>
          <w:sz w:val="20"/>
          <w:szCs w:val="20"/>
        </w:rPr>
      </w:pPr>
    </w:p>
    <w:p w:rsidR="006A199E" w:rsidRDefault="006A199E" w:rsidP="006A199E">
      <w:pPr>
        <w:overflowPunct w:val="0"/>
        <w:autoSpaceDE w:val="0"/>
        <w:autoSpaceDN w:val="0"/>
        <w:adjustRightInd w:val="0"/>
        <w:spacing w:before="100" w:after="100"/>
        <w:ind w:firstLine="708"/>
        <w:jc w:val="right"/>
        <w:rPr>
          <w:rFonts w:ascii="Bookman Old Style" w:hAnsi="Bookman Old Style"/>
          <w:b/>
          <w:bCs/>
          <w:sz w:val="20"/>
          <w:szCs w:val="20"/>
        </w:rPr>
      </w:pPr>
    </w:p>
    <w:p w:rsidR="006A199E" w:rsidRDefault="006A199E" w:rsidP="006A199E">
      <w:pPr>
        <w:overflowPunct w:val="0"/>
        <w:autoSpaceDE w:val="0"/>
        <w:autoSpaceDN w:val="0"/>
        <w:adjustRightInd w:val="0"/>
        <w:spacing w:before="100" w:after="100"/>
        <w:ind w:firstLine="708"/>
        <w:jc w:val="right"/>
        <w:rPr>
          <w:rFonts w:ascii="Bookman Old Style" w:hAnsi="Bookman Old Style"/>
          <w:b/>
          <w:bCs/>
          <w:sz w:val="20"/>
          <w:szCs w:val="20"/>
        </w:rPr>
      </w:pPr>
    </w:p>
    <w:p w:rsidR="006A199E" w:rsidRDefault="006A199E" w:rsidP="006A199E">
      <w:pPr>
        <w:overflowPunct w:val="0"/>
        <w:autoSpaceDE w:val="0"/>
        <w:autoSpaceDN w:val="0"/>
        <w:adjustRightInd w:val="0"/>
        <w:spacing w:before="100" w:after="100"/>
        <w:ind w:firstLine="708"/>
        <w:jc w:val="right"/>
        <w:rPr>
          <w:rFonts w:ascii="Bookman Old Style" w:hAnsi="Bookman Old Style"/>
          <w:b/>
          <w:bCs/>
          <w:sz w:val="20"/>
          <w:szCs w:val="20"/>
        </w:rPr>
      </w:pPr>
    </w:p>
    <w:p w:rsidR="006A199E" w:rsidRDefault="006A199E" w:rsidP="006A199E">
      <w:pPr>
        <w:overflowPunct w:val="0"/>
        <w:autoSpaceDE w:val="0"/>
        <w:autoSpaceDN w:val="0"/>
        <w:adjustRightInd w:val="0"/>
        <w:spacing w:before="100" w:after="100"/>
        <w:ind w:firstLine="708"/>
        <w:jc w:val="right"/>
        <w:rPr>
          <w:rFonts w:ascii="Bookman Old Style" w:hAnsi="Bookman Old Style"/>
          <w:b/>
          <w:bCs/>
          <w:sz w:val="20"/>
          <w:szCs w:val="20"/>
        </w:rPr>
      </w:pPr>
    </w:p>
    <w:p w:rsidR="006A199E" w:rsidRDefault="006A199E" w:rsidP="006A199E">
      <w:pPr>
        <w:overflowPunct w:val="0"/>
        <w:autoSpaceDE w:val="0"/>
        <w:autoSpaceDN w:val="0"/>
        <w:adjustRightInd w:val="0"/>
        <w:spacing w:before="100" w:after="100"/>
        <w:ind w:firstLine="708"/>
        <w:jc w:val="right"/>
        <w:rPr>
          <w:rFonts w:ascii="Bookman Old Style" w:hAnsi="Bookman Old Style"/>
          <w:b/>
          <w:bCs/>
          <w:sz w:val="20"/>
          <w:szCs w:val="20"/>
        </w:rPr>
      </w:pPr>
    </w:p>
    <w:p w:rsidR="006A199E" w:rsidRDefault="006A199E" w:rsidP="006A199E">
      <w:pPr>
        <w:overflowPunct w:val="0"/>
        <w:autoSpaceDE w:val="0"/>
        <w:autoSpaceDN w:val="0"/>
        <w:adjustRightInd w:val="0"/>
        <w:spacing w:before="100" w:after="100"/>
        <w:ind w:firstLine="708"/>
        <w:jc w:val="right"/>
        <w:rPr>
          <w:rFonts w:ascii="Bookman Old Style" w:hAnsi="Bookman Old Style"/>
          <w:b/>
          <w:bCs/>
          <w:sz w:val="20"/>
          <w:szCs w:val="20"/>
        </w:rPr>
      </w:pPr>
    </w:p>
    <w:p w:rsidR="006A199E" w:rsidRDefault="006A199E" w:rsidP="006A199E">
      <w:pPr>
        <w:overflowPunct w:val="0"/>
        <w:autoSpaceDE w:val="0"/>
        <w:autoSpaceDN w:val="0"/>
        <w:adjustRightInd w:val="0"/>
        <w:spacing w:before="100" w:after="100"/>
        <w:ind w:firstLine="708"/>
        <w:jc w:val="right"/>
        <w:rPr>
          <w:rFonts w:ascii="Bookman Old Style" w:hAnsi="Bookman Old Style"/>
          <w:b/>
          <w:bCs/>
          <w:sz w:val="20"/>
          <w:szCs w:val="20"/>
        </w:rPr>
      </w:pPr>
    </w:p>
    <w:p w:rsidR="006A199E" w:rsidRDefault="006A199E" w:rsidP="006A199E">
      <w:pPr>
        <w:overflowPunct w:val="0"/>
        <w:autoSpaceDE w:val="0"/>
        <w:autoSpaceDN w:val="0"/>
        <w:adjustRightInd w:val="0"/>
        <w:spacing w:before="100" w:after="100"/>
        <w:ind w:firstLine="708"/>
        <w:jc w:val="right"/>
        <w:rPr>
          <w:rFonts w:ascii="Bookman Old Style" w:hAnsi="Bookman Old Style"/>
          <w:b/>
          <w:bCs/>
          <w:sz w:val="20"/>
          <w:szCs w:val="20"/>
        </w:rPr>
      </w:pPr>
    </w:p>
    <w:p w:rsidR="006A199E" w:rsidRDefault="006A199E" w:rsidP="006A199E">
      <w:pPr>
        <w:overflowPunct w:val="0"/>
        <w:autoSpaceDE w:val="0"/>
        <w:autoSpaceDN w:val="0"/>
        <w:adjustRightInd w:val="0"/>
        <w:spacing w:before="100" w:after="100"/>
        <w:ind w:firstLine="708"/>
        <w:jc w:val="right"/>
        <w:rPr>
          <w:rFonts w:ascii="Bookman Old Style" w:hAnsi="Bookman Old Style"/>
          <w:b/>
          <w:bCs/>
          <w:sz w:val="20"/>
          <w:szCs w:val="20"/>
        </w:rPr>
      </w:pPr>
    </w:p>
    <w:p w:rsidR="00F45425" w:rsidRPr="000877E7" w:rsidRDefault="00F45425" w:rsidP="00F45425">
      <w:pPr>
        <w:pStyle w:val="1"/>
        <w:spacing w:before="120" w:after="120"/>
        <w:jc w:val="center"/>
        <w:rPr>
          <w:rFonts w:ascii="Bookman Old Style" w:hAnsi="Bookman Old Style"/>
        </w:rPr>
      </w:pPr>
      <w:bookmarkStart w:id="344" w:name="_Toc461206424"/>
      <w:bookmarkEnd w:id="263"/>
      <w:bookmarkEnd w:id="264"/>
      <w:r w:rsidRPr="00EB1E72">
        <w:rPr>
          <w:rFonts w:ascii="Bookman Old Style" w:hAnsi="Bookman Old Style"/>
        </w:rPr>
        <w:t>6. СОГЛАСОВАНИЕ РЕЗУЛЬТАТОВ</w:t>
      </w:r>
      <w:bookmarkEnd w:id="344"/>
    </w:p>
    <w:p w:rsidR="006A199E" w:rsidRPr="006A199E" w:rsidRDefault="00F45425" w:rsidP="006A199E">
      <w:pPr>
        <w:spacing w:before="120" w:after="120"/>
        <w:ind w:firstLine="708"/>
        <w:jc w:val="both"/>
        <w:rPr>
          <w:rFonts w:ascii="Bookman Old Style" w:hAnsi="Bookman Old Style"/>
          <w:color w:val="000000"/>
          <w:sz w:val="20"/>
          <w:szCs w:val="20"/>
        </w:rPr>
      </w:pPr>
      <w:r w:rsidRPr="004A53BF">
        <w:rPr>
          <w:rFonts w:ascii="Bookman Old Style" w:hAnsi="Bookman Old Style"/>
          <w:sz w:val="20"/>
          <w:szCs w:val="20"/>
        </w:rPr>
        <w:tab/>
      </w:r>
      <w:r w:rsidR="006A199E" w:rsidRPr="006A199E">
        <w:rPr>
          <w:rFonts w:ascii="Bookman Old Style" w:hAnsi="Bookman Old Style"/>
          <w:sz w:val="20"/>
          <w:szCs w:val="20"/>
        </w:rPr>
        <w:t xml:space="preserve">В разделе согласования результатов должно быть проведено согласование результатов </w:t>
      </w:r>
      <w:r w:rsidR="006A199E" w:rsidRPr="006A199E">
        <w:rPr>
          <w:rFonts w:ascii="Bookman Old Style" w:hAnsi="Bookman Old Style"/>
          <w:color w:val="000000"/>
          <w:sz w:val="20"/>
          <w:szCs w:val="20"/>
        </w:rPr>
        <w:t>Рыночная стоимость нежилого здания рассчитана с помощью двух подходов, поэтому необходимо произвести согласование расчетов.</w:t>
      </w:r>
    </w:p>
    <w:p w:rsidR="006A199E" w:rsidRPr="006A199E" w:rsidRDefault="006A199E" w:rsidP="006A199E">
      <w:pPr>
        <w:spacing w:before="120" w:after="120"/>
        <w:ind w:firstLine="708"/>
        <w:jc w:val="both"/>
        <w:rPr>
          <w:rFonts w:ascii="Bookman Old Style" w:hAnsi="Bookman Old Style"/>
          <w:color w:val="000000"/>
          <w:sz w:val="20"/>
          <w:szCs w:val="20"/>
        </w:rPr>
      </w:pPr>
      <w:r w:rsidRPr="006A199E">
        <w:rPr>
          <w:rFonts w:ascii="Bookman Old Style" w:hAnsi="Bookman Old Style"/>
          <w:color w:val="000000"/>
          <w:sz w:val="20"/>
          <w:szCs w:val="20"/>
        </w:rPr>
        <w:t>Метод анализа иерархии (МАИ) применяется для согласования результатов, полученных с использованием различных подходов и методов оценки.</w:t>
      </w:r>
    </w:p>
    <w:p w:rsidR="006A199E" w:rsidRPr="006A199E" w:rsidRDefault="006A199E" w:rsidP="006A199E">
      <w:pPr>
        <w:spacing w:before="120" w:after="120"/>
        <w:ind w:firstLine="708"/>
        <w:jc w:val="both"/>
        <w:rPr>
          <w:rFonts w:ascii="Bookman Old Style" w:hAnsi="Bookman Old Style"/>
          <w:color w:val="000000"/>
          <w:sz w:val="20"/>
          <w:szCs w:val="20"/>
        </w:rPr>
      </w:pPr>
      <w:r w:rsidRPr="006A199E">
        <w:rPr>
          <w:rFonts w:ascii="Bookman Old Style" w:hAnsi="Bookman Old Style"/>
          <w:color w:val="000000"/>
          <w:sz w:val="20"/>
          <w:szCs w:val="20"/>
        </w:rPr>
        <w:t>1. Первым шагом МАИ является структурирование проблемы, согласование результатов в виде иерархии. В наиболее простом виде иерархия строится с вершины, представляющей цель проблемы через промежуточные уровни, обычно являющиеся критерием сравнения к самому нижнему уровню, который в общем случае является набором альтернатив.</w:t>
      </w:r>
    </w:p>
    <w:p w:rsidR="006A199E" w:rsidRPr="006A199E" w:rsidRDefault="006A199E" w:rsidP="006A199E">
      <w:pPr>
        <w:spacing w:before="120" w:after="120"/>
        <w:ind w:firstLine="708"/>
        <w:jc w:val="both"/>
        <w:rPr>
          <w:rFonts w:ascii="Bookman Old Style" w:hAnsi="Bookman Old Style"/>
          <w:color w:val="000000"/>
          <w:sz w:val="20"/>
          <w:szCs w:val="20"/>
        </w:rPr>
      </w:pPr>
      <w:r w:rsidRPr="006A199E">
        <w:rPr>
          <w:rFonts w:ascii="Bookman Old Style" w:hAnsi="Bookman Old Style"/>
          <w:color w:val="000000"/>
          <w:sz w:val="20"/>
          <w:szCs w:val="20"/>
        </w:rPr>
        <w:t xml:space="preserve">2. После иерархического воспроизведения проблемы строится матрица сравнения критериев и рассчитывается значение приоритетов критериев. Элемент матрицы - </w:t>
      </w:r>
      <w:r w:rsidRPr="006A199E">
        <w:rPr>
          <w:rFonts w:ascii="Bookman Old Style" w:hAnsi="Bookman Old Style"/>
          <w:bCs/>
          <w:color w:val="000000"/>
          <w:sz w:val="20"/>
          <w:szCs w:val="20"/>
        </w:rPr>
        <w:t>Аij</w:t>
      </w:r>
      <w:r w:rsidRPr="006A199E">
        <w:rPr>
          <w:rFonts w:ascii="Bookman Old Style" w:hAnsi="Bookman Old Style"/>
          <w:color w:val="000000"/>
          <w:sz w:val="20"/>
          <w:szCs w:val="20"/>
        </w:rPr>
        <w:t xml:space="preserve"> - представляет собой интенсивность элемента иерархии </w:t>
      </w:r>
      <w:r w:rsidRPr="006A199E">
        <w:rPr>
          <w:rFonts w:ascii="Bookman Old Style" w:hAnsi="Bookman Old Style"/>
          <w:bCs/>
          <w:color w:val="000000"/>
          <w:sz w:val="20"/>
          <w:szCs w:val="20"/>
        </w:rPr>
        <w:t>i</w:t>
      </w:r>
      <w:r w:rsidRPr="006A199E">
        <w:rPr>
          <w:rFonts w:ascii="Bookman Old Style" w:hAnsi="Bookman Old Style"/>
          <w:color w:val="000000"/>
          <w:sz w:val="20"/>
          <w:szCs w:val="20"/>
        </w:rPr>
        <w:t xml:space="preserve"> относительно иерархии </w:t>
      </w:r>
      <w:r w:rsidRPr="006A199E">
        <w:rPr>
          <w:rFonts w:ascii="Bookman Old Style" w:hAnsi="Bookman Old Style"/>
          <w:bCs/>
          <w:color w:val="000000"/>
          <w:sz w:val="20"/>
          <w:szCs w:val="20"/>
        </w:rPr>
        <w:t>j</w:t>
      </w:r>
      <w:r w:rsidRPr="006A199E">
        <w:rPr>
          <w:rFonts w:ascii="Bookman Old Style" w:hAnsi="Bookman Old Style"/>
          <w:color w:val="000000"/>
          <w:sz w:val="20"/>
          <w:szCs w:val="20"/>
        </w:rPr>
        <w:t>.</w:t>
      </w:r>
    </w:p>
    <w:p w:rsidR="006A199E" w:rsidRPr="006A199E" w:rsidRDefault="006A199E" w:rsidP="006A199E">
      <w:pPr>
        <w:spacing w:before="120" w:after="120"/>
        <w:ind w:firstLine="708"/>
        <w:jc w:val="both"/>
        <w:rPr>
          <w:rFonts w:ascii="Bookman Old Style" w:hAnsi="Bookman Old Style"/>
          <w:color w:val="000000"/>
          <w:sz w:val="20"/>
          <w:szCs w:val="20"/>
        </w:rPr>
      </w:pPr>
      <w:r w:rsidRPr="006A199E">
        <w:rPr>
          <w:rFonts w:ascii="Bookman Old Style" w:hAnsi="Bookman Old Style"/>
          <w:color w:val="000000"/>
          <w:sz w:val="20"/>
          <w:szCs w:val="20"/>
        </w:rPr>
        <w:t>Интенсивность проявления обычно оценивается по шкале интенсивности в балльных оценках от 1 до 9:</w:t>
      </w:r>
    </w:p>
    <w:tbl>
      <w:tblPr>
        <w:tblW w:w="5000" w:type="pct"/>
        <w:tblLook w:val="04A0"/>
      </w:tblPr>
      <w:tblGrid>
        <w:gridCol w:w="7605"/>
        <w:gridCol w:w="2816"/>
      </w:tblGrid>
      <w:tr w:rsidR="006A199E" w:rsidRPr="006A199E" w:rsidTr="00D70166">
        <w:trPr>
          <w:cantSplit/>
          <w:trHeight w:val="227"/>
        </w:trPr>
        <w:tc>
          <w:tcPr>
            <w:tcW w:w="3649" w:type="pct"/>
            <w:tcBorders>
              <w:top w:val="single" w:sz="8" w:space="0" w:color="auto"/>
              <w:left w:val="single" w:sz="8" w:space="0" w:color="auto"/>
              <w:bottom w:val="single" w:sz="4" w:space="0" w:color="auto"/>
              <w:right w:val="single" w:sz="4" w:space="0" w:color="auto"/>
            </w:tcBorders>
            <w:shd w:val="clear" w:color="auto" w:fill="F2F2F2" w:themeFill="background1" w:themeFillShade="F2"/>
            <w:vAlign w:val="center"/>
            <w:hideMark/>
          </w:tcPr>
          <w:p w:rsidR="006A199E" w:rsidRPr="006A199E" w:rsidRDefault="006A199E" w:rsidP="006A199E">
            <w:pPr>
              <w:jc w:val="center"/>
              <w:rPr>
                <w:rFonts w:asciiTheme="majorHAnsi" w:hAnsiTheme="majorHAnsi"/>
                <w:b/>
                <w:sz w:val="16"/>
                <w:szCs w:val="16"/>
              </w:rPr>
            </w:pPr>
            <w:r w:rsidRPr="006A199E">
              <w:rPr>
                <w:rFonts w:asciiTheme="majorHAnsi" w:hAnsiTheme="majorHAnsi"/>
                <w:b/>
                <w:sz w:val="16"/>
                <w:szCs w:val="16"/>
              </w:rPr>
              <w:t>Градация результатов сравнения</w:t>
            </w:r>
          </w:p>
        </w:tc>
        <w:tc>
          <w:tcPr>
            <w:tcW w:w="1351" w:type="pct"/>
            <w:tcBorders>
              <w:top w:val="single" w:sz="8" w:space="0" w:color="auto"/>
              <w:left w:val="nil"/>
              <w:bottom w:val="single" w:sz="4" w:space="0" w:color="auto"/>
              <w:right w:val="single" w:sz="8" w:space="0" w:color="000000"/>
            </w:tcBorders>
            <w:shd w:val="clear" w:color="auto" w:fill="F2F2F2" w:themeFill="background1" w:themeFillShade="F2"/>
            <w:vAlign w:val="center"/>
            <w:hideMark/>
          </w:tcPr>
          <w:p w:rsidR="006A199E" w:rsidRPr="006A199E" w:rsidRDefault="006A199E" w:rsidP="006A199E">
            <w:pPr>
              <w:jc w:val="center"/>
              <w:rPr>
                <w:rFonts w:asciiTheme="majorHAnsi" w:hAnsiTheme="majorHAnsi"/>
                <w:b/>
                <w:sz w:val="16"/>
                <w:szCs w:val="16"/>
              </w:rPr>
            </w:pPr>
            <w:r w:rsidRPr="006A199E">
              <w:rPr>
                <w:rFonts w:asciiTheme="majorHAnsi" w:hAnsiTheme="majorHAnsi"/>
                <w:b/>
                <w:sz w:val="16"/>
                <w:szCs w:val="16"/>
              </w:rPr>
              <w:t>Значение</w:t>
            </w:r>
          </w:p>
        </w:tc>
      </w:tr>
      <w:tr w:rsidR="006A199E" w:rsidRPr="006A199E" w:rsidTr="00D70166">
        <w:trPr>
          <w:cantSplit/>
          <w:trHeight w:val="227"/>
        </w:trPr>
        <w:tc>
          <w:tcPr>
            <w:tcW w:w="3649" w:type="pct"/>
            <w:tcBorders>
              <w:top w:val="single" w:sz="4" w:space="0" w:color="auto"/>
              <w:left w:val="single" w:sz="8" w:space="0" w:color="auto"/>
              <w:bottom w:val="single" w:sz="4" w:space="0" w:color="auto"/>
              <w:right w:val="single" w:sz="4" w:space="0" w:color="auto"/>
            </w:tcBorders>
            <w:shd w:val="clear" w:color="auto" w:fill="FFFFFF"/>
            <w:vAlign w:val="center"/>
            <w:hideMark/>
          </w:tcPr>
          <w:p w:rsidR="006A199E" w:rsidRPr="006A199E" w:rsidRDefault="006A199E" w:rsidP="006A199E">
            <w:pPr>
              <w:rPr>
                <w:rFonts w:asciiTheme="majorHAnsi" w:hAnsiTheme="majorHAnsi"/>
                <w:color w:val="000000"/>
                <w:sz w:val="16"/>
                <w:szCs w:val="16"/>
              </w:rPr>
            </w:pPr>
            <w:r w:rsidRPr="006A199E">
              <w:rPr>
                <w:rFonts w:asciiTheme="majorHAnsi" w:hAnsiTheme="majorHAnsi"/>
                <w:color w:val="000000"/>
                <w:sz w:val="16"/>
                <w:szCs w:val="16"/>
              </w:rPr>
              <w:t>Равенство</w:t>
            </w:r>
          </w:p>
        </w:tc>
        <w:tc>
          <w:tcPr>
            <w:tcW w:w="1351" w:type="pct"/>
            <w:tcBorders>
              <w:top w:val="single" w:sz="4" w:space="0" w:color="auto"/>
              <w:left w:val="nil"/>
              <w:bottom w:val="single" w:sz="4" w:space="0" w:color="auto"/>
              <w:right w:val="single" w:sz="8" w:space="0" w:color="000000"/>
            </w:tcBorders>
            <w:shd w:val="clear" w:color="auto" w:fill="FFFFFF"/>
            <w:vAlign w:val="center"/>
            <w:hideMark/>
          </w:tcPr>
          <w:p w:rsidR="006A199E" w:rsidRPr="006A199E" w:rsidRDefault="006A199E" w:rsidP="006A199E">
            <w:pPr>
              <w:jc w:val="center"/>
              <w:rPr>
                <w:rFonts w:asciiTheme="majorHAnsi" w:hAnsiTheme="majorHAnsi"/>
                <w:color w:val="000000"/>
                <w:sz w:val="16"/>
                <w:szCs w:val="16"/>
              </w:rPr>
            </w:pPr>
            <w:r w:rsidRPr="006A199E">
              <w:rPr>
                <w:rFonts w:asciiTheme="majorHAnsi" w:hAnsiTheme="majorHAnsi"/>
                <w:color w:val="000000"/>
                <w:sz w:val="16"/>
                <w:szCs w:val="16"/>
              </w:rPr>
              <w:t>1-2</w:t>
            </w:r>
          </w:p>
        </w:tc>
      </w:tr>
      <w:tr w:rsidR="006A199E" w:rsidRPr="006A199E" w:rsidTr="00D70166">
        <w:trPr>
          <w:cantSplit/>
          <w:trHeight w:val="227"/>
        </w:trPr>
        <w:tc>
          <w:tcPr>
            <w:tcW w:w="3649" w:type="pct"/>
            <w:tcBorders>
              <w:top w:val="single" w:sz="4" w:space="0" w:color="auto"/>
              <w:left w:val="single" w:sz="8" w:space="0" w:color="auto"/>
              <w:bottom w:val="single" w:sz="4" w:space="0" w:color="auto"/>
              <w:right w:val="single" w:sz="4" w:space="0" w:color="auto"/>
            </w:tcBorders>
            <w:shd w:val="clear" w:color="auto" w:fill="FFFFFF"/>
            <w:vAlign w:val="center"/>
            <w:hideMark/>
          </w:tcPr>
          <w:p w:rsidR="006A199E" w:rsidRPr="006A199E" w:rsidRDefault="006A199E" w:rsidP="006A199E">
            <w:pPr>
              <w:rPr>
                <w:rFonts w:asciiTheme="majorHAnsi" w:hAnsiTheme="majorHAnsi"/>
                <w:color w:val="000000"/>
                <w:sz w:val="16"/>
                <w:szCs w:val="16"/>
              </w:rPr>
            </w:pPr>
            <w:r w:rsidRPr="006A199E">
              <w:rPr>
                <w:rFonts w:asciiTheme="majorHAnsi" w:hAnsiTheme="majorHAnsi"/>
                <w:color w:val="000000"/>
                <w:sz w:val="16"/>
                <w:szCs w:val="16"/>
              </w:rPr>
              <w:t>Незначительное преимущество</w:t>
            </w:r>
          </w:p>
        </w:tc>
        <w:tc>
          <w:tcPr>
            <w:tcW w:w="1351" w:type="pct"/>
            <w:tcBorders>
              <w:top w:val="single" w:sz="4" w:space="0" w:color="auto"/>
              <w:left w:val="nil"/>
              <w:bottom w:val="single" w:sz="4" w:space="0" w:color="auto"/>
              <w:right w:val="single" w:sz="8" w:space="0" w:color="000000"/>
            </w:tcBorders>
            <w:shd w:val="clear" w:color="auto" w:fill="FFFFFF"/>
            <w:vAlign w:val="center"/>
            <w:hideMark/>
          </w:tcPr>
          <w:p w:rsidR="006A199E" w:rsidRPr="006A199E" w:rsidRDefault="006A199E" w:rsidP="006A199E">
            <w:pPr>
              <w:jc w:val="center"/>
              <w:rPr>
                <w:rFonts w:asciiTheme="majorHAnsi" w:hAnsiTheme="majorHAnsi"/>
                <w:color w:val="000000"/>
                <w:sz w:val="16"/>
                <w:szCs w:val="16"/>
              </w:rPr>
            </w:pPr>
            <w:r w:rsidRPr="006A199E">
              <w:rPr>
                <w:rFonts w:asciiTheme="majorHAnsi" w:hAnsiTheme="majorHAnsi"/>
                <w:color w:val="000000"/>
                <w:sz w:val="16"/>
                <w:szCs w:val="16"/>
              </w:rPr>
              <w:t>3-4</w:t>
            </w:r>
          </w:p>
        </w:tc>
      </w:tr>
      <w:tr w:rsidR="006A199E" w:rsidRPr="006A199E" w:rsidTr="00D70166">
        <w:trPr>
          <w:cantSplit/>
          <w:trHeight w:val="227"/>
        </w:trPr>
        <w:tc>
          <w:tcPr>
            <w:tcW w:w="3649" w:type="pct"/>
            <w:tcBorders>
              <w:top w:val="single" w:sz="4" w:space="0" w:color="auto"/>
              <w:left w:val="single" w:sz="8" w:space="0" w:color="auto"/>
              <w:bottom w:val="single" w:sz="4" w:space="0" w:color="auto"/>
              <w:right w:val="single" w:sz="4" w:space="0" w:color="auto"/>
            </w:tcBorders>
            <w:shd w:val="clear" w:color="auto" w:fill="FFFFFF"/>
            <w:vAlign w:val="center"/>
            <w:hideMark/>
          </w:tcPr>
          <w:p w:rsidR="006A199E" w:rsidRPr="006A199E" w:rsidRDefault="006A199E" w:rsidP="006A199E">
            <w:pPr>
              <w:rPr>
                <w:rFonts w:asciiTheme="majorHAnsi" w:hAnsiTheme="majorHAnsi"/>
                <w:color w:val="000000"/>
                <w:sz w:val="16"/>
                <w:szCs w:val="16"/>
              </w:rPr>
            </w:pPr>
            <w:r w:rsidRPr="006A199E">
              <w:rPr>
                <w:rFonts w:asciiTheme="majorHAnsi" w:hAnsiTheme="majorHAnsi"/>
                <w:color w:val="000000"/>
                <w:sz w:val="16"/>
                <w:szCs w:val="16"/>
              </w:rPr>
              <w:t>Значительное преимущество</w:t>
            </w:r>
          </w:p>
        </w:tc>
        <w:tc>
          <w:tcPr>
            <w:tcW w:w="1351" w:type="pct"/>
            <w:tcBorders>
              <w:top w:val="single" w:sz="4" w:space="0" w:color="auto"/>
              <w:left w:val="nil"/>
              <w:bottom w:val="single" w:sz="4" w:space="0" w:color="auto"/>
              <w:right w:val="single" w:sz="8" w:space="0" w:color="000000"/>
            </w:tcBorders>
            <w:shd w:val="clear" w:color="auto" w:fill="FFFFFF"/>
            <w:vAlign w:val="center"/>
            <w:hideMark/>
          </w:tcPr>
          <w:p w:rsidR="006A199E" w:rsidRPr="006A199E" w:rsidRDefault="006A199E" w:rsidP="006A199E">
            <w:pPr>
              <w:jc w:val="center"/>
              <w:rPr>
                <w:rFonts w:asciiTheme="majorHAnsi" w:hAnsiTheme="majorHAnsi"/>
                <w:color w:val="000000"/>
                <w:sz w:val="16"/>
                <w:szCs w:val="16"/>
              </w:rPr>
            </w:pPr>
            <w:r w:rsidRPr="006A199E">
              <w:rPr>
                <w:rFonts w:asciiTheme="majorHAnsi" w:hAnsiTheme="majorHAnsi"/>
                <w:color w:val="000000"/>
                <w:sz w:val="16"/>
                <w:szCs w:val="16"/>
              </w:rPr>
              <w:t>5-6</w:t>
            </w:r>
          </w:p>
        </w:tc>
      </w:tr>
      <w:tr w:rsidR="006A199E" w:rsidRPr="006A199E" w:rsidTr="00D70166">
        <w:trPr>
          <w:cantSplit/>
          <w:trHeight w:val="227"/>
        </w:trPr>
        <w:tc>
          <w:tcPr>
            <w:tcW w:w="3649" w:type="pct"/>
            <w:tcBorders>
              <w:top w:val="single" w:sz="4" w:space="0" w:color="auto"/>
              <w:left w:val="single" w:sz="8" w:space="0" w:color="auto"/>
              <w:bottom w:val="single" w:sz="4" w:space="0" w:color="auto"/>
              <w:right w:val="single" w:sz="4" w:space="0" w:color="auto"/>
            </w:tcBorders>
            <w:shd w:val="clear" w:color="auto" w:fill="FFFFFF"/>
            <w:vAlign w:val="center"/>
            <w:hideMark/>
          </w:tcPr>
          <w:p w:rsidR="006A199E" w:rsidRPr="006A199E" w:rsidRDefault="006A199E" w:rsidP="006A199E">
            <w:pPr>
              <w:rPr>
                <w:rFonts w:asciiTheme="majorHAnsi" w:hAnsiTheme="majorHAnsi"/>
                <w:color w:val="000000"/>
                <w:sz w:val="16"/>
                <w:szCs w:val="16"/>
              </w:rPr>
            </w:pPr>
            <w:r w:rsidRPr="006A199E">
              <w:rPr>
                <w:rFonts w:asciiTheme="majorHAnsi" w:hAnsiTheme="majorHAnsi"/>
                <w:color w:val="000000"/>
                <w:sz w:val="16"/>
                <w:szCs w:val="16"/>
              </w:rPr>
              <w:t>Явное преимущество</w:t>
            </w:r>
          </w:p>
        </w:tc>
        <w:tc>
          <w:tcPr>
            <w:tcW w:w="1351" w:type="pct"/>
            <w:tcBorders>
              <w:top w:val="single" w:sz="4" w:space="0" w:color="auto"/>
              <w:left w:val="nil"/>
              <w:bottom w:val="single" w:sz="4" w:space="0" w:color="auto"/>
              <w:right w:val="single" w:sz="8" w:space="0" w:color="000000"/>
            </w:tcBorders>
            <w:shd w:val="clear" w:color="auto" w:fill="FFFFFF"/>
            <w:vAlign w:val="center"/>
            <w:hideMark/>
          </w:tcPr>
          <w:p w:rsidR="006A199E" w:rsidRPr="006A199E" w:rsidRDefault="006A199E" w:rsidP="006A199E">
            <w:pPr>
              <w:jc w:val="center"/>
              <w:rPr>
                <w:rFonts w:asciiTheme="majorHAnsi" w:hAnsiTheme="majorHAnsi"/>
                <w:color w:val="000000"/>
                <w:sz w:val="16"/>
                <w:szCs w:val="16"/>
              </w:rPr>
            </w:pPr>
            <w:r w:rsidRPr="006A199E">
              <w:rPr>
                <w:rFonts w:asciiTheme="majorHAnsi" w:hAnsiTheme="majorHAnsi"/>
                <w:color w:val="000000"/>
                <w:sz w:val="16"/>
                <w:szCs w:val="16"/>
              </w:rPr>
              <w:t>7-8</w:t>
            </w:r>
          </w:p>
        </w:tc>
      </w:tr>
      <w:tr w:rsidR="006A199E" w:rsidRPr="006A199E" w:rsidTr="00D70166">
        <w:trPr>
          <w:cantSplit/>
          <w:trHeight w:val="227"/>
        </w:trPr>
        <w:tc>
          <w:tcPr>
            <w:tcW w:w="3649" w:type="pct"/>
            <w:tcBorders>
              <w:top w:val="single" w:sz="4" w:space="0" w:color="auto"/>
              <w:left w:val="single" w:sz="8" w:space="0" w:color="auto"/>
              <w:bottom w:val="single" w:sz="8" w:space="0" w:color="auto"/>
              <w:right w:val="single" w:sz="4" w:space="0" w:color="auto"/>
            </w:tcBorders>
            <w:shd w:val="clear" w:color="auto" w:fill="FFFFFF"/>
            <w:vAlign w:val="center"/>
            <w:hideMark/>
          </w:tcPr>
          <w:p w:rsidR="006A199E" w:rsidRPr="006A199E" w:rsidRDefault="006A199E" w:rsidP="006A199E">
            <w:pPr>
              <w:rPr>
                <w:rFonts w:asciiTheme="majorHAnsi" w:hAnsiTheme="majorHAnsi"/>
                <w:color w:val="000000"/>
                <w:sz w:val="16"/>
                <w:szCs w:val="16"/>
              </w:rPr>
            </w:pPr>
            <w:r w:rsidRPr="006A199E">
              <w:rPr>
                <w:rFonts w:asciiTheme="majorHAnsi" w:hAnsiTheme="majorHAnsi"/>
                <w:color w:val="000000"/>
                <w:sz w:val="16"/>
                <w:szCs w:val="16"/>
              </w:rPr>
              <w:t>Абсолютное преимущество</w:t>
            </w:r>
          </w:p>
        </w:tc>
        <w:tc>
          <w:tcPr>
            <w:tcW w:w="1351" w:type="pct"/>
            <w:tcBorders>
              <w:top w:val="single" w:sz="4" w:space="0" w:color="auto"/>
              <w:left w:val="nil"/>
              <w:bottom w:val="single" w:sz="8" w:space="0" w:color="auto"/>
              <w:right w:val="single" w:sz="8" w:space="0" w:color="000000"/>
            </w:tcBorders>
            <w:shd w:val="clear" w:color="auto" w:fill="FFFFFF"/>
            <w:vAlign w:val="center"/>
            <w:hideMark/>
          </w:tcPr>
          <w:p w:rsidR="006A199E" w:rsidRPr="006A199E" w:rsidRDefault="006A199E" w:rsidP="006A199E">
            <w:pPr>
              <w:jc w:val="center"/>
              <w:rPr>
                <w:rFonts w:asciiTheme="majorHAnsi" w:hAnsiTheme="majorHAnsi"/>
                <w:color w:val="000000"/>
                <w:sz w:val="16"/>
                <w:szCs w:val="16"/>
              </w:rPr>
            </w:pPr>
            <w:r w:rsidRPr="006A199E">
              <w:rPr>
                <w:rFonts w:asciiTheme="majorHAnsi" w:hAnsiTheme="majorHAnsi"/>
                <w:color w:val="000000"/>
                <w:sz w:val="16"/>
                <w:szCs w:val="16"/>
              </w:rPr>
              <w:t>9</w:t>
            </w:r>
          </w:p>
        </w:tc>
      </w:tr>
    </w:tbl>
    <w:p w:rsidR="006A199E" w:rsidRPr="006A199E" w:rsidRDefault="006A199E" w:rsidP="006A199E">
      <w:pPr>
        <w:spacing w:before="120" w:after="120"/>
        <w:ind w:firstLine="708"/>
        <w:jc w:val="both"/>
        <w:rPr>
          <w:rFonts w:ascii="Bookman Old Style" w:hAnsi="Bookman Old Style"/>
          <w:bCs/>
          <w:color w:val="000000"/>
          <w:sz w:val="20"/>
          <w:szCs w:val="20"/>
        </w:rPr>
      </w:pPr>
      <w:r w:rsidRPr="006A199E">
        <w:rPr>
          <w:rFonts w:ascii="Bookman Old Style" w:hAnsi="Bookman Old Style"/>
          <w:color w:val="000000"/>
          <w:sz w:val="20"/>
          <w:szCs w:val="20"/>
        </w:rPr>
        <w:t>Определяется итоговое значение веса каждой альтернативы путем умножения локальных приоритетов на приоритет соответствия критерия на вышестоящем уровне и дальнейшем суммировании по каждому элементу в соответствии с критерием, на который воздействует элемент.</w:t>
      </w:r>
      <w:bookmarkStart w:id="345" w:name="_Toc81823761"/>
      <w:r w:rsidRPr="006A199E">
        <w:rPr>
          <w:rFonts w:ascii="Bookman Old Style" w:hAnsi="Bookman Old Style"/>
          <w:color w:val="000000"/>
          <w:sz w:val="20"/>
          <w:szCs w:val="20"/>
        </w:rPr>
        <w:t xml:space="preserve"> </w:t>
      </w:r>
      <w:r w:rsidRPr="006A199E">
        <w:rPr>
          <w:rFonts w:ascii="Bookman Old Style" w:hAnsi="Bookman Old Style"/>
          <w:bCs/>
          <w:color w:val="000000"/>
          <w:sz w:val="20"/>
          <w:szCs w:val="20"/>
        </w:rPr>
        <w:t>Структурирование по иерархии</w:t>
      </w:r>
      <w:bookmarkEnd w:id="345"/>
      <w:r w:rsidRPr="006A199E">
        <w:rPr>
          <w:rFonts w:ascii="Bookman Old Style" w:hAnsi="Bookman Old Style"/>
          <w:bCs/>
          <w:color w:val="000000"/>
          <w:sz w:val="20"/>
          <w:szCs w:val="20"/>
        </w:rPr>
        <w:t>.</w:t>
      </w:r>
    </w:p>
    <w:tbl>
      <w:tblPr>
        <w:tblW w:w="5000" w:type="pct"/>
        <w:tblLook w:val="04A0"/>
      </w:tblPr>
      <w:tblGrid>
        <w:gridCol w:w="4508"/>
        <w:gridCol w:w="1446"/>
        <w:gridCol w:w="1524"/>
        <w:gridCol w:w="1499"/>
        <w:gridCol w:w="1444"/>
      </w:tblGrid>
      <w:tr w:rsidR="006A199E" w:rsidRPr="006A199E" w:rsidTr="00D70166">
        <w:trPr>
          <w:cantSplit/>
          <w:trHeight w:val="227"/>
        </w:trPr>
        <w:tc>
          <w:tcPr>
            <w:tcW w:w="5000" w:type="pct"/>
            <w:gridSpan w:val="5"/>
            <w:tcBorders>
              <w:top w:val="nil"/>
              <w:left w:val="nil"/>
              <w:bottom w:val="nil"/>
              <w:right w:val="nil"/>
            </w:tcBorders>
            <w:shd w:val="clear" w:color="auto" w:fill="auto"/>
            <w:noWrap/>
            <w:vAlign w:val="bottom"/>
            <w:hideMark/>
          </w:tcPr>
          <w:p w:rsidR="006A199E" w:rsidRPr="006A199E" w:rsidRDefault="006A199E" w:rsidP="006A199E">
            <w:pPr>
              <w:rPr>
                <w:rFonts w:ascii="Bookman Old Style" w:hAnsi="Bookman Old Style"/>
                <w:color w:val="000000"/>
                <w:sz w:val="20"/>
                <w:szCs w:val="20"/>
              </w:rPr>
            </w:pPr>
            <w:r w:rsidRPr="006A199E">
              <w:rPr>
                <w:rFonts w:ascii="Bookman Old Style" w:hAnsi="Bookman Old Style"/>
                <w:color w:val="000000"/>
                <w:sz w:val="20"/>
                <w:szCs w:val="20"/>
              </w:rPr>
              <w:t>1. Расчет вектора значимости критериев качества методологии оценки (Wa)</w:t>
            </w:r>
          </w:p>
        </w:tc>
      </w:tr>
      <w:tr w:rsidR="006A199E" w:rsidRPr="006A199E" w:rsidTr="00D70166">
        <w:trPr>
          <w:cantSplit/>
          <w:trHeight w:val="227"/>
        </w:trPr>
        <w:tc>
          <w:tcPr>
            <w:tcW w:w="5000" w:type="pct"/>
            <w:gridSpan w:val="5"/>
            <w:tcBorders>
              <w:top w:val="nil"/>
              <w:left w:val="nil"/>
              <w:bottom w:val="nil"/>
              <w:right w:val="nil"/>
            </w:tcBorders>
            <w:shd w:val="clear" w:color="auto" w:fill="auto"/>
            <w:vAlign w:val="center"/>
            <w:hideMark/>
          </w:tcPr>
          <w:p w:rsidR="006A199E" w:rsidRPr="006A199E" w:rsidRDefault="006A199E" w:rsidP="006A199E">
            <w:pPr>
              <w:jc w:val="right"/>
              <w:rPr>
                <w:rFonts w:ascii="Bookman Old Style" w:hAnsi="Bookman Old Style"/>
                <w:color w:val="000000"/>
                <w:sz w:val="20"/>
                <w:szCs w:val="20"/>
              </w:rPr>
            </w:pPr>
            <w:r w:rsidRPr="006A199E">
              <w:rPr>
                <w:rFonts w:ascii="Bookman Old Style" w:hAnsi="Bookman Old Style"/>
                <w:color w:val="000000"/>
                <w:sz w:val="20"/>
                <w:szCs w:val="20"/>
              </w:rPr>
              <w:t>Таблица 2. Влияние на качество методологии расчета</w:t>
            </w:r>
          </w:p>
        </w:tc>
      </w:tr>
      <w:tr w:rsidR="006A199E" w:rsidRPr="006A199E" w:rsidTr="00D70166">
        <w:trPr>
          <w:cantSplit/>
          <w:trHeight w:val="227"/>
        </w:trPr>
        <w:tc>
          <w:tcPr>
            <w:tcW w:w="2163" w:type="pct"/>
            <w:tcBorders>
              <w:top w:val="single" w:sz="8" w:space="0" w:color="auto"/>
              <w:left w:val="single" w:sz="8" w:space="0" w:color="auto"/>
              <w:bottom w:val="single" w:sz="4" w:space="0" w:color="auto"/>
              <w:right w:val="single" w:sz="4" w:space="0" w:color="auto"/>
            </w:tcBorders>
            <w:shd w:val="clear" w:color="auto" w:fill="F2F2F2" w:themeFill="background1" w:themeFillShade="F2"/>
            <w:vAlign w:val="bottom"/>
            <w:hideMark/>
          </w:tcPr>
          <w:p w:rsidR="006A199E" w:rsidRPr="006A199E" w:rsidRDefault="006A199E" w:rsidP="006A199E">
            <w:pPr>
              <w:rPr>
                <w:rFonts w:asciiTheme="majorHAnsi" w:hAnsiTheme="majorHAnsi"/>
                <w:sz w:val="16"/>
                <w:szCs w:val="16"/>
              </w:rPr>
            </w:pPr>
            <w:r w:rsidRPr="006A199E">
              <w:rPr>
                <w:rFonts w:asciiTheme="majorHAnsi" w:hAnsiTheme="majorHAnsi"/>
                <w:sz w:val="16"/>
                <w:szCs w:val="16"/>
              </w:rPr>
              <w:t> </w:t>
            </w:r>
          </w:p>
        </w:tc>
        <w:tc>
          <w:tcPr>
            <w:tcW w:w="694"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rsidR="006A199E" w:rsidRPr="006A199E" w:rsidRDefault="006A199E" w:rsidP="006A199E">
            <w:pPr>
              <w:jc w:val="center"/>
              <w:rPr>
                <w:rFonts w:asciiTheme="majorHAnsi" w:hAnsiTheme="majorHAnsi"/>
                <w:sz w:val="16"/>
                <w:szCs w:val="16"/>
              </w:rPr>
            </w:pPr>
            <w:r w:rsidRPr="006A199E">
              <w:rPr>
                <w:rFonts w:asciiTheme="majorHAnsi" w:hAnsiTheme="majorHAnsi"/>
                <w:sz w:val="16"/>
                <w:szCs w:val="16"/>
              </w:rPr>
              <w:t>Учёт принципа наиболее эффективного использования</w:t>
            </w:r>
          </w:p>
        </w:tc>
        <w:tc>
          <w:tcPr>
            <w:tcW w:w="731"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rsidR="006A199E" w:rsidRPr="006A199E" w:rsidRDefault="006A199E" w:rsidP="006A199E">
            <w:pPr>
              <w:jc w:val="center"/>
              <w:rPr>
                <w:rFonts w:asciiTheme="majorHAnsi" w:hAnsiTheme="majorHAnsi"/>
                <w:sz w:val="16"/>
                <w:szCs w:val="16"/>
              </w:rPr>
            </w:pPr>
            <w:r w:rsidRPr="006A199E">
              <w:rPr>
                <w:rFonts w:asciiTheme="majorHAnsi" w:hAnsiTheme="majorHAnsi"/>
                <w:sz w:val="16"/>
                <w:szCs w:val="16"/>
              </w:rPr>
              <w:t>Обоснованность выполнения предпосылок выбранного метода расчёта</w:t>
            </w:r>
          </w:p>
        </w:tc>
        <w:tc>
          <w:tcPr>
            <w:tcW w:w="719"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rsidR="006A199E" w:rsidRPr="006A199E" w:rsidRDefault="006A199E" w:rsidP="006A199E">
            <w:pPr>
              <w:jc w:val="center"/>
              <w:rPr>
                <w:rFonts w:asciiTheme="majorHAnsi" w:hAnsiTheme="majorHAnsi"/>
                <w:sz w:val="16"/>
                <w:szCs w:val="16"/>
              </w:rPr>
            </w:pPr>
            <w:r w:rsidRPr="006A199E">
              <w:rPr>
                <w:rFonts w:asciiTheme="majorHAnsi" w:hAnsiTheme="majorHAnsi"/>
                <w:sz w:val="16"/>
                <w:szCs w:val="16"/>
              </w:rPr>
              <w:t>Количество и значимость субъективных показателей и предположений</w:t>
            </w:r>
          </w:p>
        </w:tc>
        <w:tc>
          <w:tcPr>
            <w:tcW w:w="693" w:type="pct"/>
            <w:tcBorders>
              <w:top w:val="single" w:sz="8" w:space="0" w:color="auto"/>
              <w:left w:val="nil"/>
              <w:bottom w:val="single" w:sz="4" w:space="0" w:color="auto"/>
              <w:right w:val="single" w:sz="8" w:space="0" w:color="auto"/>
            </w:tcBorders>
            <w:shd w:val="clear" w:color="auto" w:fill="F2F2F2" w:themeFill="background1" w:themeFillShade="F2"/>
            <w:vAlign w:val="center"/>
            <w:hideMark/>
          </w:tcPr>
          <w:p w:rsidR="006A199E" w:rsidRPr="006A199E" w:rsidRDefault="006A199E" w:rsidP="006A199E">
            <w:pPr>
              <w:jc w:val="center"/>
              <w:rPr>
                <w:rFonts w:asciiTheme="majorHAnsi" w:hAnsiTheme="majorHAnsi"/>
                <w:b/>
                <w:bCs/>
                <w:sz w:val="16"/>
                <w:szCs w:val="16"/>
              </w:rPr>
            </w:pPr>
            <w:r w:rsidRPr="006A199E">
              <w:rPr>
                <w:rFonts w:asciiTheme="majorHAnsi" w:hAnsiTheme="majorHAnsi"/>
                <w:b/>
                <w:bCs/>
                <w:sz w:val="16"/>
                <w:szCs w:val="16"/>
              </w:rPr>
              <w:t>Wa</w:t>
            </w:r>
          </w:p>
        </w:tc>
      </w:tr>
      <w:tr w:rsidR="006A199E" w:rsidRPr="006A199E" w:rsidTr="00D70166">
        <w:trPr>
          <w:cantSplit/>
          <w:trHeight w:val="227"/>
        </w:trPr>
        <w:tc>
          <w:tcPr>
            <w:tcW w:w="2163" w:type="pct"/>
            <w:tcBorders>
              <w:top w:val="nil"/>
              <w:left w:val="single" w:sz="8" w:space="0" w:color="auto"/>
              <w:bottom w:val="single" w:sz="4" w:space="0" w:color="auto"/>
              <w:right w:val="single" w:sz="4" w:space="0" w:color="auto"/>
            </w:tcBorders>
            <w:shd w:val="clear" w:color="000000" w:fill="FFFFFF"/>
            <w:vAlign w:val="center"/>
            <w:hideMark/>
          </w:tcPr>
          <w:p w:rsidR="006A199E" w:rsidRPr="006A199E" w:rsidRDefault="006A199E" w:rsidP="006A199E">
            <w:pPr>
              <w:rPr>
                <w:rFonts w:asciiTheme="majorHAnsi" w:hAnsiTheme="majorHAnsi"/>
                <w:sz w:val="16"/>
                <w:szCs w:val="16"/>
              </w:rPr>
            </w:pPr>
            <w:r w:rsidRPr="006A199E">
              <w:rPr>
                <w:rFonts w:asciiTheme="majorHAnsi" w:hAnsiTheme="majorHAnsi"/>
                <w:sz w:val="16"/>
                <w:szCs w:val="16"/>
              </w:rPr>
              <w:t>Учёт принципа наиболее эффективного использования</w:t>
            </w:r>
          </w:p>
        </w:tc>
        <w:tc>
          <w:tcPr>
            <w:tcW w:w="694" w:type="pct"/>
            <w:tcBorders>
              <w:top w:val="nil"/>
              <w:left w:val="nil"/>
              <w:bottom w:val="single" w:sz="4" w:space="0" w:color="auto"/>
              <w:right w:val="single" w:sz="4" w:space="0" w:color="auto"/>
            </w:tcBorders>
            <w:shd w:val="clear" w:color="000000" w:fill="FFFFFF"/>
            <w:vAlign w:val="center"/>
            <w:hideMark/>
          </w:tcPr>
          <w:p w:rsidR="006A199E" w:rsidRPr="006A199E" w:rsidRDefault="006A199E" w:rsidP="006A199E">
            <w:pPr>
              <w:jc w:val="center"/>
              <w:rPr>
                <w:rFonts w:asciiTheme="majorHAnsi" w:hAnsiTheme="majorHAnsi"/>
                <w:sz w:val="16"/>
                <w:szCs w:val="16"/>
              </w:rPr>
            </w:pPr>
            <w:r w:rsidRPr="006A199E">
              <w:rPr>
                <w:rFonts w:asciiTheme="majorHAnsi" w:hAnsiTheme="majorHAnsi"/>
                <w:sz w:val="16"/>
                <w:szCs w:val="16"/>
              </w:rPr>
              <w:t>1,00</w:t>
            </w:r>
          </w:p>
        </w:tc>
        <w:tc>
          <w:tcPr>
            <w:tcW w:w="731" w:type="pct"/>
            <w:tcBorders>
              <w:top w:val="nil"/>
              <w:left w:val="nil"/>
              <w:bottom w:val="single" w:sz="4" w:space="0" w:color="auto"/>
              <w:right w:val="single" w:sz="4" w:space="0" w:color="auto"/>
            </w:tcBorders>
            <w:shd w:val="clear" w:color="000000" w:fill="FFFFFF"/>
            <w:vAlign w:val="center"/>
            <w:hideMark/>
          </w:tcPr>
          <w:p w:rsidR="006A199E" w:rsidRPr="006A199E" w:rsidRDefault="006A199E" w:rsidP="006A199E">
            <w:pPr>
              <w:jc w:val="center"/>
              <w:rPr>
                <w:rFonts w:asciiTheme="majorHAnsi" w:hAnsiTheme="majorHAnsi"/>
                <w:sz w:val="16"/>
                <w:szCs w:val="16"/>
              </w:rPr>
            </w:pPr>
            <w:r w:rsidRPr="006A199E">
              <w:rPr>
                <w:rFonts w:asciiTheme="majorHAnsi" w:hAnsiTheme="majorHAnsi"/>
                <w:sz w:val="16"/>
                <w:szCs w:val="16"/>
              </w:rPr>
              <w:t>3,00</w:t>
            </w:r>
          </w:p>
        </w:tc>
        <w:tc>
          <w:tcPr>
            <w:tcW w:w="719" w:type="pct"/>
            <w:tcBorders>
              <w:top w:val="nil"/>
              <w:left w:val="nil"/>
              <w:bottom w:val="single" w:sz="4" w:space="0" w:color="auto"/>
              <w:right w:val="single" w:sz="4" w:space="0" w:color="auto"/>
            </w:tcBorders>
            <w:shd w:val="clear" w:color="000000" w:fill="FFFFFF"/>
            <w:vAlign w:val="center"/>
            <w:hideMark/>
          </w:tcPr>
          <w:p w:rsidR="006A199E" w:rsidRPr="006A199E" w:rsidRDefault="006A199E" w:rsidP="006A199E">
            <w:pPr>
              <w:jc w:val="center"/>
              <w:rPr>
                <w:rFonts w:asciiTheme="majorHAnsi" w:hAnsiTheme="majorHAnsi"/>
                <w:sz w:val="16"/>
                <w:szCs w:val="16"/>
              </w:rPr>
            </w:pPr>
            <w:r w:rsidRPr="006A199E">
              <w:rPr>
                <w:rFonts w:asciiTheme="majorHAnsi" w:hAnsiTheme="majorHAnsi"/>
                <w:sz w:val="16"/>
                <w:szCs w:val="16"/>
              </w:rPr>
              <w:t>0,50</w:t>
            </w:r>
          </w:p>
        </w:tc>
        <w:tc>
          <w:tcPr>
            <w:tcW w:w="693" w:type="pct"/>
            <w:tcBorders>
              <w:top w:val="nil"/>
              <w:left w:val="nil"/>
              <w:bottom w:val="single" w:sz="4" w:space="0" w:color="auto"/>
              <w:right w:val="single" w:sz="8" w:space="0" w:color="auto"/>
            </w:tcBorders>
            <w:shd w:val="clear" w:color="000000" w:fill="FFFFFF"/>
            <w:vAlign w:val="center"/>
            <w:hideMark/>
          </w:tcPr>
          <w:p w:rsidR="006A199E" w:rsidRPr="006A199E" w:rsidRDefault="006A199E" w:rsidP="006A199E">
            <w:pPr>
              <w:jc w:val="center"/>
              <w:rPr>
                <w:rFonts w:asciiTheme="majorHAnsi" w:hAnsiTheme="majorHAnsi"/>
                <w:b/>
                <w:bCs/>
                <w:sz w:val="16"/>
                <w:szCs w:val="16"/>
              </w:rPr>
            </w:pPr>
            <w:r w:rsidRPr="006A199E">
              <w:rPr>
                <w:rFonts w:asciiTheme="majorHAnsi" w:hAnsiTheme="majorHAnsi"/>
                <w:b/>
                <w:bCs/>
                <w:sz w:val="16"/>
                <w:szCs w:val="16"/>
              </w:rPr>
              <w:t>0,309</w:t>
            </w:r>
          </w:p>
        </w:tc>
      </w:tr>
      <w:tr w:rsidR="006A199E" w:rsidRPr="006A199E" w:rsidTr="00D70166">
        <w:trPr>
          <w:cantSplit/>
          <w:trHeight w:val="227"/>
        </w:trPr>
        <w:tc>
          <w:tcPr>
            <w:tcW w:w="216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A199E" w:rsidRPr="006A199E" w:rsidRDefault="006A199E" w:rsidP="006A199E">
            <w:pPr>
              <w:rPr>
                <w:rFonts w:asciiTheme="majorHAnsi" w:hAnsiTheme="majorHAnsi"/>
                <w:sz w:val="16"/>
                <w:szCs w:val="16"/>
              </w:rPr>
            </w:pPr>
            <w:r w:rsidRPr="006A199E">
              <w:rPr>
                <w:rFonts w:asciiTheme="majorHAnsi" w:hAnsiTheme="majorHAnsi"/>
                <w:sz w:val="16"/>
                <w:szCs w:val="16"/>
              </w:rPr>
              <w:t>Обоснованность предпосылок выбранного метода расчёта</w:t>
            </w:r>
          </w:p>
        </w:tc>
        <w:tc>
          <w:tcPr>
            <w:tcW w:w="694" w:type="pct"/>
            <w:tcBorders>
              <w:top w:val="single" w:sz="4" w:space="0" w:color="auto"/>
              <w:left w:val="nil"/>
              <w:bottom w:val="single" w:sz="4" w:space="0" w:color="auto"/>
              <w:right w:val="single" w:sz="4" w:space="0" w:color="auto"/>
            </w:tcBorders>
            <w:shd w:val="clear" w:color="000000" w:fill="FFFFFF"/>
            <w:vAlign w:val="center"/>
            <w:hideMark/>
          </w:tcPr>
          <w:p w:rsidR="006A199E" w:rsidRPr="006A199E" w:rsidRDefault="006A199E" w:rsidP="006A199E">
            <w:pPr>
              <w:jc w:val="center"/>
              <w:rPr>
                <w:rFonts w:asciiTheme="majorHAnsi" w:hAnsiTheme="majorHAnsi"/>
                <w:sz w:val="16"/>
                <w:szCs w:val="16"/>
              </w:rPr>
            </w:pPr>
            <w:r w:rsidRPr="006A199E">
              <w:rPr>
                <w:rFonts w:asciiTheme="majorHAnsi" w:hAnsiTheme="majorHAnsi"/>
                <w:sz w:val="16"/>
                <w:szCs w:val="16"/>
              </w:rPr>
              <w:t>0,33</w:t>
            </w:r>
          </w:p>
        </w:tc>
        <w:tc>
          <w:tcPr>
            <w:tcW w:w="731" w:type="pct"/>
            <w:tcBorders>
              <w:top w:val="single" w:sz="4" w:space="0" w:color="auto"/>
              <w:left w:val="nil"/>
              <w:bottom w:val="single" w:sz="4" w:space="0" w:color="auto"/>
              <w:right w:val="single" w:sz="4" w:space="0" w:color="auto"/>
            </w:tcBorders>
            <w:shd w:val="clear" w:color="000000" w:fill="FFFFFF"/>
            <w:vAlign w:val="center"/>
            <w:hideMark/>
          </w:tcPr>
          <w:p w:rsidR="006A199E" w:rsidRPr="006A199E" w:rsidRDefault="006A199E" w:rsidP="006A199E">
            <w:pPr>
              <w:jc w:val="center"/>
              <w:rPr>
                <w:rFonts w:asciiTheme="majorHAnsi" w:hAnsiTheme="majorHAnsi"/>
                <w:sz w:val="16"/>
                <w:szCs w:val="16"/>
              </w:rPr>
            </w:pPr>
            <w:r w:rsidRPr="006A199E">
              <w:rPr>
                <w:rFonts w:asciiTheme="majorHAnsi" w:hAnsiTheme="majorHAnsi"/>
                <w:sz w:val="16"/>
                <w:szCs w:val="16"/>
              </w:rPr>
              <w:t>1,00</w:t>
            </w:r>
          </w:p>
        </w:tc>
        <w:tc>
          <w:tcPr>
            <w:tcW w:w="719" w:type="pct"/>
            <w:tcBorders>
              <w:top w:val="single" w:sz="4" w:space="0" w:color="auto"/>
              <w:left w:val="nil"/>
              <w:bottom w:val="single" w:sz="4" w:space="0" w:color="auto"/>
              <w:right w:val="single" w:sz="4" w:space="0" w:color="auto"/>
            </w:tcBorders>
            <w:shd w:val="clear" w:color="000000" w:fill="FFFFFF"/>
            <w:vAlign w:val="center"/>
            <w:hideMark/>
          </w:tcPr>
          <w:p w:rsidR="006A199E" w:rsidRPr="006A199E" w:rsidRDefault="006A199E" w:rsidP="006A199E">
            <w:pPr>
              <w:jc w:val="center"/>
              <w:rPr>
                <w:rFonts w:asciiTheme="majorHAnsi" w:hAnsiTheme="majorHAnsi"/>
                <w:sz w:val="16"/>
                <w:szCs w:val="16"/>
              </w:rPr>
            </w:pPr>
            <w:r w:rsidRPr="006A199E">
              <w:rPr>
                <w:rFonts w:asciiTheme="majorHAnsi" w:hAnsiTheme="majorHAnsi"/>
                <w:sz w:val="16"/>
                <w:szCs w:val="16"/>
              </w:rPr>
              <w:t>0,20</w:t>
            </w:r>
          </w:p>
        </w:tc>
        <w:tc>
          <w:tcPr>
            <w:tcW w:w="693" w:type="pct"/>
            <w:tcBorders>
              <w:top w:val="single" w:sz="4" w:space="0" w:color="auto"/>
              <w:left w:val="nil"/>
              <w:bottom w:val="single" w:sz="4" w:space="0" w:color="auto"/>
              <w:right w:val="single" w:sz="4" w:space="0" w:color="auto"/>
            </w:tcBorders>
            <w:shd w:val="clear" w:color="000000" w:fill="FFFFFF"/>
            <w:vAlign w:val="center"/>
            <w:hideMark/>
          </w:tcPr>
          <w:p w:rsidR="006A199E" w:rsidRPr="006A199E" w:rsidRDefault="006A199E" w:rsidP="006A199E">
            <w:pPr>
              <w:jc w:val="center"/>
              <w:rPr>
                <w:rFonts w:asciiTheme="majorHAnsi" w:hAnsiTheme="majorHAnsi"/>
                <w:b/>
                <w:bCs/>
                <w:sz w:val="16"/>
                <w:szCs w:val="16"/>
              </w:rPr>
            </w:pPr>
            <w:r w:rsidRPr="006A199E">
              <w:rPr>
                <w:rFonts w:asciiTheme="majorHAnsi" w:hAnsiTheme="majorHAnsi"/>
                <w:b/>
                <w:bCs/>
                <w:sz w:val="16"/>
                <w:szCs w:val="16"/>
              </w:rPr>
              <w:t>0,109</w:t>
            </w:r>
          </w:p>
        </w:tc>
      </w:tr>
      <w:tr w:rsidR="006A199E" w:rsidRPr="006A199E" w:rsidTr="00D70166">
        <w:trPr>
          <w:cantSplit/>
          <w:trHeight w:val="241"/>
        </w:trPr>
        <w:tc>
          <w:tcPr>
            <w:tcW w:w="216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A199E" w:rsidRPr="006A199E" w:rsidRDefault="006A199E" w:rsidP="006A199E">
            <w:pPr>
              <w:rPr>
                <w:rFonts w:asciiTheme="majorHAnsi" w:hAnsiTheme="majorHAnsi"/>
                <w:sz w:val="16"/>
                <w:szCs w:val="16"/>
              </w:rPr>
            </w:pPr>
            <w:r w:rsidRPr="006A199E">
              <w:rPr>
                <w:rFonts w:asciiTheme="majorHAnsi" w:hAnsiTheme="majorHAnsi"/>
                <w:sz w:val="16"/>
                <w:szCs w:val="16"/>
              </w:rPr>
              <w:t>Количество и значимость субъективных показателей и предположений</w:t>
            </w:r>
          </w:p>
        </w:tc>
        <w:tc>
          <w:tcPr>
            <w:tcW w:w="694" w:type="pct"/>
            <w:tcBorders>
              <w:top w:val="single" w:sz="4" w:space="0" w:color="auto"/>
              <w:left w:val="nil"/>
              <w:bottom w:val="single" w:sz="4" w:space="0" w:color="auto"/>
              <w:right w:val="single" w:sz="4" w:space="0" w:color="auto"/>
            </w:tcBorders>
            <w:shd w:val="clear" w:color="000000" w:fill="FFFFFF"/>
            <w:vAlign w:val="center"/>
            <w:hideMark/>
          </w:tcPr>
          <w:p w:rsidR="006A199E" w:rsidRPr="006A199E" w:rsidRDefault="006A199E" w:rsidP="006A199E">
            <w:pPr>
              <w:jc w:val="center"/>
              <w:rPr>
                <w:rFonts w:asciiTheme="majorHAnsi" w:hAnsiTheme="majorHAnsi"/>
                <w:sz w:val="16"/>
                <w:szCs w:val="16"/>
              </w:rPr>
            </w:pPr>
            <w:r w:rsidRPr="006A199E">
              <w:rPr>
                <w:rFonts w:asciiTheme="majorHAnsi" w:hAnsiTheme="majorHAnsi"/>
                <w:sz w:val="16"/>
                <w:szCs w:val="16"/>
              </w:rPr>
              <w:t>2,00</w:t>
            </w:r>
          </w:p>
        </w:tc>
        <w:tc>
          <w:tcPr>
            <w:tcW w:w="731" w:type="pct"/>
            <w:tcBorders>
              <w:top w:val="single" w:sz="4" w:space="0" w:color="auto"/>
              <w:left w:val="nil"/>
              <w:bottom w:val="single" w:sz="4" w:space="0" w:color="auto"/>
              <w:right w:val="single" w:sz="4" w:space="0" w:color="auto"/>
            </w:tcBorders>
            <w:shd w:val="clear" w:color="000000" w:fill="FFFFFF"/>
            <w:vAlign w:val="center"/>
            <w:hideMark/>
          </w:tcPr>
          <w:p w:rsidR="006A199E" w:rsidRPr="006A199E" w:rsidRDefault="006A199E" w:rsidP="006A199E">
            <w:pPr>
              <w:jc w:val="center"/>
              <w:rPr>
                <w:rFonts w:asciiTheme="majorHAnsi" w:hAnsiTheme="majorHAnsi"/>
                <w:sz w:val="16"/>
                <w:szCs w:val="16"/>
              </w:rPr>
            </w:pPr>
            <w:r w:rsidRPr="006A199E">
              <w:rPr>
                <w:rFonts w:asciiTheme="majorHAnsi" w:hAnsiTheme="majorHAnsi"/>
                <w:sz w:val="16"/>
                <w:szCs w:val="16"/>
              </w:rPr>
              <w:t>5,00</w:t>
            </w:r>
          </w:p>
        </w:tc>
        <w:tc>
          <w:tcPr>
            <w:tcW w:w="719" w:type="pct"/>
            <w:tcBorders>
              <w:top w:val="single" w:sz="4" w:space="0" w:color="auto"/>
              <w:left w:val="nil"/>
              <w:bottom w:val="single" w:sz="4" w:space="0" w:color="auto"/>
              <w:right w:val="single" w:sz="4" w:space="0" w:color="auto"/>
            </w:tcBorders>
            <w:shd w:val="clear" w:color="000000" w:fill="FFFFFF"/>
            <w:vAlign w:val="center"/>
            <w:hideMark/>
          </w:tcPr>
          <w:p w:rsidR="006A199E" w:rsidRPr="006A199E" w:rsidRDefault="006A199E" w:rsidP="006A199E">
            <w:pPr>
              <w:jc w:val="center"/>
              <w:rPr>
                <w:rFonts w:asciiTheme="majorHAnsi" w:hAnsiTheme="majorHAnsi"/>
                <w:sz w:val="16"/>
                <w:szCs w:val="16"/>
              </w:rPr>
            </w:pPr>
            <w:r w:rsidRPr="006A199E">
              <w:rPr>
                <w:rFonts w:asciiTheme="majorHAnsi" w:hAnsiTheme="majorHAnsi"/>
                <w:sz w:val="16"/>
                <w:szCs w:val="16"/>
              </w:rPr>
              <w:t>1,00</w:t>
            </w:r>
          </w:p>
        </w:tc>
        <w:tc>
          <w:tcPr>
            <w:tcW w:w="693" w:type="pct"/>
            <w:tcBorders>
              <w:top w:val="single" w:sz="4" w:space="0" w:color="auto"/>
              <w:left w:val="nil"/>
              <w:bottom w:val="single" w:sz="4" w:space="0" w:color="auto"/>
              <w:right w:val="single" w:sz="4" w:space="0" w:color="auto"/>
            </w:tcBorders>
            <w:shd w:val="clear" w:color="000000" w:fill="FFFFFF"/>
            <w:vAlign w:val="center"/>
            <w:hideMark/>
          </w:tcPr>
          <w:p w:rsidR="006A199E" w:rsidRPr="006A199E" w:rsidRDefault="006A199E" w:rsidP="006A199E">
            <w:pPr>
              <w:jc w:val="center"/>
              <w:rPr>
                <w:rFonts w:asciiTheme="majorHAnsi" w:hAnsiTheme="majorHAnsi"/>
                <w:b/>
                <w:bCs/>
                <w:sz w:val="16"/>
                <w:szCs w:val="16"/>
              </w:rPr>
            </w:pPr>
            <w:r w:rsidRPr="006A199E">
              <w:rPr>
                <w:rFonts w:asciiTheme="majorHAnsi" w:hAnsiTheme="majorHAnsi"/>
                <w:b/>
                <w:bCs/>
                <w:sz w:val="16"/>
                <w:szCs w:val="16"/>
              </w:rPr>
              <w:t>0,582</w:t>
            </w:r>
          </w:p>
        </w:tc>
      </w:tr>
      <w:tr w:rsidR="006A199E" w:rsidRPr="006A199E" w:rsidTr="00D70166">
        <w:trPr>
          <w:cantSplit/>
          <w:trHeight w:val="147"/>
        </w:trPr>
        <w:tc>
          <w:tcPr>
            <w:tcW w:w="5000" w:type="pct"/>
            <w:gridSpan w:val="5"/>
            <w:tcBorders>
              <w:top w:val="nil"/>
              <w:left w:val="nil"/>
              <w:bottom w:val="nil"/>
              <w:right w:val="nil"/>
            </w:tcBorders>
            <w:shd w:val="clear" w:color="auto" w:fill="auto"/>
            <w:noWrap/>
            <w:vAlign w:val="bottom"/>
          </w:tcPr>
          <w:p w:rsidR="006A199E" w:rsidRPr="006A199E" w:rsidRDefault="006A199E" w:rsidP="006A199E">
            <w:pPr>
              <w:rPr>
                <w:rFonts w:ascii="Bookman Old Style" w:hAnsi="Bookman Old Style"/>
                <w:color w:val="000000"/>
                <w:sz w:val="20"/>
                <w:szCs w:val="20"/>
              </w:rPr>
            </w:pPr>
          </w:p>
        </w:tc>
      </w:tr>
      <w:tr w:rsidR="006A199E" w:rsidRPr="006A199E" w:rsidTr="00D70166">
        <w:trPr>
          <w:cantSplit/>
          <w:trHeight w:val="80"/>
        </w:trPr>
        <w:tc>
          <w:tcPr>
            <w:tcW w:w="5000" w:type="pct"/>
            <w:gridSpan w:val="5"/>
            <w:tcBorders>
              <w:top w:val="nil"/>
              <w:left w:val="nil"/>
              <w:bottom w:val="nil"/>
              <w:right w:val="nil"/>
            </w:tcBorders>
            <w:shd w:val="clear" w:color="auto" w:fill="auto"/>
            <w:noWrap/>
            <w:vAlign w:val="bottom"/>
            <w:hideMark/>
          </w:tcPr>
          <w:p w:rsidR="006A199E" w:rsidRPr="006A199E" w:rsidRDefault="006A199E" w:rsidP="006A199E">
            <w:pPr>
              <w:rPr>
                <w:rFonts w:ascii="Bookman Old Style" w:hAnsi="Bookman Old Style"/>
                <w:color w:val="000000"/>
                <w:sz w:val="20"/>
                <w:szCs w:val="20"/>
              </w:rPr>
            </w:pPr>
            <w:r w:rsidRPr="006A199E">
              <w:rPr>
                <w:rFonts w:ascii="Bookman Old Style" w:hAnsi="Bookman Old Style"/>
                <w:color w:val="000000"/>
                <w:sz w:val="20"/>
                <w:szCs w:val="20"/>
              </w:rPr>
              <w:t>2. Расчет вектора значимости критериев качества исходной информации (Wb)</w:t>
            </w:r>
          </w:p>
        </w:tc>
      </w:tr>
      <w:tr w:rsidR="006A199E" w:rsidRPr="006A199E" w:rsidTr="00D70166">
        <w:trPr>
          <w:cantSplit/>
          <w:trHeight w:val="227"/>
        </w:trPr>
        <w:tc>
          <w:tcPr>
            <w:tcW w:w="5000" w:type="pct"/>
            <w:gridSpan w:val="5"/>
            <w:tcBorders>
              <w:top w:val="nil"/>
              <w:left w:val="nil"/>
              <w:bottom w:val="nil"/>
              <w:right w:val="nil"/>
            </w:tcBorders>
            <w:shd w:val="clear" w:color="auto" w:fill="auto"/>
            <w:noWrap/>
            <w:vAlign w:val="bottom"/>
            <w:hideMark/>
          </w:tcPr>
          <w:p w:rsidR="006A199E" w:rsidRPr="006A199E" w:rsidRDefault="006A199E" w:rsidP="006A199E">
            <w:pPr>
              <w:jc w:val="right"/>
              <w:rPr>
                <w:rFonts w:ascii="Bookman Old Style" w:hAnsi="Bookman Old Style"/>
                <w:color w:val="000000"/>
                <w:sz w:val="20"/>
                <w:szCs w:val="20"/>
              </w:rPr>
            </w:pPr>
            <w:r w:rsidRPr="006A199E">
              <w:rPr>
                <w:rFonts w:ascii="Bookman Old Style" w:hAnsi="Bookman Old Style"/>
                <w:color w:val="000000"/>
                <w:sz w:val="20"/>
                <w:szCs w:val="20"/>
              </w:rPr>
              <w:t>Таблица 3. Влияние на качество исходной информации</w:t>
            </w:r>
          </w:p>
        </w:tc>
      </w:tr>
      <w:tr w:rsidR="006A199E" w:rsidRPr="006A199E" w:rsidTr="00D70166">
        <w:trPr>
          <w:cantSplit/>
          <w:trHeight w:val="227"/>
        </w:trPr>
        <w:tc>
          <w:tcPr>
            <w:tcW w:w="2163" w:type="pct"/>
            <w:tcBorders>
              <w:top w:val="single" w:sz="8" w:space="0" w:color="auto"/>
              <w:left w:val="single" w:sz="8" w:space="0" w:color="auto"/>
              <w:bottom w:val="single" w:sz="4" w:space="0" w:color="auto"/>
              <w:right w:val="single" w:sz="4" w:space="0" w:color="auto"/>
            </w:tcBorders>
            <w:shd w:val="clear" w:color="auto" w:fill="F2F2F2" w:themeFill="background1" w:themeFillShade="F2"/>
            <w:vAlign w:val="bottom"/>
            <w:hideMark/>
          </w:tcPr>
          <w:p w:rsidR="006A199E" w:rsidRPr="006A199E" w:rsidRDefault="006A199E" w:rsidP="006A199E">
            <w:pPr>
              <w:rPr>
                <w:rFonts w:asciiTheme="majorHAnsi" w:hAnsiTheme="majorHAnsi"/>
                <w:sz w:val="16"/>
                <w:szCs w:val="16"/>
              </w:rPr>
            </w:pPr>
            <w:r w:rsidRPr="006A199E">
              <w:rPr>
                <w:rFonts w:asciiTheme="majorHAnsi" w:hAnsiTheme="majorHAnsi"/>
                <w:sz w:val="16"/>
                <w:szCs w:val="16"/>
              </w:rPr>
              <w:t> </w:t>
            </w:r>
          </w:p>
        </w:tc>
        <w:tc>
          <w:tcPr>
            <w:tcW w:w="694"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rsidR="006A199E" w:rsidRPr="006A199E" w:rsidRDefault="006A199E" w:rsidP="006A199E">
            <w:pPr>
              <w:jc w:val="center"/>
              <w:rPr>
                <w:rFonts w:asciiTheme="majorHAnsi" w:hAnsiTheme="majorHAnsi"/>
                <w:sz w:val="16"/>
                <w:szCs w:val="16"/>
              </w:rPr>
            </w:pPr>
            <w:r w:rsidRPr="006A199E">
              <w:rPr>
                <w:rFonts w:asciiTheme="majorHAnsi" w:hAnsiTheme="majorHAnsi"/>
                <w:sz w:val="16"/>
                <w:szCs w:val="16"/>
              </w:rPr>
              <w:t>Полнота</w:t>
            </w:r>
          </w:p>
        </w:tc>
        <w:tc>
          <w:tcPr>
            <w:tcW w:w="731"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rsidR="006A199E" w:rsidRPr="006A199E" w:rsidRDefault="006A199E" w:rsidP="006A199E">
            <w:pPr>
              <w:jc w:val="center"/>
              <w:rPr>
                <w:rFonts w:asciiTheme="majorHAnsi" w:hAnsiTheme="majorHAnsi"/>
                <w:sz w:val="16"/>
                <w:szCs w:val="16"/>
              </w:rPr>
            </w:pPr>
            <w:r w:rsidRPr="006A199E">
              <w:rPr>
                <w:rFonts w:asciiTheme="majorHAnsi" w:hAnsiTheme="majorHAnsi"/>
                <w:sz w:val="16"/>
                <w:szCs w:val="16"/>
              </w:rPr>
              <w:t>Достоверность</w:t>
            </w:r>
          </w:p>
        </w:tc>
        <w:tc>
          <w:tcPr>
            <w:tcW w:w="719"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rsidR="006A199E" w:rsidRPr="006A199E" w:rsidRDefault="006A199E" w:rsidP="006A199E">
            <w:pPr>
              <w:jc w:val="center"/>
              <w:rPr>
                <w:rFonts w:asciiTheme="majorHAnsi" w:hAnsiTheme="majorHAnsi"/>
                <w:sz w:val="16"/>
                <w:szCs w:val="16"/>
              </w:rPr>
            </w:pPr>
            <w:r w:rsidRPr="006A199E">
              <w:rPr>
                <w:rFonts w:asciiTheme="majorHAnsi" w:hAnsiTheme="majorHAnsi"/>
                <w:sz w:val="16"/>
                <w:szCs w:val="16"/>
              </w:rPr>
              <w:t>Соответствие требованиям рыночной стоимости</w:t>
            </w:r>
          </w:p>
        </w:tc>
        <w:tc>
          <w:tcPr>
            <w:tcW w:w="693" w:type="pct"/>
            <w:tcBorders>
              <w:top w:val="single" w:sz="8" w:space="0" w:color="auto"/>
              <w:left w:val="nil"/>
              <w:bottom w:val="single" w:sz="4" w:space="0" w:color="auto"/>
              <w:right w:val="single" w:sz="8" w:space="0" w:color="auto"/>
            </w:tcBorders>
            <w:shd w:val="clear" w:color="auto" w:fill="F2F2F2" w:themeFill="background1" w:themeFillShade="F2"/>
            <w:vAlign w:val="center"/>
            <w:hideMark/>
          </w:tcPr>
          <w:p w:rsidR="006A199E" w:rsidRPr="006A199E" w:rsidRDefault="006A199E" w:rsidP="006A199E">
            <w:pPr>
              <w:jc w:val="center"/>
              <w:rPr>
                <w:rFonts w:asciiTheme="majorHAnsi" w:hAnsiTheme="majorHAnsi"/>
                <w:b/>
                <w:bCs/>
                <w:sz w:val="16"/>
                <w:szCs w:val="16"/>
              </w:rPr>
            </w:pPr>
            <w:r w:rsidRPr="006A199E">
              <w:rPr>
                <w:rFonts w:asciiTheme="majorHAnsi" w:hAnsiTheme="majorHAnsi"/>
                <w:b/>
                <w:bCs/>
                <w:sz w:val="16"/>
                <w:szCs w:val="16"/>
              </w:rPr>
              <w:t>Wb</w:t>
            </w:r>
          </w:p>
        </w:tc>
      </w:tr>
      <w:tr w:rsidR="006568BA" w:rsidRPr="006A199E" w:rsidTr="00D70166">
        <w:trPr>
          <w:cantSplit/>
          <w:trHeight w:val="227"/>
        </w:trPr>
        <w:tc>
          <w:tcPr>
            <w:tcW w:w="2163" w:type="pct"/>
            <w:tcBorders>
              <w:top w:val="nil"/>
              <w:left w:val="single" w:sz="8" w:space="0" w:color="auto"/>
              <w:bottom w:val="single" w:sz="4" w:space="0" w:color="auto"/>
              <w:right w:val="single" w:sz="4" w:space="0" w:color="auto"/>
            </w:tcBorders>
            <w:shd w:val="clear" w:color="000000" w:fill="FFFFFF"/>
            <w:vAlign w:val="center"/>
            <w:hideMark/>
          </w:tcPr>
          <w:p w:rsidR="006568BA" w:rsidRPr="006A199E" w:rsidRDefault="006568BA" w:rsidP="006A199E">
            <w:pPr>
              <w:rPr>
                <w:rFonts w:asciiTheme="majorHAnsi" w:hAnsiTheme="majorHAnsi"/>
                <w:sz w:val="16"/>
                <w:szCs w:val="16"/>
              </w:rPr>
            </w:pPr>
            <w:r w:rsidRPr="006A199E">
              <w:rPr>
                <w:rFonts w:asciiTheme="majorHAnsi" w:hAnsiTheme="majorHAnsi"/>
                <w:sz w:val="16"/>
                <w:szCs w:val="16"/>
              </w:rPr>
              <w:t>Полнота</w:t>
            </w:r>
          </w:p>
        </w:tc>
        <w:tc>
          <w:tcPr>
            <w:tcW w:w="694" w:type="pct"/>
            <w:tcBorders>
              <w:top w:val="nil"/>
              <w:left w:val="nil"/>
              <w:bottom w:val="single" w:sz="4" w:space="0" w:color="auto"/>
              <w:right w:val="single" w:sz="4" w:space="0" w:color="auto"/>
            </w:tcBorders>
            <w:shd w:val="clear" w:color="000000" w:fill="FFFFFF"/>
            <w:vAlign w:val="center"/>
            <w:hideMark/>
          </w:tcPr>
          <w:p w:rsidR="006568BA" w:rsidRDefault="006568BA">
            <w:pPr>
              <w:jc w:val="center"/>
              <w:rPr>
                <w:rFonts w:ascii="Cambria" w:hAnsi="Cambria"/>
                <w:sz w:val="16"/>
                <w:szCs w:val="16"/>
              </w:rPr>
            </w:pPr>
            <w:r>
              <w:rPr>
                <w:rFonts w:ascii="Cambria" w:hAnsi="Cambria"/>
                <w:sz w:val="16"/>
                <w:szCs w:val="16"/>
              </w:rPr>
              <w:t>1,00</w:t>
            </w:r>
          </w:p>
        </w:tc>
        <w:tc>
          <w:tcPr>
            <w:tcW w:w="731" w:type="pct"/>
            <w:tcBorders>
              <w:top w:val="nil"/>
              <w:left w:val="nil"/>
              <w:bottom w:val="single" w:sz="4" w:space="0" w:color="auto"/>
              <w:right w:val="single" w:sz="4" w:space="0" w:color="auto"/>
            </w:tcBorders>
            <w:shd w:val="clear" w:color="000000" w:fill="FFFFFF"/>
            <w:vAlign w:val="center"/>
            <w:hideMark/>
          </w:tcPr>
          <w:p w:rsidR="006568BA" w:rsidRDefault="006568BA">
            <w:pPr>
              <w:jc w:val="center"/>
              <w:rPr>
                <w:rFonts w:ascii="Cambria" w:hAnsi="Cambria"/>
                <w:sz w:val="16"/>
                <w:szCs w:val="16"/>
              </w:rPr>
            </w:pPr>
            <w:r>
              <w:rPr>
                <w:rFonts w:ascii="Cambria" w:hAnsi="Cambria"/>
                <w:sz w:val="16"/>
                <w:szCs w:val="16"/>
              </w:rPr>
              <w:t>0,50</w:t>
            </w:r>
          </w:p>
        </w:tc>
        <w:tc>
          <w:tcPr>
            <w:tcW w:w="719" w:type="pct"/>
            <w:tcBorders>
              <w:top w:val="nil"/>
              <w:left w:val="nil"/>
              <w:bottom w:val="single" w:sz="4" w:space="0" w:color="auto"/>
              <w:right w:val="single" w:sz="4" w:space="0" w:color="auto"/>
            </w:tcBorders>
            <w:shd w:val="clear" w:color="000000" w:fill="FFFFFF"/>
            <w:vAlign w:val="center"/>
            <w:hideMark/>
          </w:tcPr>
          <w:p w:rsidR="006568BA" w:rsidRDefault="006568BA">
            <w:pPr>
              <w:jc w:val="center"/>
              <w:rPr>
                <w:rFonts w:ascii="Cambria" w:hAnsi="Cambria"/>
                <w:sz w:val="16"/>
                <w:szCs w:val="16"/>
              </w:rPr>
            </w:pPr>
            <w:r>
              <w:rPr>
                <w:rFonts w:ascii="Cambria" w:hAnsi="Cambria"/>
                <w:sz w:val="16"/>
                <w:szCs w:val="16"/>
              </w:rPr>
              <w:t>2,00</w:t>
            </w:r>
          </w:p>
        </w:tc>
        <w:tc>
          <w:tcPr>
            <w:tcW w:w="693" w:type="pct"/>
            <w:tcBorders>
              <w:top w:val="nil"/>
              <w:left w:val="nil"/>
              <w:bottom w:val="single" w:sz="4" w:space="0" w:color="auto"/>
              <w:right w:val="single" w:sz="8" w:space="0" w:color="auto"/>
            </w:tcBorders>
            <w:shd w:val="clear" w:color="000000" w:fill="FFFFFF"/>
            <w:vAlign w:val="center"/>
            <w:hideMark/>
          </w:tcPr>
          <w:p w:rsidR="006568BA" w:rsidRDefault="006568BA">
            <w:pPr>
              <w:jc w:val="center"/>
              <w:rPr>
                <w:rFonts w:ascii="Cambria" w:hAnsi="Cambria"/>
                <w:b/>
                <w:bCs/>
                <w:sz w:val="16"/>
                <w:szCs w:val="16"/>
              </w:rPr>
            </w:pPr>
            <w:r>
              <w:rPr>
                <w:rFonts w:ascii="Cambria" w:hAnsi="Cambria"/>
                <w:b/>
                <w:bCs/>
                <w:sz w:val="16"/>
                <w:szCs w:val="16"/>
              </w:rPr>
              <w:t>0,286</w:t>
            </w:r>
          </w:p>
        </w:tc>
      </w:tr>
      <w:tr w:rsidR="006568BA" w:rsidRPr="006A199E" w:rsidTr="00D70166">
        <w:trPr>
          <w:cantSplit/>
          <w:trHeight w:val="227"/>
        </w:trPr>
        <w:tc>
          <w:tcPr>
            <w:tcW w:w="2163" w:type="pct"/>
            <w:tcBorders>
              <w:top w:val="nil"/>
              <w:left w:val="single" w:sz="8" w:space="0" w:color="auto"/>
              <w:bottom w:val="single" w:sz="4" w:space="0" w:color="auto"/>
              <w:right w:val="single" w:sz="4" w:space="0" w:color="auto"/>
            </w:tcBorders>
            <w:shd w:val="clear" w:color="000000" w:fill="FFFFFF"/>
            <w:vAlign w:val="center"/>
            <w:hideMark/>
          </w:tcPr>
          <w:p w:rsidR="006568BA" w:rsidRPr="006A199E" w:rsidRDefault="006568BA" w:rsidP="006A199E">
            <w:pPr>
              <w:rPr>
                <w:rFonts w:asciiTheme="majorHAnsi" w:hAnsiTheme="majorHAnsi"/>
                <w:sz w:val="16"/>
                <w:szCs w:val="16"/>
              </w:rPr>
            </w:pPr>
            <w:r w:rsidRPr="006A199E">
              <w:rPr>
                <w:rFonts w:asciiTheme="majorHAnsi" w:hAnsiTheme="majorHAnsi"/>
                <w:sz w:val="16"/>
                <w:szCs w:val="16"/>
              </w:rPr>
              <w:t>Достоверность</w:t>
            </w:r>
          </w:p>
        </w:tc>
        <w:tc>
          <w:tcPr>
            <w:tcW w:w="694" w:type="pct"/>
            <w:tcBorders>
              <w:top w:val="nil"/>
              <w:left w:val="nil"/>
              <w:bottom w:val="single" w:sz="4" w:space="0" w:color="auto"/>
              <w:right w:val="single" w:sz="4" w:space="0" w:color="auto"/>
            </w:tcBorders>
            <w:shd w:val="clear" w:color="000000" w:fill="FFFFFF"/>
            <w:vAlign w:val="center"/>
            <w:hideMark/>
          </w:tcPr>
          <w:p w:rsidR="006568BA" w:rsidRDefault="006568BA">
            <w:pPr>
              <w:jc w:val="center"/>
              <w:rPr>
                <w:rFonts w:ascii="Cambria" w:hAnsi="Cambria"/>
                <w:sz w:val="16"/>
                <w:szCs w:val="16"/>
              </w:rPr>
            </w:pPr>
            <w:r>
              <w:rPr>
                <w:rFonts w:ascii="Cambria" w:hAnsi="Cambria"/>
                <w:sz w:val="16"/>
                <w:szCs w:val="16"/>
              </w:rPr>
              <w:t>2,00</w:t>
            </w:r>
          </w:p>
        </w:tc>
        <w:tc>
          <w:tcPr>
            <w:tcW w:w="731" w:type="pct"/>
            <w:tcBorders>
              <w:top w:val="nil"/>
              <w:left w:val="nil"/>
              <w:bottom w:val="single" w:sz="4" w:space="0" w:color="auto"/>
              <w:right w:val="single" w:sz="4" w:space="0" w:color="auto"/>
            </w:tcBorders>
            <w:shd w:val="clear" w:color="000000" w:fill="FFFFFF"/>
            <w:vAlign w:val="center"/>
            <w:hideMark/>
          </w:tcPr>
          <w:p w:rsidR="006568BA" w:rsidRDefault="006568BA">
            <w:pPr>
              <w:jc w:val="center"/>
              <w:rPr>
                <w:rFonts w:ascii="Cambria" w:hAnsi="Cambria"/>
                <w:sz w:val="16"/>
                <w:szCs w:val="16"/>
              </w:rPr>
            </w:pPr>
            <w:r>
              <w:rPr>
                <w:rFonts w:ascii="Cambria" w:hAnsi="Cambria"/>
                <w:sz w:val="16"/>
                <w:szCs w:val="16"/>
              </w:rPr>
              <w:t>1,00</w:t>
            </w:r>
          </w:p>
        </w:tc>
        <w:tc>
          <w:tcPr>
            <w:tcW w:w="719" w:type="pct"/>
            <w:tcBorders>
              <w:top w:val="nil"/>
              <w:left w:val="nil"/>
              <w:bottom w:val="single" w:sz="4" w:space="0" w:color="auto"/>
              <w:right w:val="single" w:sz="4" w:space="0" w:color="auto"/>
            </w:tcBorders>
            <w:shd w:val="clear" w:color="000000" w:fill="FFFFFF"/>
            <w:vAlign w:val="center"/>
            <w:hideMark/>
          </w:tcPr>
          <w:p w:rsidR="006568BA" w:rsidRDefault="006568BA">
            <w:pPr>
              <w:jc w:val="center"/>
              <w:rPr>
                <w:rFonts w:ascii="Cambria" w:hAnsi="Cambria"/>
                <w:sz w:val="16"/>
                <w:szCs w:val="16"/>
              </w:rPr>
            </w:pPr>
            <w:r>
              <w:rPr>
                <w:rFonts w:ascii="Cambria" w:hAnsi="Cambria"/>
                <w:sz w:val="16"/>
                <w:szCs w:val="16"/>
              </w:rPr>
              <w:t>4,00</w:t>
            </w:r>
          </w:p>
        </w:tc>
        <w:tc>
          <w:tcPr>
            <w:tcW w:w="693" w:type="pct"/>
            <w:tcBorders>
              <w:top w:val="nil"/>
              <w:left w:val="nil"/>
              <w:bottom w:val="single" w:sz="4" w:space="0" w:color="auto"/>
              <w:right w:val="single" w:sz="8" w:space="0" w:color="auto"/>
            </w:tcBorders>
            <w:shd w:val="clear" w:color="000000" w:fill="FFFFFF"/>
            <w:vAlign w:val="center"/>
            <w:hideMark/>
          </w:tcPr>
          <w:p w:rsidR="006568BA" w:rsidRDefault="006568BA">
            <w:pPr>
              <w:jc w:val="center"/>
              <w:rPr>
                <w:rFonts w:ascii="Cambria" w:hAnsi="Cambria"/>
                <w:b/>
                <w:bCs/>
                <w:sz w:val="16"/>
                <w:szCs w:val="16"/>
              </w:rPr>
            </w:pPr>
            <w:r>
              <w:rPr>
                <w:rFonts w:ascii="Cambria" w:hAnsi="Cambria"/>
                <w:b/>
                <w:bCs/>
                <w:sz w:val="16"/>
                <w:szCs w:val="16"/>
              </w:rPr>
              <w:t>0,571</w:t>
            </w:r>
          </w:p>
        </w:tc>
      </w:tr>
      <w:tr w:rsidR="006568BA" w:rsidRPr="006A199E" w:rsidTr="00D70166">
        <w:trPr>
          <w:cantSplit/>
          <w:trHeight w:val="227"/>
        </w:trPr>
        <w:tc>
          <w:tcPr>
            <w:tcW w:w="2163" w:type="pct"/>
            <w:tcBorders>
              <w:top w:val="nil"/>
              <w:left w:val="single" w:sz="8" w:space="0" w:color="auto"/>
              <w:bottom w:val="single" w:sz="8" w:space="0" w:color="auto"/>
              <w:right w:val="single" w:sz="4" w:space="0" w:color="auto"/>
            </w:tcBorders>
            <w:shd w:val="clear" w:color="000000" w:fill="FFFFFF"/>
            <w:vAlign w:val="center"/>
            <w:hideMark/>
          </w:tcPr>
          <w:p w:rsidR="006568BA" w:rsidRPr="006A199E" w:rsidRDefault="006568BA" w:rsidP="006A199E">
            <w:pPr>
              <w:rPr>
                <w:rFonts w:asciiTheme="majorHAnsi" w:hAnsiTheme="majorHAnsi"/>
                <w:sz w:val="16"/>
                <w:szCs w:val="16"/>
              </w:rPr>
            </w:pPr>
            <w:r w:rsidRPr="006A199E">
              <w:rPr>
                <w:rFonts w:asciiTheme="majorHAnsi" w:hAnsiTheme="majorHAnsi"/>
                <w:sz w:val="16"/>
                <w:szCs w:val="16"/>
              </w:rPr>
              <w:t>Соответствие требованиям рыночной стоимости</w:t>
            </w:r>
          </w:p>
        </w:tc>
        <w:tc>
          <w:tcPr>
            <w:tcW w:w="694" w:type="pct"/>
            <w:tcBorders>
              <w:top w:val="nil"/>
              <w:left w:val="nil"/>
              <w:bottom w:val="single" w:sz="8" w:space="0" w:color="auto"/>
              <w:right w:val="single" w:sz="4" w:space="0" w:color="auto"/>
            </w:tcBorders>
            <w:shd w:val="clear" w:color="000000" w:fill="FFFFFF"/>
            <w:vAlign w:val="center"/>
            <w:hideMark/>
          </w:tcPr>
          <w:p w:rsidR="006568BA" w:rsidRDefault="006568BA">
            <w:pPr>
              <w:jc w:val="center"/>
              <w:rPr>
                <w:rFonts w:ascii="Cambria" w:hAnsi="Cambria"/>
                <w:sz w:val="16"/>
                <w:szCs w:val="16"/>
              </w:rPr>
            </w:pPr>
            <w:r>
              <w:rPr>
                <w:rFonts w:ascii="Cambria" w:hAnsi="Cambria"/>
                <w:sz w:val="16"/>
                <w:szCs w:val="16"/>
              </w:rPr>
              <w:t>0,50</w:t>
            </w:r>
          </w:p>
        </w:tc>
        <w:tc>
          <w:tcPr>
            <w:tcW w:w="731" w:type="pct"/>
            <w:tcBorders>
              <w:top w:val="nil"/>
              <w:left w:val="nil"/>
              <w:bottom w:val="single" w:sz="8" w:space="0" w:color="auto"/>
              <w:right w:val="single" w:sz="4" w:space="0" w:color="auto"/>
            </w:tcBorders>
            <w:shd w:val="clear" w:color="000000" w:fill="FFFFFF"/>
            <w:vAlign w:val="center"/>
            <w:hideMark/>
          </w:tcPr>
          <w:p w:rsidR="006568BA" w:rsidRDefault="006568BA">
            <w:pPr>
              <w:jc w:val="center"/>
              <w:rPr>
                <w:rFonts w:ascii="Cambria" w:hAnsi="Cambria"/>
                <w:sz w:val="16"/>
                <w:szCs w:val="16"/>
              </w:rPr>
            </w:pPr>
            <w:r>
              <w:rPr>
                <w:rFonts w:ascii="Cambria" w:hAnsi="Cambria"/>
                <w:sz w:val="16"/>
                <w:szCs w:val="16"/>
              </w:rPr>
              <w:t>0,25</w:t>
            </w:r>
          </w:p>
        </w:tc>
        <w:tc>
          <w:tcPr>
            <w:tcW w:w="719" w:type="pct"/>
            <w:tcBorders>
              <w:top w:val="nil"/>
              <w:left w:val="nil"/>
              <w:bottom w:val="single" w:sz="8" w:space="0" w:color="auto"/>
              <w:right w:val="single" w:sz="4" w:space="0" w:color="auto"/>
            </w:tcBorders>
            <w:shd w:val="clear" w:color="000000" w:fill="FFFFFF"/>
            <w:vAlign w:val="center"/>
            <w:hideMark/>
          </w:tcPr>
          <w:p w:rsidR="006568BA" w:rsidRDefault="006568BA">
            <w:pPr>
              <w:jc w:val="center"/>
              <w:rPr>
                <w:rFonts w:ascii="Cambria" w:hAnsi="Cambria"/>
                <w:sz w:val="16"/>
                <w:szCs w:val="16"/>
              </w:rPr>
            </w:pPr>
            <w:r>
              <w:rPr>
                <w:rFonts w:ascii="Cambria" w:hAnsi="Cambria"/>
                <w:sz w:val="16"/>
                <w:szCs w:val="16"/>
              </w:rPr>
              <w:t>1,00</w:t>
            </w:r>
          </w:p>
        </w:tc>
        <w:tc>
          <w:tcPr>
            <w:tcW w:w="693" w:type="pct"/>
            <w:tcBorders>
              <w:top w:val="nil"/>
              <w:left w:val="nil"/>
              <w:bottom w:val="single" w:sz="8" w:space="0" w:color="auto"/>
              <w:right w:val="single" w:sz="8" w:space="0" w:color="auto"/>
            </w:tcBorders>
            <w:shd w:val="clear" w:color="000000" w:fill="FFFFFF"/>
            <w:vAlign w:val="center"/>
            <w:hideMark/>
          </w:tcPr>
          <w:p w:rsidR="006568BA" w:rsidRDefault="006568BA">
            <w:pPr>
              <w:jc w:val="center"/>
              <w:rPr>
                <w:rFonts w:ascii="Cambria" w:hAnsi="Cambria"/>
                <w:b/>
                <w:bCs/>
                <w:sz w:val="16"/>
                <w:szCs w:val="16"/>
              </w:rPr>
            </w:pPr>
            <w:r>
              <w:rPr>
                <w:rFonts w:ascii="Cambria" w:hAnsi="Cambria"/>
                <w:b/>
                <w:bCs/>
                <w:sz w:val="16"/>
                <w:szCs w:val="16"/>
              </w:rPr>
              <w:t>0,143</w:t>
            </w:r>
          </w:p>
        </w:tc>
      </w:tr>
      <w:tr w:rsidR="006568BA" w:rsidRPr="006A199E" w:rsidTr="00D70166">
        <w:trPr>
          <w:cantSplit/>
          <w:trHeight w:val="227"/>
        </w:trPr>
        <w:tc>
          <w:tcPr>
            <w:tcW w:w="5000" w:type="pct"/>
            <w:gridSpan w:val="5"/>
            <w:tcBorders>
              <w:top w:val="nil"/>
              <w:left w:val="nil"/>
              <w:bottom w:val="nil"/>
              <w:right w:val="nil"/>
            </w:tcBorders>
            <w:shd w:val="clear" w:color="auto" w:fill="auto"/>
            <w:noWrap/>
            <w:vAlign w:val="bottom"/>
            <w:hideMark/>
          </w:tcPr>
          <w:p w:rsidR="006568BA" w:rsidRPr="006A199E" w:rsidRDefault="006568BA" w:rsidP="006A199E">
            <w:pPr>
              <w:rPr>
                <w:rFonts w:ascii="Bookman Old Style" w:hAnsi="Bookman Old Style"/>
                <w:color w:val="000000"/>
                <w:sz w:val="20"/>
                <w:szCs w:val="20"/>
              </w:rPr>
            </w:pPr>
            <w:r w:rsidRPr="006A199E">
              <w:rPr>
                <w:rFonts w:ascii="Bookman Old Style" w:hAnsi="Bookman Old Style"/>
                <w:color w:val="000000"/>
                <w:sz w:val="20"/>
                <w:szCs w:val="20"/>
              </w:rPr>
              <w:t>3. Результирующий вектор приоритетов альтернатив (Wс)</w:t>
            </w:r>
          </w:p>
        </w:tc>
      </w:tr>
      <w:tr w:rsidR="006568BA" w:rsidRPr="006A199E" w:rsidTr="00D70166">
        <w:trPr>
          <w:cantSplit/>
          <w:trHeight w:val="227"/>
        </w:trPr>
        <w:tc>
          <w:tcPr>
            <w:tcW w:w="5000" w:type="pct"/>
            <w:gridSpan w:val="5"/>
            <w:tcBorders>
              <w:top w:val="nil"/>
              <w:left w:val="nil"/>
              <w:bottom w:val="nil"/>
              <w:right w:val="nil"/>
            </w:tcBorders>
            <w:shd w:val="clear" w:color="auto" w:fill="auto"/>
            <w:noWrap/>
            <w:vAlign w:val="bottom"/>
            <w:hideMark/>
          </w:tcPr>
          <w:p w:rsidR="006568BA" w:rsidRPr="006A199E" w:rsidRDefault="006568BA" w:rsidP="006A199E">
            <w:pPr>
              <w:jc w:val="right"/>
              <w:rPr>
                <w:rFonts w:ascii="Bookman Old Style" w:hAnsi="Bookman Old Style"/>
                <w:color w:val="000000"/>
                <w:sz w:val="20"/>
                <w:szCs w:val="20"/>
              </w:rPr>
            </w:pPr>
            <w:r w:rsidRPr="006A199E">
              <w:rPr>
                <w:rFonts w:ascii="Bookman Old Style" w:hAnsi="Bookman Old Style"/>
                <w:color w:val="000000"/>
                <w:sz w:val="20"/>
                <w:szCs w:val="20"/>
              </w:rPr>
              <w:t>Таблица 4. Влияние на достоверность величины рыночной стоимости</w:t>
            </w:r>
          </w:p>
        </w:tc>
      </w:tr>
      <w:tr w:rsidR="006568BA" w:rsidRPr="006A199E" w:rsidTr="00D70166">
        <w:trPr>
          <w:cantSplit/>
          <w:trHeight w:val="227"/>
        </w:trPr>
        <w:tc>
          <w:tcPr>
            <w:tcW w:w="2163" w:type="pct"/>
            <w:tcBorders>
              <w:top w:val="single" w:sz="8" w:space="0" w:color="auto"/>
              <w:left w:val="single" w:sz="8" w:space="0" w:color="auto"/>
              <w:bottom w:val="single" w:sz="4" w:space="0" w:color="auto"/>
              <w:right w:val="single" w:sz="4" w:space="0" w:color="auto"/>
            </w:tcBorders>
            <w:shd w:val="clear" w:color="auto" w:fill="F2F2F2" w:themeFill="background1" w:themeFillShade="F2"/>
            <w:vAlign w:val="bottom"/>
            <w:hideMark/>
          </w:tcPr>
          <w:p w:rsidR="006568BA" w:rsidRPr="006A199E" w:rsidRDefault="006568BA" w:rsidP="006A199E">
            <w:pPr>
              <w:rPr>
                <w:rFonts w:asciiTheme="majorHAnsi" w:hAnsiTheme="majorHAnsi"/>
                <w:sz w:val="16"/>
                <w:szCs w:val="16"/>
              </w:rPr>
            </w:pPr>
            <w:r w:rsidRPr="006A199E">
              <w:rPr>
                <w:rFonts w:asciiTheme="majorHAnsi" w:hAnsiTheme="majorHAnsi"/>
                <w:sz w:val="16"/>
                <w:szCs w:val="16"/>
              </w:rPr>
              <w:t> </w:t>
            </w:r>
          </w:p>
        </w:tc>
        <w:tc>
          <w:tcPr>
            <w:tcW w:w="694"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rsidR="006568BA" w:rsidRPr="006A199E" w:rsidRDefault="006568BA" w:rsidP="006A199E">
            <w:pPr>
              <w:jc w:val="center"/>
              <w:rPr>
                <w:rFonts w:asciiTheme="majorHAnsi" w:hAnsiTheme="majorHAnsi"/>
                <w:sz w:val="16"/>
                <w:szCs w:val="16"/>
              </w:rPr>
            </w:pPr>
            <w:r w:rsidRPr="006A199E">
              <w:rPr>
                <w:rFonts w:asciiTheme="majorHAnsi" w:hAnsiTheme="majorHAnsi"/>
                <w:sz w:val="16"/>
                <w:szCs w:val="16"/>
              </w:rPr>
              <w:t>Исходные данные</w:t>
            </w:r>
          </w:p>
        </w:tc>
        <w:tc>
          <w:tcPr>
            <w:tcW w:w="731"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rsidR="006568BA" w:rsidRPr="006A199E" w:rsidRDefault="006568BA" w:rsidP="006A199E">
            <w:pPr>
              <w:jc w:val="center"/>
              <w:rPr>
                <w:rFonts w:asciiTheme="majorHAnsi" w:hAnsiTheme="majorHAnsi"/>
                <w:sz w:val="16"/>
                <w:szCs w:val="16"/>
              </w:rPr>
            </w:pPr>
            <w:r w:rsidRPr="006A199E">
              <w:rPr>
                <w:rFonts w:asciiTheme="majorHAnsi" w:hAnsiTheme="majorHAnsi"/>
                <w:sz w:val="16"/>
                <w:szCs w:val="16"/>
              </w:rPr>
              <w:t>Методология расчета</w:t>
            </w:r>
          </w:p>
        </w:tc>
        <w:tc>
          <w:tcPr>
            <w:tcW w:w="1412" w:type="pct"/>
            <w:gridSpan w:val="2"/>
            <w:tcBorders>
              <w:top w:val="single" w:sz="8" w:space="0" w:color="auto"/>
              <w:left w:val="nil"/>
              <w:bottom w:val="single" w:sz="4" w:space="0" w:color="auto"/>
              <w:right w:val="single" w:sz="8" w:space="0" w:color="000000"/>
            </w:tcBorders>
            <w:shd w:val="clear" w:color="auto" w:fill="F2F2F2" w:themeFill="background1" w:themeFillShade="F2"/>
            <w:vAlign w:val="center"/>
            <w:hideMark/>
          </w:tcPr>
          <w:p w:rsidR="006568BA" w:rsidRPr="006A199E" w:rsidRDefault="006568BA" w:rsidP="006A199E">
            <w:pPr>
              <w:jc w:val="center"/>
              <w:rPr>
                <w:rFonts w:asciiTheme="majorHAnsi" w:hAnsiTheme="majorHAnsi"/>
                <w:b/>
                <w:bCs/>
                <w:sz w:val="16"/>
                <w:szCs w:val="16"/>
              </w:rPr>
            </w:pPr>
            <w:r w:rsidRPr="006A199E">
              <w:rPr>
                <w:rFonts w:asciiTheme="majorHAnsi" w:hAnsiTheme="majorHAnsi"/>
                <w:b/>
                <w:bCs/>
                <w:sz w:val="16"/>
                <w:szCs w:val="16"/>
              </w:rPr>
              <w:t>Wc</w:t>
            </w:r>
          </w:p>
        </w:tc>
      </w:tr>
      <w:tr w:rsidR="006568BA" w:rsidRPr="006A199E" w:rsidTr="00D70166">
        <w:trPr>
          <w:cantSplit/>
          <w:trHeight w:val="227"/>
        </w:trPr>
        <w:tc>
          <w:tcPr>
            <w:tcW w:w="2163" w:type="pct"/>
            <w:tcBorders>
              <w:top w:val="nil"/>
              <w:left w:val="single" w:sz="8" w:space="0" w:color="auto"/>
              <w:bottom w:val="single" w:sz="4" w:space="0" w:color="auto"/>
              <w:right w:val="single" w:sz="4" w:space="0" w:color="auto"/>
            </w:tcBorders>
            <w:shd w:val="clear" w:color="000000" w:fill="FFFFFF"/>
            <w:vAlign w:val="center"/>
            <w:hideMark/>
          </w:tcPr>
          <w:p w:rsidR="006568BA" w:rsidRPr="006A199E" w:rsidRDefault="006568BA" w:rsidP="006A199E">
            <w:pPr>
              <w:rPr>
                <w:rFonts w:asciiTheme="majorHAnsi" w:hAnsiTheme="majorHAnsi"/>
                <w:sz w:val="16"/>
                <w:szCs w:val="16"/>
              </w:rPr>
            </w:pPr>
            <w:r w:rsidRPr="006A199E">
              <w:rPr>
                <w:rFonts w:asciiTheme="majorHAnsi" w:hAnsiTheme="majorHAnsi"/>
                <w:sz w:val="16"/>
                <w:szCs w:val="16"/>
              </w:rPr>
              <w:t>Исходные данные</w:t>
            </w:r>
          </w:p>
        </w:tc>
        <w:tc>
          <w:tcPr>
            <w:tcW w:w="694" w:type="pct"/>
            <w:tcBorders>
              <w:top w:val="nil"/>
              <w:left w:val="nil"/>
              <w:bottom w:val="single" w:sz="4" w:space="0" w:color="auto"/>
              <w:right w:val="single" w:sz="4" w:space="0" w:color="auto"/>
            </w:tcBorders>
            <w:shd w:val="clear" w:color="000000" w:fill="FFFFFF"/>
            <w:vAlign w:val="center"/>
            <w:hideMark/>
          </w:tcPr>
          <w:p w:rsidR="006568BA" w:rsidRDefault="006568BA">
            <w:pPr>
              <w:jc w:val="center"/>
              <w:rPr>
                <w:rFonts w:ascii="Cambria" w:hAnsi="Cambria"/>
                <w:sz w:val="16"/>
                <w:szCs w:val="16"/>
              </w:rPr>
            </w:pPr>
            <w:r>
              <w:rPr>
                <w:rFonts w:ascii="Cambria" w:hAnsi="Cambria"/>
                <w:sz w:val="16"/>
                <w:szCs w:val="16"/>
              </w:rPr>
              <w:t>1,00</w:t>
            </w:r>
          </w:p>
        </w:tc>
        <w:tc>
          <w:tcPr>
            <w:tcW w:w="731" w:type="pct"/>
            <w:tcBorders>
              <w:top w:val="nil"/>
              <w:left w:val="nil"/>
              <w:bottom w:val="single" w:sz="4" w:space="0" w:color="auto"/>
              <w:right w:val="single" w:sz="4" w:space="0" w:color="auto"/>
            </w:tcBorders>
            <w:shd w:val="clear" w:color="000000" w:fill="FFFFFF"/>
            <w:vAlign w:val="center"/>
            <w:hideMark/>
          </w:tcPr>
          <w:p w:rsidR="006568BA" w:rsidRDefault="006568BA">
            <w:pPr>
              <w:jc w:val="center"/>
              <w:rPr>
                <w:rFonts w:ascii="Cambria" w:hAnsi="Cambria"/>
                <w:sz w:val="16"/>
                <w:szCs w:val="16"/>
              </w:rPr>
            </w:pPr>
            <w:r>
              <w:rPr>
                <w:rFonts w:ascii="Cambria" w:hAnsi="Cambria"/>
                <w:sz w:val="16"/>
                <w:szCs w:val="16"/>
              </w:rPr>
              <w:t>0,33</w:t>
            </w:r>
          </w:p>
        </w:tc>
        <w:tc>
          <w:tcPr>
            <w:tcW w:w="1412" w:type="pct"/>
            <w:gridSpan w:val="2"/>
            <w:tcBorders>
              <w:top w:val="single" w:sz="4" w:space="0" w:color="auto"/>
              <w:left w:val="nil"/>
              <w:bottom w:val="single" w:sz="4" w:space="0" w:color="auto"/>
              <w:right w:val="single" w:sz="8" w:space="0" w:color="000000"/>
            </w:tcBorders>
            <w:shd w:val="clear" w:color="000000" w:fill="FFFFFF"/>
            <w:vAlign w:val="center"/>
            <w:hideMark/>
          </w:tcPr>
          <w:p w:rsidR="006568BA" w:rsidRDefault="006568BA">
            <w:pPr>
              <w:jc w:val="center"/>
              <w:rPr>
                <w:rFonts w:ascii="Cambria" w:hAnsi="Cambria"/>
                <w:sz w:val="16"/>
                <w:szCs w:val="16"/>
              </w:rPr>
            </w:pPr>
            <w:r>
              <w:rPr>
                <w:rFonts w:ascii="Cambria" w:hAnsi="Cambria"/>
                <w:sz w:val="16"/>
                <w:szCs w:val="16"/>
              </w:rPr>
              <w:t>0,365</w:t>
            </w:r>
          </w:p>
        </w:tc>
      </w:tr>
      <w:tr w:rsidR="006568BA" w:rsidRPr="006A199E" w:rsidTr="00D70166">
        <w:trPr>
          <w:cantSplit/>
          <w:trHeight w:val="227"/>
        </w:trPr>
        <w:tc>
          <w:tcPr>
            <w:tcW w:w="216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568BA" w:rsidRPr="006A199E" w:rsidRDefault="006568BA" w:rsidP="006A199E">
            <w:pPr>
              <w:rPr>
                <w:rFonts w:asciiTheme="majorHAnsi" w:hAnsiTheme="majorHAnsi"/>
                <w:sz w:val="16"/>
                <w:szCs w:val="16"/>
              </w:rPr>
            </w:pPr>
            <w:r w:rsidRPr="006A199E">
              <w:rPr>
                <w:rFonts w:asciiTheme="majorHAnsi" w:hAnsiTheme="majorHAnsi"/>
                <w:sz w:val="16"/>
                <w:szCs w:val="16"/>
              </w:rPr>
              <w:t>Методология расчета</w:t>
            </w:r>
          </w:p>
        </w:tc>
        <w:tc>
          <w:tcPr>
            <w:tcW w:w="694" w:type="pct"/>
            <w:tcBorders>
              <w:top w:val="single" w:sz="4" w:space="0" w:color="auto"/>
              <w:left w:val="nil"/>
              <w:bottom w:val="single" w:sz="4" w:space="0" w:color="auto"/>
              <w:right w:val="single" w:sz="4" w:space="0" w:color="auto"/>
            </w:tcBorders>
            <w:shd w:val="clear" w:color="000000" w:fill="FFFFFF"/>
            <w:vAlign w:val="center"/>
            <w:hideMark/>
          </w:tcPr>
          <w:p w:rsidR="006568BA" w:rsidRDefault="006568BA">
            <w:pPr>
              <w:jc w:val="center"/>
              <w:rPr>
                <w:rFonts w:ascii="Cambria" w:hAnsi="Cambria"/>
                <w:sz w:val="16"/>
                <w:szCs w:val="16"/>
              </w:rPr>
            </w:pPr>
            <w:r>
              <w:rPr>
                <w:rFonts w:ascii="Cambria" w:hAnsi="Cambria"/>
                <w:sz w:val="16"/>
                <w:szCs w:val="16"/>
              </w:rPr>
              <w:t>1,00</w:t>
            </w:r>
          </w:p>
        </w:tc>
        <w:tc>
          <w:tcPr>
            <w:tcW w:w="731" w:type="pct"/>
            <w:tcBorders>
              <w:top w:val="single" w:sz="4" w:space="0" w:color="auto"/>
              <w:left w:val="nil"/>
              <w:bottom w:val="single" w:sz="4" w:space="0" w:color="auto"/>
              <w:right w:val="single" w:sz="4" w:space="0" w:color="auto"/>
            </w:tcBorders>
            <w:shd w:val="clear" w:color="000000" w:fill="FFFFFF"/>
            <w:vAlign w:val="center"/>
            <w:hideMark/>
          </w:tcPr>
          <w:p w:rsidR="006568BA" w:rsidRDefault="006568BA">
            <w:pPr>
              <w:jc w:val="center"/>
              <w:rPr>
                <w:rFonts w:ascii="Cambria" w:hAnsi="Cambria"/>
                <w:sz w:val="16"/>
                <w:szCs w:val="16"/>
              </w:rPr>
            </w:pPr>
            <w:r>
              <w:rPr>
                <w:rFonts w:ascii="Cambria" w:hAnsi="Cambria"/>
                <w:sz w:val="16"/>
                <w:szCs w:val="16"/>
              </w:rPr>
              <w:t>1,00</w:t>
            </w:r>
          </w:p>
        </w:tc>
        <w:tc>
          <w:tcPr>
            <w:tcW w:w="1412" w:type="pct"/>
            <w:gridSpan w:val="2"/>
            <w:tcBorders>
              <w:top w:val="single" w:sz="4" w:space="0" w:color="auto"/>
              <w:left w:val="nil"/>
              <w:bottom w:val="single" w:sz="4" w:space="0" w:color="auto"/>
              <w:right w:val="single" w:sz="4" w:space="0" w:color="auto"/>
            </w:tcBorders>
            <w:shd w:val="clear" w:color="000000" w:fill="FFFFFF"/>
            <w:vAlign w:val="center"/>
            <w:hideMark/>
          </w:tcPr>
          <w:p w:rsidR="006568BA" w:rsidRDefault="006568BA">
            <w:pPr>
              <w:jc w:val="center"/>
              <w:rPr>
                <w:rFonts w:ascii="Cambria" w:hAnsi="Cambria"/>
                <w:sz w:val="16"/>
                <w:szCs w:val="16"/>
              </w:rPr>
            </w:pPr>
            <w:r>
              <w:rPr>
                <w:rFonts w:ascii="Cambria" w:hAnsi="Cambria"/>
                <w:sz w:val="16"/>
                <w:szCs w:val="16"/>
              </w:rPr>
              <w:t>0,635</w:t>
            </w:r>
          </w:p>
        </w:tc>
      </w:tr>
      <w:tr w:rsidR="006568BA" w:rsidRPr="006A199E" w:rsidTr="00D70166">
        <w:trPr>
          <w:cantSplit/>
          <w:trHeight w:val="227"/>
        </w:trPr>
        <w:tc>
          <w:tcPr>
            <w:tcW w:w="2163" w:type="pct"/>
            <w:tcBorders>
              <w:top w:val="single" w:sz="4" w:space="0" w:color="auto"/>
              <w:left w:val="nil"/>
              <w:bottom w:val="nil"/>
              <w:right w:val="nil"/>
            </w:tcBorders>
            <w:shd w:val="clear" w:color="auto" w:fill="auto"/>
            <w:noWrap/>
            <w:vAlign w:val="bottom"/>
            <w:hideMark/>
          </w:tcPr>
          <w:p w:rsidR="006568BA" w:rsidRPr="006A199E" w:rsidRDefault="006568BA" w:rsidP="006A199E">
            <w:pPr>
              <w:rPr>
                <w:rFonts w:ascii="Bookman Old Style" w:hAnsi="Bookman Old Style"/>
                <w:color w:val="000000"/>
                <w:sz w:val="16"/>
                <w:szCs w:val="16"/>
              </w:rPr>
            </w:pPr>
          </w:p>
        </w:tc>
        <w:tc>
          <w:tcPr>
            <w:tcW w:w="694" w:type="pct"/>
            <w:tcBorders>
              <w:top w:val="single" w:sz="4" w:space="0" w:color="auto"/>
              <w:left w:val="nil"/>
              <w:bottom w:val="nil"/>
              <w:right w:val="nil"/>
            </w:tcBorders>
            <w:shd w:val="clear" w:color="auto" w:fill="auto"/>
            <w:noWrap/>
            <w:vAlign w:val="bottom"/>
            <w:hideMark/>
          </w:tcPr>
          <w:p w:rsidR="006568BA" w:rsidRPr="006A199E" w:rsidRDefault="006568BA" w:rsidP="006A199E">
            <w:pPr>
              <w:rPr>
                <w:rFonts w:ascii="Bookman Old Style" w:hAnsi="Bookman Old Style"/>
                <w:color w:val="000000"/>
                <w:sz w:val="16"/>
                <w:szCs w:val="16"/>
              </w:rPr>
            </w:pPr>
          </w:p>
        </w:tc>
        <w:tc>
          <w:tcPr>
            <w:tcW w:w="731" w:type="pct"/>
            <w:tcBorders>
              <w:top w:val="single" w:sz="4" w:space="0" w:color="auto"/>
              <w:left w:val="nil"/>
              <w:bottom w:val="nil"/>
              <w:right w:val="nil"/>
            </w:tcBorders>
            <w:shd w:val="clear" w:color="auto" w:fill="auto"/>
            <w:noWrap/>
            <w:vAlign w:val="bottom"/>
            <w:hideMark/>
          </w:tcPr>
          <w:p w:rsidR="006568BA" w:rsidRPr="006A199E" w:rsidRDefault="006568BA" w:rsidP="006A199E">
            <w:pPr>
              <w:rPr>
                <w:rFonts w:ascii="Bookman Old Style" w:hAnsi="Bookman Old Style"/>
                <w:color w:val="000000"/>
                <w:sz w:val="16"/>
                <w:szCs w:val="16"/>
              </w:rPr>
            </w:pPr>
          </w:p>
        </w:tc>
        <w:tc>
          <w:tcPr>
            <w:tcW w:w="719" w:type="pct"/>
            <w:tcBorders>
              <w:top w:val="single" w:sz="4" w:space="0" w:color="auto"/>
              <w:left w:val="nil"/>
              <w:bottom w:val="nil"/>
              <w:right w:val="nil"/>
            </w:tcBorders>
            <w:shd w:val="clear" w:color="auto" w:fill="auto"/>
            <w:noWrap/>
            <w:vAlign w:val="bottom"/>
            <w:hideMark/>
          </w:tcPr>
          <w:p w:rsidR="006568BA" w:rsidRPr="006A199E" w:rsidRDefault="006568BA" w:rsidP="006A199E">
            <w:pPr>
              <w:rPr>
                <w:rFonts w:ascii="Bookman Old Style" w:hAnsi="Bookman Old Style"/>
                <w:color w:val="000000"/>
                <w:sz w:val="16"/>
                <w:szCs w:val="16"/>
              </w:rPr>
            </w:pPr>
          </w:p>
        </w:tc>
        <w:tc>
          <w:tcPr>
            <w:tcW w:w="693" w:type="pct"/>
            <w:tcBorders>
              <w:top w:val="single" w:sz="4" w:space="0" w:color="auto"/>
              <w:left w:val="nil"/>
              <w:bottom w:val="nil"/>
              <w:right w:val="nil"/>
            </w:tcBorders>
            <w:shd w:val="clear" w:color="auto" w:fill="auto"/>
            <w:noWrap/>
            <w:vAlign w:val="bottom"/>
            <w:hideMark/>
          </w:tcPr>
          <w:p w:rsidR="006568BA" w:rsidRPr="006A199E" w:rsidRDefault="006568BA" w:rsidP="006A199E">
            <w:pPr>
              <w:rPr>
                <w:rFonts w:ascii="Bookman Old Style" w:hAnsi="Bookman Old Style"/>
                <w:color w:val="000000"/>
                <w:sz w:val="16"/>
                <w:szCs w:val="16"/>
              </w:rPr>
            </w:pPr>
          </w:p>
        </w:tc>
      </w:tr>
      <w:tr w:rsidR="006568BA" w:rsidRPr="006A199E" w:rsidTr="00D70166">
        <w:trPr>
          <w:cantSplit/>
          <w:trHeight w:val="227"/>
        </w:trPr>
        <w:tc>
          <w:tcPr>
            <w:tcW w:w="5000" w:type="pct"/>
            <w:gridSpan w:val="5"/>
            <w:tcBorders>
              <w:top w:val="nil"/>
              <w:left w:val="nil"/>
              <w:bottom w:val="nil"/>
              <w:right w:val="nil"/>
            </w:tcBorders>
            <w:shd w:val="clear" w:color="auto" w:fill="auto"/>
            <w:noWrap/>
            <w:vAlign w:val="bottom"/>
            <w:hideMark/>
          </w:tcPr>
          <w:p w:rsidR="006568BA" w:rsidRPr="006A199E" w:rsidRDefault="006568BA" w:rsidP="006A199E">
            <w:pPr>
              <w:rPr>
                <w:rFonts w:ascii="Bookman Old Style" w:hAnsi="Bookman Old Style"/>
                <w:color w:val="000000"/>
                <w:sz w:val="20"/>
                <w:szCs w:val="20"/>
              </w:rPr>
            </w:pPr>
            <w:r w:rsidRPr="006A199E">
              <w:rPr>
                <w:rFonts w:ascii="Bookman Old Style" w:hAnsi="Bookman Old Style"/>
                <w:color w:val="000000"/>
                <w:sz w:val="20"/>
                <w:szCs w:val="20"/>
              </w:rPr>
              <w:t>4. Расчет векторов приоритетов</w:t>
            </w:r>
          </w:p>
        </w:tc>
      </w:tr>
      <w:tr w:rsidR="006568BA" w:rsidRPr="006A199E" w:rsidTr="00D70166">
        <w:trPr>
          <w:cantSplit/>
          <w:trHeight w:val="227"/>
        </w:trPr>
        <w:tc>
          <w:tcPr>
            <w:tcW w:w="5000" w:type="pct"/>
            <w:gridSpan w:val="5"/>
            <w:tcBorders>
              <w:top w:val="nil"/>
              <w:left w:val="nil"/>
              <w:bottom w:val="single" w:sz="8" w:space="0" w:color="auto"/>
              <w:right w:val="nil"/>
            </w:tcBorders>
            <w:shd w:val="clear" w:color="auto" w:fill="auto"/>
            <w:noWrap/>
            <w:vAlign w:val="bottom"/>
            <w:hideMark/>
          </w:tcPr>
          <w:p w:rsidR="006568BA" w:rsidRPr="006A199E" w:rsidRDefault="006568BA" w:rsidP="006A199E">
            <w:pPr>
              <w:jc w:val="right"/>
              <w:rPr>
                <w:rFonts w:ascii="Bookman Old Style" w:hAnsi="Bookman Old Style"/>
                <w:color w:val="000000"/>
                <w:sz w:val="20"/>
                <w:szCs w:val="20"/>
              </w:rPr>
            </w:pPr>
            <w:r w:rsidRPr="006A199E">
              <w:rPr>
                <w:rFonts w:ascii="Bookman Old Style" w:hAnsi="Bookman Old Style"/>
                <w:color w:val="000000"/>
                <w:sz w:val="20"/>
                <w:szCs w:val="20"/>
              </w:rPr>
              <w:t>Таблица 5. Учет принципа наиболее эффективного использования</w:t>
            </w:r>
          </w:p>
        </w:tc>
      </w:tr>
      <w:tr w:rsidR="006568BA" w:rsidRPr="006A199E" w:rsidTr="00D70166">
        <w:trPr>
          <w:cantSplit/>
          <w:trHeight w:val="227"/>
        </w:trPr>
        <w:tc>
          <w:tcPr>
            <w:tcW w:w="2163" w:type="pct"/>
            <w:tcBorders>
              <w:top w:val="single" w:sz="8" w:space="0" w:color="auto"/>
              <w:left w:val="single" w:sz="8" w:space="0" w:color="auto"/>
              <w:bottom w:val="single" w:sz="4" w:space="0" w:color="auto"/>
              <w:right w:val="single" w:sz="4" w:space="0" w:color="auto"/>
            </w:tcBorders>
            <w:shd w:val="clear" w:color="auto" w:fill="F2F2F2" w:themeFill="background1" w:themeFillShade="F2"/>
            <w:vAlign w:val="center"/>
            <w:hideMark/>
          </w:tcPr>
          <w:p w:rsidR="006568BA" w:rsidRPr="006A199E" w:rsidRDefault="006568BA" w:rsidP="006A199E">
            <w:pPr>
              <w:rPr>
                <w:rFonts w:ascii="Cambria" w:hAnsi="Cambria"/>
                <w:sz w:val="16"/>
                <w:szCs w:val="16"/>
              </w:rPr>
            </w:pPr>
            <w:r w:rsidRPr="006A199E">
              <w:rPr>
                <w:rFonts w:ascii="Cambria" w:hAnsi="Cambria"/>
                <w:sz w:val="16"/>
                <w:szCs w:val="16"/>
              </w:rPr>
              <w:lastRenderedPageBreak/>
              <w:t> </w:t>
            </w:r>
          </w:p>
        </w:tc>
        <w:tc>
          <w:tcPr>
            <w:tcW w:w="694"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rsidR="006568BA" w:rsidRPr="006A199E" w:rsidRDefault="006568BA" w:rsidP="006A199E">
            <w:pPr>
              <w:jc w:val="center"/>
              <w:rPr>
                <w:rFonts w:ascii="Cambria" w:hAnsi="Cambria"/>
                <w:sz w:val="16"/>
                <w:szCs w:val="16"/>
              </w:rPr>
            </w:pPr>
            <w:r w:rsidRPr="006A199E">
              <w:rPr>
                <w:rFonts w:ascii="Cambria" w:hAnsi="Cambria"/>
                <w:sz w:val="16"/>
                <w:szCs w:val="16"/>
              </w:rPr>
              <w:t>Доходный</w:t>
            </w:r>
          </w:p>
        </w:tc>
        <w:tc>
          <w:tcPr>
            <w:tcW w:w="731"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rsidR="006568BA" w:rsidRPr="006A199E" w:rsidRDefault="006568BA" w:rsidP="006A199E">
            <w:pPr>
              <w:jc w:val="center"/>
              <w:rPr>
                <w:rFonts w:ascii="Cambria" w:hAnsi="Cambria"/>
                <w:sz w:val="16"/>
                <w:szCs w:val="16"/>
              </w:rPr>
            </w:pPr>
            <w:r w:rsidRPr="006A199E">
              <w:rPr>
                <w:rFonts w:ascii="Cambria" w:hAnsi="Cambria"/>
                <w:sz w:val="16"/>
                <w:szCs w:val="16"/>
              </w:rPr>
              <w:t>Сравнительный</w:t>
            </w:r>
          </w:p>
        </w:tc>
        <w:tc>
          <w:tcPr>
            <w:tcW w:w="1412" w:type="pct"/>
            <w:gridSpan w:val="2"/>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6568BA" w:rsidRPr="006A199E" w:rsidRDefault="006568BA" w:rsidP="006A199E">
            <w:pPr>
              <w:jc w:val="center"/>
              <w:rPr>
                <w:rFonts w:ascii="Cambria" w:hAnsi="Cambria"/>
                <w:b/>
                <w:bCs/>
                <w:sz w:val="16"/>
                <w:szCs w:val="16"/>
              </w:rPr>
            </w:pPr>
            <w:r w:rsidRPr="006A199E">
              <w:rPr>
                <w:rFonts w:ascii="Cambria" w:hAnsi="Cambria"/>
                <w:b/>
                <w:bCs/>
                <w:sz w:val="16"/>
                <w:szCs w:val="16"/>
              </w:rPr>
              <w:t>W1</w:t>
            </w:r>
          </w:p>
        </w:tc>
      </w:tr>
      <w:tr w:rsidR="006568BA" w:rsidRPr="006A199E" w:rsidTr="00D70166">
        <w:trPr>
          <w:cantSplit/>
          <w:trHeight w:val="227"/>
        </w:trPr>
        <w:tc>
          <w:tcPr>
            <w:tcW w:w="2163" w:type="pct"/>
            <w:tcBorders>
              <w:top w:val="nil"/>
              <w:left w:val="single" w:sz="8" w:space="0" w:color="auto"/>
              <w:bottom w:val="single" w:sz="4" w:space="0" w:color="auto"/>
              <w:right w:val="single" w:sz="4" w:space="0" w:color="auto"/>
            </w:tcBorders>
            <w:shd w:val="clear" w:color="000000" w:fill="FFFFFF"/>
            <w:vAlign w:val="center"/>
            <w:hideMark/>
          </w:tcPr>
          <w:p w:rsidR="006568BA" w:rsidRPr="006A199E" w:rsidRDefault="006568BA" w:rsidP="006A199E">
            <w:pPr>
              <w:rPr>
                <w:rFonts w:ascii="Cambria" w:hAnsi="Cambria"/>
                <w:sz w:val="16"/>
                <w:szCs w:val="16"/>
              </w:rPr>
            </w:pPr>
            <w:r w:rsidRPr="006A199E">
              <w:rPr>
                <w:rFonts w:ascii="Cambria" w:hAnsi="Cambria"/>
                <w:sz w:val="16"/>
                <w:szCs w:val="16"/>
              </w:rPr>
              <w:t>Доходный</w:t>
            </w:r>
          </w:p>
        </w:tc>
        <w:tc>
          <w:tcPr>
            <w:tcW w:w="694" w:type="pct"/>
            <w:tcBorders>
              <w:top w:val="nil"/>
              <w:left w:val="nil"/>
              <w:bottom w:val="single" w:sz="4" w:space="0" w:color="auto"/>
              <w:right w:val="single" w:sz="4" w:space="0" w:color="auto"/>
            </w:tcBorders>
            <w:shd w:val="clear" w:color="auto" w:fill="F2F2F2" w:themeFill="background1" w:themeFillShade="F2"/>
            <w:vAlign w:val="center"/>
            <w:hideMark/>
          </w:tcPr>
          <w:p w:rsidR="006568BA" w:rsidRDefault="006568BA">
            <w:pPr>
              <w:jc w:val="center"/>
              <w:rPr>
                <w:rFonts w:ascii="Cambria" w:hAnsi="Cambria"/>
                <w:b/>
                <w:bCs/>
                <w:sz w:val="16"/>
                <w:szCs w:val="16"/>
              </w:rPr>
            </w:pPr>
            <w:r>
              <w:rPr>
                <w:rFonts w:ascii="Cambria" w:hAnsi="Cambria"/>
                <w:b/>
                <w:bCs/>
                <w:sz w:val="16"/>
                <w:szCs w:val="16"/>
              </w:rPr>
              <w:t>1,00</w:t>
            </w:r>
          </w:p>
        </w:tc>
        <w:tc>
          <w:tcPr>
            <w:tcW w:w="731" w:type="pct"/>
            <w:tcBorders>
              <w:top w:val="nil"/>
              <w:left w:val="nil"/>
              <w:bottom w:val="single" w:sz="4" w:space="0" w:color="auto"/>
              <w:right w:val="single" w:sz="4" w:space="0" w:color="auto"/>
            </w:tcBorders>
            <w:shd w:val="clear" w:color="000000" w:fill="FFFFFF"/>
            <w:vAlign w:val="center"/>
            <w:hideMark/>
          </w:tcPr>
          <w:p w:rsidR="006568BA" w:rsidRDefault="006568BA">
            <w:pPr>
              <w:jc w:val="center"/>
              <w:rPr>
                <w:rFonts w:ascii="Cambria" w:hAnsi="Cambria"/>
                <w:sz w:val="16"/>
                <w:szCs w:val="16"/>
              </w:rPr>
            </w:pPr>
            <w:r>
              <w:rPr>
                <w:rFonts w:ascii="Cambria" w:hAnsi="Cambria"/>
                <w:sz w:val="16"/>
                <w:szCs w:val="16"/>
              </w:rPr>
              <w:t>1,00</w:t>
            </w:r>
          </w:p>
        </w:tc>
        <w:tc>
          <w:tcPr>
            <w:tcW w:w="1412" w:type="pct"/>
            <w:gridSpan w:val="2"/>
            <w:tcBorders>
              <w:top w:val="single" w:sz="4" w:space="0" w:color="auto"/>
              <w:left w:val="nil"/>
              <w:bottom w:val="single" w:sz="4" w:space="0" w:color="auto"/>
              <w:right w:val="single" w:sz="4" w:space="0" w:color="auto"/>
            </w:tcBorders>
            <w:shd w:val="clear" w:color="000000" w:fill="FFFFFF"/>
            <w:vAlign w:val="center"/>
            <w:hideMark/>
          </w:tcPr>
          <w:p w:rsidR="006568BA" w:rsidRDefault="006568BA">
            <w:pPr>
              <w:jc w:val="center"/>
              <w:rPr>
                <w:rFonts w:ascii="Cambria" w:hAnsi="Cambria"/>
                <w:sz w:val="16"/>
                <w:szCs w:val="16"/>
              </w:rPr>
            </w:pPr>
            <w:r>
              <w:rPr>
                <w:rFonts w:ascii="Cambria" w:hAnsi="Cambria"/>
                <w:sz w:val="16"/>
                <w:szCs w:val="16"/>
              </w:rPr>
              <w:t>0,449</w:t>
            </w:r>
          </w:p>
        </w:tc>
      </w:tr>
      <w:tr w:rsidR="006568BA" w:rsidRPr="006A199E" w:rsidTr="00D70166">
        <w:trPr>
          <w:cantSplit/>
          <w:trHeight w:val="227"/>
        </w:trPr>
        <w:tc>
          <w:tcPr>
            <w:tcW w:w="2163" w:type="pct"/>
            <w:tcBorders>
              <w:top w:val="nil"/>
              <w:left w:val="single" w:sz="8" w:space="0" w:color="auto"/>
              <w:bottom w:val="single" w:sz="8" w:space="0" w:color="auto"/>
              <w:right w:val="single" w:sz="4" w:space="0" w:color="auto"/>
            </w:tcBorders>
            <w:shd w:val="clear" w:color="000000" w:fill="FFFFFF"/>
            <w:vAlign w:val="center"/>
            <w:hideMark/>
          </w:tcPr>
          <w:p w:rsidR="006568BA" w:rsidRPr="006A199E" w:rsidRDefault="006568BA" w:rsidP="006A199E">
            <w:pPr>
              <w:rPr>
                <w:rFonts w:ascii="Cambria" w:hAnsi="Cambria"/>
                <w:sz w:val="16"/>
                <w:szCs w:val="16"/>
              </w:rPr>
            </w:pPr>
            <w:r w:rsidRPr="006A199E">
              <w:rPr>
                <w:rFonts w:ascii="Cambria" w:hAnsi="Cambria"/>
                <w:sz w:val="16"/>
                <w:szCs w:val="16"/>
              </w:rPr>
              <w:t>Сравнительный</w:t>
            </w:r>
          </w:p>
        </w:tc>
        <w:tc>
          <w:tcPr>
            <w:tcW w:w="694" w:type="pct"/>
            <w:tcBorders>
              <w:top w:val="nil"/>
              <w:left w:val="nil"/>
              <w:bottom w:val="single" w:sz="8" w:space="0" w:color="auto"/>
              <w:right w:val="single" w:sz="4" w:space="0" w:color="auto"/>
            </w:tcBorders>
            <w:shd w:val="clear" w:color="000000" w:fill="FFFFFF"/>
            <w:vAlign w:val="center"/>
            <w:hideMark/>
          </w:tcPr>
          <w:p w:rsidR="006568BA" w:rsidRDefault="006568BA">
            <w:pPr>
              <w:jc w:val="center"/>
              <w:rPr>
                <w:rFonts w:ascii="Cambria" w:hAnsi="Cambria"/>
                <w:sz w:val="16"/>
                <w:szCs w:val="16"/>
              </w:rPr>
            </w:pPr>
            <w:r>
              <w:rPr>
                <w:rFonts w:ascii="Cambria" w:hAnsi="Cambria"/>
                <w:sz w:val="16"/>
                <w:szCs w:val="16"/>
              </w:rPr>
              <w:t>1,50</w:t>
            </w:r>
          </w:p>
        </w:tc>
        <w:tc>
          <w:tcPr>
            <w:tcW w:w="731" w:type="pct"/>
            <w:tcBorders>
              <w:top w:val="nil"/>
              <w:left w:val="nil"/>
              <w:bottom w:val="single" w:sz="8" w:space="0" w:color="auto"/>
              <w:right w:val="single" w:sz="4" w:space="0" w:color="auto"/>
            </w:tcBorders>
            <w:shd w:val="clear" w:color="auto" w:fill="F2F2F2" w:themeFill="background1" w:themeFillShade="F2"/>
            <w:vAlign w:val="center"/>
            <w:hideMark/>
          </w:tcPr>
          <w:p w:rsidR="006568BA" w:rsidRDefault="006568BA">
            <w:pPr>
              <w:jc w:val="center"/>
              <w:rPr>
                <w:rFonts w:ascii="Cambria" w:hAnsi="Cambria"/>
                <w:b/>
                <w:bCs/>
                <w:sz w:val="16"/>
                <w:szCs w:val="16"/>
              </w:rPr>
            </w:pPr>
            <w:r>
              <w:rPr>
                <w:rFonts w:ascii="Cambria" w:hAnsi="Cambria"/>
                <w:b/>
                <w:bCs/>
                <w:sz w:val="16"/>
                <w:szCs w:val="16"/>
              </w:rPr>
              <w:t>1,00</w:t>
            </w:r>
          </w:p>
        </w:tc>
        <w:tc>
          <w:tcPr>
            <w:tcW w:w="1412" w:type="pct"/>
            <w:gridSpan w:val="2"/>
            <w:tcBorders>
              <w:top w:val="single" w:sz="4" w:space="0" w:color="auto"/>
              <w:left w:val="nil"/>
              <w:bottom w:val="single" w:sz="4" w:space="0" w:color="auto"/>
              <w:right w:val="single" w:sz="4" w:space="0" w:color="auto"/>
            </w:tcBorders>
            <w:shd w:val="clear" w:color="000000" w:fill="FFFFFF"/>
            <w:vAlign w:val="center"/>
            <w:hideMark/>
          </w:tcPr>
          <w:p w:rsidR="006568BA" w:rsidRDefault="006568BA">
            <w:pPr>
              <w:jc w:val="center"/>
              <w:rPr>
                <w:rFonts w:ascii="Cambria" w:hAnsi="Cambria"/>
                <w:sz w:val="16"/>
                <w:szCs w:val="16"/>
              </w:rPr>
            </w:pPr>
            <w:r>
              <w:rPr>
                <w:rFonts w:ascii="Cambria" w:hAnsi="Cambria"/>
                <w:sz w:val="16"/>
                <w:szCs w:val="16"/>
              </w:rPr>
              <w:t>0,551</w:t>
            </w:r>
          </w:p>
        </w:tc>
      </w:tr>
      <w:tr w:rsidR="006568BA" w:rsidRPr="006A199E" w:rsidTr="00D70166">
        <w:trPr>
          <w:cantSplit/>
          <w:trHeight w:val="227"/>
        </w:trPr>
        <w:tc>
          <w:tcPr>
            <w:tcW w:w="2163" w:type="pct"/>
            <w:tcBorders>
              <w:top w:val="nil"/>
              <w:left w:val="nil"/>
              <w:bottom w:val="nil"/>
              <w:right w:val="nil"/>
            </w:tcBorders>
            <w:shd w:val="clear" w:color="000000" w:fill="FFFFFF"/>
            <w:vAlign w:val="center"/>
            <w:hideMark/>
          </w:tcPr>
          <w:p w:rsidR="006568BA" w:rsidRPr="006A199E" w:rsidRDefault="006568BA" w:rsidP="006A199E">
            <w:pPr>
              <w:rPr>
                <w:rFonts w:ascii="Bookman Old Style" w:hAnsi="Bookman Old Style"/>
                <w:sz w:val="2"/>
                <w:szCs w:val="2"/>
              </w:rPr>
            </w:pPr>
            <w:r w:rsidRPr="006A199E">
              <w:rPr>
                <w:rFonts w:ascii="Bookman Old Style" w:hAnsi="Bookman Old Style"/>
                <w:sz w:val="14"/>
                <w:szCs w:val="14"/>
              </w:rPr>
              <w:t> </w:t>
            </w:r>
          </w:p>
        </w:tc>
        <w:tc>
          <w:tcPr>
            <w:tcW w:w="694" w:type="pct"/>
            <w:tcBorders>
              <w:top w:val="nil"/>
              <w:left w:val="nil"/>
              <w:bottom w:val="nil"/>
              <w:right w:val="nil"/>
            </w:tcBorders>
            <w:shd w:val="clear" w:color="000000" w:fill="FFFFFF"/>
            <w:vAlign w:val="bottom"/>
            <w:hideMark/>
          </w:tcPr>
          <w:p w:rsidR="006568BA" w:rsidRPr="006A199E" w:rsidRDefault="006568BA" w:rsidP="006A199E">
            <w:pPr>
              <w:jc w:val="center"/>
              <w:rPr>
                <w:rFonts w:ascii="Bookman Old Style" w:hAnsi="Bookman Old Style"/>
                <w:sz w:val="14"/>
                <w:szCs w:val="14"/>
              </w:rPr>
            </w:pPr>
            <w:r w:rsidRPr="006A199E">
              <w:rPr>
                <w:rFonts w:ascii="Bookman Old Style" w:hAnsi="Bookman Old Style"/>
                <w:sz w:val="14"/>
                <w:szCs w:val="14"/>
              </w:rPr>
              <w:t> </w:t>
            </w:r>
          </w:p>
        </w:tc>
        <w:tc>
          <w:tcPr>
            <w:tcW w:w="731" w:type="pct"/>
            <w:tcBorders>
              <w:top w:val="nil"/>
              <w:left w:val="nil"/>
              <w:bottom w:val="nil"/>
              <w:right w:val="nil"/>
            </w:tcBorders>
            <w:shd w:val="clear" w:color="000000" w:fill="FFFFFF"/>
            <w:vAlign w:val="bottom"/>
            <w:hideMark/>
          </w:tcPr>
          <w:p w:rsidR="006568BA" w:rsidRPr="006A199E" w:rsidRDefault="006568BA" w:rsidP="006A199E">
            <w:pPr>
              <w:jc w:val="center"/>
              <w:rPr>
                <w:rFonts w:ascii="Bookman Old Style" w:hAnsi="Bookman Old Style"/>
                <w:sz w:val="14"/>
                <w:szCs w:val="14"/>
              </w:rPr>
            </w:pPr>
            <w:r w:rsidRPr="006A199E">
              <w:rPr>
                <w:rFonts w:ascii="Bookman Old Style" w:hAnsi="Bookman Old Style"/>
                <w:sz w:val="14"/>
                <w:szCs w:val="14"/>
              </w:rPr>
              <w:t> </w:t>
            </w:r>
          </w:p>
        </w:tc>
        <w:tc>
          <w:tcPr>
            <w:tcW w:w="719" w:type="pct"/>
            <w:tcBorders>
              <w:top w:val="nil"/>
              <w:left w:val="nil"/>
              <w:bottom w:val="nil"/>
              <w:right w:val="nil"/>
            </w:tcBorders>
            <w:shd w:val="clear" w:color="000000" w:fill="FFFFFF"/>
            <w:vAlign w:val="bottom"/>
            <w:hideMark/>
          </w:tcPr>
          <w:p w:rsidR="006568BA" w:rsidRPr="006A199E" w:rsidRDefault="006568BA" w:rsidP="006A199E">
            <w:pPr>
              <w:jc w:val="center"/>
              <w:rPr>
                <w:rFonts w:ascii="Bookman Old Style" w:hAnsi="Bookman Old Style"/>
                <w:sz w:val="14"/>
                <w:szCs w:val="14"/>
              </w:rPr>
            </w:pPr>
            <w:r w:rsidRPr="006A199E">
              <w:rPr>
                <w:rFonts w:ascii="Bookman Old Style" w:hAnsi="Bookman Old Style"/>
                <w:sz w:val="14"/>
                <w:szCs w:val="14"/>
              </w:rPr>
              <w:t> </w:t>
            </w:r>
          </w:p>
        </w:tc>
        <w:tc>
          <w:tcPr>
            <w:tcW w:w="693" w:type="pct"/>
            <w:tcBorders>
              <w:top w:val="nil"/>
              <w:left w:val="nil"/>
              <w:bottom w:val="nil"/>
              <w:right w:val="nil"/>
            </w:tcBorders>
            <w:shd w:val="clear" w:color="000000" w:fill="FFFFFF"/>
            <w:vAlign w:val="bottom"/>
            <w:hideMark/>
          </w:tcPr>
          <w:p w:rsidR="006568BA" w:rsidRPr="006A199E" w:rsidRDefault="006568BA" w:rsidP="006A199E">
            <w:pPr>
              <w:jc w:val="center"/>
              <w:rPr>
                <w:rFonts w:ascii="Bookman Old Style" w:hAnsi="Bookman Old Style"/>
                <w:sz w:val="14"/>
                <w:szCs w:val="14"/>
              </w:rPr>
            </w:pPr>
            <w:r w:rsidRPr="006A199E">
              <w:rPr>
                <w:rFonts w:ascii="Bookman Old Style" w:hAnsi="Bookman Old Style"/>
                <w:sz w:val="14"/>
                <w:szCs w:val="14"/>
              </w:rPr>
              <w:t> </w:t>
            </w:r>
          </w:p>
        </w:tc>
      </w:tr>
      <w:tr w:rsidR="006568BA" w:rsidRPr="006A199E" w:rsidTr="00D70166">
        <w:trPr>
          <w:cantSplit/>
          <w:trHeight w:val="227"/>
        </w:trPr>
        <w:tc>
          <w:tcPr>
            <w:tcW w:w="5000" w:type="pct"/>
            <w:gridSpan w:val="5"/>
            <w:tcBorders>
              <w:top w:val="nil"/>
              <w:left w:val="nil"/>
              <w:bottom w:val="nil"/>
              <w:right w:val="nil"/>
            </w:tcBorders>
            <w:shd w:val="clear" w:color="auto" w:fill="auto"/>
            <w:noWrap/>
            <w:vAlign w:val="bottom"/>
            <w:hideMark/>
          </w:tcPr>
          <w:p w:rsidR="006568BA" w:rsidRPr="006A199E" w:rsidRDefault="006568BA" w:rsidP="006A199E">
            <w:pPr>
              <w:jc w:val="right"/>
              <w:rPr>
                <w:rFonts w:ascii="Bookman Old Style" w:hAnsi="Bookman Old Style"/>
                <w:color w:val="000000"/>
                <w:sz w:val="20"/>
                <w:szCs w:val="20"/>
              </w:rPr>
            </w:pPr>
          </w:p>
          <w:p w:rsidR="006568BA" w:rsidRPr="006A199E" w:rsidRDefault="006568BA" w:rsidP="006A199E">
            <w:pPr>
              <w:jc w:val="right"/>
              <w:rPr>
                <w:rFonts w:ascii="Bookman Old Style" w:hAnsi="Bookman Old Style"/>
                <w:color w:val="000000"/>
                <w:sz w:val="20"/>
                <w:szCs w:val="20"/>
              </w:rPr>
            </w:pPr>
            <w:r w:rsidRPr="006A199E">
              <w:rPr>
                <w:rFonts w:ascii="Bookman Old Style" w:hAnsi="Bookman Old Style"/>
                <w:color w:val="000000"/>
                <w:sz w:val="20"/>
                <w:szCs w:val="20"/>
              </w:rPr>
              <w:t>Таблица 6. Обоснованность выполнения предпосылок выбранного метода расчёта</w:t>
            </w:r>
          </w:p>
        </w:tc>
      </w:tr>
      <w:tr w:rsidR="006568BA" w:rsidRPr="006A199E" w:rsidTr="00D70166">
        <w:trPr>
          <w:cantSplit/>
          <w:trHeight w:val="227"/>
        </w:trPr>
        <w:tc>
          <w:tcPr>
            <w:tcW w:w="2163" w:type="pct"/>
            <w:tcBorders>
              <w:top w:val="single" w:sz="8" w:space="0" w:color="auto"/>
              <w:left w:val="single" w:sz="8" w:space="0" w:color="auto"/>
              <w:bottom w:val="single" w:sz="4" w:space="0" w:color="auto"/>
              <w:right w:val="single" w:sz="4" w:space="0" w:color="auto"/>
            </w:tcBorders>
            <w:shd w:val="clear" w:color="auto" w:fill="F2F2F2" w:themeFill="background1" w:themeFillShade="F2"/>
            <w:vAlign w:val="center"/>
            <w:hideMark/>
          </w:tcPr>
          <w:p w:rsidR="006568BA" w:rsidRPr="006A199E" w:rsidRDefault="006568BA" w:rsidP="006A199E">
            <w:pPr>
              <w:rPr>
                <w:rFonts w:ascii="Cambria" w:hAnsi="Cambria"/>
                <w:sz w:val="16"/>
                <w:szCs w:val="16"/>
              </w:rPr>
            </w:pPr>
            <w:r w:rsidRPr="006A199E">
              <w:rPr>
                <w:rFonts w:ascii="Cambria" w:hAnsi="Cambria"/>
                <w:sz w:val="16"/>
                <w:szCs w:val="16"/>
              </w:rPr>
              <w:t> </w:t>
            </w:r>
          </w:p>
        </w:tc>
        <w:tc>
          <w:tcPr>
            <w:tcW w:w="694"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rsidR="006568BA" w:rsidRPr="006A199E" w:rsidRDefault="006568BA" w:rsidP="006A199E">
            <w:pPr>
              <w:jc w:val="center"/>
              <w:rPr>
                <w:rFonts w:ascii="Cambria" w:hAnsi="Cambria"/>
                <w:sz w:val="16"/>
                <w:szCs w:val="16"/>
              </w:rPr>
            </w:pPr>
            <w:r w:rsidRPr="006A199E">
              <w:rPr>
                <w:rFonts w:ascii="Cambria" w:hAnsi="Cambria"/>
                <w:sz w:val="16"/>
                <w:szCs w:val="16"/>
              </w:rPr>
              <w:t>Доходный</w:t>
            </w:r>
          </w:p>
        </w:tc>
        <w:tc>
          <w:tcPr>
            <w:tcW w:w="731"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rsidR="006568BA" w:rsidRPr="006A199E" w:rsidRDefault="006568BA" w:rsidP="006A199E">
            <w:pPr>
              <w:jc w:val="center"/>
              <w:rPr>
                <w:rFonts w:ascii="Cambria" w:hAnsi="Cambria"/>
                <w:sz w:val="16"/>
                <w:szCs w:val="16"/>
              </w:rPr>
            </w:pPr>
            <w:r w:rsidRPr="006A199E">
              <w:rPr>
                <w:rFonts w:ascii="Cambria" w:hAnsi="Cambria"/>
                <w:sz w:val="16"/>
                <w:szCs w:val="16"/>
              </w:rPr>
              <w:t>Сравнительный</w:t>
            </w:r>
          </w:p>
        </w:tc>
        <w:tc>
          <w:tcPr>
            <w:tcW w:w="1412" w:type="pct"/>
            <w:gridSpan w:val="2"/>
            <w:tcBorders>
              <w:top w:val="single" w:sz="8" w:space="0" w:color="auto"/>
              <w:left w:val="nil"/>
              <w:bottom w:val="single" w:sz="4" w:space="0" w:color="auto"/>
              <w:right w:val="single" w:sz="8" w:space="0" w:color="000000"/>
            </w:tcBorders>
            <w:shd w:val="clear" w:color="auto" w:fill="F2F2F2" w:themeFill="background1" w:themeFillShade="F2"/>
            <w:vAlign w:val="center"/>
            <w:hideMark/>
          </w:tcPr>
          <w:p w:rsidR="006568BA" w:rsidRPr="006A199E" w:rsidRDefault="006568BA" w:rsidP="006A199E">
            <w:pPr>
              <w:jc w:val="center"/>
              <w:rPr>
                <w:rFonts w:ascii="Cambria" w:hAnsi="Cambria"/>
                <w:b/>
                <w:bCs/>
                <w:sz w:val="16"/>
                <w:szCs w:val="16"/>
              </w:rPr>
            </w:pPr>
            <w:r w:rsidRPr="006A199E">
              <w:rPr>
                <w:rFonts w:ascii="Cambria" w:hAnsi="Cambria"/>
                <w:b/>
                <w:bCs/>
                <w:sz w:val="16"/>
                <w:szCs w:val="16"/>
              </w:rPr>
              <w:t>W2</w:t>
            </w:r>
          </w:p>
        </w:tc>
      </w:tr>
      <w:tr w:rsidR="006568BA" w:rsidRPr="006A199E" w:rsidTr="00D70166">
        <w:trPr>
          <w:cantSplit/>
          <w:trHeight w:val="227"/>
        </w:trPr>
        <w:tc>
          <w:tcPr>
            <w:tcW w:w="2163" w:type="pct"/>
            <w:tcBorders>
              <w:top w:val="nil"/>
              <w:left w:val="single" w:sz="8" w:space="0" w:color="auto"/>
              <w:bottom w:val="single" w:sz="4" w:space="0" w:color="auto"/>
              <w:right w:val="single" w:sz="4" w:space="0" w:color="auto"/>
            </w:tcBorders>
            <w:shd w:val="clear" w:color="000000" w:fill="FFFFFF"/>
            <w:vAlign w:val="center"/>
            <w:hideMark/>
          </w:tcPr>
          <w:p w:rsidR="006568BA" w:rsidRPr="006A199E" w:rsidRDefault="006568BA" w:rsidP="006A199E">
            <w:pPr>
              <w:rPr>
                <w:rFonts w:ascii="Cambria" w:hAnsi="Cambria"/>
                <w:sz w:val="16"/>
                <w:szCs w:val="16"/>
              </w:rPr>
            </w:pPr>
            <w:r w:rsidRPr="006A199E">
              <w:rPr>
                <w:rFonts w:ascii="Cambria" w:hAnsi="Cambria"/>
                <w:sz w:val="16"/>
                <w:szCs w:val="16"/>
              </w:rPr>
              <w:t>Доходный</w:t>
            </w:r>
          </w:p>
        </w:tc>
        <w:tc>
          <w:tcPr>
            <w:tcW w:w="694" w:type="pct"/>
            <w:tcBorders>
              <w:top w:val="nil"/>
              <w:left w:val="nil"/>
              <w:bottom w:val="single" w:sz="4" w:space="0" w:color="auto"/>
              <w:right w:val="single" w:sz="4" w:space="0" w:color="auto"/>
            </w:tcBorders>
            <w:shd w:val="clear" w:color="auto" w:fill="F2F2F2" w:themeFill="background1" w:themeFillShade="F2"/>
            <w:vAlign w:val="center"/>
            <w:hideMark/>
          </w:tcPr>
          <w:p w:rsidR="006568BA" w:rsidRDefault="006568BA">
            <w:pPr>
              <w:jc w:val="center"/>
              <w:rPr>
                <w:rFonts w:ascii="Cambria" w:hAnsi="Cambria"/>
                <w:b/>
                <w:bCs/>
                <w:sz w:val="16"/>
                <w:szCs w:val="16"/>
              </w:rPr>
            </w:pPr>
            <w:r>
              <w:rPr>
                <w:rFonts w:ascii="Cambria" w:hAnsi="Cambria"/>
                <w:b/>
                <w:bCs/>
                <w:sz w:val="16"/>
                <w:szCs w:val="16"/>
              </w:rPr>
              <w:t>1,00</w:t>
            </w:r>
          </w:p>
        </w:tc>
        <w:tc>
          <w:tcPr>
            <w:tcW w:w="731" w:type="pct"/>
            <w:tcBorders>
              <w:top w:val="nil"/>
              <w:left w:val="nil"/>
              <w:bottom w:val="single" w:sz="4" w:space="0" w:color="auto"/>
              <w:right w:val="single" w:sz="4" w:space="0" w:color="auto"/>
            </w:tcBorders>
            <w:shd w:val="clear" w:color="000000" w:fill="FFFFFF"/>
            <w:vAlign w:val="center"/>
            <w:hideMark/>
          </w:tcPr>
          <w:p w:rsidR="006568BA" w:rsidRDefault="006568BA">
            <w:pPr>
              <w:jc w:val="center"/>
              <w:rPr>
                <w:rFonts w:ascii="Cambria" w:hAnsi="Cambria"/>
                <w:sz w:val="16"/>
                <w:szCs w:val="16"/>
              </w:rPr>
            </w:pPr>
            <w:r>
              <w:rPr>
                <w:rFonts w:ascii="Cambria" w:hAnsi="Cambria"/>
                <w:sz w:val="16"/>
                <w:szCs w:val="16"/>
              </w:rPr>
              <w:t>2,50</w:t>
            </w:r>
          </w:p>
        </w:tc>
        <w:tc>
          <w:tcPr>
            <w:tcW w:w="1412" w:type="pct"/>
            <w:gridSpan w:val="2"/>
            <w:tcBorders>
              <w:top w:val="single" w:sz="4" w:space="0" w:color="auto"/>
              <w:left w:val="nil"/>
              <w:bottom w:val="single" w:sz="4" w:space="0" w:color="auto"/>
              <w:right w:val="single" w:sz="8" w:space="0" w:color="000000"/>
            </w:tcBorders>
            <w:shd w:val="clear" w:color="000000" w:fill="FFFFFF"/>
            <w:vAlign w:val="center"/>
            <w:hideMark/>
          </w:tcPr>
          <w:p w:rsidR="006568BA" w:rsidRDefault="006568BA">
            <w:pPr>
              <w:jc w:val="center"/>
              <w:rPr>
                <w:rFonts w:ascii="Cambria" w:hAnsi="Cambria"/>
                <w:sz w:val="16"/>
                <w:szCs w:val="16"/>
              </w:rPr>
            </w:pPr>
            <w:r>
              <w:rPr>
                <w:rFonts w:ascii="Cambria" w:hAnsi="Cambria"/>
                <w:sz w:val="16"/>
                <w:szCs w:val="16"/>
              </w:rPr>
              <w:t>0,477</w:t>
            </w:r>
          </w:p>
        </w:tc>
      </w:tr>
      <w:tr w:rsidR="006568BA" w:rsidRPr="006A199E" w:rsidTr="00D70166">
        <w:trPr>
          <w:cantSplit/>
          <w:trHeight w:val="227"/>
        </w:trPr>
        <w:tc>
          <w:tcPr>
            <w:tcW w:w="2163" w:type="pct"/>
            <w:tcBorders>
              <w:top w:val="nil"/>
              <w:left w:val="single" w:sz="8" w:space="0" w:color="auto"/>
              <w:bottom w:val="single" w:sz="8" w:space="0" w:color="auto"/>
              <w:right w:val="single" w:sz="4" w:space="0" w:color="auto"/>
            </w:tcBorders>
            <w:shd w:val="clear" w:color="000000" w:fill="FFFFFF"/>
            <w:vAlign w:val="center"/>
            <w:hideMark/>
          </w:tcPr>
          <w:p w:rsidR="006568BA" w:rsidRPr="006A199E" w:rsidRDefault="006568BA" w:rsidP="006A199E">
            <w:pPr>
              <w:rPr>
                <w:rFonts w:ascii="Cambria" w:hAnsi="Cambria"/>
                <w:sz w:val="16"/>
                <w:szCs w:val="16"/>
              </w:rPr>
            </w:pPr>
            <w:r w:rsidRPr="006A199E">
              <w:rPr>
                <w:rFonts w:ascii="Cambria" w:hAnsi="Cambria"/>
                <w:sz w:val="16"/>
                <w:szCs w:val="16"/>
              </w:rPr>
              <w:t>Сравнительный</w:t>
            </w:r>
          </w:p>
        </w:tc>
        <w:tc>
          <w:tcPr>
            <w:tcW w:w="694" w:type="pct"/>
            <w:tcBorders>
              <w:top w:val="nil"/>
              <w:left w:val="nil"/>
              <w:bottom w:val="single" w:sz="8" w:space="0" w:color="auto"/>
              <w:right w:val="single" w:sz="4" w:space="0" w:color="auto"/>
            </w:tcBorders>
            <w:shd w:val="clear" w:color="000000" w:fill="FFFFFF"/>
            <w:vAlign w:val="center"/>
            <w:hideMark/>
          </w:tcPr>
          <w:p w:rsidR="006568BA" w:rsidRDefault="006568BA">
            <w:pPr>
              <w:jc w:val="center"/>
              <w:rPr>
                <w:rFonts w:ascii="Cambria" w:hAnsi="Cambria"/>
                <w:sz w:val="16"/>
                <w:szCs w:val="16"/>
              </w:rPr>
            </w:pPr>
            <w:r>
              <w:rPr>
                <w:rFonts w:ascii="Cambria" w:hAnsi="Cambria"/>
                <w:sz w:val="16"/>
                <w:szCs w:val="16"/>
              </w:rPr>
              <w:t>3,00</w:t>
            </w:r>
          </w:p>
        </w:tc>
        <w:tc>
          <w:tcPr>
            <w:tcW w:w="731" w:type="pct"/>
            <w:tcBorders>
              <w:top w:val="nil"/>
              <w:left w:val="nil"/>
              <w:bottom w:val="single" w:sz="8" w:space="0" w:color="auto"/>
              <w:right w:val="single" w:sz="4" w:space="0" w:color="auto"/>
            </w:tcBorders>
            <w:shd w:val="clear" w:color="auto" w:fill="F2F2F2" w:themeFill="background1" w:themeFillShade="F2"/>
            <w:vAlign w:val="center"/>
            <w:hideMark/>
          </w:tcPr>
          <w:p w:rsidR="006568BA" w:rsidRDefault="006568BA">
            <w:pPr>
              <w:jc w:val="center"/>
              <w:rPr>
                <w:rFonts w:ascii="Cambria" w:hAnsi="Cambria"/>
                <w:b/>
                <w:bCs/>
                <w:sz w:val="16"/>
                <w:szCs w:val="16"/>
              </w:rPr>
            </w:pPr>
            <w:r>
              <w:rPr>
                <w:rFonts w:ascii="Cambria" w:hAnsi="Cambria"/>
                <w:b/>
                <w:bCs/>
                <w:sz w:val="16"/>
                <w:szCs w:val="16"/>
              </w:rPr>
              <w:t>1,00</w:t>
            </w:r>
          </w:p>
        </w:tc>
        <w:tc>
          <w:tcPr>
            <w:tcW w:w="1412" w:type="pct"/>
            <w:gridSpan w:val="2"/>
            <w:tcBorders>
              <w:top w:val="single" w:sz="4" w:space="0" w:color="auto"/>
              <w:left w:val="nil"/>
              <w:bottom w:val="single" w:sz="8" w:space="0" w:color="auto"/>
              <w:right w:val="single" w:sz="8" w:space="0" w:color="000000"/>
            </w:tcBorders>
            <w:shd w:val="clear" w:color="000000" w:fill="FFFFFF"/>
            <w:vAlign w:val="center"/>
            <w:hideMark/>
          </w:tcPr>
          <w:p w:rsidR="006568BA" w:rsidRDefault="006568BA">
            <w:pPr>
              <w:jc w:val="center"/>
              <w:rPr>
                <w:rFonts w:ascii="Cambria" w:hAnsi="Cambria"/>
                <w:sz w:val="16"/>
                <w:szCs w:val="16"/>
              </w:rPr>
            </w:pPr>
            <w:r>
              <w:rPr>
                <w:rFonts w:ascii="Cambria" w:hAnsi="Cambria"/>
                <w:sz w:val="16"/>
                <w:szCs w:val="16"/>
              </w:rPr>
              <w:t>0,523</w:t>
            </w:r>
          </w:p>
        </w:tc>
      </w:tr>
      <w:tr w:rsidR="006568BA" w:rsidRPr="006A199E" w:rsidTr="00D70166">
        <w:trPr>
          <w:cantSplit/>
          <w:trHeight w:val="227"/>
        </w:trPr>
        <w:tc>
          <w:tcPr>
            <w:tcW w:w="2163" w:type="pct"/>
            <w:tcBorders>
              <w:top w:val="nil"/>
              <w:left w:val="nil"/>
              <w:bottom w:val="nil"/>
              <w:right w:val="nil"/>
            </w:tcBorders>
            <w:shd w:val="clear" w:color="000000" w:fill="FFFFFF"/>
            <w:vAlign w:val="center"/>
            <w:hideMark/>
          </w:tcPr>
          <w:p w:rsidR="006568BA" w:rsidRPr="006A199E" w:rsidRDefault="006568BA" w:rsidP="006A199E">
            <w:pPr>
              <w:rPr>
                <w:rFonts w:ascii="Bookman Old Style" w:hAnsi="Bookman Old Style"/>
                <w:sz w:val="14"/>
                <w:szCs w:val="14"/>
              </w:rPr>
            </w:pPr>
            <w:r w:rsidRPr="006A199E">
              <w:rPr>
                <w:rFonts w:ascii="Bookman Old Style" w:hAnsi="Bookman Old Style"/>
                <w:sz w:val="14"/>
                <w:szCs w:val="14"/>
              </w:rPr>
              <w:t> </w:t>
            </w:r>
          </w:p>
        </w:tc>
        <w:tc>
          <w:tcPr>
            <w:tcW w:w="694" w:type="pct"/>
            <w:tcBorders>
              <w:top w:val="nil"/>
              <w:left w:val="nil"/>
              <w:bottom w:val="nil"/>
              <w:right w:val="nil"/>
            </w:tcBorders>
            <w:shd w:val="clear" w:color="000000" w:fill="FFFFFF"/>
            <w:vAlign w:val="center"/>
            <w:hideMark/>
          </w:tcPr>
          <w:p w:rsidR="006568BA" w:rsidRPr="006A199E" w:rsidRDefault="006568BA" w:rsidP="006A199E">
            <w:pPr>
              <w:jc w:val="center"/>
              <w:rPr>
                <w:rFonts w:ascii="Bookman Old Style" w:hAnsi="Bookman Old Style"/>
                <w:sz w:val="14"/>
                <w:szCs w:val="14"/>
              </w:rPr>
            </w:pPr>
            <w:r w:rsidRPr="006A199E">
              <w:rPr>
                <w:rFonts w:ascii="Bookman Old Style" w:hAnsi="Bookman Old Style"/>
                <w:sz w:val="14"/>
                <w:szCs w:val="14"/>
              </w:rPr>
              <w:t> </w:t>
            </w:r>
          </w:p>
        </w:tc>
        <w:tc>
          <w:tcPr>
            <w:tcW w:w="731" w:type="pct"/>
            <w:tcBorders>
              <w:top w:val="nil"/>
              <w:left w:val="nil"/>
              <w:bottom w:val="nil"/>
              <w:right w:val="nil"/>
            </w:tcBorders>
            <w:shd w:val="clear" w:color="000000" w:fill="FFFFFF"/>
            <w:vAlign w:val="center"/>
            <w:hideMark/>
          </w:tcPr>
          <w:p w:rsidR="006568BA" w:rsidRPr="006A199E" w:rsidRDefault="006568BA" w:rsidP="006A199E">
            <w:pPr>
              <w:jc w:val="center"/>
              <w:rPr>
                <w:rFonts w:ascii="Bookman Old Style" w:hAnsi="Bookman Old Style"/>
                <w:sz w:val="14"/>
                <w:szCs w:val="14"/>
              </w:rPr>
            </w:pPr>
            <w:r w:rsidRPr="006A199E">
              <w:rPr>
                <w:rFonts w:ascii="Bookman Old Style" w:hAnsi="Bookman Old Style"/>
                <w:sz w:val="14"/>
                <w:szCs w:val="14"/>
              </w:rPr>
              <w:t> </w:t>
            </w:r>
          </w:p>
        </w:tc>
        <w:tc>
          <w:tcPr>
            <w:tcW w:w="719" w:type="pct"/>
            <w:tcBorders>
              <w:top w:val="nil"/>
              <w:left w:val="nil"/>
              <w:bottom w:val="nil"/>
              <w:right w:val="nil"/>
            </w:tcBorders>
            <w:shd w:val="clear" w:color="000000" w:fill="FFFFFF"/>
            <w:vAlign w:val="center"/>
            <w:hideMark/>
          </w:tcPr>
          <w:p w:rsidR="006568BA" w:rsidRPr="006A199E" w:rsidRDefault="006568BA" w:rsidP="006A199E">
            <w:pPr>
              <w:jc w:val="center"/>
              <w:rPr>
                <w:rFonts w:ascii="Bookman Old Style" w:hAnsi="Bookman Old Style"/>
                <w:b/>
                <w:bCs/>
                <w:sz w:val="14"/>
                <w:szCs w:val="14"/>
              </w:rPr>
            </w:pPr>
          </w:p>
        </w:tc>
        <w:tc>
          <w:tcPr>
            <w:tcW w:w="693" w:type="pct"/>
            <w:tcBorders>
              <w:top w:val="nil"/>
              <w:left w:val="nil"/>
              <w:bottom w:val="nil"/>
              <w:right w:val="nil"/>
            </w:tcBorders>
            <w:shd w:val="clear" w:color="000000" w:fill="FFFFFF"/>
            <w:vAlign w:val="center"/>
            <w:hideMark/>
          </w:tcPr>
          <w:p w:rsidR="006568BA" w:rsidRPr="006A199E" w:rsidRDefault="006568BA" w:rsidP="006A199E">
            <w:pPr>
              <w:jc w:val="center"/>
              <w:rPr>
                <w:rFonts w:ascii="Bookman Old Style" w:hAnsi="Bookman Old Style"/>
                <w:sz w:val="14"/>
                <w:szCs w:val="14"/>
              </w:rPr>
            </w:pPr>
            <w:r w:rsidRPr="006A199E">
              <w:rPr>
                <w:rFonts w:ascii="Bookman Old Style" w:hAnsi="Bookman Old Style"/>
                <w:sz w:val="14"/>
                <w:szCs w:val="14"/>
              </w:rPr>
              <w:t> </w:t>
            </w:r>
          </w:p>
        </w:tc>
      </w:tr>
      <w:tr w:rsidR="006568BA" w:rsidRPr="006A199E" w:rsidTr="00D70166">
        <w:trPr>
          <w:cantSplit/>
          <w:trHeight w:val="227"/>
        </w:trPr>
        <w:tc>
          <w:tcPr>
            <w:tcW w:w="5000" w:type="pct"/>
            <w:gridSpan w:val="5"/>
            <w:tcBorders>
              <w:top w:val="nil"/>
              <w:left w:val="nil"/>
              <w:bottom w:val="nil"/>
              <w:right w:val="nil"/>
            </w:tcBorders>
            <w:shd w:val="clear" w:color="auto" w:fill="auto"/>
            <w:noWrap/>
            <w:vAlign w:val="bottom"/>
            <w:hideMark/>
          </w:tcPr>
          <w:p w:rsidR="006568BA" w:rsidRPr="006A199E" w:rsidRDefault="006568BA" w:rsidP="006A199E">
            <w:pPr>
              <w:jc w:val="right"/>
              <w:rPr>
                <w:rFonts w:ascii="Bookman Old Style" w:hAnsi="Bookman Old Style"/>
                <w:color w:val="000000"/>
                <w:sz w:val="20"/>
                <w:szCs w:val="20"/>
              </w:rPr>
            </w:pPr>
            <w:r w:rsidRPr="006A199E">
              <w:rPr>
                <w:rFonts w:ascii="Bookman Old Style" w:hAnsi="Bookman Old Style"/>
                <w:color w:val="000000"/>
                <w:sz w:val="20"/>
                <w:szCs w:val="20"/>
              </w:rPr>
              <w:t>Таблица 7. Количество и значимость субъективных показателей и предположений</w:t>
            </w:r>
          </w:p>
        </w:tc>
      </w:tr>
      <w:tr w:rsidR="006568BA" w:rsidRPr="006A199E" w:rsidTr="00D70166">
        <w:trPr>
          <w:cantSplit/>
          <w:trHeight w:val="227"/>
        </w:trPr>
        <w:tc>
          <w:tcPr>
            <w:tcW w:w="2163" w:type="pct"/>
            <w:tcBorders>
              <w:top w:val="single" w:sz="8" w:space="0" w:color="auto"/>
              <w:left w:val="single" w:sz="8" w:space="0" w:color="auto"/>
              <w:bottom w:val="single" w:sz="4" w:space="0" w:color="auto"/>
              <w:right w:val="single" w:sz="4" w:space="0" w:color="auto"/>
            </w:tcBorders>
            <w:shd w:val="clear" w:color="auto" w:fill="F2F2F2" w:themeFill="background1" w:themeFillShade="F2"/>
            <w:vAlign w:val="center"/>
            <w:hideMark/>
          </w:tcPr>
          <w:p w:rsidR="006568BA" w:rsidRPr="006A199E" w:rsidRDefault="006568BA" w:rsidP="006A199E">
            <w:pPr>
              <w:rPr>
                <w:rFonts w:ascii="Cambria" w:hAnsi="Cambria"/>
                <w:sz w:val="16"/>
                <w:szCs w:val="16"/>
              </w:rPr>
            </w:pPr>
            <w:r w:rsidRPr="006A199E">
              <w:rPr>
                <w:rFonts w:ascii="Cambria" w:hAnsi="Cambria"/>
                <w:sz w:val="16"/>
                <w:szCs w:val="16"/>
              </w:rPr>
              <w:t> </w:t>
            </w:r>
          </w:p>
        </w:tc>
        <w:tc>
          <w:tcPr>
            <w:tcW w:w="694"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rsidR="006568BA" w:rsidRPr="006A199E" w:rsidRDefault="006568BA" w:rsidP="006A199E">
            <w:pPr>
              <w:jc w:val="center"/>
              <w:rPr>
                <w:rFonts w:ascii="Cambria" w:hAnsi="Cambria"/>
                <w:sz w:val="16"/>
                <w:szCs w:val="16"/>
              </w:rPr>
            </w:pPr>
            <w:r w:rsidRPr="006A199E">
              <w:rPr>
                <w:rFonts w:ascii="Cambria" w:hAnsi="Cambria"/>
                <w:sz w:val="16"/>
                <w:szCs w:val="16"/>
              </w:rPr>
              <w:t>Доходный</w:t>
            </w:r>
          </w:p>
        </w:tc>
        <w:tc>
          <w:tcPr>
            <w:tcW w:w="731"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rsidR="006568BA" w:rsidRPr="006A199E" w:rsidRDefault="006568BA" w:rsidP="006A199E">
            <w:pPr>
              <w:jc w:val="center"/>
              <w:rPr>
                <w:rFonts w:ascii="Cambria" w:hAnsi="Cambria"/>
                <w:sz w:val="16"/>
                <w:szCs w:val="16"/>
              </w:rPr>
            </w:pPr>
            <w:r w:rsidRPr="006A199E">
              <w:rPr>
                <w:rFonts w:ascii="Cambria" w:hAnsi="Cambria"/>
                <w:sz w:val="16"/>
                <w:szCs w:val="16"/>
              </w:rPr>
              <w:t>Сравнительный</w:t>
            </w:r>
          </w:p>
        </w:tc>
        <w:tc>
          <w:tcPr>
            <w:tcW w:w="1412" w:type="pct"/>
            <w:gridSpan w:val="2"/>
            <w:tcBorders>
              <w:top w:val="single" w:sz="8" w:space="0" w:color="auto"/>
              <w:left w:val="nil"/>
              <w:bottom w:val="single" w:sz="4" w:space="0" w:color="auto"/>
              <w:right w:val="single" w:sz="8" w:space="0" w:color="000000"/>
            </w:tcBorders>
            <w:shd w:val="clear" w:color="auto" w:fill="F2F2F2" w:themeFill="background1" w:themeFillShade="F2"/>
            <w:vAlign w:val="center"/>
            <w:hideMark/>
          </w:tcPr>
          <w:p w:rsidR="006568BA" w:rsidRPr="006A199E" w:rsidRDefault="006568BA" w:rsidP="006A199E">
            <w:pPr>
              <w:jc w:val="center"/>
              <w:rPr>
                <w:rFonts w:ascii="Cambria" w:hAnsi="Cambria"/>
                <w:b/>
                <w:bCs/>
                <w:sz w:val="16"/>
                <w:szCs w:val="16"/>
              </w:rPr>
            </w:pPr>
            <w:r w:rsidRPr="006A199E">
              <w:rPr>
                <w:rFonts w:ascii="Cambria" w:hAnsi="Cambria"/>
                <w:b/>
                <w:bCs/>
                <w:sz w:val="16"/>
                <w:szCs w:val="16"/>
              </w:rPr>
              <w:t>W3</w:t>
            </w:r>
          </w:p>
        </w:tc>
      </w:tr>
      <w:tr w:rsidR="006568BA" w:rsidRPr="006A199E" w:rsidTr="00D70166">
        <w:trPr>
          <w:cantSplit/>
          <w:trHeight w:val="227"/>
        </w:trPr>
        <w:tc>
          <w:tcPr>
            <w:tcW w:w="2163" w:type="pct"/>
            <w:tcBorders>
              <w:top w:val="nil"/>
              <w:left w:val="single" w:sz="8" w:space="0" w:color="auto"/>
              <w:bottom w:val="single" w:sz="4" w:space="0" w:color="auto"/>
              <w:right w:val="single" w:sz="4" w:space="0" w:color="auto"/>
            </w:tcBorders>
            <w:shd w:val="clear" w:color="000000" w:fill="FFFFFF"/>
            <w:vAlign w:val="center"/>
            <w:hideMark/>
          </w:tcPr>
          <w:p w:rsidR="006568BA" w:rsidRPr="006A199E" w:rsidRDefault="006568BA" w:rsidP="006A199E">
            <w:pPr>
              <w:rPr>
                <w:rFonts w:ascii="Cambria" w:hAnsi="Cambria"/>
                <w:sz w:val="16"/>
                <w:szCs w:val="16"/>
              </w:rPr>
            </w:pPr>
            <w:r w:rsidRPr="006A199E">
              <w:rPr>
                <w:rFonts w:ascii="Cambria" w:hAnsi="Cambria"/>
                <w:sz w:val="16"/>
                <w:szCs w:val="16"/>
              </w:rPr>
              <w:t>Доходный</w:t>
            </w:r>
          </w:p>
        </w:tc>
        <w:tc>
          <w:tcPr>
            <w:tcW w:w="694" w:type="pct"/>
            <w:tcBorders>
              <w:top w:val="nil"/>
              <w:left w:val="nil"/>
              <w:bottom w:val="single" w:sz="4" w:space="0" w:color="auto"/>
              <w:right w:val="single" w:sz="4" w:space="0" w:color="auto"/>
            </w:tcBorders>
            <w:shd w:val="clear" w:color="auto" w:fill="F2F2F2" w:themeFill="background1" w:themeFillShade="F2"/>
            <w:vAlign w:val="center"/>
            <w:hideMark/>
          </w:tcPr>
          <w:p w:rsidR="006568BA" w:rsidRDefault="006568BA">
            <w:pPr>
              <w:jc w:val="center"/>
              <w:rPr>
                <w:rFonts w:ascii="Cambria" w:hAnsi="Cambria"/>
                <w:b/>
                <w:bCs/>
                <w:sz w:val="16"/>
                <w:szCs w:val="16"/>
              </w:rPr>
            </w:pPr>
            <w:r>
              <w:rPr>
                <w:rFonts w:ascii="Cambria" w:hAnsi="Cambria"/>
                <w:b/>
                <w:bCs/>
                <w:sz w:val="16"/>
                <w:szCs w:val="16"/>
              </w:rPr>
              <w:t>1,00</w:t>
            </w:r>
          </w:p>
        </w:tc>
        <w:tc>
          <w:tcPr>
            <w:tcW w:w="731" w:type="pct"/>
            <w:tcBorders>
              <w:top w:val="nil"/>
              <w:left w:val="nil"/>
              <w:bottom w:val="single" w:sz="4" w:space="0" w:color="auto"/>
              <w:right w:val="single" w:sz="4" w:space="0" w:color="auto"/>
            </w:tcBorders>
            <w:shd w:val="clear" w:color="000000" w:fill="FFFFFF"/>
            <w:vAlign w:val="center"/>
            <w:hideMark/>
          </w:tcPr>
          <w:p w:rsidR="006568BA" w:rsidRDefault="006568BA">
            <w:pPr>
              <w:jc w:val="center"/>
              <w:rPr>
                <w:rFonts w:ascii="Cambria" w:hAnsi="Cambria"/>
                <w:sz w:val="16"/>
                <w:szCs w:val="16"/>
              </w:rPr>
            </w:pPr>
            <w:r>
              <w:rPr>
                <w:rFonts w:ascii="Cambria" w:hAnsi="Cambria"/>
                <w:sz w:val="16"/>
                <w:szCs w:val="16"/>
              </w:rPr>
              <w:t>2,00</w:t>
            </w:r>
          </w:p>
        </w:tc>
        <w:tc>
          <w:tcPr>
            <w:tcW w:w="1412" w:type="pct"/>
            <w:gridSpan w:val="2"/>
            <w:tcBorders>
              <w:top w:val="single" w:sz="4" w:space="0" w:color="auto"/>
              <w:left w:val="nil"/>
              <w:bottom w:val="single" w:sz="4" w:space="0" w:color="auto"/>
              <w:right w:val="single" w:sz="8" w:space="0" w:color="000000"/>
            </w:tcBorders>
            <w:shd w:val="clear" w:color="000000" w:fill="FFFFFF"/>
            <w:vAlign w:val="center"/>
            <w:hideMark/>
          </w:tcPr>
          <w:p w:rsidR="006568BA" w:rsidRDefault="006568BA">
            <w:pPr>
              <w:jc w:val="center"/>
              <w:rPr>
                <w:rFonts w:ascii="Cambria" w:hAnsi="Cambria"/>
                <w:sz w:val="16"/>
                <w:szCs w:val="16"/>
              </w:rPr>
            </w:pPr>
            <w:r>
              <w:rPr>
                <w:rFonts w:ascii="Cambria" w:hAnsi="Cambria"/>
                <w:sz w:val="16"/>
                <w:szCs w:val="16"/>
              </w:rPr>
              <w:t>0,500</w:t>
            </w:r>
          </w:p>
        </w:tc>
      </w:tr>
      <w:tr w:rsidR="006568BA" w:rsidRPr="006A199E" w:rsidTr="00D70166">
        <w:trPr>
          <w:cantSplit/>
          <w:trHeight w:val="227"/>
        </w:trPr>
        <w:tc>
          <w:tcPr>
            <w:tcW w:w="2163" w:type="pct"/>
            <w:tcBorders>
              <w:top w:val="nil"/>
              <w:left w:val="single" w:sz="8" w:space="0" w:color="auto"/>
              <w:bottom w:val="single" w:sz="8" w:space="0" w:color="auto"/>
              <w:right w:val="single" w:sz="4" w:space="0" w:color="auto"/>
            </w:tcBorders>
            <w:shd w:val="clear" w:color="000000" w:fill="FFFFFF"/>
            <w:vAlign w:val="center"/>
            <w:hideMark/>
          </w:tcPr>
          <w:p w:rsidR="006568BA" w:rsidRPr="006A199E" w:rsidRDefault="006568BA" w:rsidP="006A199E">
            <w:pPr>
              <w:rPr>
                <w:rFonts w:ascii="Cambria" w:hAnsi="Cambria"/>
                <w:sz w:val="16"/>
                <w:szCs w:val="16"/>
              </w:rPr>
            </w:pPr>
            <w:r w:rsidRPr="006A199E">
              <w:rPr>
                <w:rFonts w:ascii="Cambria" w:hAnsi="Cambria"/>
                <w:sz w:val="16"/>
                <w:szCs w:val="16"/>
              </w:rPr>
              <w:t>Сравнительный</w:t>
            </w:r>
          </w:p>
        </w:tc>
        <w:tc>
          <w:tcPr>
            <w:tcW w:w="694" w:type="pct"/>
            <w:tcBorders>
              <w:top w:val="nil"/>
              <w:left w:val="nil"/>
              <w:bottom w:val="single" w:sz="8" w:space="0" w:color="auto"/>
              <w:right w:val="single" w:sz="4" w:space="0" w:color="auto"/>
            </w:tcBorders>
            <w:shd w:val="clear" w:color="000000" w:fill="FFFFFF"/>
            <w:vAlign w:val="center"/>
            <w:hideMark/>
          </w:tcPr>
          <w:p w:rsidR="006568BA" w:rsidRDefault="006568BA">
            <w:pPr>
              <w:jc w:val="center"/>
              <w:rPr>
                <w:rFonts w:ascii="Cambria" w:hAnsi="Cambria"/>
                <w:sz w:val="16"/>
                <w:szCs w:val="16"/>
              </w:rPr>
            </w:pPr>
            <w:r>
              <w:rPr>
                <w:rFonts w:ascii="Cambria" w:hAnsi="Cambria"/>
                <w:sz w:val="16"/>
                <w:szCs w:val="16"/>
              </w:rPr>
              <w:t>2,00</w:t>
            </w:r>
          </w:p>
        </w:tc>
        <w:tc>
          <w:tcPr>
            <w:tcW w:w="731" w:type="pct"/>
            <w:tcBorders>
              <w:top w:val="nil"/>
              <w:left w:val="nil"/>
              <w:bottom w:val="single" w:sz="8" w:space="0" w:color="auto"/>
              <w:right w:val="single" w:sz="4" w:space="0" w:color="auto"/>
            </w:tcBorders>
            <w:shd w:val="clear" w:color="auto" w:fill="F2F2F2" w:themeFill="background1" w:themeFillShade="F2"/>
            <w:vAlign w:val="center"/>
            <w:hideMark/>
          </w:tcPr>
          <w:p w:rsidR="006568BA" w:rsidRDefault="006568BA">
            <w:pPr>
              <w:jc w:val="center"/>
              <w:rPr>
                <w:rFonts w:ascii="Cambria" w:hAnsi="Cambria"/>
                <w:b/>
                <w:bCs/>
                <w:sz w:val="16"/>
                <w:szCs w:val="16"/>
              </w:rPr>
            </w:pPr>
            <w:r>
              <w:rPr>
                <w:rFonts w:ascii="Cambria" w:hAnsi="Cambria"/>
                <w:b/>
                <w:bCs/>
                <w:sz w:val="16"/>
                <w:szCs w:val="16"/>
              </w:rPr>
              <w:t>1,00</w:t>
            </w:r>
          </w:p>
        </w:tc>
        <w:tc>
          <w:tcPr>
            <w:tcW w:w="1412" w:type="pct"/>
            <w:gridSpan w:val="2"/>
            <w:tcBorders>
              <w:top w:val="single" w:sz="4" w:space="0" w:color="auto"/>
              <w:left w:val="nil"/>
              <w:bottom w:val="single" w:sz="8" w:space="0" w:color="auto"/>
              <w:right w:val="single" w:sz="8" w:space="0" w:color="000000"/>
            </w:tcBorders>
            <w:shd w:val="clear" w:color="000000" w:fill="FFFFFF"/>
            <w:vAlign w:val="center"/>
            <w:hideMark/>
          </w:tcPr>
          <w:p w:rsidR="006568BA" w:rsidRDefault="006568BA">
            <w:pPr>
              <w:jc w:val="center"/>
              <w:rPr>
                <w:rFonts w:ascii="Cambria" w:hAnsi="Cambria"/>
                <w:sz w:val="16"/>
                <w:szCs w:val="16"/>
              </w:rPr>
            </w:pPr>
            <w:r>
              <w:rPr>
                <w:rFonts w:ascii="Cambria" w:hAnsi="Cambria"/>
                <w:sz w:val="16"/>
                <w:szCs w:val="16"/>
              </w:rPr>
              <w:t>0,500</w:t>
            </w:r>
          </w:p>
        </w:tc>
      </w:tr>
      <w:tr w:rsidR="006568BA" w:rsidRPr="006A199E" w:rsidTr="00D70166">
        <w:trPr>
          <w:cantSplit/>
          <w:trHeight w:val="227"/>
        </w:trPr>
        <w:tc>
          <w:tcPr>
            <w:tcW w:w="2163" w:type="pct"/>
            <w:tcBorders>
              <w:top w:val="nil"/>
              <w:left w:val="nil"/>
              <w:bottom w:val="nil"/>
              <w:right w:val="nil"/>
            </w:tcBorders>
            <w:shd w:val="clear" w:color="000000" w:fill="FFFFFF"/>
            <w:noWrap/>
            <w:vAlign w:val="bottom"/>
            <w:hideMark/>
          </w:tcPr>
          <w:p w:rsidR="006568BA" w:rsidRPr="006A199E" w:rsidRDefault="006568BA" w:rsidP="006A199E">
            <w:pPr>
              <w:rPr>
                <w:rFonts w:ascii="Bookman Old Style" w:hAnsi="Bookman Old Style"/>
                <w:color w:val="000000"/>
                <w:sz w:val="16"/>
                <w:szCs w:val="16"/>
              </w:rPr>
            </w:pPr>
            <w:r w:rsidRPr="006A199E">
              <w:rPr>
                <w:rFonts w:ascii="Bookman Old Style" w:hAnsi="Bookman Old Style"/>
                <w:color w:val="000000"/>
                <w:sz w:val="16"/>
                <w:szCs w:val="16"/>
              </w:rPr>
              <w:t> </w:t>
            </w:r>
          </w:p>
        </w:tc>
        <w:tc>
          <w:tcPr>
            <w:tcW w:w="694" w:type="pct"/>
            <w:tcBorders>
              <w:top w:val="nil"/>
              <w:left w:val="nil"/>
              <w:bottom w:val="nil"/>
              <w:right w:val="nil"/>
            </w:tcBorders>
            <w:shd w:val="clear" w:color="000000" w:fill="FFFFFF"/>
            <w:noWrap/>
            <w:vAlign w:val="bottom"/>
            <w:hideMark/>
          </w:tcPr>
          <w:p w:rsidR="006568BA" w:rsidRPr="006A199E" w:rsidRDefault="006568BA" w:rsidP="006A199E">
            <w:pPr>
              <w:rPr>
                <w:rFonts w:ascii="Bookman Old Style" w:hAnsi="Bookman Old Style"/>
                <w:color w:val="000000"/>
                <w:sz w:val="16"/>
                <w:szCs w:val="16"/>
              </w:rPr>
            </w:pPr>
            <w:r w:rsidRPr="006A199E">
              <w:rPr>
                <w:rFonts w:ascii="Bookman Old Style" w:hAnsi="Bookman Old Style"/>
                <w:color w:val="000000"/>
                <w:sz w:val="16"/>
                <w:szCs w:val="16"/>
              </w:rPr>
              <w:t> </w:t>
            </w:r>
          </w:p>
        </w:tc>
        <w:tc>
          <w:tcPr>
            <w:tcW w:w="731" w:type="pct"/>
            <w:tcBorders>
              <w:top w:val="nil"/>
              <w:left w:val="nil"/>
              <w:bottom w:val="nil"/>
              <w:right w:val="nil"/>
            </w:tcBorders>
            <w:shd w:val="clear" w:color="000000" w:fill="FFFFFF"/>
            <w:noWrap/>
            <w:vAlign w:val="bottom"/>
            <w:hideMark/>
          </w:tcPr>
          <w:p w:rsidR="006568BA" w:rsidRPr="006A199E" w:rsidRDefault="006568BA" w:rsidP="006A199E">
            <w:pPr>
              <w:jc w:val="center"/>
              <w:rPr>
                <w:rFonts w:ascii="Bookman Old Style" w:hAnsi="Bookman Old Style"/>
                <w:color w:val="000000"/>
                <w:sz w:val="16"/>
                <w:szCs w:val="16"/>
              </w:rPr>
            </w:pPr>
            <w:r w:rsidRPr="006A199E">
              <w:rPr>
                <w:rFonts w:ascii="Bookman Old Style" w:hAnsi="Bookman Old Style"/>
                <w:color w:val="000000"/>
                <w:sz w:val="16"/>
                <w:szCs w:val="16"/>
              </w:rPr>
              <w:t> </w:t>
            </w:r>
          </w:p>
        </w:tc>
        <w:tc>
          <w:tcPr>
            <w:tcW w:w="719" w:type="pct"/>
            <w:tcBorders>
              <w:top w:val="nil"/>
              <w:left w:val="nil"/>
              <w:bottom w:val="nil"/>
              <w:right w:val="nil"/>
            </w:tcBorders>
            <w:shd w:val="clear" w:color="000000" w:fill="FFFFFF"/>
            <w:noWrap/>
            <w:vAlign w:val="bottom"/>
            <w:hideMark/>
          </w:tcPr>
          <w:p w:rsidR="006568BA" w:rsidRPr="006A199E" w:rsidRDefault="006568BA" w:rsidP="006A199E">
            <w:pPr>
              <w:jc w:val="center"/>
              <w:rPr>
                <w:rFonts w:ascii="Bookman Old Style" w:hAnsi="Bookman Old Style"/>
                <w:color w:val="000000"/>
                <w:sz w:val="16"/>
                <w:szCs w:val="16"/>
              </w:rPr>
            </w:pPr>
            <w:r w:rsidRPr="006A199E">
              <w:rPr>
                <w:rFonts w:ascii="Bookman Old Style" w:hAnsi="Bookman Old Style"/>
                <w:color w:val="000000"/>
                <w:sz w:val="16"/>
                <w:szCs w:val="16"/>
              </w:rPr>
              <w:t> </w:t>
            </w:r>
          </w:p>
        </w:tc>
        <w:tc>
          <w:tcPr>
            <w:tcW w:w="693" w:type="pct"/>
            <w:tcBorders>
              <w:top w:val="nil"/>
              <w:left w:val="nil"/>
              <w:bottom w:val="nil"/>
              <w:right w:val="nil"/>
            </w:tcBorders>
            <w:shd w:val="clear" w:color="000000" w:fill="FFFFFF"/>
            <w:noWrap/>
            <w:vAlign w:val="bottom"/>
            <w:hideMark/>
          </w:tcPr>
          <w:p w:rsidR="006568BA" w:rsidRPr="006A199E" w:rsidRDefault="006568BA" w:rsidP="006A199E">
            <w:pPr>
              <w:rPr>
                <w:rFonts w:ascii="Bookman Old Style" w:hAnsi="Bookman Old Style"/>
                <w:color w:val="000000"/>
                <w:sz w:val="16"/>
                <w:szCs w:val="16"/>
              </w:rPr>
            </w:pPr>
            <w:r w:rsidRPr="006A199E">
              <w:rPr>
                <w:rFonts w:ascii="Bookman Old Style" w:hAnsi="Bookman Old Style"/>
                <w:color w:val="000000"/>
                <w:sz w:val="16"/>
                <w:szCs w:val="16"/>
              </w:rPr>
              <w:t> </w:t>
            </w:r>
          </w:p>
        </w:tc>
      </w:tr>
      <w:tr w:rsidR="006568BA" w:rsidRPr="006A199E" w:rsidTr="00D70166">
        <w:trPr>
          <w:cantSplit/>
          <w:trHeight w:val="227"/>
        </w:trPr>
        <w:tc>
          <w:tcPr>
            <w:tcW w:w="5000" w:type="pct"/>
            <w:gridSpan w:val="5"/>
            <w:tcBorders>
              <w:top w:val="nil"/>
              <w:left w:val="nil"/>
              <w:bottom w:val="nil"/>
              <w:right w:val="nil"/>
            </w:tcBorders>
            <w:shd w:val="clear" w:color="auto" w:fill="auto"/>
            <w:noWrap/>
            <w:vAlign w:val="bottom"/>
            <w:hideMark/>
          </w:tcPr>
          <w:p w:rsidR="006568BA" w:rsidRPr="006A199E" w:rsidRDefault="006568BA" w:rsidP="006A199E">
            <w:pPr>
              <w:jc w:val="right"/>
              <w:rPr>
                <w:rFonts w:ascii="Bookman Old Style" w:hAnsi="Bookman Old Style"/>
                <w:color w:val="000000"/>
                <w:sz w:val="20"/>
                <w:szCs w:val="20"/>
              </w:rPr>
            </w:pPr>
            <w:r w:rsidRPr="006A199E">
              <w:rPr>
                <w:rFonts w:ascii="Bookman Old Style" w:hAnsi="Bookman Old Style"/>
                <w:color w:val="000000"/>
                <w:sz w:val="20"/>
                <w:szCs w:val="20"/>
              </w:rPr>
              <w:t>Таблица 8. Полнота исходной информации</w:t>
            </w:r>
          </w:p>
        </w:tc>
      </w:tr>
      <w:tr w:rsidR="006568BA" w:rsidRPr="006A199E" w:rsidTr="00D70166">
        <w:trPr>
          <w:cantSplit/>
          <w:trHeight w:val="227"/>
        </w:trPr>
        <w:tc>
          <w:tcPr>
            <w:tcW w:w="2163" w:type="pct"/>
            <w:tcBorders>
              <w:top w:val="single" w:sz="8" w:space="0" w:color="auto"/>
              <w:left w:val="single" w:sz="8" w:space="0" w:color="auto"/>
              <w:bottom w:val="single" w:sz="4" w:space="0" w:color="auto"/>
              <w:right w:val="single" w:sz="4" w:space="0" w:color="auto"/>
            </w:tcBorders>
            <w:shd w:val="clear" w:color="auto" w:fill="F2F2F2" w:themeFill="background1" w:themeFillShade="F2"/>
            <w:vAlign w:val="bottom"/>
            <w:hideMark/>
          </w:tcPr>
          <w:p w:rsidR="006568BA" w:rsidRPr="006A199E" w:rsidRDefault="006568BA" w:rsidP="006A199E">
            <w:pPr>
              <w:rPr>
                <w:rFonts w:ascii="Cambria" w:hAnsi="Cambria"/>
                <w:sz w:val="16"/>
                <w:szCs w:val="16"/>
              </w:rPr>
            </w:pPr>
            <w:r w:rsidRPr="006A199E">
              <w:rPr>
                <w:rFonts w:ascii="Cambria" w:hAnsi="Cambria"/>
                <w:sz w:val="16"/>
                <w:szCs w:val="16"/>
              </w:rPr>
              <w:t> </w:t>
            </w:r>
          </w:p>
        </w:tc>
        <w:tc>
          <w:tcPr>
            <w:tcW w:w="694"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rsidR="006568BA" w:rsidRPr="006A199E" w:rsidRDefault="006568BA" w:rsidP="006A199E">
            <w:pPr>
              <w:jc w:val="center"/>
              <w:rPr>
                <w:rFonts w:ascii="Cambria" w:hAnsi="Cambria"/>
                <w:sz w:val="16"/>
                <w:szCs w:val="16"/>
              </w:rPr>
            </w:pPr>
            <w:r w:rsidRPr="006A199E">
              <w:rPr>
                <w:rFonts w:ascii="Cambria" w:hAnsi="Cambria"/>
                <w:sz w:val="16"/>
                <w:szCs w:val="16"/>
              </w:rPr>
              <w:t>Доходный</w:t>
            </w:r>
          </w:p>
        </w:tc>
        <w:tc>
          <w:tcPr>
            <w:tcW w:w="731"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rsidR="006568BA" w:rsidRPr="006A199E" w:rsidRDefault="006568BA" w:rsidP="006A199E">
            <w:pPr>
              <w:jc w:val="center"/>
              <w:rPr>
                <w:rFonts w:ascii="Cambria" w:hAnsi="Cambria"/>
                <w:sz w:val="16"/>
                <w:szCs w:val="16"/>
              </w:rPr>
            </w:pPr>
            <w:r w:rsidRPr="006A199E">
              <w:rPr>
                <w:rFonts w:ascii="Cambria" w:hAnsi="Cambria"/>
                <w:sz w:val="16"/>
                <w:szCs w:val="16"/>
              </w:rPr>
              <w:t>Сравнительный</w:t>
            </w:r>
          </w:p>
        </w:tc>
        <w:tc>
          <w:tcPr>
            <w:tcW w:w="1412" w:type="pct"/>
            <w:gridSpan w:val="2"/>
            <w:tcBorders>
              <w:top w:val="single" w:sz="8" w:space="0" w:color="auto"/>
              <w:left w:val="nil"/>
              <w:bottom w:val="single" w:sz="4" w:space="0" w:color="auto"/>
              <w:right w:val="single" w:sz="8" w:space="0" w:color="000000"/>
            </w:tcBorders>
            <w:shd w:val="clear" w:color="auto" w:fill="F2F2F2" w:themeFill="background1" w:themeFillShade="F2"/>
            <w:vAlign w:val="center"/>
            <w:hideMark/>
          </w:tcPr>
          <w:p w:rsidR="006568BA" w:rsidRPr="006A199E" w:rsidRDefault="006568BA" w:rsidP="006A199E">
            <w:pPr>
              <w:jc w:val="center"/>
              <w:rPr>
                <w:rFonts w:ascii="Cambria" w:hAnsi="Cambria"/>
                <w:b/>
                <w:bCs/>
                <w:sz w:val="16"/>
                <w:szCs w:val="16"/>
              </w:rPr>
            </w:pPr>
            <w:r w:rsidRPr="006A199E">
              <w:rPr>
                <w:rFonts w:ascii="Cambria" w:hAnsi="Cambria"/>
                <w:b/>
                <w:bCs/>
                <w:sz w:val="16"/>
                <w:szCs w:val="16"/>
              </w:rPr>
              <w:t>W4</w:t>
            </w:r>
          </w:p>
        </w:tc>
      </w:tr>
      <w:tr w:rsidR="006568BA" w:rsidRPr="006A199E" w:rsidTr="00D70166">
        <w:trPr>
          <w:cantSplit/>
          <w:trHeight w:val="227"/>
        </w:trPr>
        <w:tc>
          <w:tcPr>
            <w:tcW w:w="2163" w:type="pct"/>
            <w:tcBorders>
              <w:top w:val="nil"/>
              <w:left w:val="single" w:sz="8" w:space="0" w:color="auto"/>
              <w:bottom w:val="single" w:sz="4" w:space="0" w:color="auto"/>
              <w:right w:val="single" w:sz="4" w:space="0" w:color="auto"/>
            </w:tcBorders>
            <w:shd w:val="clear" w:color="000000" w:fill="FFFFFF"/>
            <w:vAlign w:val="center"/>
            <w:hideMark/>
          </w:tcPr>
          <w:p w:rsidR="006568BA" w:rsidRPr="006A199E" w:rsidRDefault="006568BA" w:rsidP="006A199E">
            <w:pPr>
              <w:rPr>
                <w:rFonts w:ascii="Cambria" w:hAnsi="Cambria"/>
                <w:sz w:val="16"/>
                <w:szCs w:val="16"/>
              </w:rPr>
            </w:pPr>
            <w:r w:rsidRPr="006A199E">
              <w:rPr>
                <w:rFonts w:ascii="Cambria" w:hAnsi="Cambria"/>
                <w:sz w:val="16"/>
                <w:szCs w:val="16"/>
              </w:rPr>
              <w:t>Доходный</w:t>
            </w:r>
          </w:p>
        </w:tc>
        <w:tc>
          <w:tcPr>
            <w:tcW w:w="694" w:type="pct"/>
            <w:tcBorders>
              <w:top w:val="nil"/>
              <w:left w:val="nil"/>
              <w:bottom w:val="single" w:sz="4" w:space="0" w:color="auto"/>
              <w:right w:val="single" w:sz="4" w:space="0" w:color="auto"/>
            </w:tcBorders>
            <w:shd w:val="clear" w:color="auto" w:fill="F2F2F2" w:themeFill="background1" w:themeFillShade="F2"/>
            <w:vAlign w:val="center"/>
            <w:hideMark/>
          </w:tcPr>
          <w:p w:rsidR="006568BA" w:rsidRDefault="006568BA">
            <w:pPr>
              <w:jc w:val="center"/>
              <w:rPr>
                <w:rFonts w:ascii="Cambria" w:hAnsi="Cambria"/>
                <w:b/>
                <w:bCs/>
                <w:sz w:val="16"/>
                <w:szCs w:val="16"/>
              </w:rPr>
            </w:pPr>
            <w:r>
              <w:rPr>
                <w:rFonts w:ascii="Cambria" w:hAnsi="Cambria"/>
                <w:b/>
                <w:bCs/>
                <w:sz w:val="16"/>
                <w:szCs w:val="16"/>
              </w:rPr>
              <w:t>1,00</w:t>
            </w:r>
          </w:p>
        </w:tc>
        <w:tc>
          <w:tcPr>
            <w:tcW w:w="731" w:type="pct"/>
            <w:tcBorders>
              <w:top w:val="nil"/>
              <w:left w:val="nil"/>
              <w:bottom w:val="single" w:sz="4" w:space="0" w:color="auto"/>
              <w:right w:val="single" w:sz="4" w:space="0" w:color="auto"/>
            </w:tcBorders>
            <w:shd w:val="clear" w:color="000000" w:fill="FFFFFF"/>
            <w:vAlign w:val="center"/>
            <w:hideMark/>
          </w:tcPr>
          <w:p w:rsidR="006568BA" w:rsidRDefault="006568BA">
            <w:pPr>
              <w:jc w:val="center"/>
              <w:rPr>
                <w:rFonts w:ascii="Cambria" w:hAnsi="Cambria"/>
                <w:sz w:val="16"/>
                <w:szCs w:val="16"/>
              </w:rPr>
            </w:pPr>
            <w:r>
              <w:rPr>
                <w:rFonts w:ascii="Cambria" w:hAnsi="Cambria"/>
                <w:sz w:val="16"/>
                <w:szCs w:val="16"/>
              </w:rPr>
              <w:t>1,00</w:t>
            </w:r>
          </w:p>
        </w:tc>
        <w:tc>
          <w:tcPr>
            <w:tcW w:w="1412" w:type="pct"/>
            <w:gridSpan w:val="2"/>
            <w:tcBorders>
              <w:top w:val="single" w:sz="4" w:space="0" w:color="auto"/>
              <w:left w:val="nil"/>
              <w:bottom w:val="single" w:sz="4" w:space="0" w:color="auto"/>
              <w:right w:val="single" w:sz="8" w:space="0" w:color="000000"/>
            </w:tcBorders>
            <w:shd w:val="clear" w:color="000000" w:fill="FFFFFF"/>
            <w:vAlign w:val="center"/>
            <w:hideMark/>
          </w:tcPr>
          <w:p w:rsidR="006568BA" w:rsidRDefault="006568BA">
            <w:pPr>
              <w:jc w:val="center"/>
              <w:rPr>
                <w:rFonts w:ascii="Cambria" w:hAnsi="Cambria"/>
                <w:sz w:val="16"/>
                <w:szCs w:val="16"/>
              </w:rPr>
            </w:pPr>
            <w:r>
              <w:rPr>
                <w:rFonts w:ascii="Cambria" w:hAnsi="Cambria"/>
                <w:sz w:val="16"/>
                <w:szCs w:val="16"/>
              </w:rPr>
              <w:t>0,366</w:t>
            </w:r>
          </w:p>
        </w:tc>
      </w:tr>
      <w:tr w:rsidR="006568BA" w:rsidRPr="006A199E" w:rsidTr="00D70166">
        <w:trPr>
          <w:cantSplit/>
          <w:trHeight w:val="227"/>
        </w:trPr>
        <w:tc>
          <w:tcPr>
            <w:tcW w:w="2163" w:type="pct"/>
            <w:tcBorders>
              <w:top w:val="nil"/>
              <w:left w:val="single" w:sz="8" w:space="0" w:color="auto"/>
              <w:bottom w:val="single" w:sz="8" w:space="0" w:color="auto"/>
              <w:right w:val="single" w:sz="4" w:space="0" w:color="auto"/>
            </w:tcBorders>
            <w:shd w:val="clear" w:color="000000" w:fill="FFFFFF"/>
            <w:vAlign w:val="center"/>
            <w:hideMark/>
          </w:tcPr>
          <w:p w:rsidR="006568BA" w:rsidRPr="006A199E" w:rsidRDefault="006568BA" w:rsidP="006A199E">
            <w:pPr>
              <w:rPr>
                <w:rFonts w:ascii="Cambria" w:hAnsi="Cambria"/>
                <w:sz w:val="16"/>
                <w:szCs w:val="16"/>
              </w:rPr>
            </w:pPr>
            <w:r w:rsidRPr="006A199E">
              <w:rPr>
                <w:rFonts w:ascii="Cambria" w:hAnsi="Cambria"/>
                <w:sz w:val="16"/>
                <w:szCs w:val="16"/>
              </w:rPr>
              <w:t>Сравнительный</w:t>
            </w:r>
          </w:p>
        </w:tc>
        <w:tc>
          <w:tcPr>
            <w:tcW w:w="694" w:type="pct"/>
            <w:tcBorders>
              <w:top w:val="nil"/>
              <w:left w:val="nil"/>
              <w:bottom w:val="single" w:sz="8" w:space="0" w:color="auto"/>
              <w:right w:val="single" w:sz="4" w:space="0" w:color="auto"/>
            </w:tcBorders>
            <w:shd w:val="clear" w:color="000000" w:fill="FFFFFF"/>
            <w:vAlign w:val="center"/>
            <w:hideMark/>
          </w:tcPr>
          <w:p w:rsidR="006568BA" w:rsidRDefault="006568BA">
            <w:pPr>
              <w:jc w:val="center"/>
              <w:rPr>
                <w:rFonts w:ascii="Cambria" w:hAnsi="Cambria"/>
                <w:sz w:val="16"/>
                <w:szCs w:val="16"/>
              </w:rPr>
            </w:pPr>
            <w:r>
              <w:rPr>
                <w:rFonts w:ascii="Cambria" w:hAnsi="Cambria"/>
                <w:sz w:val="16"/>
                <w:szCs w:val="16"/>
              </w:rPr>
              <w:t>3,00</w:t>
            </w:r>
          </w:p>
        </w:tc>
        <w:tc>
          <w:tcPr>
            <w:tcW w:w="731" w:type="pct"/>
            <w:tcBorders>
              <w:top w:val="nil"/>
              <w:left w:val="nil"/>
              <w:bottom w:val="single" w:sz="8" w:space="0" w:color="auto"/>
              <w:right w:val="single" w:sz="4" w:space="0" w:color="auto"/>
            </w:tcBorders>
            <w:shd w:val="clear" w:color="auto" w:fill="F2F2F2" w:themeFill="background1" w:themeFillShade="F2"/>
            <w:vAlign w:val="center"/>
            <w:hideMark/>
          </w:tcPr>
          <w:p w:rsidR="006568BA" w:rsidRDefault="006568BA">
            <w:pPr>
              <w:jc w:val="center"/>
              <w:rPr>
                <w:rFonts w:ascii="Cambria" w:hAnsi="Cambria"/>
                <w:b/>
                <w:bCs/>
                <w:sz w:val="16"/>
                <w:szCs w:val="16"/>
              </w:rPr>
            </w:pPr>
            <w:r>
              <w:rPr>
                <w:rFonts w:ascii="Cambria" w:hAnsi="Cambria"/>
                <w:b/>
                <w:bCs/>
                <w:sz w:val="16"/>
                <w:szCs w:val="16"/>
              </w:rPr>
              <w:t>1,00</w:t>
            </w:r>
          </w:p>
        </w:tc>
        <w:tc>
          <w:tcPr>
            <w:tcW w:w="1412" w:type="pct"/>
            <w:gridSpan w:val="2"/>
            <w:tcBorders>
              <w:top w:val="single" w:sz="4" w:space="0" w:color="auto"/>
              <w:left w:val="nil"/>
              <w:bottom w:val="single" w:sz="8" w:space="0" w:color="auto"/>
              <w:right w:val="single" w:sz="8" w:space="0" w:color="000000"/>
            </w:tcBorders>
            <w:shd w:val="clear" w:color="000000" w:fill="FFFFFF"/>
            <w:vAlign w:val="center"/>
            <w:hideMark/>
          </w:tcPr>
          <w:p w:rsidR="006568BA" w:rsidRDefault="006568BA">
            <w:pPr>
              <w:jc w:val="center"/>
              <w:rPr>
                <w:rFonts w:ascii="Cambria" w:hAnsi="Cambria"/>
                <w:sz w:val="16"/>
                <w:szCs w:val="16"/>
              </w:rPr>
            </w:pPr>
            <w:r>
              <w:rPr>
                <w:rFonts w:ascii="Cambria" w:hAnsi="Cambria"/>
                <w:sz w:val="16"/>
                <w:szCs w:val="16"/>
              </w:rPr>
              <w:t>0,634</w:t>
            </w:r>
          </w:p>
        </w:tc>
      </w:tr>
      <w:tr w:rsidR="006568BA" w:rsidRPr="006A199E" w:rsidTr="00D70166">
        <w:trPr>
          <w:cantSplit/>
          <w:trHeight w:val="227"/>
        </w:trPr>
        <w:tc>
          <w:tcPr>
            <w:tcW w:w="2163" w:type="pct"/>
            <w:tcBorders>
              <w:top w:val="nil"/>
              <w:left w:val="nil"/>
              <w:bottom w:val="nil"/>
              <w:right w:val="nil"/>
            </w:tcBorders>
            <w:shd w:val="clear" w:color="000000" w:fill="FFFFFF"/>
            <w:vAlign w:val="center"/>
            <w:hideMark/>
          </w:tcPr>
          <w:p w:rsidR="006568BA" w:rsidRPr="006A199E" w:rsidRDefault="006568BA" w:rsidP="006A199E">
            <w:pPr>
              <w:rPr>
                <w:rFonts w:ascii="Bookman Old Style" w:hAnsi="Bookman Old Style"/>
                <w:sz w:val="14"/>
                <w:szCs w:val="14"/>
              </w:rPr>
            </w:pPr>
            <w:r w:rsidRPr="006A199E">
              <w:rPr>
                <w:rFonts w:ascii="Bookman Old Style" w:hAnsi="Bookman Old Style"/>
                <w:sz w:val="14"/>
                <w:szCs w:val="14"/>
              </w:rPr>
              <w:t> </w:t>
            </w:r>
          </w:p>
        </w:tc>
        <w:tc>
          <w:tcPr>
            <w:tcW w:w="694" w:type="pct"/>
            <w:tcBorders>
              <w:top w:val="nil"/>
              <w:left w:val="nil"/>
              <w:bottom w:val="nil"/>
              <w:right w:val="nil"/>
            </w:tcBorders>
            <w:shd w:val="clear" w:color="000000" w:fill="FFFFFF"/>
            <w:vAlign w:val="center"/>
            <w:hideMark/>
          </w:tcPr>
          <w:p w:rsidR="006568BA" w:rsidRPr="006A199E" w:rsidRDefault="006568BA" w:rsidP="006A199E">
            <w:pPr>
              <w:jc w:val="center"/>
              <w:rPr>
                <w:rFonts w:ascii="Bookman Old Style" w:hAnsi="Bookman Old Style"/>
                <w:sz w:val="14"/>
                <w:szCs w:val="14"/>
              </w:rPr>
            </w:pPr>
            <w:r w:rsidRPr="006A199E">
              <w:rPr>
                <w:rFonts w:ascii="Bookman Old Style" w:hAnsi="Bookman Old Style"/>
                <w:sz w:val="14"/>
                <w:szCs w:val="14"/>
              </w:rPr>
              <w:t> </w:t>
            </w:r>
          </w:p>
        </w:tc>
        <w:tc>
          <w:tcPr>
            <w:tcW w:w="731" w:type="pct"/>
            <w:tcBorders>
              <w:top w:val="nil"/>
              <w:left w:val="nil"/>
              <w:bottom w:val="nil"/>
              <w:right w:val="nil"/>
            </w:tcBorders>
            <w:shd w:val="clear" w:color="000000" w:fill="FFFFFF"/>
            <w:vAlign w:val="center"/>
            <w:hideMark/>
          </w:tcPr>
          <w:p w:rsidR="006568BA" w:rsidRPr="006A199E" w:rsidRDefault="006568BA" w:rsidP="006A199E">
            <w:pPr>
              <w:jc w:val="center"/>
              <w:rPr>
                <w:rFonts w:ascii="Bookman Old Style" w:hAnsi="Bookman Old Style"/>
                <w:sz w:val="14"/>
                <w:szCs w:val="14"/>
              </w:rPr>
            </w:pPr>
            <w:r w:rsidRPr="006A199E">
              <w:rPr>
                <w:rFonts w:ascii="Bookman Old Style" w:hAnsi="Bookman Old Style"/>
                <w:sz w:val="14"/>
                <w:szCs w:val="14"/>
              </w:rPr>
              <w:t> </w:t>
            </w:r>
          </w:p>
        </w:tc>
        <w:tc>
          <w:tcPr>
            <w:tcW w:w="719" w:type="pct"/>
            <w:tcBorders>
              <w:top w:val="nil"/>
              <w:left w:val="nil"/>
              <w:bottom w:val="nil"/>
              <w:right w:val="nil"/>
            </w:tcBorders>
            <w:shd w:val="clear" w:color="000000" w:fill="FFFFFF"/>
            <w:vAlign w:val="center"/>
            <w:hideMark/>
          </w:tcPr>
          <w:p w:rsidR="006568BA" w:rsidRPr="006A199E" w:rsidRDefault="006568BA" w:rsidP="006A199E">
            <w:pPr>
              <w:jc w:val="center"/>
              <w:rPr>
                <w:rFonts w:ascii="Bookman Old Style" w:hAnsi="Bookman Old Style"/>
                <w:b/>
                <w:bCs/>
                <w:sz w:val="14"/>
                <w:szCs w:val="14"/>
              </w:rPr>
            </w:pPr>
            <w:r w:rsidRPr="006A199E">
              <w:rPr>
                <w:rFonts w:ascii="Bookman Old Style" w:hAnsi="Bookman Old Style"/>
                <w:b/>
                <w:bCs/>
                <w:sz w:val="14"/>
                <w:szCs w:val="14"/>
              </w:rPr>
              <w:t> </w:t>
            </w:r>
          </w:p>
        </w:tc>
        <w:tc>
          <w:tcPr>
            <w:tcW w:w="693" w:type="pct"/>
            <w:tcBorders>
              <w:top w:val="nil"/>
              <w:left w:val="nil"/>
              <w:bottom w:val="nil"/>
              <w:right w:val="nil"/>
            </w:tcBorders>
            <w:shd w:val="clear" w:color="000000" w:fill="FFFFFF"/>
            <w:vAlign w:val="center"/>
            <w:hideMark/>
          </w:tcPr>
          <w:p w:rsidR="006568BA" w:rsidRPr="006A199E" w:rsidRDefault="006568BA" w:rsidP="006A199E">
            <w:pPr>
              <w:jc w:val="center"/>
              <w:rPr>
                <w:rFonts w:ascii="Bookman Old Style" w:hAnsi="Bookman Old Style"/>
                <w:sz w:val="14"/>
                <w:szCs w:val="14"/>
              </w:rPr>
            </w:pPr>
            <w:r w:rsidRPr="006A199E">
              <w:rPr>
                <w:rFonts w:ascii="Bookman Old Style" w:hAnsi="Bookman Old Style"/>
                <w:sz w:val="14"/>
                <w:szCs w:val="14"/>
              </w:rPr>
              <w:t> </w:t>
            </w:r>
          </w:p>
        </w:tc>
      </w:tr>
      <w:tr w:rsidR="006568BA" w:rsidRPr="006A199E" w:rsidTr="00D70166">
        <w:trPr>
          <w:cantSplit/>
          <w:trHeight w:val="227"/>
        </w:trPr>
        <w:tc>
          <w:tcPr>
            <w:tcW w:w="5000" w:type="pct"/>
            <w:gridSpan w:val="5"/>
            <w:tcBorders>
              <w:top w:val="nil"/>
              <w:left w:val="nil"/>
              <w:bottom w:val="nil"/>
              <w:right w:val="nil"/>
            </w:tcBorders>
            <w:shd w:val="clear" w:color="auto" w:fill="auto"/>
            <w:noWrap/>
            <w:vAlign w:val="center"/>
            <w:hideMark/>
          </w:tcPr>
          <w:p w:rsidR="006568BA" w:rsidRPr="006A199E" w:rsidRDefault="006568BA" w:rsidP="006A199E">
            <w:pPr>
              <w:jc w:val="right"/>
              <w:rPr>
                <w:rFonts w:ascii="Bookman Old Style" w:hAnsi="Bookman Old Style"/>
                <w:color w:val="000000"/>
                <w:sz w:val="20"/>
                <w:szCs w:val="20"/>
              </w:rPr>
            </w:pPr>
            <w:r w:rsidRPr="006A199E">
              <w:rPr>
                <w:rFonts w:ascii="Bookman Old Style" w:hAnsi="Bookman Old Style"/>
                <w:color w:val="000000"/>
                <w:sz w:val="20"/>
                <w:szCs w:val="20"/>
              </w:rPr>
              <w:t>Таблица 9. Достоверность исходной информации</w:t>
            </w:r>
          </w:p>
        </w:tc>
      </w:tr>
      <w:tr w:rsidR="006568BA" w:rsidRPr="006A199E" w:rsidTr="00D70166">
        <w:trPr>
          <w:cantSplit/>
          <w:trHeight w:val="227"/>
        </w:trPr>
        <w:tc>
          <w:tcPr>
            <w:tcW w:w="2163" w:type="pct"/>
            <w:tcBorders>
              <w:top w:val="single" w:sz="8" w:space="0" w:color="auto"/>
              <w:left w:val="single" w:sz="8" w:space="0" w:color="auto"/>
              <w:bottom w:val="single" w:sz="4" w:space="0" w:color="auto"/>
              <w:right w:val="single" w:sz="4" w:space="0" w:color="auto"/>
            </w:tcBorders>
            <w:shd w:val="clear" w:color="auto" w:fill="F2F2F2" w:themeFill="background1" w:themeFillShade="F2"/>
            <w:vAlign w:val="bottom"/>
            <w:hideMark/>
          </w:tcPr>
          <w:p w:rsidR="006568BA" w:rsidRPr="006A199E" w:rsidRDefault="006568BA" w:rsidP="006A199E">
            <w:pPr>
              <w:rPr>
                <w:rFonts w:ascii="Cambria" w:hAnsi="Cambria"/>
                <w:sz w:val="16"/>
                <w:szCs w:val="16"/>
              </w:rPr>
            </w:pPr>
            <w:r w:rsidRPr="006A199E">
              <w:rPr>
                <w:rFonts w:ascii="Cambria" w:hAnsi="Cambria"/>
                <w:sz w:val="16"/>
                <w:szCs w:val="16"/>
              </w:rPr>
              <w:t> </w:t>
            </w:r>
          </w:p>
        </w:tc>
        <w:tc>
          <w:tcPr>
            <w:tcW w:w="694"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rsidR="006568BA" w:rsidRPr="006A199E" w:rsidRDefault="006568BA" w:rsidP="006A199E">
            <w:pPr>
              <w:jc w:val="center"/>
              <w:rPr>
                <w:rFonts w:ascii="Cambria" w:hAnsi="Cambria"/>
                <w:sz w:val="16"/>
                <w:szCs w:val="16"/>
              </w:rPr>
            </w:pPr>
            <w:r w:rsidRPr="006A199E">
              <w:rPr>
                <w:rFonts w:ascii="Cambria" w:hAnsi="Cambria"/>
                <w:sz w:val="16"/>
                <w:szCs w:val="16"/>
              </w:rPr>
              <w:t>Доходный</w:t>
            </w:r>
          </w:p>
        </w:tc>
        <w:tc>
          <w:tcPr>
            <w:tcW w:w="731"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rsidR="006568BA" w:rsidRPr="006A199E" w:rsidRDefault="006568BA" w:rsidP="006A199E">
            <w:pPr>
              <w:jc w:val="center"/>
              <w:rPr>
                <w:rFonts w:ascii="Cambria" w:hAnsi="Cambria"/>
                <w:sz w:val="16"/>
                <w:szCs w:val="16"/>
              </w:rPr>
            </w:pPr>
            <w:r w:rsidRPr="006A199E">
              <w:rPr>
                <w:rFonts w:ascii="Cambria" w:hAnsi="Cambria"/>
                <w:sz w:val="16"/>
                <w:szCs w:val="16"/>
              </w:rPr>
              <w:t>Сравнительный</w:t>
            </w:r>
          </w:p>
        </w:tc>
        <w:tc>
          <w:tcPr>
            <w:tcW w:w="1412" w:type="pct"/>
            <w:gridSpan w:val="2"/>
            <w:tcBorders>
              <w:top w:val="single" w:sz="8" w:space="0" w:color="auto"/>
              <w:left w:val="nil"/>
              <w:bottom w:val="single" w:sz="4" w:space="0" w:color="auto"/>
              <w:right w:val="single" w:sz="8" w:space="0" w:color="000000"/>
            </w:tcBorders>
            <w:shd w:val="clear" w:color="auto" w:fill="F2F2F2" w:themeFill="background1" w:themeFillShade="F2"/>
            <w:vAlign w:val="center"/>
            <w:hideMark/>
          </w:tcPr>
          <w:p w:rsidR="006568BA" w:rsidRPr="006A199E" w:rsidRDefault="006568BA" w:rsidP="006A199E">
            <w:pPr>
              <w:jc w:val="center"/>
              <w:rPr>
                <w:rFonts w:ascii="Cambria" w:hAnsi="Cambria"/>
                <w:b/>
                <w:bCs/>
                <w:sz w:val="16"/>
                <w:szCs w:val="16"/>
              </w:rPr>
            </w:pPr>
            <w:r w:rsidRPr="006A199E">
              <w:rPr>
                <w:rFonts w:ascii="Cambria" w:hAnsi="Cambria"/>
                <w:b/>
                <w:bCs/>
                <w:sz w:val="16"/>
                <w:szCs w:val="16"/>
              </w:rPr>
              <w:t>W5</w:t>
            </w:r>
          </w:p>
        </w:tc>
      </w:tr>
      <w:tr w:rsidR="006568BA" w:rsidRPr="006A199E" w:rsidTr="00D70166">
        <w:trPr>
          <w:cantSplit/>
          <w:trHeight w:val="227"/>
        </w:trPr>
        <w:tc>
          <w:tcPr>
            <w:tcW w:w="2163" w:type="pct"/>
            <w:tcBorders>
              <w:top w:val="nil"/>
              <w:left w:val="single" w:sz="8" w:space="0" w:color="auto"/>
              <w:bottom w:val="single" w:sz="4" w:space="0" w:color="auto"/>
              <w:right w:val="single" w:sz="4" w:space="0" w:color="auto"/>
            </w:tcBorders>
            <w:shd w:val="clear" w:color="000000" w:fill="FFFFFF"/>
            <w:vAlign w:val="center"/>
            <w:hideMark/>
          </w:tcPr>
          <w:p w:rsidR="006568BA" w:rsidRPr="006A199E" w:rsidRDefault="006568BA" w:rsidP="006A199E">
            <w:pPr>
              <w:rPr>
                <w:rFonts w:ascii="Cambria" w:hAnsi="Cambria"/>
                <w:sz w:val="16"/>
                <w:szCs w:val="16"/>
              </w:rPr>
            </w:pPr>
            <w:r w:rsidRPr="006A199E">
              <w:rPr>
                <w:rFonts w:ascii="Cambria" w:hAnsi="Cambria"/>
                <w:sz w:val="16"/>
                <w:szCs w:val="16"/>
              </w:rPr>
              <w:t>Доходный</w:t>
            </w:r>
          </w:p>
        </w:tc>
        <w:tc>
          <w:tcPr>
            <w:tcW w:w="694" w:type="pct"/>
            <w:tcBorders>
              <w:top w:val="nil"/>
              <w:left w:val="nil"/>
              <w:bottom w:val="single" w:sz="4" w:space="0" w:color="auto"/>
              <w:right w:val="single" w:sz="4" w:space="0" w:color="auto"/>
            </w:tcBorders>
            <w:shd w:val="clear" w:color="auto" w:fill="F2F2F2" w:themeFill="background1" w:themeFillShade="F2"/>
            <w:vAlign w:val="center"/>
            <w:hideMark/>
          </w:tcPr>
          <w:p w:rsidR="006568BA" w:rsidRDefault="006568BA">
            <w:pPr>
              <w:jc w:val="center"/>
              <w:rPr>
                <w:rFonts w:ascii="Cambria" w:hAnsi="Cambria"/>
                <w:b/>
                <w:bCs/>
                <w:sz w:val="16"/>
                <w:szCs w:val="16"/>
              </w:rPr>
            </w:pPr>
            <w:r>
              <w:rPr>
                <w:rFonts w:ascii="Cambria" w:hAnsi="Cambria"/>
                <w:b/>
                <w:bCs/>
                <w:sz w:val="16"/>
                <w:szCs w:val="16"/>
              </w:rPr>
              <w:t>1,00</w:t>
            </w:r>
          </w:p>
        </w:tc>
        <w:tc>
          <w:tcPr>
            <w:tcW w:w="731" w:type="pct"/>
            <w:tcBorders>
              <w:top w:val="nil"/>
              <w:left w:val="nil"/>
              <w:bottom w:val="single" w:sz="4" w:space="0" w:color="auto"/>
              <w:right w:val="single" w:sz="4" w:space="0" w:color="auto"/>
            </w:tcBorders>
            <w:shd w:val="clear" w:color="000000" w:fill="FFFFFF"/>
            <w:vAlign w:val="center"/>
            <w:hideMark/>
          </w:tcPr>
          <w:p w:rsidR="006568BA" w:rsidRDefault="006568BA">
            <w:pPr>
              <w:jc w:val="center"/>
              <w:rPr>
                <w:rFonts w:ascii="Cambria" w:hAnsi="Cambria"/>
                <w:sz w:val="16"/>
                <w:szCs w:val="16"/>
              </w:rPr>
            </w:pPr>
            <w:r>
              <w:rPr>
                <w:rFonts w:ascii="Cambria" w:hAnsi="Cambria"/>
                <w:sz w:val="16"/>
                <w:szCs w:val="16"/>
              </w:rPr>
              <w:t>1,50</w:t>
            </w:r>
          </w:p>
        </w:tc>
        <w:tc>
          <w:tcPr>
            <w:tcW w:w="1412" w:type="pct"/>
            <w:gridSpan w:val="2"/>
            <w:tcBorders>
              <w:top w:val="single" w:sz="4" w:space="0" w:color="auto"/>
              <w:left w:val="nil"/>
              <w:bottom w:val="single" w:sz="4" w:space="0" w:color="auto"/>
              <w:right w:val="single" w:sz="8" w:space="0" w:color="000000"/>
            </w:tcBorders>
            <w:shd w:val="clear" w:color="000000" w:fill="FFFFFF"/>
            <w:vAlign w:val="center"/>
            <w:hideMark/>
          </w:tcPr>
          <w:p w:rsidR="006568BA" w:rsidRDefault="006568BA">
            <w:pPr>
              <w:jc w:val="center"/>
              <w:rPr>
                <w:rFonts w:ascii="Cambria" w:hAnsi="Cambria"/>
                <w:sz w:val="16"/>
                <w:szCs w:val="16"/>
              </w:rPr>
            </w:pPr>
            <w:r>
              <w:rPr>
                <w:rFonts w:ascii="Cambria" w:hAnsi="Cambria"/>
                <w:sz w:val="16"/>
                <w:szCs w:val="16"/>
              </w:rPr>
              <w:t>0,464</w:t>
            </w:r>
          </w:p>
        </w:tc>
      </w:tr>
      <w:tr w:rsidR="006568BA" w:rsidRPr="006A199E" w:rsidTr="00D70166">
        <w:trPr>
          <w:cantSplit/>
          <w:trHeight w:val="227"/>
        </w:trPr>
        <w:tc>
          <w:tcPr>
            <w:tcW w:w="2163" w:type="pct"/>
            <w:tcBorders>
              <w:top w:val="nil"/>
              <w:left w:val="single" w:sz="8" w:space="0" w:color="auto"/>
              <w:bottom w:val="single" w:sz="8" w:space="0" w:color="auto"/>
              <w:right w:val="single" w:sz="4" w:space="0" w:color="auto"/>
            </w:tcBorders>
            <w:shd w:val="clear" w:color="000000" w:fill="FFFFFF"/>
            <w:vAlign w:val="center"/>
            <w:hideMark/>
          </w:tcPr>
          <w:p w:rsidR="006568BA" w:rsidRPr="006A199E" w:rsidRDefault="006568BA" w:rsidP="006A199E">
            <w:pPr>
              <w:rPr>
                <w:rFonts w:ascii="Cambria" w:hAnsi="Cambria"/>
                <w:sz w:val="16"/>
                <w:szCs w:val="16"/>
              </w:rPr>
            </w:pPr>
            <w:r w:rsidRPr="006A199E">
              <w:rPr>
                <w:rFonts w:ascii="Cambria" w:hAnsi="Cambria"/>
                <w:sz w:val="16"/>
                <w:szCs w:val="16"/>
              </w:rPr>
              <w:t>Сравнительный</w:t>
            </w:r>
          </w:p>
        </w:tc>
        <w:tc>
          <w:tcPr>
            <w:tcW w:w="694" w:type="pct"/>
            <w:tcBorders>
              <w:top w:val="nil"/>
              <w:left w:val="nil"/>
              <w:bottom w:val="single" w:sz="8" w:space="0" w:color="auto"/>
              <w:right w:val="single" w:sz="4" w:space="0" w:color="auto"/>
            </w:tcBorders>
            <w:shd w:val="clear" w:color="000000" w:fill="FFFFFF"/>
            <w:vAlign w:val="center"/>
            <w:hideMark/>
          </w:tcPr>
          <w:p w:rsidR="006568BA" w:rsidRDefault="006568BA">
            <w:pPr>
              <w:jc w:val="center"/>
              <w:rPr>
                <w:rFonts w:ascii="Cambria" w:hAnsi="Cambria"/>
                <w:sz w:val="16"/>
                <w:szCs w:val="16"/>
              </w:rPr>
            </w:pPr>
            <w:r>
              <w:rPr>
                <w:rFonts w:ascii="Cambria" w:hAnsi="Cambria"/>
                <w:sz w:val="16"/>
                <w:szCs w:val="16"/>
              </w:rPr>
              <w:t>2,00</w:t>
            </w:r>
          </w:p>
        </w:tc>
        <w:tc>
          <w:tcPr>
            <w:tcW w:w="731" w:type="pct"/>
            <w:tcBorders>
              <w:top w:val="nil"/>
              <w:left w:val="nil"/>
              <w:bottom w:val="single" w:sz="8" w:space="0" w:color="auto"/>
              <w:right w:val="single" w:sz="4" w:space="0" w:color="auto"/>
            </w:tcBorders>
            <w:shd w:val="clear" w:color="auto" w:fill="F2F2F2" w:themeFill="background1" w:themeFillShade="F2"/>
            <w:vAlign w:val="center"/>
            <w:hideMark/>
          </w:tcPr>
          <w:p w:rsidR="006568BA" w:rsidRDefault="006568BA">
            <w:pPr>
              <w:jc w:val="center"/>
              <w:rPr>
                <w:rFonts w:ascii="Cambria" w:hAnsi="Cambria"/>
                <w:b/>
                <w:bCs/>
                <w:sz w:val="16"/>
                <w:szCs w:val="16"/>
              </w:rPr>
            </w:pPr>
            <w:r>
              <w:rPr>
                <w:rFonts w:ascii="Cambria" w:hAnsi="Cambria"/>
                <w:b/>
                <w:bCs/>
                <w:sz w:val="16"/>
                <w:szCs w:val="16"/>
              </w:rPr>
              <w:t>1,00</w:t>
            </w:r>
          </w:p>
        </w:tc>
        <w:tc>
          <w:tcPr>
            <w:tcW w:w="1412" w:type="pct"/>
            <w:gridSpan w:val="2"/>
            <w:tcBorders>
              <w:top w:val="single" w:sz="4" w:space="0" w:color="auto"/>
              <w:left w:val="nil"/>
              <w:bottom w:val="single" w:sz="8" w:space="0" w:color="auto"/>
              <w:right w:val="single" w:sz="8" w:space="0" w:color="000000"/>
            </w:tcBorders>
            <w:shd w:val="clear" w:color="000000" w:fill="FFFFFF"/>
            <w:vAlign w:val="center"/>
            <w:hideMark/>
          </w:tcPr>
          <w:p w:rsidR="006568BA" w:rsidRDefault="006568BA">
            <w:pPr>
              <w:jc w:val="center"/>
              <w:rPr>
                <w:rFonts w:ascii="Cambria" w:hAnsi="Cambria"/>
                <w:sz w:val="16"/>
                <w:szCs w:val="16"/>
              </w:rPr>
            </w:pPr>
            <w:r>
              <w:rPr>
                <w:rFonts w:ascii="Cambria" w:hAnsi="Cambria"/>
                <w:sz w:val="16"/>
                <w:szCs w:val="16"/>
              </w:rPr>
              <w:t>0,536</w:t>
            </w:r>
          </w:p>
        </w:tc>
      </w:tr>
      <w:tr w:rsidR="006568BA" w:rsidRPr="006A199E" w:rsidTr="00D70166">
        <w:trPr>
          <w:cantSplit/>
          <w:trHeight w:val="227"/>
        </w:trPr>
        <w:tc>
          <w:tcPr>
            <w:tcW w:w="2163" w:type="pct"/>
            <w:tcBorders>
              <w:top w:val="nil"/>
              <w:left w:val="nil"/>
              <w:bottom w:val="nil"/>
              <w:right w:val="nil"/>
            </w:tcBorders>
            <w:shd w:val="clear" w:color="000000" w:fill="FFFFFF"/>
            <w:vAlign w:val="center"/>
            <w:hideMark/>
          </w:tcPr>
          <w:p w:rsidR="006568BA" w:rsidRPr="006A199E" w:rsidRDefault="006568BA" w:rsidP="006A199E">
            <w:pPr>
              <w:rPr>
                <w:rFonts w:ascii="Bookman Old Style" w:hAnsi="Bookman Old Style"/>
                <w:sz w:val="14"/>
                <w:szCs w:val="14"/>
              </w:rPr>
            </w:pPr>
            <w:r w:rsidRPr="006A199E">
              <w:rPr>
                <w:rFonts w:ascii="Bookman Old Style" w:hAnsi="Bookman Old Style"/>
                <w:sz w:val="14"/>
                <w:szCs w:val="14"/>
              </w:rPr>
              <w:t> </w:t>
            </w:r>
          </w:p>
        </w:tc>
        <w:tc>
          <w:tcPr>
            <w:tcW w:w="694" w:type="pct"/>
            <w:tcBorders>
              <w:top w:val="nil"/>
              <w:left w:val="nil"/>
              <w:bottom w:val="nil"/>
              <w:right w:val="nil"/>
            </w:tcBorders>
            <w:shd w:val="clear" w:color="000000" w:fill="FFFFFF"/>
            <w:vAlign w:val="center"/>
            <w:hideMark/>
          </w:tcPr>
          <w:p w:rsidR="006568BA" w:rsidRPr="006A199E" w:rsidRDefault="006568BA" w:rsidP="006A199E">
            <w:pPr>
              <w:jc w:val="center"/>
              <w:rPr>
                <w:rFonts w:ascii="Bookman Old Style" w:hAnsi="Bookman Old Style"/>
                <w:sz w:val="14"/>
                <w:szCs w:val="14"/>
              </w:rPr>
            </w:pPr>
            <w:r w:rsidRPr="006A199E">
              <w:rPr>
                <w:rFonts w:ascii="Bookman Old Style" w:hAnsi="Bookman Old Style"/>
                <w:sz w:val="14"/>
                <w:szCs w:val="14"/>
              </w:rPr>
              <w:t> </w:t>
            </w:r>
          </w:p>
        </w:tc>
        <w:tc>
          <w:tcPr>
            <w:tcW w:w="731" w:type="pct"/>
            <w:tcBorders>
              <w:top w:val="nil"/>
              <w:left w:val="nil"/>
              <w:bottom w:val="nil"/>
              <w:right w:val="nil"/>
            </w:tcBorders>
            <w:shd w:val="clear" w:color="000000" w:fill="FFFFFF"/>
            <w:vAlign w:val="center"/>
            <w:hideMark/>
          </w:tcPr>
          <w:p w:rsidR="006568BA" w:rsidRPr="006A199E" w:rsidRDefault="006568BA" w:rsidP="006A199E">
            <w:pPr>
              <w:jc w:val="center"/>
              <w:rPr>
                <w:rFonts w:ascii="Bookman Old Style" w:hAnsi="Bookman Old Style"/>
                <w:sz w:val="14"/>
                <w:szCs w:val="14"/>
              </w:rPr>
            </w:pPr>
            <w:r w:rsidRPr="006A199E">
              <w:rPr>
                <w:rFonts w:ascii="Bookman Old Style" w:hAnsi="Bookman Old Style"/>
                <w:sz w:val="14"/>
                <w:szCs w:val="14"/>
              </w:rPr>
              <w:t> </w:t>
            </w:r>
          </w:p>
        </w:tc>
        <w:tc>
          <w:tcPr>
            <w:tcW w:w="719" w:type="pct"/>
            <w:tcBorders>
              <w:top w:val="nil"/>
              <w:left w:val="nil"/>
              <w:bottom w:val="nil"/>
              <w:right w:val="nil"/>
            </w:tcBorders>
            <w:shd w:val="clear" w:color="000000" w:fill="FFFFFF"/>
            <w:vAlign w:val="center"/>
            <w:hideMark/>
          </w:tcPr>
          <w:p w:rsidR="006568BA" w:rsidRPr="006A199E" w:rsidRDefault="006568BA" w:rsidP="006A199E">
            <w:pPr>
              <w:jc w:val="center"/>
              <w:rPr>
                <w:rFonts w:ascii="Bookman Old Style" w:hAnsi="Bookman Old Style"/>
                <w:b/>
                <w:bCs/>
                <w:sz w:val="14"/>
                <w:szCs w:val="14"/>
              </w:rPr>
            </w:pPr>
          </w:p>
        </w:tc>
        <w:tc>
          <w:tcPr>
            <w:tcW w:w="693" w:type="pct"/>
            <w:tcBorders>
              <w:top w:val="nil"/>
              <w:left w:val="nil"/>
              <w:bottom w:val="nil"/>
              <w:right w:val="nil"/>
            </w:tcBorders>
            <w:shd w:val="clear" w:color="000000" w:fill="FFFFFF"/>
            <w:vAlign w:val="center"/>
            <w:hideMark/>
          </w:tcPr>
          <w:p w:rsidR="006568BA" w:rsidRPr="006A199E" w:rsidRDefault="006568BA" w:rsidP="006A199E">
            <w:pPr>
              <w:jc w:val="center"/>
              <w:rPr>
                <w:rFonts w:ascii="Bookman Old Style" w:hAnsi="Bookman Old Style"/>
                <w:sz w:val="14"/>
                <w:szCs w:val="14"/>
              </w:rPr>
            </w:pPr>
            <w:r w:rsidRPr="006A199E">
              <w:rPr>
                <w:rFonts w:ascii="Bookman Old Style" w:hAnsi="Bookman Old Style"/>
                <w:sz w:val="14"/>
                <w:szCs w:val="14"/>
              </w:rPr>
              <w:t> </w:t>
            </w:r>
          </w:p>
        </w:tc>
      </w:tr>
      <w:tr w:rsidR="006568BA" w:rsidRPr="006A199E" w:rsidTr="00D70166">
        <w:trPr>
          <w:cantSplit/>
          <w:trHeight w:val="227"/>
        </w:trPr>
        <w:tc>
          <w:tcPr>
            <w:tcW w:w="5000" w:type="pct"/>
            <w:gridSpan w:val="5"/>
            <w:tcBorders>
              <w:top w:val="nil"/>
              <w:left w:val="nil"/>
              <w:bottom w:val="nil"/>
              <w:right w:val="nil"/>
            </w:tcBorders>
            <w:shd w:val="clear" w:color="auto" w:fill="auto"/>
            <w:noWrap/>
            <w:vAlign w:val="center"/>
            <w:hideMark/>
          </w:tcPr>
          <w:p w:rsidR="006568BA" w:rsidRPr="006A199E" w:rsidRDefault="006568BA" w:rsidP="006A199E">
            <w:pPr>
              <w:jc w:val="right"/>
              <w:rPr>
                <w:rFonts w:ascii="Bookman Old Style" w:hAnsi="Bookman Old Style"/>
                <w:color w:val="000000"/>
                <w:sz w:val="20"/>
                <w:szCs w:val="20"/>
              </w:rPr>
            </w:pPr>
            <w:r w:rsidRPr="006A199E">
              <w:rPr>
                <w:rFonts w:ascii="Bookman Old Style" w:hAnsi="Bookman Old Style"/>
                <w:color w:val="000000"/>
                <w:sz w:val="20"/>
                <w:szCs w:val="20"/>
              </w:rPr>
              <w:t>Таблица 10. Соответствие требованиям рыночной стоимости</w:t>
            </w:r>
          </w:p>
        </w:tc>
      </w:tr>
      <w:tr w:rsidR="006568BA" w:rsidRPr="006A199E" w:rsidTr="00D70166">
        <w:trPr>
          <w:cantSplit/>
          <w:trHeight w:val="227"/>
        </w:trPr>
        <w:tc>
          <w:tcPr>
            <w:tcW w:w="2163" w:type="pct"/>
            <w:tcBorders>
              <w:top w:val="single" w:sz="8" w:space="0" w:color="auto"/>
              <w:left w:val="single" w:sz="8" w:space="0" w:color="auto"/>
              <w:bottom w:val="single" w:sz="4" w:space="0" w:color="auto"/>
              <w:right w:val="single" w:sz="4" w:space="0" w:color="auto"/>
            </w:tcBorders>
            <w:shd w:val="clear" w:color="auto" w:fill="F2F2F2" w:themeFill="background1" w:themeFillShade="F2"/>
            <w:vAlign w:val="bottom"/>
            <w:hideMark/>
          </w:tcPr>
          <w:p w:rsidR="006568BA" w:rsidRPr="006A199E" w:rsidRDefault="006568BA" w:rsidP="006A199E">
            <w:pPr>
              <w:rPr>
                <w:rFonts w:ascii="Cambria" w:hAnsi="Cambria"/>
                <w:sz w:val="16"/>
                <w:szCs w:val="16"/>
              </w:rPr>
            </w:pPr>
            <w:r w:rsidRPr="006A199E">
              <w:rPr>
                <w:rFonts w:ascii="Cambria" w:hAnsi="Cambria"/>
                <w:sz w:val="16"/>
                <w:szCs w:val="16"/>
              </w:rPr>
              <w:t> </w:t>
            </w:r>
          </w:p>
        </w:tc>
        <w:tc>
          <w:tcPr>
            <w:tcW w:w="694"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rsidR="006568BA" w:rsidRPr="006A199E" w:rsidRDefault="006568BA" w:rsidP="006A199E">
            <w:pPr>
              <w:jc w:val="center"/>
              <w:rPr>
                <w:rFonts w:ascii="Cambria" w:hAnsi="Cambria"/>
                <w:sz w:val="16"/>
                <w:szCs w:val="16"/>
              </w:rPr>
            </w:pPr>
            <w:r w:rsidRPr="006A199E">
              <w:rPr>
                <w:rFonts w:ascii="Cambria" w:hAnsi="Cambria"/>
                <w:sz w:val="16"/>
                <w:szCs w:val="16"/>
              </w:rPr>
              <w:t>Доходный</w:t>
            </w:r>
          </w:p>
        </w:tc>
        <w:tc>
          <w:tcPr>
            <w:tcW w:w="731"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rsidR="006568BA" w:rsidRPr="006A199E" w:rsidRDefault="006568BA" w:rsidP="006A199E">
            <w:pPr>
              <w:jc w:val="center"/>
              <w:rPr>
                <w:rFonts w:ascii="Cambria" w:hAnsi="Cambria"/>
                <w:sz w:val="16"/>
                <w:szCs w:val="16"/>
              </w:rPr>
            </w:pPr>
            <w:r w:rsidRPr="006A199E">
              <w:rPr>
                <w:rFonts w:ascii="Cambria" w:hAnsi="Cambria"/>
                <w:sz w:val="16"/>
                <w:szCs w:val="16"/>
              </w:rPr>
              <w:t>Сравнительный</w:t>
            </w:r>
          </w:p>
        </w:tc>
        <w:tc>
          <w:tcPr>
            <w:tcW w:w="1412" w:type="pct"/>
            <w:gridSpan w:val="2"/>
            <w:tcBorders>
              <w:top w:val="single" w:sz="8" w:space="0" w:color="auto"/>
              <w:left w:val="nil"/>
              <w:bottom w:val="single" w:sz="4" w:space="0" w:color="auto"/>
              <w:right w:val="single" w:sz="8" w:space="0" w:color="000000"/>
            </w:tcBorders>
            <w:shd w:val="clear" w:color="auto" w:fill="F2F2F2" w:themeFill="background1" w:themeFillShade="F2"/>
            <w:vAlign w:val="center"/>
            <w:hideMark/>
          </w:tcPr>
          <w:p w:rsidR="006568BA" w:rsidRPr="006A199E" w:rsidRDefault="006568BA" w:rsidP="006A199E">
            <w:pPr>
              <w:jc w:val="center"/>
              <w:rPr>
                <w:rFonts w:ascii="Cambria" w:hAnsi="Cambria"/>
                <w:b/>
                <w:bCs/>
                <w:sz w:val="16"/>
                <w:szCs w:val="16"/>
              </w:rPr>
            </w:pPr>
            <w:r w:rsidRPr="006A199E">
              <w:rPr>
                <w:rFonts w:ascii="Cambria" w:hAnsi="Cambria"/>
                <w:b/>
                <w:bCs/>
                <w:sz w:val="16"/>
                <w:szCs w:val="16"/>
              </w:rPr>
              <w:t>W6</w:t>
            </w:r>
          </w:p>
        </w:tc>
      </w:tr>
      <w:tr w:rsidR="006568BA" w:rsidRPr="006A199E" w:rsidTr="00D70166">
        <w:trPr>
          <w:cantSplit/>
          <w:trHeight w:val="227"/>
        </w:trPr>
        <w:tc>
          <w:tcPr>
            <w:tcW w:w="2163" w:type="pct"/>
            <w:tcBorders>
              <w:top w:val="nil"/>
              <w:left w:val="single" w:sz="8" w:space="0" w:color="auto"/>
              <w:bottom w:val="single" w:sz="4" w:space="0" w:color="auto"/>
              <w:right w:val="single" w:sz="4" w:space="0" w:color="auto"/>
            </w:tcBorders>
            <w:shd w:val="clear" w:color="000000" w:fill="FFFFFF"/>
            <w:vAlign w:val="center"/>
            <w:hideMark/>
          </w:tcPr>
          <w:p w:rsidR="006568BA" w:rsidRPr="006A199E" w:rsidRDefault="006568BA" w:rsidP="006A199E">
            <w:pPr>
              <w:rPr>
                <w:rFonts w:ascii="Cambria" w:hAnsi="Cambria"/>
                <w:sz w:val="16"/>
                <w:szCs w:val="16"/>
              </w:rPr>
            </w:pPr>
            <w:r w:rsidRPr="006A199E">
              <w:rPr>
                <w:rFonts w:ascii="Cambria" w:hAnsi="Cambria"/>
                <w:sz w:val="16"/>
                <w:szCs w:val="16"/>
              </w:rPr>
              <w:t>Доходный</w:t>
            </w:r>
          </w:p>
        </w:tc>
        <w:tc>
          <w:tcPr>
            <w:tcW w:w="694" w:type="pct"/>
            <w:tcBorders>
              <w:top w:val="nil"/>
              <w:left w:val="nil"/>
              <w:bottom w:val="single" w:sz="4" w:space="0" w:color="auto"/>
              <w:right w:val="single" w:sz="4" w:space="0" w:color="auto"/>
            </w:tcBorders>
            <w:shd w:val="clear" w:color="auto" w:fill="F2F2F2" w:themeFill="background1" w:themeFillShade="F2"/>
            <w:vAlign w:val="center"/>
            <w:hideMark/>
          </w:tcPr>
          <w:p w:rsidR="006568BA" w:rsidRDefault="006568BA">
            <w:pPr>
              <w:jc w:val="center"/>
              <w:rPr>
                <w:rFonts w:ascii="Cambria" w:hAnsi="Cambria"/>
                <w:b/>
                <w:bCs/>
                <w:sz w:val="16"/>
                <w:szCs w:val="16"/>
              </w:rPr>
            </w:pPr>
            <w:r>
              <w:rPr>
                <w:rFonts w:ascii="Cambria" w:hAnsi="Cambria"/>
                <w:b/>
                <w:bCs/>
                <w:sz w:val="16"/>
                <w:szCs w:val="16"/>
              </w:rPr>
              <w:t>1,00</w:t>
            </w:r>
          </w:p>
        </w:tc>
        <w:tc>
          <w:tcPr>
            <w:tcW w:w="731" w:type="pct"/>
            <w:tcBorders>
              <w:top w:val="nil"/>
              <w:left w:val="nil"/>
              <w:bottom w:val="single" w:sz="4" w:space="0" w:color="auto"/>
              <w:right w:val="single" w:sz="4" w:space="0" w:color="auto"/>
            </w:tcBorders>
            <w:shd w:val="clear" w:color="000000" w:fill="FFFFFF"/>
            <w:vAlign w:val="center"/>
            <w:hideMark/>
          </w:tcPr>
          <w:p w:rsidR="006568BA" w:rsidRDefault="006568BA">
            <w:pPr>
              <w:jc w:val="center"/>
              <w:rPr>
                <w:rFonts w:ascii="Cambria" w:hAnsi="Cambria"/>
                <w:sz w:val="16"/>
                <w:szCs w:val="16"/>
              </w:rPr>
            </w:pPr>
            <w:r>
              <w:rPr>
                <w:rFonts w:ascii="Cambria" w:hAnsi="Cambria"/>
                <w:sz w:val="16"/>
                <w:szCs w:val="16"/>
              </w:rPr>
              <w:t>1,50</w:t>
            </w:r>
          </w:p>
        </w:tc>
        <w:tc>
          <w:tcPr>
            <w:tcW w:w="1412" w:type="pct"/>
            <w:gridSpan w:val="2"/>
            <w:tcBorders>
              <w:top w:val="single" w:sz="4" w:space="0" w:color="auto"/>
              <w:left w:val="nil"/>
              <w:bottom w:val="single" w:sz="4" w:space="0" w:color="auto"/>
              <w:right w:val="single" w:sz="8" w:space="0" w:color="000000"/>
            </w:tcBorders>
            <w:shd w:val="clear" w:color="000000" w:fill="FFFFFF"/>
            <w:vAlign w:val="center"/>
            <w:hideMark/>
          </w:tcPr>
          <w:p w:rsidR="006568BA" w:rsidRDefault="006568BA">
            <w:pPr>
              <w:jc w:val="center"/>
              <w:rPr>
                <w:rFonts w:ascii="Cambria" w:hAnsi="Cambria"/>
                <w:sz w:val="16"/>
                <w:szCs w:val="16"/>
              </w:rPr>
            </w:pPr>
            <w:r>
              <w:rPr>
                <w:rFonts w:ascii="Cambria" w:hAnsi="Cambria"/>
                <w:sz w:val="16"/>
                <w:szCs w:val="16"/>
              </w:rPr>
              <w:t>0,464</w:t>
            </w:r>
          </w:p>
        </w:tc>
      </w:tr>
      <w:tr w:rsidR="006568BA" w:rsidRPr="006A199E" w:rsidTr="00D70166">
        <w:trPr>
          <w:cantSplit/>
          <w:trHeight w:val="227"/>
        </w:trPr>
        <w:tc>
          <w:tcPr>
            <w:tcW w:w="2163" w:type="pct"/>
            <w:tcBorders>
              <w:top w:val="nil"/>
              <w:left w:val="single" w:sz="8" w:space="0" w:color="auto"/>
              <w:bottom w:val="single" w:sz="8" w:space="0" w:color="auto"/>
              <w:right w:val="single" w:sz="4" w:space="0" w:color="auto"/>
            </w:tcBorders>
            <w:shd w:val="clear" w:color="000000" w:fill="FFFFFF"/>
            <w:vAlign w:val="center"/>
            <w:hideMark/>
          </w:tcPr>
          <w:p w:rsidR="006568BA" w:rsidRPr="006A199E" w:rsidRDefault="006568BA" w:rsidP="006A199E">
            <w:pPr>
              <w:rPr>
                <w:rFonts w:ascii="Cambria" w:hAnsi="Cambria"/>
                <w:sz w:val="16"/>
                <w:szCs w:val="16"/>
              </w:rPr>
            </w:pPr>
            <w:r w:rsidRPr="006A199E">
              <w:rPr>
                <w:rFonts w:ascii="Cambria" w:hAnsi="Cambria"/>
                <w:sz w:val="16"/>
                <w:szCs w:val="16"/>
              </w:rPr>
              <w:t>Сравнительный</w:t>
            </w:r>
          </w:p>
        </w:tc>
        <w:tc>
          <w:tcPr>
            <w:tcW w:w="694" w:type="pct"/>
            <w:tcBorders>
              <w:top w:val="nil"/>
              <w:left w:val="nil"/>
              <w:bottom w:val="single" w:sz="8" w:space="0" w:color="auto"/>
              <w:right w:val="single" w:sz="4" w:space="0" w:color="auto"/>
            </w:tcBorders>
            <w:shd w:val="clear" w:color="000000" w:fill="FFFFFF"/>
            <w:vAlign w:val="center"/>
            <w:hideMark/>
          </w:tcPr>
          <w:p w:rsidR="006568BA" w:rsidRDefault="006568BA">
            <w:pPr>
              <w:jc w:val="center"/>
              <w:rPr>
                <w:rFonts w:ascii="Cambria" w:hAnsi="Cambria"/>
                <w:sz w:val="16"/>
                <w:szCs w:val="16"/>
              </w:rPr>
            </w:pPr>
            <w:r>
              <w:rPr>
                <w:rFonts w:ascii="Cambria" w:hAnsi="Cambria"/>
                <w:sz w:val="16"/>
                <w:szCs w:val="16"/>
              </w:rPr>
              <w:t>2,00</w:t>
            </w:r>
          </w:p>
        </w:tc>
        <w:tc>
          <w:tcPr>
            <w:tcW w:w="731" w:type="pct"/>
            <w:tcBorders>
              <w:top w:val="nil"/>
              <w:left w:val="nil"/>
              <w:bottom w:val="single" w:sz="8" w:space="0" w:color="auto"/>
              <w:right w:val="single" w:sz="4" w:space="0" w:color="auto"/>
            </w:tcBorders>
            <w:shd w:val="clear" w:color="auto" w:fill="F2F2F2" w:themeFill="background1" w:themeFillShade="F2"/>
            <w:vAlign w:val="center"/>
            <w:hideMark/>
          </w:tcPr>
          <w:p w:rsidR="006568BA" w:rsidRDefault="006568BA">
            <w:pPr>
              <w:jc w:val="center"/>
              <w:rPr>
                <w:rFonts w:ascii="Cambria" w:hAnsi="Cambria"/>
                <w:b/>
                <w:bCs/>
                <w:sz w:val="16"/>
                <w:szCs w:val="16"/>
              </w:rPr>
            </w:pPr>
            <w:r>
              <w:rPr>
                <w:rFonts w:ascii="Cambria" w:hAnsi="Cambria"/>
                <w:b/>
                <w:bCs/>
                <w:sz w:val="16"/>
                <w:szCs w:val="16"/>
              </w:rPr>
              <w:t>1,00</w:t>
            </w:r>
          </w:p>
        </w:tc>
        <w:tc>
          <w:tcPr>
            <w:tcW w:w="1412" w:type="pct"/>
            <w:gridSpan w:val="2"/>
            <w:tcBorders>
              <w:top w:val="single" w:sz="4" w:space="0" w:color="auto"/>
              <w:left w:val="nil"/>
              <w:bottom w:val="single" w:sz="8" w:space="0" w:color="auto"/>
              <w:right w:val="single" w:sz="8" w:space="0" w:color="000000"/>
            </w:tcBorders>
            <w:shd w:val="clear" w:color="000000" w:fill="FFFFFF"/>
            <w:vAlign w:val="center"/>
            <w:hideMark/>
          </w:tcPr>
          <w:p w:rsidR="006568BA" w:rsidRDefault="006568BA">
            <w:pPr>
              <w:jc w:val="center"/>
              <w:rPr>
                <w:rFonts w:ascii="Cambria" w:hAnsi="Cambria"/>
                <w:sz w:val="16"/>
                <w:szCs w:val="16"/>
              </w:rPr>
            </w:pPr>
            <w:r>
              <w:rPr>
                <w:rFonts w:ascii="Cambria" w:hAnsi="Cambria"/>
                <w:sz w:val="16"/>
                <w:szCs w:val="16"/>
              </w:rPr>
              <w:t>0,536</w:t>
            </w:r>
          </w:p>
        </w:tc>
      </w:tr>
      <w:tr w:rsidR="006568BA" w:rsidRPr="006A199E" w:rsidTr="00D70166">
        <w:trPr>
          <w:cantSplit/>
          <w:trHeight w:val="227"/>
        </w:trPr>
        <w:tc>
          <w:tcPr>
            <w:tcW w:w="5000" w:type="pct"/>
            <w:gridSpan w:val="5"/>
            <w:tcBorders>
              <w:top w:val="nil"/>
              <w:left w:val="nil"/>
              <w:bottom w:val="nil"/>
              <w:right w:val="nil"/>
            </w:tcBorders>
            <w:shd w:val="clear" w:color="auto" w:fill="auto"/>
            <w:vAlign w:val="center"/>
          </w:tcPr>
          <w:p w:rsidR="006568BA" w:rsidRPr="006A199E" w:rsidRDefault="006568BA" w:rsidP="006A199E">
            <w:pPr>
              <w:rPr>
                <w:rFonts w:ascii="Bookman Old Style" w:hAnsi="Bookman Old Style"/>
                <w:color w:val="000000"/>
                <w:sz w:val="20"/>
                <w:szCs w:val="20"/>
              </w:rPr>
            </w:pPr>
          </w:p>
        </w:tc>
      </w:tr>
      <w:tr w:rsidR="006568BA" w:rsidRPr="006A199E" w:rsidTr="00D70166">
        <w:trPr>
          <w:cantSplit/>
          <w:trHeight w:val="227"/>
        </w:trPr>
        <w:tc>
          <w:tcPr>
            <w:tcW w:w="5000" w:type="pct"/>
            <w:gridSpan w:val="5"/>
            <w:tcBorders>
              <w:top w:val="nil"/>
              <w:left w:val="nil"/>
              <w:bottom w:val="nil"/>
              <w:right w:val="nil"/>
            </w:tcBorders>
            <w:shd w:val="clear" w:color="auto" w:fill="auto"/>
            <w:vAlign w:val="center"/>
            <w:hideMark/>
          </w:tcPr>
          <w:p w:rsidR="006568BA" w:rsidRPr="006A199E" w:rsidRDefault="006568BA" w:rsidP="006A199E">
            <w:pPr>
              <w:rPr>
                <w:rFonts w:ascii="Bookman Old Style" w:hAnsi="Bookman Old Style"/>
                <w:color w:val="000000"/>
                <w:sz w:val="20"/>
                <w:szCs w:val="20"/>
              </w:rPr>
            </w:pPr>
            <w:r w:rsidRPr="006A199E">
              <w:rPr>
                <w:rFonts w:ascii="Bookman Old Style" w:hAnsi="Bookman Old Style"/>
                <w:color w:val="000000"/>
                <w:sz w:val="20"/>
                <w:szCs w:val="20"/>
              </w:rPr>
              <w:t>5. Иерархический синтез в целях определения вектора весовых коэффициентов альтернатив относительно выделенных критериев</w:t>
            </w:r>
          </w:p>
        </w:tc>
      </w:tr>
      <w:tr w:rsidR="006568BA" w:rsidRPr="006A199E" w:rsidTr="00D70166">
        <w:trPr>
          <w:cantSplit/>
          <w:trHeight w:val="227"/>
        </w:trPr>
        <w:tc>
          <w:tcPr>
            <w:tcW w:w="2163" w:type="pct"/>
            <w:tcBorders>
              <w:top w:val="single" w:sz="8" w:space="0" w:color="auto"/>
              <w:left w:val="single" w:sz="8" w:space="0" w:color="auto"/>
              <w:bottom w:val="single" w:sz="4" w:space="0" w:color="auto"/>
              <w:right w:val="single" w:sz="4" w:space="0" w:color="auto"/>
            </w:tcBorders>
            <w:shd w:val="clear" w:color="auto" w:fill="F2F2F2" w:themeFill="background1" w:themeFillShade="F2"/>
            <w:noWrap/>
            <w:vAlign w:val="bottom"/>
            <w:hideMark/>
          </w:tcPr>
          <w:p w:rsidR="006568BA" w:rsidRPr="006A199E" w:rsidRDefault="006568BA" w:rsidP="006A199E">
            <w:pPr>
              <w:rPr>
                <w:rFonts w:asciiTheme="majorHAnsi" w:hAnsiTheme="majorHAnsi"/>
                <w:color w:val="000000"/>
                <w:sz w:val="16"/>
                <w:szCs w:val="16"/>
              </w:rPr>
            </w:pPr>
            <w:r w:rsidRPr="006A199E">
              <w:rPr>
                <w:rFonts w:asciiTheme="majorHAnsi" w:hAnsiTheme="majorHAnsi"/>
                <w:color w:val="000000"/>
                <w:sz w:val="16"/>
                <w:szCs w:val="16"/>
              </w:rPr>
              <w:t> </w:t>
            </w:r>
          </w:p>
          <w:p w:rsidR="006568BA" w:rsidRPr="006A199E" w:rsidRDefault="006568BA" w:rsidP="006A199E">
            <w:pPr>
              <w:rPr>
                <w:rFonts w:asciiTheme="majorHAnsi" w:hAnsiTheme="majorHAnsi"/>
                <w:color w:val="000000"/>
                <w:sz w:val="16"/>
                <w:szCs w:val="16"/>
              </w:rPr>
            </w:pPr>
          </w:p>
        </w:tc>
        <w:tc>
          <w:tcPr>
            <w:tcW w:w="694" w:type="pct"/>
            <w:tcBorders>
              <w:top w:val="single" w:sz="8" w:space="0" w:color="auto"/>
              <w:left w:val="nil"/>
              <w:bottom w:val="single" w:sz="4" w:space="0" w:color="auto"/>
              <w:right w:val="single" w:sz="4" w:space="0" w:color="auto"/>
            </w:tcBorders>
            <w:shd w:val="clear" w:color="auto" w:fill="F2F2F2" w:themeFill="background1" w:themeFillShade="F2"/>
            <w:noWrap/>
            <w:vAlign w:val="center"/>
            <w:hideMark/>
          </w:tcPr>
          <w:p w:rsidR="006568BA" w:rsidRPr="006A199E" w:rsidRDefault="006568BA" w:rsidP="006A199E">
            <w:pPr>
              <w:jc w:val="center"/>
              <w:rPr>
                <w:rFonts w:asciiTheme="majorHAnsi" w:hAnsiTheme="majorHAnsi"/>
                <w:color w:val="000000"/>
                <w:sz w:val="16"/>
                <w:szCs w:val="16"/>
              </w:rPr>
            </w:pPr>
            <w:r w:rsidRPr="006A199E">
              <w:rPr>
                <w:rFonts w:asciiTheme="majorHAnsi" w:hAnsiTheme="majorHAnsi"/>
                <w:color w:val="000000"/>
                <w:sz w:val="16"/>
                <w:szCs w:val="16"/>
              </w:rPr>
              <w:t>W1</w:t>
            </w:r>
          </w:p>
        </w:tc>
        <w:tc>
          <w:tcPr>
            <w:tcW w:w="731" w:type="pct"/>
            <w:tcBorders>
              <w:top w:val="single" w:sz="8" w:space="0" w:color="auto"/>
              <w:left w:val="nil"/>
              <w:bottom w:val="single" w:sz="4" w:space="0" w:color="auto"/>
              <w:right w:val="single" w:sz="4" w:space="0" w:color="auto"/>
            </w:tcBorders>
            <w:shd w:val="clear" w:color="auto" w:fill="F2F2F2" w:themeFill="background1" w:themeFillShade="F2"/>
            <w:noWrap/>
            <w:vAlign w:val="center"/>
            <w:hideMark/>
          </w:tcPr>
          <w:p w:rsidR="006568BA" w:rsidRPr="006A199E" w:rsidRDefault="006568BA" w:rsidP="006A199E">
            <w:pPr>
              <w:jc w:val="center"/>
              <w:rPr>
                <w:rFonts w:asciiTheme="majorHAnsi" w:hAnsiTheme="majorHAnsi"/>
                <w:color w:val="000000"/>
                <w:sz w:val="16"/>
                <w:szCs w:val="16"/>
              </w:rPr>
            </w:pPr>
            <w:r w:rsidRPr="006A199E">
              <w:rPr>
                <w:rFonts w:asciiTheme="majorHAnsi" w:hAnsiTheme="majorHAnsi"/>
                <w:color w:val="000000"/>
                <w:sz w:val="16"/>
                <w:szCs w:val="16"/>
              </w:rPr>
              <w:t>W2</w:t>
            </w:r>
          </w:p>
        </w:tc>
        <w:tc>
          <w:tcPr>
            <w:tcW w:w="719" w:type="pct"/>
            <w:tcBorders>
              <w:top w:val="single" w:sz="8" w:space="0" w:color="auto"/>
              <w:left w:val="nil"/>
              <w:bottom w:val="single" w:sz="4" w:space="0" w:color="auto"/>
              <w:right w:val="single" w:sz="4" w:space="0" w:color="auto"/>
            </w:tcBorders>
            <w:shd w:val="clear" w:color="auto" w:fill="F2F2F2" w:themeFill="background1" w:themeFillShade="F2"/>
            <w:noWrap/>
            <w:vAlign w:val="center"/>
            <w:hideMark/>
          </w:tcPr>
          <w:p w:rsidR="006568BA" w:rsidRPr="006A199E" w:rsidRDefault="006568BA" w:rsidP="006A199E">
            <w:pPr>
              <w:jc w:val="center"/>
              <w:rPr>
                <w:rFonts w:asciiTheme="majorHAnsi" w:hAnsiTheme="majorHAnsi"/>
                <w:color w:val="000000"/>
                <w:sz w:val="16"/>
                <w:szCs w:val="16"/>
              </w:rPr>
            </w:pPr>
            <w:r w:rsidRPr="006A199E">
              <w:rPr>
                <w:rFonts w:asciiTheme="majorHAnsi" w:hAnsiTheme="majorHAnsi"/>
                <w:color w:val="000000"/>
                <w:sz w:val="16"/>
                <w:szCs w:val="16"/>
              </w:rPr>
              <w:t>W3</w:t>
            </w:r>
          </w:p>
        </w:tc>
        <w:tc>
          <w:tcPr>
            <w:tcW w:w="693" w:type="pct"/>
            <w:tcBorders>
              <w:top w:val="single" w:sz="8" w:space="0" w:color="auto"/>
              <w:left w:val="nil"/>
              <w:bottom w:val="single" w:sz="4" w:space="0" w:color="auto"/>
              <w:right w:val="single" w:sz="8" w:space="0" w:color="auto"/>
            </w:tcBorders>
            <w:shd w:val="clear" w:color="auto" w:fill="F2F2F2" w:themeFill="background1" w:themeFillShade="F2"/>
            <w:noWrap/>
            <w:vAlign w:val="center"/>
            <w:hideMark/>
          </w:tcPr>
          <w:p w:rsidR="006568BA" w:rsidRPr="006A199E" w:rsidRDefault="006568BA" w:rsidP="006A199E">
            <w:pPr>
              <w:jc w:val="center"/>
              <w:rPr>
                <w:rFonts w:asciiTheme="majorHAnsi" w:hAnsiTheme="majorHAnsi"/>
                <w:color w:val="000000"/>
                <w:sz w:val="16"/>
                <w:szCs w:val="16"/>
              </w:rPr>
            </w:pPr>
            <w:r w:rsidRPr="006A199E">
              <w:rPr>
                <w:rFonts w:asciiTheme="majorHAnsi" w:hAnsiTheme="majorHAnsi"/>
                <w:color w:val="000000"/>
                <w:sz w:val="16"/>
                <w:szCs w:val="16"/>
              </w:rPr>
              <w:t>Wa</w:t>
            </w:r>
          </w:p>
        </w:tc>
      </w:tr>
      <w:tr w:rsidR="006568BA" w:rsidRPr="006A199E" w:rsidTr="00D70166">
        <w:trPr>
          <w:cantSplit/>
          <w:trHeight w:val="227"/>
        </w:trPr>
        <w:tc>
          <w:tcPr>
            <w:tcW w:w="2163" w:type="pct"/>
            <w:tcBorders>
              <w:top w:val="nil"/>
              <w:left w:val="single" w:sz="8" w:space="0" w:color="auto"/>
              <w:bottom w:val="single" w:sz="4" w:space="0" w:color="auto"/>
              <w:right w:val="single" w:sz="4" w:space="0" w:color="auto"/>
            </w:tcBorders>
            <w:shd w:val="clear" w:color="000000" w:fill="FFFFFF"/>
            <w:vAlign w:val="center"/>
            <w:hideMark/>
          </w:tcPr>
          <w:p w:rsidR="006568BA" w:rsidRPr="006A199E" w:rsidRDefault="006568BA" w:rsidP="006A199E">
            <w:pPr>
              <w:rPr>
                <w:rFonts w:ascii="Cambria" w:hAnsi="Cambria"/>
                <w:sz w:val="16"/>
                <w:szCs w:val="16"/>
              </w:rPr>
            </w:pPr>
            <w:r w:rsidRPr="006A199E">
              <w:rPr>
                <w:rFonts w:ascii="Cambria" w:hAnsi="Cambria"/>
                <w:sz w:val="16"/>
                <w:szCs w:val="16"/>
              </w:rPr>
              <w:t>Доходный</w:t>
            </w:r>
          </w:p>
        </w:tc>
        <w:tc>
          <w:tcPr>
            <w:tcW w:w="694" w:type="pct"/>
            <w:tcBorders>
              <w:top w:val="nil"/>
              <w:left w:val="nil"/>
              <w:bottom w:val="single" w:sz="4" w:space="0" w:color="auto"/>
              <w:right w:val="single" w:sz="4" w:space="0" w:color="auto"/>
            </w:tcBorders>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0,449</w:t>
            </w:r>
          </w:p>
        </w:tc>
        <w:tc>
          <w:tcPr>
            <w:tcW w:w="731" w:type="pct"/>
            <w:tcBorders>
              <w:top w:val="nil"/>
              <w:left w:val="nil"/>
              <w:bottom w:val="single" w:sz="4" w:space="0" w:color="auto"/>
              <w:right w:val="single" w:sz="4" w:space="0" w:color="auto"/>
            </w:tcBorders>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0,449</w:t>
            </w:r>
          </w:p>
        </w:tc>
        <w:tc>
          <w:tcPr>
            <w:tcW w:w="719" w:type="pct"/>
            <w:tcBorders>
              <w:top w:val="nil"/>
              <w:left w:val="nil"/>
              <w:bottom w:val="single" w:sz="4" w:space="0" w:color="auto"/>
              <w:right w:val="single" w:sz="4" w:space="0" w:color="auto"/>
            </w:tcBorders>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0,477</w:t>
            </w:r>
          </w:p>
        </w:tc>
        <w:tc>
          <w:tcPr>
            <w:tcW w:w="693" w:type="pct"/>
            <w:tcBorders>
              <w:top w:val="nil"/>
              <w:left w:val="nil"/>
              <w:bottom w:val="single" w:sz="4" w:space="0" w:color="auto"/>
              <w:right w:val="single" w:sz="8" w:space="0" w:color="auto"/>
            </w:tcBorders>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0,309</w:t>
            </w:r>
          </w:p>
        </w:tc>
      </w:tr>
      <w:tr w:rsidR="006568BA" w:rsidRPr="006A199E" w:rsidTr="00D70166">
        <w:trPr>
          <w:cantSplit/>
          <w:trHeight w:val="227"/>
        </w:trPr>
        <w:tc>
          <w:tcPr>
            <w:tcW w:w="2163" w:type="pct"/>
            <w:tcBorders>
              <w:top w:val="nil"/>
              <w:left w:val="single" w:sz="8" w:space="0" w:color="auto"/>
              <w:bottom w:val="single" w:sz="8" w:space="0" w:color="auto"/>
              <w:right w:val="single" w:sz="4" w:space="0" w:color="auto"/>
            </w:tcBorders>
            <w:shd w:val="clear" w:color="000000" w:fill="FFFFFF"/>
            <w:vAlign w:val="center"/>
            <w:hideMark/>
          </w:tcPr>
          <w:p w:rsidR="006568BA" w:rsidRPr="006A199E" w:rsidRDefault="006568BA" w:rsidP="006A199E">
            <w:pPr>
              <w:rPr>
                <w:rFonts w:ascii="Cambria" w:hAnsi="Cambria"/>
                <w:sz w:val="16"/>
                <w:szCs w:val="16"/>
              </w:rPr>
            </w:pPr>
            <w:r w:rsidRPr="006A199E">
              <w:rPr>
                <w:rFonts w:ascii="Cambria" w:hAnsi="Cambria"/>
                <w:sz w:val="16"/>
                <w:szCs w:val="16"/>
              </w:rPr>
              <w:t>Сравнительный</w:t>
            </w:r>
          </w:p>
        </w:tc>
        <w:tc>
          <w:tcPr>
            <w:tcW w:w="694" w:type="pct"/>
            <w:tcBorders>
              <w:top w:val="nil"/>
              <w:left w:val="nil"/>
              <w:bottom w:val="single" w:sz="4" w:space="0" w:color="auto"/>
              <w:right w:val="single" w:sz="4" w:space="0" w:color="auto"/>
            </w:tcBorders>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0,551</w:t>
            </w:r>
          </w:p>
        </w:tc>
        <w:tc>
          <w:tcPr>
            <w:tcW w:w="731" w:type="pct"/>
            <w:tcBorders>
              <w:top w:val="nil"/>
              <w:left w:val="nil"/>
              <w:bottom w:val="single" w:sz="4" w:space="0" w:color="auto"/>
              <w:right w:val="single" w:sz="4" w:space="0" w:color="auto"/>
            </w:tcBorders>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0,551</w:t>
            </w:r>
          </w:p>
        </w:tc>
        <w:tc>
          <w:tcPr>
            <w:tcW w:w="719" w:type="pct"/>
            <w:tcBorders>
              <w:top w:val="nil"/>
              <w:left w:val="nil"/>
              <w:bottom w:val="single" w:sz="4" w:space="0" w:color="auto"/>
              <w:right w:val="single" w:sz="4" w:space="0" w:color="auto"/>
            </w:tcBorders>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0,523</w:t>
            </w:r>
          </w:p>
        </w:tc>
        <w:tc>
          <w:tcPr>
            <w:tcW w:w="693" w:type="pct"/>
            <w:tcBorders>
              <w:top w:val="nil"/>
              <w:left w:val="nil"/>
              <w:bottom w:val="single" w:sz="4" w:space="0" w:color="auto"/>
              <w:right w:val="single" w:sz="8" w:space="0" w:color="auto"/>
            </w:tcBorders>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0,109</w:t>
            </w:r>
          </w:p>
        </w:tc>
      </w:tr>
      <w:tr w:rsidR="006568BA" w:rsidRPr="006A199E" w:rsidTr="00D70166">
        <w:trPr>
          <w:cantSplit/>
          <w:trHeight w:val="227"/>
        </w:trPr>
        <w:tc>
          <w:tcPr>
            <w:tcW w:w="2163" w:type="pct"/>
            <w:tcBorders>
              <w:top w:val="single" w:sz="4" w:space="0" w:color="auto"/>
              <w:left w:val="single" w:sz="8" w:space="0" w:color="auto"/>
              <w:bottom w:val="single" w:sz="8" w:space="0" w:color="auto"/>
              <w:right w:val="single" w:sz="4" w:space="0" w:color="auto"/>
            </w:tcBorders>
            <w:shd w:val="clear" w:color="auto" w:fill="F2F2F2" w:themeFill="background1" w:themeFillShade="F2"/>
            <w:vAlign w:val="center"/>
            <w:hideMark/>
          </w:tcPr>
          <w:p w:rsidR="006568BA" w:rsidRPr="006A199E" w:rsidRDefault="006568BA" w:rsidP="006A199E">
            <w:pPr>
              <w:rPr>
                <w:rFonts w:ascii="Cambria" w:hAnsi="Cambria"/>
                <w:sz w:val="16"/>
                <w:szCs w:val="16"/>
              </w:rPr>
            </w:pPr>
            <w:r w:rsidRPr="006A199E">
              <w:rPr>
                <w:rFonts w:ascii="Cambria" w:hAnsi="Cambria"/>
                <w:sz w:val="16"/>
                <w:szCs w:val="16"/>
              </w:rPr>
              <w:t> </w:t>
            </w:r>
          </w:p>
        </w:tc>
        <w:tc>
          <w:tcPr>
            <w:tcW w:w="694" w:type="pct"/>
            <w:tcBorders>
              <w:top w:val="nil"/>
              <w:left w:val="nil"/>
              <w:bottom w:val="single" w:sz="8" w:space="0" w:color="auto"/>
              <w:right w:val="single" w:sz="4" w:space="0" w:color="auto"/>
            </w:tcBorders>
            <w:shd w:val="clear" w:color="auto" w:fill="F2F2F2" w:themeFill="background1" w:themeFillShade="F2"/>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 </w:t>
            </w:r>
          </w:p>
        </w:tc>
        <w:tc>
          <w:tcPr>
            <w:tcW w:w="731" w:type="pct"/>
            <w:tcBorders>
              <w:top w:val="nil"/>
              <w:left w:val="nil"/>
              <w:bottom w:val="single" w:sz="8" w:space="0" w:color="auto"/>
              <w:right w:val="single" w:sz="4" w:space="0" w:color="auto"/>
            </w:tcBorders>
            <w:shd w:val="clear" w:color="auto" w:fill="F2F2F2" w:themeFill="background1" w:themeFillShade="F2"/>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 </w:t>
            </w:r>
          </w:p>
        </w:tc>
        <w:tc>
          <w:tcPr>
            <w:tcW w:w="719" w:type="pct"/>
            <w:tcBorders>
              <w:top w:val="nil"/>
              <w:left w:val="nil"/>
              <w:bottom w:val="single" w:sz="8" w:space="0" w:color="auto"/>
              <w:right w:val="single" w:sz="4" w:space="0" w:color="auto"/>
            </w:tcBorders>
            <w:shd w:val="clear" w:color="auto" w:fill="F2F2F2" w:themeFill="background1" w:themeFillShade="F2"/>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 </w:t>
            </w:r>
          </w:p>
        </w:tc>
        <w:tc>
          <w:tcPr>
            <w:tcW w:w="693" w:type="pct"/>
            <w:tcBorders>
              <w:top w:val="nil"/>
              <w:left w:val="nil"/>
              <w:bottom w:val="single" w:sz="8" w:space="0" w:color="auto"/>
              <w:right w:val="single" w:sz="8" w:space="0" w:color="auto"/>
            </w:tcBorders>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0,582</w:t>
            </w:r>
          </w:p>
        </w:tc>
      </w:tr>
      <w:tr w:rsidR="006568BA" w:rsidRPr="006A199E" w:rsidTr="00D70166">
        <w:trPr>
          <w:cantSplit/>
          <w:trHeight w:val="227"/>
        </w:trPr>
        <w:tc>
          <w:tcPr>
            <w:tcW w:w="2163" w:type="pct"/>
            <w:tcBorders>
              <w:top w:val="nil"/>
              <w:left w:val="nil"/>
              <w:bottom w:val="nil"/>
              <w:right w:val="nil"/>
            </w:tcBorders>
            <w:shd w:val="clear" w:color="auto" w:fill="auto"/>
            <w:noWrap/>
            <w:vAlign w:val="bottom"/>
            <w:hideMark/>
          </w:tcPr>
          <w:p w:rsidR="006568BA" w:rsidRPr="006A199E" w:rsidRDefault="006568BA" w:rsidP="006A199E">
            <w:pPr>
              <w:rPr>
                <w:rFonts w:ascii="Bookman Old Style" w:hAnsi="Bookman Old Style"/>
                <w:color w:val="000000"/>
                <w:sz w:val="16"/>
                <w:szCs w:val="16"/>
              </w:rPr>
            </w:pPr>
          </w:p>
        </w:tc>
        <w:tc>
          <w:tcPr>
            <w:tcW w:w="694" w:type="pct"/>
            <w:tcBorders>
              <w:top w:val="nil"/>
              <w:left w:val="nil"/>
              <w:bottom w:val="nil"/>
              <w:right w:val="nil"/>
            </w:tcBorders>
            <w:shd w:val="clear" w:color="auto" w:fill="auto"/>
            <w:noWrap/>
            <w:vAlign w:val="bottom"/>
            <w:hideMark/>
          </w:tcPr>
          <w:p w:rsidR="006568BA" w:rsidRPr="006A199E" w:rsidRDefault="006568BA" w:rsidP="006A199E">
            <w:pPr>
              <w:rPr>
                <w:rFonts w:ascii="Bookman Old Style" w:hAnsi="Bookman Old Style"/>
                <w:color w:val="000000"/>
                <w:sz w:val="16"/>
                <w:szCs w:val="16"/>
              </w:rPr>
            </w:pPr>
          </w:p>
        </w:tc>
        <w:tc>
          <w:tcPr>
            <w:tcW w:w="731" w:type="pct"/>
            <w:tcBorders>
              <w:top w:val="nil"/>
              <w:left w:val="nil"/>
              <w:bottom w:val="nil"/>
              <w:right w:val="nil"/>
            </w:tcBorders>
            <w:shd w:val="clear" w:color="auto" w:fill="auto"/>
            <w:noWrap/>
            <w:vAlign w:val="bottom"/>
            <w:hideMark/>
          </w:tcPr>
          <w:p w:rsidR="006568BA" w:rsidRPr="006A199E" w:rsidRDefault="006568BA" w:rsidP="006A199E">
            <w:pPr>
              <w:rPr>
                <w:rFonts w:ascii="Bookman Old Style" w:hAnsi="Bookman Old Style"/>
                <w:color w:val="000000"/>
                <w:sz w:val="16"/>
                <w:szCs w:val="16"/>
              </w:rPr>
            </w:pPr>
          </w:p>
        </w:tc>
        <w:tc>
          <w:tcPr>
            <w:tcW w:w="719" w:type="pct"/>
            <w:tcBorders>
              <w:top w:val="nil"/>
              <w:left w:val="nil"/>
              <w:bottom w:val="nil"/>
              <w:right w:val="nil"/>
            </w:tcBorders>
            <w:shd w:val="clear" w:color="auto" w:fill="auto"/>
            <w:noWrap/>
            <w:vAlign w:val="bottom"/>
            <w:hideMark/>
          </w:tcPr>
          <w:p w:rsidR="006568BA" w:rsidRPr="006A199E" w:rsidRDefault="006568BA" w:rsidP="006A199E">
            <w:pPr>
              <w:rPr>
                <w:rFonts w:ascii="Bookman Old Style" w:hAnsi="Bookman Old Style"/>
                <w:color w:val="000000"/>
                <w:sz w:val="16"/>
                <w:szCs w:val="16"/>
              </w:rPr>
            </w:pPr>
          </w:p>
        </w:tc>
        <w:tc>
          <w:tcPr>
            <w:tcW w:w="693" w:type="pct"/>
            <w:tcBorders>
              <w:top w:val="nil"/>
              <w:left w:val="nil"/>
              <w:bottom w:val="nil"/>
              <w:right w:val="nil"/>
            </w:tcBorders>
            <w:shd w:val="clear" w:color="auto" w:fill="auto"/>
            <w:noWrap/>
            <w:vAlign w:val="bottom"/>
            <w:hideMark/>
          </w:tcPr>
          <w:p w:rsidR="006568BA" w:rsidRPr="006A199E" w:rsidRDefault="006568BA" w:rsidP="006A199E">
            <w:pPr>
              <w:rPr>
                <w:rFonts w:ascii="Bookman Old Style" w:hAnsi="Bookman Old Style"/>
                <w:color w:val="000000"/>
                <w:sz w:val="16"/>
                <w:szCs w:val="16"/>
              </w:rPr>
            </w:pPr>
          </w:p>
        </w:tc>
      </w:tr>
      <w:tr w:rsidR="006568BA" w:rsidRPr="006A199E" w:rsidTr="00D70166">
        <w:trPr>
          <w:cantSplit/>
          <w:trHeight w:val="227"/>
        </w:trPr>
        <w:tc>
          <w:tcPr>
            <w:tcW w:w="2163" w:type="pct"/>
            <w:tcBorders>
              <w:top w:val="single" w:sz="8" w:space="0" w:color="auto"/>
              <w:left w:val="single" w:sz="8" w:space="0" w:color="auto"/>
              <w:bottom w:val="single" w:sz="4" w:space="0" w:color="auto"/>
              <w:right w:val="single" w:sz="4" w:space="0" w:color="auto"/>
            </w:tcBorders>
            <w:shd w:val="clear" w:color="auto" w:fill="F2F2F2" w:themeFill="background1" w:themeFillShade="F2"/>
            <w:noWrap/>
            <w:vAlign w:val="center"/>
            <w:hideMark/>
          </w:tcPr>
          <w:p w:rsidR="006568BA" w:rsidRPr="006A199E" w:rsidRDefault="006568BA" w:rsidP="006A199E">
            <w:pPr>
              <w:jc w:val="center"/>
              <w:rPr>
                <w:rFonts w:asciiTheme="majorHAnsi" w:hAnsiTheme="majorHAnsi"/>
                <w:color w:val="000000"/>
                <w:sz w:val="16"/>
                <w:szCs w:val="16"/>
              </w:rPr>
            </w:pPr>
            <w:r w:rsidRPr="006A199E">
              <w:rPr>
                <w:rFonts w:asciiTheme="majorHAnsi" w:hAnsiTheme="majorHAnsi"/>
                <w:color w:val="000000"/>
                <w:sz w:val="16"/>
                <w:szCs w:val="16"/>
              </w:rPr>
              <w:t> </w:t>
            </w:r>
          </w:p>
        </w:tc>
        <w:tc>
          <w:tcPr>
            <w:tcW w:w="694" w:type="pct"/>
            <w:tcBorders>
              <w:top w:val="single" w:sz="8" w:space="0" w:color="auto"/>
              <w:left w:val="nil"/>
              <w:bottom w:val="single" w:sz="4" w:space="0" w:color="auto"/>
              <w:right w:val="single" w:sz="4" w:space="0" w:color="auto"/>
            </w:tcBorders>
            <w:shd w:val="clear" w:color="auto" w:fill="F2F2F2" w:themeFill="background1" w:themeFillShade="F2"/>
            <w:noWrap/>
            <w:vAlign w:val="center"/>
            <w:hideMark/>
          </w:tcPr>
          <w:p w:rsidR="006568BA" w:rsidRPr="006A199E" w:rsidRDefault="006568BA" w:rsidP="006A199E">
            <w:pPr>
              <w:jc w:val="center"/>
              <w:rPr>
                <w:rFonts w:asciiTheme="majorHAnsi" w:hAnsiTheme="majorHAnsi"/>
                <w:color w:val="000000"/>
                <w:sz w:val="16"/>
                <w:szCs w:val="16"/>
              </w:rPr>
            </w:pPr>
            <w:r w:rsidRPr="006A199E">
              <w:rPr>
                <w:rFonts w:asciiTheme="majorHAnsi" w:hAnsiTheme="majorHAnsi"/>
                <w:color w:val="000000"/>
                <w:sz w:val="16"/>
                <w:szCs w:val="16"/>
              </w:rPr>
              <w:t>W4</w:t>
            </w:r>
          </w:p>
        </w:tc>
        <w:tc>
          <w:tcPr>
            <w:tcW w:w="731" w:type="pct"/>
            <w:tcBorders>
              <w:top w:val="single" w:sz="8" w:space="0" w:color="auto"/>
              <w:left w:val="nil"/>
              <w:bottom w:val="single" w:sz="4" w:space="0" w:color="auto"/>
              <w:right w:val="single" w:sz="4" w:space="0" w:color="auto"/>
            </w:tcBorders>
            <w:shd w:val="clear" w:color="auto" w:fill="F2F2F2" w:themeFill="background1" w:themeFillShade="F2"/>
            <w:noWrap/>
            <w:vAlign w:val="center"/>
            <w:hideMark/>
          </w:tcPr>
          <w:p w:rsidR="006568BA" w:rsidRPr="006A199E" w:rsidRDefault="006568BA" w:rsidP="006A199E">
            <w:pPr>
              <w:jc w:val="center"/>
              <w:rPr>
                <w:rFonts w:asciiTheme="majorHAnsi" w:hAnsiTheme="majorHAnsi"/>
                <w:color w:val="000000"/>
                <w:sz w:val="16"/>
                <w:szCs w:val="16"/>
              </w:rPr>
            </w:pPr>
            <w:r w:rsidRPr="006A199E">
              <w:rPr>
                <w:rFonts w:asciiTheme="majorHAnsi" w:hAnsiTheme="majorHAnsi"/>
                <w:color w:val="000000"/>
                <w:sz w:val="16"/>
                <w:szCs w:val="16"/>
              </w:rPr>
              <w:t>W5</w:t>
            </w:r>
          </w:p>
        </w:tc>
        <w:tc>
          <w:tcPr>
            <w:tcW w:w="719" w:type="pct"/>
            <w:tcBorders>
              <w:top w:val="single" w:sz="8" w:space="0" w:color="auto"/>
              <w:left w:val="nil"/>
              <w:bottom w:val="single" w:sz="4" w:space="0" w:color="auto"/>
              <w:right w:val="single" w:sz="4" w:space="0" w:color="auto"/>
            </w:tcBorders>
            <w:shd w:val="clear" w:color="auto" w:fill="F2F2F2" w:themeFill="background1" w:themeFillShade="F2"/>
            <w:noWrap/>
            <w:vAlign w:val="center"/>
            <w:hideMark/>
          </w:tcPr>
          <w:p w:rsidR="006568BA" w:rsidRPr="006A199E" w:rsidRDefault="006568BA" w:rsidP="006A199E">
            <w:pPr>
              <w:jc w:val="center"/>
              <w:rPr>
                <w:rFonts w:asciiTheme="majorHAnsi" w:hAnsiTheme="majorHAnsi"/>
                <w:color w:val="000000"/>
                <w:sz w:val="16"/>
                <w:szCs w:val="16"/>
              </w:rPr>
            </w:pPr>
            <w:r w:rsidRPr="006A199E">
              <w:rPr>
                <w:rFonts w:asciiTheme="majorHAnsi" w:hAnsiTheme="majorHAnsi"/>
                <w:color w:val="000000"/>
                <w:sz w:val="16"/>
                <w:szCs w:val="16"/>
              </w:rPr>
              <w:t>W6</w:t>
            </w:r>
          </w:p>
        </w:tc>
        <w:tc>
          <w:tcPr>
            <w:tcW w:w="693" w:type="pct"/>
            <w:tcBorders>
              <w:top w:val="single" w:sz="8" w:space="0" w:color="auto"/>
              <w:left w:val="nil"/>
              <w:bottom w:val="single" w:sz="4" w:space="0" w:color="auto"/>
              <w:right w:val="single" w:sz="8" w:space="0" w:color="auto"/>
            </w:tcBorders>
            <w:shd w:val="clear" w:color="auto" w:fill="F2F2F2" w:themeFill="background1" w:themeFillShade="F2"/>
            <w:noWrap/>
            <w:vAlign w:val="center"/>
            <w:hideMark/>
          </w:tcPr>
          <w:p w:rsidR="006568BA" w:rsidRPr="006A199E" w:rsidRDefault="006568BA" w:rsidP="006A199E">
            <w:pPr>
              <w:jc w:val="center"/>
              <w:rPr>
                <w:rFonts w:asciiTheme="majorHAnsi" w:hAnsiTheme="majorHAnsi"/>
                <w:color w:val="000000"/>
                <w:sz w:val="16"/>
                <w:szCs w:val="16"/>
              </w:rPr>
            </w:pPr>
            <w:r w:rsidRPr="006A199E">
              <w:rPr>
                <w:rFonts w:asciiTheme="majorHAnsi" w:hAnsiTheme="majorHAnsi"/>
                <w:color w:val="000000"/>
                <w:sz w:val="16"/>
                <w:szCs w:val="16"/>
              </w:rPr>
              <w:t>Wb</w:t>
            </w:r>
          </w:p>
        </w:tc>
      </w:tr>
      <w:tr w:rsidR="006568BA" w:rsidRPr="006A199E" w:rsidTr="00D70166">
        <w:trPr>
          <w:cantSplit/>
          <w:trHeight w:val="227"/>
        </w:trPr>
        <w:tc>
          <w:tcPr>
            <w:tcW w:w="2163" w:type="pct"/>
            <w:tcBorders>
              <w:top w:val="nil"/>
              <w:left w:val="single" w:sz="8" w:space="0" w:color="auto"/>
              <w:bottom w:val="single" w:sz="4" w:space="0" w:color="auto"/>
              <w:right w:val="single" w:sz="4" w:space="0" w:color="auto"/>
            </w:tcBorders>
            <w:shd w:val="clear" w:color="000000" w:fill="FFFFFF"/>
            <w:vAlign w:val="center"/>
            <w:hideMark/>
          </w:tcPr>
          <w:p w:rsidR="006568BA" w:rsidRPr="006A199E" w:rsidRDefault="006568BA" w:rsidP="006A199E">
            <w:pPr>
              <w:rPr>
                <w:rFonts w:ascii="Cambria" w:hAnsi="Cambria"/>
                <w:sz w:val="16"/>
                <w:szCs w:val="16"/>
              </w:rPr>
            </w:pPr>
            <w:r w:rsidRPr="006A199E">
              <w:rPr>
                <w:rFonts w:ascii="Cambria" w:hAnsi="Cambria"/>
                <w:sz w:val="16"/>
                <w:szCs w:val="16"/>
              </w:rPr>
              <w:t>Доходный</w:t>
            </w:r>
          </w:p>
        </w:tc>
        <w:tc>
          <w:tcPr>
            <w:tcW w:w="694" w:type="pct"/>
            <w:tcBorders>
              <w:top w:val="nil"/>
              <w:left w:val="nil"/>
              <w:bottom w:val="single" w:sz="4" w:space="0" w:color="auto"/>
              <w:right w:val="single" w:sz="4" w:space="0" w:color="auto"/>
            </w:tcBorders>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0,500</w:t>
            </w:r>
          </w:p>
        </w:tc>
        <w:tc>
          <w:tcPr>
            <w:tcW w:w="731" w:type="pct"/>
            <w:tcBorders>
              <w:top w:val="nil"/>
              <w:left w:val="nil"/>
              <w:bottom w:val="single" w:sz="4" w:space="0" w:color="auto"/>
              <w:right w:val="single" w:sz="4" w:space="0" w:color="auto"/>
            </w:tcBorders>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0,464</w:t>
            </w:r>
          </w:p>
        </w:tc>
        <w:tc>
          <w:tcPr>
            <w:tcW w:w="719" w:type="pct"/>
            <w:tcBorders>
              <w:top w:val="nil"/>
              <w:left w:val="nil"/>
              <w:bottom w:val="single" w:sz="4" w:space="0" w:color="auto"/>
              <w:right w:val="single" w:sz="4" w:space="0" w:color="auto"/>
            </w:tcBorders>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0,464</w:t>
            </w:r>
          </w:p>
        </w:tc>
        <w:tc>
          <w:tcPr>
            <w:tcW w:w="693" w:type="pct"/>
            <w:tcBorders>
              <w:top w:val="nil"/>
              <w:left w:val="nil"/>
              <w:bottom w:val="single" w:sz="4" w:space="0" w:color="auto"/>
              <w:right w:val="single" w:sz="8" w:space="0" w:color="auto"/>
            </w:tcBorders>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0,286</w:t>
            </w:r>
          </w:p>
        </w:tc>
      </w:tr>
      <w:tr w:rsidR="006568BA" w:rsidRPr="006A199E" w:rsidTr="00D70166">
        <w:trPr>
          <w:cantSplit/>
          <w:trHeight w:val="227"/>
        </w:trPr>
        <w:tc>
          <w:tcPr>
            <w:tcW w:w="2163" w:type="pct"/>
            <w:tcBorders>
              <w:top w:val="nil"/>
              <w:left w:val="single" w:sz="8" w:space="0" w:color="auto"/>
              <w:bottom w:val="single" w:sz="8" w:space="0" w:color="auto"/>
              <w:right w:val="single" w:sz="4" w:space="0" w:color="auto"/>
            </w:tcBorders>
            <w:shd w:val="clear" w:color="000000" w:fill="FFFFFF"/>
            <w:vAlign w:val="center"/>
            <w:hideMark/>
          </w:tcPr>
          <w:p w:rsidR="006568BA" w:rsidRPr="006A199E" w:rsidRDefault="006568BA" w:rsidP="006A199E">
            <w:pPr>
              <w:rPr>
                <w:rFonts w:ascii="Cambria" w:hAnsi="Cambria"/>
                <w:sz w:val="16"/>
                <w:szCs w:val="16"/>
              </w:rPr>
            </w:pPr>
            <w:r w:rsidRPr="006A199E">
              <w:rPr>
                <w:rFonts w:ascii="Cambria" w:hAnsi="Cambria"/>
                <w:sz w:val="16"/>
                <w:szCs w:val="16"/>
              </w:rPr>
              <w:t>Сравнительный</w:t>
            </w:r>
          </w:p>
        </w:tc>
        <w:tc>
          <w:tcPr>
            <w:tcW w:w="694" w:type="pct"/>
            <w:tcBorders>
              <w:top w:val="nil"/>
              <w:left w:val="nil"/>
              <w:bottom w:val="single" w:sz="4" w:space="0" w:color="auto"/>
              <w:right w:val="single" w:sz="4" w:space="0" w:color="auto"/>
            </w:tcBorders>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0,500</w:t>
            </w:r>
          </w:p>
        </w:tc>
        <w:tc>
          <w:tcPr>
            <w:tcW w:w="731" w:type="pct"/>
            <w:tcBorders>
              <w:top w:val="nil"/>
              <w:left w:val="nil"/>
              <w:bottom w:val="single" w:sz="4" w:space="0" w:color="auto"/>
              <w:right w:val="single" w:sz="4" w:space="0" w:color="auto"/>
            </w:tcBorders>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0,536</w:t>
            </w:r>
          </w:p>
        </w:tc>
        <w:tc>
          <w:tcPr>
            <w:tcW w:w="719" w:type="pct"/>
            <w:tcBorders>
              <w:top w:val="nil"/>
              <w:left w:val="nil"/>
              <w:bottom w:val="single" w:sz="4" w:space="0" w:color="auto"/>
              <w:right w:val="single" w:sz="4" w:space="0" w:color="auto"/>
            </w:tcBorders>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0,536</w:t>
            </w:r>
          </w:p>
        </w:tc>
        <w:tc>
          <w:tcPr>
            <w:tcW w:w="693" w:type="pct"/>
            <w:tcBorders>
              <w:top w:val="nil"/>
              <w:left w:val="nil"/>
              <w:bottom w:val="single" w:sz="4" w:space="0" w:color="auto"/>
              <w:right w:val="single" w:sz="8" w:space="0" w:color="auto"/>
            </w:tcBorders>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0,571</w:t>
            </w:r>
          </w:p>
        </w:tc>
      </w:tr>
      <w:tr w:rsidR="006568BA" w:rsidRPr="006A199E" w:rsidTr="00D70166">
        <w:trPr>
          <w:cantSplit/>
          <w:trHeight w:val="227"/>
        </w:trPr>
        <w:tc>
          <w:tcPr>
            <w:tcW w:w="2163" w:type="pct"/>
            <w:tcBorders>
              <w:top w:val="single" w:sz="4" w:space="0" w:color="auto"/>
              <w:left w:val="single" w:sz="8" w:space="0" w:color="auto"/>
              <w:bottom w:val="single" w:sz="8" w:space="0" w:color="auto"/>
              <w:right w:val="single" w:sz="4" w:space="0" w:color="auto"/>
            </w:tcBorders>
            <w:shd w:val="clear" w:color="auto" w:fill="F2F2F2" w:themeFill="background1" w:themeFillShade="F2"/>
            <w:vAlign w:val="center"/>
            <w:hideMark/>
          </w:tcPr>
          <w:p w:rsidR="006568BA" w:rsidRPr="006A199E" w:rsidRDefault="006568BA" w:rsidP="006A199E">
            <w:pPr>
              <w:rPr>
                <w:rFonts w:ascii="Cambria" w:hAnsi="Cambria"/>
                <w:sz w:val="16"/>
                <w:szCs w:val="16"/>
              </w:rPr>
            </w:pPr>
            <w:r w:rsidRPr="006A199E">
              <w:rPr>
                <w:rFonts w:ascii="Cambria" w:hAnsi="Cambria"/>
                <w:sz w:val="16"/>
                <w:szCs w:val="16"/>
              </w:rPr>
              <w:t> </w:t>
            </w:r>
          </w:p>
        </w:tc>
        <w:tc>
          <w:tcPr>
            <w:tcW w:w="694" w:type="pct"/>
            <w:tcBorders>
              <w:top w:val="nil"/>
              <w:left w:val="nil"/>
              <w:bottom w:val="single" w:sz="8" w:space="0" w:color="auto"/>
              <w:right w:val="single" w:sz="4" w:space="0" w:color="auto"/>
            </w:tcBorders>
            <w:shd w:val="clear" w:color="auto" w:fill="F2F2F2" w:themeFill="background1" w:themeFillShade="F2"/>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 </w:t>
            </w:r>
          </w:p>
        </w:tc>
        <w:tc>
          <w:tcPr>
            <w:tcW w:w="731" w:type="pct"/>
            <w:tcBorders>
              <w:top w:val="nil"/>
              <w:left w:val="nil"/>
              <w:bottom w:val="single" w:sz="8" w:space="0" w:color="auto"/>
              <w:right w:val="single" w:sz="4" w:space="0" w:color="auto"/>
            </w:tcBorders>
            <w:shd w:val="clear" w:color="auto" w:fill="F2F2F2" w:themeFill="background1" w:themeFillShade="F2"/>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 </w:t>
            </w:r>
          </w:p>
        </w:tc>
        <w:tc>
          <w:tcPr>
            <w:tcW w:w="719" w:type="pct"/>
            <w:tcBorders>
              <w:top w:val="nil"/>
              <w:left w:val="nil"/>
              <w:bottom w:val="single" w:sz="8" w:space="0" w:color="auto"/>
              <w:right w:val="single" w:sz="4" w:space="0" w:color="auto"/>
            </w:tcBorders>
            <w:shd w:val="clear" w:color="auto" w:fill="F2F2F2" w:themeFill="background1" w:themeFillShade="F2"/>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 </w:t>
            </w:r>
          </w:p>
        </w:tc>
        <w:tc>
          <w:tcPr>
            <w:tcW w:w="693" w:type="pct"/>
            <w:tcBorders>
              <w:top w:val="nil"/>
              <w:left w:val="nil"/>
              <w:bottom w:val="single" w:sz="8" w:space="0" w:color="auto"/>
              <w:right w:val="single" w:sz="8" w:space="0" w:color="auto"/>
            </w:tcBorders>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0,143</w:t>
            </w:r>
          </w:p>
        </w:tc>
      </w:tr>
      <w:tr w:rsidR="006568BA" w:rsidRPr="006A199E" w:rsidTr="00D70166">
        <w:trPr>
          <w:cantSplit/>
          <w:trHeight w:val="227"/>
        </w:trPr>
        <w:tc>
          <w:tcPr>
            <w:tcW w:w="2163" w:type="pct"/>
            <w:tcBorders>
              <w:top w:val="nil"/>
              <w:left w:val="nil"/>
              <w:bottom w:val="nil"/>
              <w:right w:val="nil"/>
            </w:tcBorders>
            <w:shd w:val="clear" w:color="auto" w:fill="auto"/>
            <w:noWrap/>
            <w:vAlign w:val="bottom"/>
            <w:hideMark/>
          </w:tcPr>
          <w:p w:rsidR="006568BA" w:rsidRPr="006A199E" w:rsidRDefault="006568BA" w:rsidP="006A199E">
            <w:pPr>
              <w:rPr>
                <w:rFonts w:ascii="Bookman Old Style" w:hAnsi="Bookman Old Style"/>
                <w:color w:val="000000"/>
                <w:sz w:val="16"/>
                <w:szCs w:val="16"/>
              </w:rPr>
            </w:pPr>
          </w:p>
        </w:tc>
        <w:tc>
          <w:tcPr>
            <w:tcW w:w="694" w:type="pct"/>
            <w:tcBorders>
              <w:top w:val="nil"/>
              <w:left w:val="nil"/>
              <w:bottom w:val="nil"/>
              <w:right w:val="nil"/>
            </w:tcBorders>
            <w:shd w:val="clear" w:color="auto" w:fill="auto"/>
            <w:noWrap/>
            <w:vAlign w:val="bottom"/>
            <w:hideMark/>
          </w:tcPr>
          <w:p w:rsidR="006568BA" w:rsidRPr="006A199E" w:rsidRDefault="006568BA" w:rsidP="006A199E">
            <w:pPr>
              <w:rPr>
                <w:rFonts w:ascii="Bookman Old Style" w:hAnsi="Bookman Old Style"/>
                <w:color w:val="000000"/>
                <w:sz w:val="16"/>
                <w:szCs w:val="16"/>
              </w:rPr>
            </w:pPr>
          </w:p>
        </w:tc>
        <w:tc>
          <w:tcPr>
            <w:tcW w:w="731" w:type="pct"/>
            <w:tcBorders>
              <w:top w:val="nil"/>
              <w:left w:val="nil"/>
              <w:bottom w:val="nil"/>
              <w:right w:val="nil"/>
            </w:tcBorders>
            <w:shd w:val="clear" w:color="auto" w:fill="auto"/>
            <w:noWrap/>
            <w:vAlign w:val="bottom"/>
            <w:hideMark/>
          </w:tcPr>
          <w:p w:rsidR="006568BA" w:rsidRPr="006A199E" w:rsidRDefault="006568BA" w:rsidP="006A199E">
            <w:pPr>
              <w:rPr>
                <w:rFonts w:ascii="Bookman Old Style" w:hAnsi="Bookman Old Style"/>
                <w:color w:val="000000"/>
                <w:sz w:val="16"/>
                <w:szCs w:val="16"/>
              </w:rPr>
            </w:pPr>
          </w:p>
        </w:tc>
        <w:tc>
          <w:tcPr>
            <w:tcW w:w="719" w:type="pct"/>
            <w:tcBorders>
              <w:top w:val="nil"/>
              <w:left w:val="nil"/>
              <w:bottom w:val="nil"/>
              <w:right w:val="nil"/>
            </w:tcBorders>
            <w:shd w:val="clear" w:color="auto" w:fill="auto"/>
            <w:noWrap/>
            <w:vAlign w:val="bottom"/>
            <w:hideMark/>
          </w:tcPr>
          <w:p w:rsidR="006568BA" w:rsidRPr="006A199E" w:rsidRDefault="006568BA" w:rsidP="006A199E">
            <w:pPr>
              <w:rPr>
                <w:rFonts w:ascii="Bookman Old Style" w:hAnsi="Bookman Old Style"/>
                <w:color w:val="000000"/>
                <w:sz w:val="16"/>
                <w:szCs w:val="16"/>
              </w:rPr>
            </w:pPr>
          </w:p>
        </w:tc>
        <w:tc>
          <w:tcPr>
            <w:tcW w:w="693" w:type="pct"/>
            <w:tcBorders>
              <w:top w:val="nil"/>
              <w:left w:val="nil"/>
              <w:bottom w:val="nil"/>
              <w:right w:val="nil"/>
            </w:tcBorders>
            <w:shd w:val="clear" w:color="auto" w:fill="auto"/>
            <w:noWrap/>
            <w:vAlign w:val="bottom"/>
            <w:hideMark/>
          </w:tcPr>
          <w:p w:rsidR="006568BA" w:rsidRPr="006A199E" w:rsidRDefault="006568BA" w:rsidP="006A199E">
            <w:pPr>
              <w:rPr>
                <w:rFonts w:ascii="Bookman Old Style" w:hAnsi="Bookman Old Style"/>
                <w:color w:val="000000"/>
                <w:sz w:val="16"/>
                <w:szCs w:val="16"/>
              </w:rPr>
            </w:pPr>
          </w:p>
        </w:tc>
      </w:tr>
      <w:tr w:rsidR="006568BA" w:rsidRPr="006A199E" w:rsidTr="00D70166">
        <w:trPr>
          <w:cantSplit/>
          <w:trHeight w:val="227"/>
        </w:trPr>
        <w:tc>
          <w:tcPr>
            <w:tcW w:w="2163" w:type="pct"/>
            <w:tcBorders>
              <w:top w:val="single" w:sz="8" w:space="0" w:color="auto"/>
              <w:left w:val="single" w:sz="8" w:space="0" w:color="auto"/>
              <w:bottom w:val="single" w:sz="4" w:space="0" w:color="auto"/>
              <w:right w:val="single" w:sz="4" w:space="0" w:color="auto"/>
            </w:tcBorders>
            <w:shd w:val="clear" w:color="auto" w:fill="F2F2F2" w:themeFill="background1" w:themeFillShade="F2"/>
            <w:noWrap/>
            <w:vAlign w:val="center"/>
            <w:hideMark/>
          </w:tcPr>
          <w:p w:rsidR="006568BA" w:rsidRPr="006A199E" w:rsidRDefault="006568BA" w:rsidP="006A199E">
            <w:pPr>
              <w:jc w:val="center"/>
              <w:rPr>
                <w:rFonts w:asciiTheme="majorHAnsi" w:hAnsiTheme="majorHAnsi"/>
                <w:b/>
                <w:bCs/>
                <w:color w:val="000000"/>
                <w:sz w:val="16"/>
                <w:szCs w:val="16"/>
              </w:rPr>
            </w:pPr>
            <w:r w:rsidRPr="006A199E">
              <w:rPr>
                <w:rFonts w:asciiTheme="majorHAnsi" w:hAnsiTheme="majorHAnsi"/>
                <w:b/>
                <w:bCs/>
                <w:color w:val="000000"/>
                <w:sz w:val="16"/>
                <w:szCs w:val="16"/>
              </w:rPr>
              <w:t> </w:t>
            </w:r>
          </w:p>
        </w:tc>
        <w:tc>
          <w:tcPr>
            <w:tcW w:w="694" w:type="pct"/>
            <w:tcBorders>
              <w:top w:val="single" w:sz="8" w:space="0" w:color="auto"/>
              <w:left w:val="nil"/>
              <w:bottom w:val="single" w:sz="4" w:space="0" w:color="auto"/>
              <w:right w:val="single" w:sz="4" w:space="0" w:color="auto"/>
            </w:tcBorders>
            <w:shd w:val="clear" w:color="auto" w:fill="F2F2F2" w:themeFill="background1" w:themeFillShade="F2"/>
            <w:noWrap/>
            <w:vAlign w:val="center"/>
            <w:hideMark/>
          </w:tcPr>
          <w:p w:rsidR="006568BA" w:rsidRPr="006A199E" w:rsidRDefault="006568BA" w:rsidP="006A199E">
            <w:pPr>
              <w:jc w:val="center"/>
              <w:rPr>
                <w:rFonts w:asciiTheme="majorHAnsi" w:hAnsiTheme="majorHAnsi"/>
                <w:b/>
                <w:bCs/>
                <w:color w:val="000000"/>
                <w:sz w:val="16"/>
                <w:szCs w:val="16"/>
              </w:rPr>
            </w:pPr>
            <w:r w:rsidRPr="006A199E">
              <w:rPr>
                <w:rFonts w:asciiTheme="majorHAnsi" w:hAnsiTheme="majorHAnsi"/>
                <w:b/>
                <w:bCs/>
                <w:color w:val="000000"/>
                <w:sz w:val="16"/>
                <w:szCs w:val="16"/>
              </w:rPr>
              <w:t>Wi</w:t>
            </w:r>
          </w:p>
        </w:tc>
        <w:tc>
          <w:tcPr>
            <w:tcW w:w="731" w:type="pct"/>
            <w:tcBorders>
              <w:top w:val="single" w:sz="8" w:space="0" w:color="auto"/>
              <w:left w:val="nil"/>
              <w:bottom w:val="single" w:sz="4" w:space="0" w:color="auto"/>
              <w:right w:val="single" w:sz="4" w:space="0" w:color="auto"/>
            </w:tcBorders>
            <w:shd w:val="clear" w:color="auto" w:fill="F2F2F2" w:themeFill="background1" w:themeFillShade="F2"/>
            <w:noWrap/>
            <w:vAlign w:val="center"/>
            <w:hideMark/>
          </w:tcPr>
          <w:p w:rsidR="006568BA" w:rsidRPr="006A199E" w:rsidRDefault="006568BA" w:rsidP="006A199E">
            <w:pPr>
              <w:jc w:val="center"/>
              <w:rPr>
                <w:rFonts w:asciiTheme="majorHAnsi" w:hAnsiTheme="majorHAnsi"/>
                <w:b/>
                <w:bCs/>
                <w:color w:val="000000"/>
                <w:sz w:val="16"/>
                <w:szCs w:val="16"/>
              </w:rPr>
            </w:pPr>
            <w:r w:rsidRPr="006A199E">
              <w:rPr>
                <w:rFonts w:asciiTheme="majorHAnsi" w:hAnsiTheme="majorHAnsi"/>
                <w:b/>
                <w:bCs/>
                <w:color w:val="000000"/>
                <w:sz w:val="16"/>
                <w:szCs w:val="16"/>
              </w:rPr>
              <w:t>Wm</w:t>
            </w:r>
          </w:p>
        </w:tc>
        <w:tc>
          <w:tcPr>
            <w:tcW w:w="719" w:type="pct"/>
            <w:tcBorders>
              <w:top w:val="single" w:sz="8" w:space="0" w:color="auto"/>
              <w:left w:val="nil"/>
              <w:bottom w:val="single" w:sz="4" w:space="0" w:color="auto"/>
              <w:right w:val="single" w:sz="4" w:space="0" w:color="auto"/>
            </w:tcBorders>
            <w:shd w:val="clear" w:color="auto" w:fill="F2F2F2" w:themeFill="background1" w:themeFillShade="F2"/>
            <w:noWrap/>
            <w:vAlign w:val="center"/>
            <w:hideMark/>
          </w:tcPr>
          <w:p w:rsidR="006568BA" w:rsidRPr="006A199E" w:rsidRDefault="006568BA" w:rsidP="006A199E">
            <w:pPr>
              <w:jc w:val="center"/>
              <w:rPr>
                <w:rFonts w:asciiTheme="majorHAnsi" w:hAnsiTheme="majorHAnsi"/>
                <w:b/>
                <w:bCs/>
                <w:color w:val="000000"/>
                <w:sz w:val="16"/>
                <w:szCs w:val="16"/>
              </w:rPr>
            </w:pPr>
            <w:r w:rsidRPr="006A199E">
              <w:rPr>
                <w:rFonts w:asciiTheme="majorHAnsi" w:hAnsiTheme="majorHAnsi"/>
                <w:b/>
                <w:bCs/>
                <w:color w:val="000000"/>
                <w:sz w:val="16"/>
                <w:szCs w:val="16"/>
              </w:rPr>
              <w:t>Wc</w:t>
            </w:r>
          </w:p>
        </w:tc>
        <w:tc>
          <w:tcPr>
            <w:tcW w:w="693" w:type="pct"/>
            <w:tcBorders>
              <w:top w:val="single" w:sz="8" w:space="0" w:color="auto"/>
              <w:left w:val="nil"/>
              <w:bottom w:val="single" w:sz="4" w:space="0" w:color="auto"/>
              <w:right w:val="single" w:sz="8" w:space="0" w:color="auto"/>
            </w:tcBorders>
            <w:shd w:val="clear" w:color="auto" w:fill="F2F2F2" w:themeFill="background1" w:themeFillShade="F2"/>
            <w:vAlign w:val="center"/>
            <w:hideMark/>
          </w:tcPr>
          <w:p w:rsidR="006568BA" w:rsidRPr="006A199E" w:rsidRDefault="006568BA" w:rsidP="006A199E">
            <w:pPr>
              <w:jc w:val="center"/>
              <w:rPr>
                <w:rFonts w:asciiTheme="majorHAnsi" w:hAnsiTheme="majorHAnsi"/>
                <w:b/>
                <w:bCs/>
                <w:color w:val="000000"/>
                <w:sz w:val="16"/>
                <w:szCs w:val="16"/>
              </w:rPr>
            </w:pPr>
            <w:r w:rsidRPr="006A199E">
              <w:rPr>
                <w:rFonts w:asciiTheme="majorHAnsi" w:hAnsiTheme="majorHAnsi"/>
                <w:b/>
                <w:bCs/>
                <w:color w:val="000000"/>
                <w:sz w:val="16"/>
                <w:szCs w:val="16"/>
              </w:rPr>
              <w:t>Весовые значения подходов</w:t>
            </w:r>
          </w:p>
        </w:tc>
      </w:tr>
      <w:tr w:rsidR="006568BA" w:rsidRPr="006A199E" w:rsidTr="00D70166">
        <w:trPr>
          <w:cantSplit/>
          <w:trHeight w:val="227"/>
        </w:trPr>
        <w:tc>
          <w:tcPr>
            <w:tcW w:w="2163" w:type="pct"/>
            <w:tcBorders>
              <w:top w:val="nil"/>
              <w:left w:val="single" w:sz="8" w:space="0" w:color="auto"/>
              <w:bottom w:val="single" w:sz="4" w:space="0" w:color="auto"/>
              <w:right w:val="single" w:sz="4" w:space="0" w:color="auto"/>
            </w:tcBorders>
            <w:shd w:val="clear" w:color="000000" w:fill="FFFFFF"/>
            <w:vAlign w:val="center"/>
            <w:hideMark/>
          </w:tcPr>
          <w:p w:rsidR="006568BA" w:rsidRPr="006A199E" w:rsidRDefault="006568BA" w:rsidP="006A199E">
            <w:pPr>
              <w:rPr>
                <w:rFonts w:ascii="Cambria" w:hAnsi="Cambria"/>
                <w:sz w:val="16"/>
                <w:szCs w:val="16"/>
              </w:rPr>
            </w:pPr>
            <w:r w:rsidRPr="006A199E">
              <w:rPr>
                <w:rFonts w:ascii="Cambria" w:hAnsi="Cambria"/>
                <w:sz w:val="16"/>
                <w:szCs w:val="16"/>
              </w:rPr>
              <w:t>Доходный</w:t>
            </w:r>
          </w:p>
        </w:tc>
        <w:tc>
          <w:tcPr>
            <w:tcW w:w="694" w:type="pct"/>
            <w:tcBorders>
              <w:top w:val="nil"/>
              <w:left w:val="nil"/>
              <w:bottom w:val="single" w:sz="4" w:space="0" w:color="auto"/>
              <w:right w:val="single" w:sz="4" w:space="0" w:color="auto"/>
            </w:tcBorders>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0,466</w:t>
            </w:r>
          </w:p>
        </w:tc>
        <w:tc>
          <w:tcPr>
            <w:tcW w:w="731" w:type="pct"/>
            <w:tcBorders>
              <w:top w:val="nil"/>
              <w:left w:val="nil"/>
              <w:bottom w:val="single" w:sz="4" w:space="0" w:color="auto"/>
              <w:right w:val="single" w:sz="4" w:space="0" w:color="auto"/>
            </w:tcBorders>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0,474</w:t>
            </w:r>
          </w:p>
        </w:tc>
        <w:tc>
          <w:tcPr>
            <w:tcW w:w="719" w:type="pct"/>
            <w:tcBorders>
              <w:top w:val="nil"/>
              <w:left w:val="nil"/>
              <w:bottom w:val="single" w:sz="4" w:space="0" w:color="auto"/>
              <w:right w:val="single" w:sz="4" w:space="0" w:color="auto"/>
            </w:tcBorders>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0,365</w:t>
            </w:r>
          </w:p>
        </w:tc>
        <w:tc>
          <w:tcPr>
            <w:tcW w:w="693" w:type="pct"/>
            <w:tcBorders>
              <w:top w:val="nil"/>
              <w:left w:val="nil"/>
              <w:bottom w:val="single" w:sz="4" w:space="0" w:color="auto"/>
              <w:right w:val="single" w:sz="8" w:space="0" w:color="auto"/>
            </w:tcBorders>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0,47</w:t>
            </w:r>
          </w:p>
        </w:tc>
      </w:tr>
      <w:tr w:rsidR="006568BA" w:rsidRPr="006A199E" w:rsidTr="00D70166">
        <w:trPr>
          <w:cantSplit/>
          <w:trHeight w:val="227"/>
        </w:trPr>
        <w:tc>
          <w:tcPr>
            <w:tcW w:w="2163" w:type="pct"/>
            <w:tcBorders>
              <w:top w:val="nil"/>
              <w:left w:val="single" w:sz="8" w:space="0" w:color="auto"/>
              <w:bottom w:val="single" w:sz="8" w:space="0" w:color="auto"/>
              <w:right w:val="single" w:sz="4" w:space="0" w:color="auto"/>
            </w:tcBorders>
            <w:shd w:val="clear" w:color="000000" w:fill="FFFFFF"/>
            <w:vAlign w:val="center"/>
            <w:hideMark/>
          </w:tcPr>
          <w:p w:rsidR="006568BA" w:rsidRPr="006A199E" w:rsidRDefault="006568BA" w:rsidP="006A199E">
            <w:pPr>
              <w:rPr>
                <w:rFonts w:ascii="Cambria" w:hAnsi="Cambria"/>
                <w:sz w:val="16"/>
                <w:szCs w:val="16"/>
              </w:rPr>
            </w:pPr>
            <w:r w:rsidRPr="006A199E">
              <w:rPr>
                <w:rFonts w:ascii="Cambria" w:hAnsi="Cambria"/>
                <w:sz w:val="16"/>
                <w:szCs w:val="16"/>
              </w:rPr>
              <w:t>Сравнительный</w:t>
            </w:r>
          </w:p>
        </w:tc>
        <w:tc>
          <w:tcPr>
            <w:tcW w:w="694" w:type="pct"/>
            <w:tcBorders>
              <w:top w:val="nil"/>
              <w:left w:val="nil"/>
              <w:bottom w:val="single" w:sz="4" w:space="0" w:color="auto"/>
              <w:right w:val="single" w:sz="4" w:space="0" w:color="auto"/>
            </w:tcBorders>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0,534</w:t>
            </w:r>
          </w:p>
        </w:tc>
        <w:tc>
          <w:tcPr>
            <w:tcW w:w="731" w:type="pct"/>
            <w:tcBorders>
              <w:top w:val="nil"/>
              <w:left w:val="nil"/>
              <w:bottom w:val="single" w:sz="4" w:space="0" w:color="auto"/>
              <w:right w:val="single" w:sz="4" w:space="0" w:color="auto"/>
            </w:tcBorders>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0,526</w:t>
            </w:r>
          </w:p>
        </w:tc>
        <w:tc>
          <w:tcPr>
            <w:tcW w:w="719" w:type="pct"/>
            <w:tcBorders>
              <w:top w:val="nil"/>
              <w:left w:val="nil"/>
              <w:bottom w:val="single" w:sz="4" w:space="0" w:color="auto"/>
              <w:right w:val="single" w:sz="4" w:space="0" w:color="auto"/>
            </w:tcBorders>
            <w:shd w:val="clear" w:color="auto" w:fill="auto"/>
            <w:noWrap/>
            <w:vAlign w:val="center"/>
            <w:hideMark/>
          </w:tcPr>
          <w:p w:rsidR="006568BA" w:rsidRDefault="006568BA">
            <w:pPr>
              <w:jc w:val="center"/>
              <w:rPr>
                <w:rFonts w:ascii="Cambria" w:hAnsi="Cambria"/>
                <w:color w:val="000000"/>
                <w:sz w:val="16"/>
                <w:szCs w:val="16"/>
              </w:rPr>
            </w:pPr>
            <w:r>
              <w:rPr>
                <w:rFonts w:ascii="Cambria" w:hAnsi="Cambria"/>
                <w:color w:val="000000"/>
                <w:sz w:val="16"/>
                <w:szCs w:val="16"/>
              </w:rPr>
              <w:t>0,635</w:t>
            </w:r>
          </w:p>
        </w:tc>
        <w:tc>
          <w:tcPr>
            <w:tcW w:w="693" w:type="pct"/>
            <w:tcBorders>
              <w:top w:val="nil"/>
              <w:left w:val="nil"/>
              <w:bottom w:val="single" w:sz="4" w:space="0" w:color="auto"/>
              <w:right w:val="single" w:sz="8" w:space="0" w:color="auto"/>
            </w:tcBorders>
            <w:shd w:val="clear" w:color="auto" w:fill="auto"/>
            <w:noWrap/>
            <w:vAlign w:val="center"/>
            <w:hideMark/>
          </w:tcPr>
          <w:p w:rsidR="006568BA" w:rsidRDefault="006568BA">
            <w:pPr>
              <w:jc w:val="center"/>
              <w:rPr>
                <w:rFonts w:ascii="Cambria" w:hAnsi="Cambria"/>
                <w:b/>
                <w:bCs/>
                <w:color w:val="000000"/>
                <w:sz w:val="16"/>
                <w:szCs w:val="16"/>
              </w:rPr>
            </w:pPr>
            <w:r>
              <w:rPr>
                <w:rFonts w:ascii="Cambria" w:hAnsi="Cambria"/>
                <w:b/>
                <w:bCs/>
                <w:color w:val="000000"/>
                <w:sz w:val="16"/>
                <w:szCs w:val="16"/>
              </w:rPr>
              <w:t>0,53</w:t>
            </w:r>
          </w:p>
        </w:tc>
      </w:tr>
      <w:tr w:rsidR="006568BA" w:rsidRPr="006A199E" w:rsidTr="00D70166">
        <w:trPr>
          <w:cantSplit/>
          <w:trHeight w:val="227"/>
        </w:trPr>
        <w:tc>
          <w:tcPr>
            <w:tcW w:w="4307" w:type="pct"/>
            <w:gridSpan w:val="4"/>
            <w:tcBorders>
              <w:top w:val="single" w:sz="4" w:space="0" w:color="auto"/>
              <w:left w:val="single" w:sz="8" w:space="0" w:color="auto"/>
              <w:bottom w:val="single" w:sz="8" w:space="0" w:color="auto"/>
              <w:right w:val="single" w:sz="4" w:space="0" w:color="000000"/>
            </w:tcBorders>
            <w:shd w:val="clear" w:color="auto" w:fill="auto"/>
            <w:noWrap/>
            <w:vAlign w:val="center"/>
            <w:hideMark/>
          </w:tcPr>
          <w:p w:rsidR="006568BA" w:rsidRPr="006A199E" w:rsidRDefault="006568BA" w:rsidP="006A199E">
            <w:pPr>
              <w:jc w:val="center"/>
              <w:rPr>
                <w:rFonts w:asciiTheme="majorHAnsi" w:hAnsiTheme="majorHAnsi"/>
                <w:color w:val="000000"/>
                <w:sz w:val="16"/>
                <w:szCs w:val="16"/>
              </w:rPr>
            </w:pPr>
            <w:r w:rsidRPr="006A199E">
              <w:rPr>
                <w:rFonts w:asciiTheme="majorHAnsi" w:hAnsiTheme="majorHAnsi"/>
                <w:color w:val="000000"/>
                <w:sz w:val="16"/>
                <w:szCs w:val="16"/>
              </w:rPr>
              <w:t>Сумма весовых значений подходов =</w:t>
            </w:r>
          </w:p>
        </w:tc>
        <w:tc>
          <w:tcPr>
            <w:tcW w:w="693" w:type="pct"/>
            <w:tcBorders>
              <w:top w:val="nil"/>
              <w:left w:val="nil"/>
              <w:bottom w:val="single" w:sz="8" w:space="0" w:color="auto"/>
              <w:right w:val="single" w:sz="8" w:space="0" w:color="auto"/>
            </w:tcBorders>
            <w:shd w:val="clear" w:color="auto" w:fill="auto"/>
            <w:noWrap/>
            <w:vAlign w:val="center"/>
            <w:hideMark/>
          </w:tcPr>
          <w:p w:rsidR="006568BA" w:rsidRPr="006A199E" w:rsidRDefault="006568BA" w:rsidP="006A199E">
            <w:pPr>
              <w:jc w:val="center"/>
              <w:rPr>
                <w:rFonts w:asciiTheme="majorHAnsi" w:hAnsiTheme="majorHAnsi"/>
                <w:color w:val="000000"/>
                <w:sz w:val="16"/>
                <w:szCs w:val="16"/>
              </w:rPr>
            </w:pPr>
            <w:r w:rsidRPr="006A199E">
              <w:rPr>
                <w:rFonts w:asciiTheme="majorHAnsi" w:hAnsiTheme="majorHAnsi"/>
                <w:color w:val="000000"/>
                <w:sz w:val="16"/>
                <w:szCs w:val="16"/>
              </w:rPr>
              <w:t>1,000</w:t>
            </w:r>
          </w:p>
        </w:tc>
      </w:tr>
    </w:tbl>
    <w:p w:rsidR="006A199E" w:rsidRPr="006A199E" w:rsidRDefault="006A199E" w:rsidP="006A199E">
      <w:pPr>
        <w:spacing w:before="120" w:after="120"/>
        <w:ind w:firstLine="708"/>
        <w:jc w:val="both"/>
        <w:rPr>
          <w:rFonts w:ascii="Bookman Old Style" w:hAnsi="Bookman Old Style"/>
          <w:color w:val="000000"/>
          <w:sz w:val="20"/>
          <w:szCs w:val="20"/>
        </w:rPr>
      </w:pPr>
      <w:r w:rsidRPr="006A199E">
        <w:rPr>
          <w:rFonts w:ascii="Bookman Old Style" w:hAnsi="Bookman Old Style"/>
          <w:color w:val="000000"/>
          <w:sz w:val="20"/>
          <w:szCs w:val="20"/>
        </w:rPr>
        <w:t>Анализ весовых коэффициентов:</w:t>
      </w:r>
    </w:p>
    <w:p w:rsidR="006A199E" w:rsidRPr="006A199E" w:rsidRDefault="006A199E" w:rsidP="006A199E">
      <w:pPr>
        <w:spacing w:before="120" w:after="120"/>
        <w:ind w:firstLine="708"/>
        <w:jc w:val="both"/>
        <w:rPr>
          <w:rFonts w:ascii="Bookman Old Style" w:hAnsi="Bookman Old Style"/>
          <w:color w:val="000000"/>
          <w:sz w:val="20"/>
          <w:szCs w:val="20"/>
        </w:rPr>
      </w:pPr>
      <w:r w:rsidRPr="006A199E">
        <w:rPr>
          <w:rFonts w:ascii="Bookman Old Style" w:hAnsi="Bookman Old Style"/>
          <w:color w:val="000000"/>
          <w:sz w:val="20"/>
          <w:szCs w:val="20"/>
        </w:rPr>
        <w:t>В связи с  тем, что для эксплуатации объекта оценки требуются значительные финансовые вложения, при согласовании рыночной стоимости Объекта оценки наиболее обоснованно применить больший весовой коэффициент доходного подхода, что наиболее соответствует рыночной стоимости объекта</w:t>
      </w:r>
    </w:p>
    <w:p w:rsidR="006A199E" w:rsidRPr="006A199E" w:rsidRDefault="006A199E" w:rsidP="006A199E">
      <w:pPr>
        <w:spacing w:before="120" w:after="120"/>
        <w:ind w:firstLine="708"/>
        <w:jc w:val="both"/>
        <w:rPr>
          <w:rFonts w:ascii="Bookman Old Style" w:hAnsi="Bookman Old Style"/>
          <w:color w:val="000000"/>
          <w:sz w:val="20"/>
          <w:szCs w:val="20"/>
        </w:rPr>
      </w:pPr>
      <w:r w:rsidRPr="006A199E">
        <w:rPr>
          <w:rFonts w:ascii="Bookman Old Style" w:hAnsi="Bookman Old Style"/>
          <w:color w:val="000000"/>
          <w:sz w:val="20"/>
          <w:szCs w:val="20"/>
        </w:rPr>
        <w:t xml:space="preserve"> Последним шагом согласования цены объекта оценки является расчет стоимости по формуле:</w:t>
      </w:r>
    </w:p>
    <w:p w:rsidR="006A199E" w:rsidRPr="006A199E" w:rsidRDefault="006A199E" w:rsidP="006A199E">
      <w:pPr>
        <w:spacing w:before="120" w:after="120"/>
        <w:ind w:firstLine="708"/>
        <w:jc w:val="both"/>
        <w:rPr>
          <w:rFonts w:ascii="Bookman Old Style" w:hAnsi="Bookman Old Style"/>
          <w:color w:val="000000"/>
          <w:sz w:val="20"/>
          <w:szCs w:val="20"/>
        </w:rPr>
      </w:pPr>
      <m:oMathPara>
        <m:oMath>
          <m:r>
            <w:rPr>
              <w:rFonts w:ascii="Cambria Math" w:hAnsi="Cambria Math"/>
              <w:color w:val="000000"/>
              <w:sz w:val="20"/>
              <w:szCs w:val="20"/>
            </w:rPr>
            <m:t xml:space="preserve">С= </m:t>
          </m:r>
          <m:d>
            <m:dPr>
              <m:ctrlPr>
                <w:rPr>
                  <w:rFonts w:ascii="Cambria Math" w:hAnsi="Cambria Math"/>
                  <w:i/>
                  <w:color w:val="000000"/>
                  <w:sz w:val="20"/>
                  <w:szCs w:val="20"/>
                </w:rPr>
              </m:ctrlPr>
            </m:dPr>
            <m:e>
              <m:r>
                <w:rPr>
                  <w:rFonts w:ascii="Cambria Math" w:hAnsi="Cambria Math"/>
                  <w:color w:val="000000"/>
                  <w:sz w:val="20"/>
                  <w:szCs w:val="20"/>
                </w:rPr>
                <m:t>ДП ×</m:t>
              </m:r>
              <m:sSub>
                <m:sSubPr>
                  <m:ctrlPr>
                    <w:rPr>
                      <w:rFonts w:ascii="Cambria Math" w:hAnsi="Cambria Math"/>
                      <w:i/>
                      <w:color w:val="000000"/>
                      <w:sz w:val="20"/>
                      <w:szCs w:val="20"/>
                    </w:rPr>
                  </m:ctrlPr>
                </m:sSubPr>
                <m:e>
                  <m:r>
                    <w:rPr>
                      <w:rFonts w:ascii="Cambria Math" w:hAnsi="Cambria Math"/>
                      <w:color w:val="000000"/>
                      <w:sz w:val="20"/>
                      <w:szCs w:val="20"/>
                    </w:rPr>
                    <m:t>Х</m:t>
                  </m:r>
                </m:e>
                <m:sub>
                  <m:r>
                    <w:rPr>
                      <w:rFonts w:ascii="Cambria Math" w:hAnsi="Cambria Math"/>
                      <w:color w:val="000000"/>
                      <w:sz w:val="20"/>
                      <w:szCs w:val="20"/>
                    </w:rPr>
                    <m:t>д</m:t>
                  </m:r>
                </m:sub>
              </m:sSub>
            </m:e>
          </m:d>
          <m:r>
            <w:rPr>
              <w:rFonts w:ascii="Cambria Math" w:hAnsi="Cambria Math"/>
              <w:color w:val="000000"/>
              <w:sz w:val="20"/>
              <w:szCs w:val="20"/>
            </w:rPr>
            <m:t>+</m:t>
          </m:r>
          <m:d>
            <m:dPr>
              <m:ctrlPr>
                <w:rPr>
                  <w:rFonts w:ascii="Cambria Math" w:hAnsi="Cambria Math"/>
                  <w:i/>
                  <w:color w:val="000000"/>
                  <w:sz w:val="20"/>
                  <w:szCs w:val="20"/>
                </w:rPr>
              </m:ctrlPr>
            </m:dPr>
            <m:e>
              <m:r>
                <w:rPr>
                  <w:rFonts w:ascii="Cambria Math" w:hAnsi="Cambria Math"/>
                  <w:color w:val="000000"/>
                  <w:sz w:val="20"/>
                  <w:szCs w:val="20"/>
                </w:rPr>
                <m:t>РП ×</m:t>
              </m:r>
              <m:sSub>
                <m:sSubPr>
                  <m:ctrlPr>
                    <w:rPr>
                      <w:rFonts w:ascii="Cambria Math" w:hAnsi="Cambria Math"/>
                      <w:i/>
                      <w:color w:val="000000"/>
                      <w:sz w:val="20"/>
                      <w:szCs w:val="20"/>
                    </w:rPr>
                  </m:ctrlPr>
                </m:sSubPr>
                <m:e>
                  <m:r>
                    <w:rPr>
                      <w:rFonts w:ascii="Cambria Math" w:hAnsi="Cambria Math"/>
                      <w:color w:val="000000"/>
                      <w:sz w:val="20"/>
                      <w:szCs w:val="20"/>
                    </w:rPr>
                    <m:t>Х</m:t>
                  </m:r>
                </m:e>
                <m:sub>
                  <m:r>
                    <w:rPr>
                      <w:rFonts w:ascii="Cambria Math" w:hAnsi="Cambria Math"/>
                      <w:color w:val="000000"/>
                      <w:sz w:val="20"/>
                      <w:szCs w:val="20"/>
                    </w:rPr>
                    <m:t>р</m:t>
                  </m:r>
                </m:sub>
              </m:sSub>
            </m:e>
          </m:d>
        </m:oMath>
      </m:oMathPara>
    </w:p>
    <w:p w:rsidR="006A199E" w:rsidRPr="006A199E" w:rsidRDefault="006A199E" w:rsidP="006A199E">
      <w:pPr>
        <w:spacing w:before="120" w:after="120"/>
        <w:jc w:val="both"/>
        <w:rPr>
          <w:rFonts w:ascii="Bookman Old Style" w:hAnsi="Bookman Old Style"/>
          <w:color w:val="000000"/>
          <w:sz w:val="20"/>
          <w:szCs w:val="20"/>
        </w:rPr>
      </w:pPr>
      <w:r w:rsidRPr="006A199E">
        <w:rPr>
          <w:rFonts w:ascii="Bookman Old Style" w:hAnsi="Bookman Old Style"/>
          <w:color w:val="000000"/>
          <w:sz w:val="20"/>
          <w:szCs w:val="20"/>
        </w:rPr>
        <w:t>Где:</w:t>
      </w:r>
    </w:p>
    <w:p w:rsidR="006A199E" w:rsidRPr="006A199E" w:rsidRDefault="006A199E" w:rsidP="006A199E">
      <w:pPr>
        <w:spacing w:before="120" w:after="120"/>
        <w:jc w:val="both"/>
        <w:rPr>
          <w:rFonts w:ascii="Bookman Old Style" w:hAnsi="Bookman Old Style"/>
          <w:color w:val="000000"/>
          <w:sz w:val="20"/>
          <w:szCs w:val="20"/>
        </w:rPr>
      </w:pPr>
      <w:r w:rsidRPr="006A199E">
        <w:rPr>
          <w:rFonts w:ascii="Bookman Old Style" w:hAnsi="Bookman Old Style"/>
          <w:color w:val="000000"/>
          <w:sz w:val="20"/>
          <w:szCs w:val="20"/>
        </w:rPr>
        <w:lastRenderedPageBreak/>
        <w:t>С – Согласованная рыночная стоимость Объекта оценки, руб.</w:t>
      </w:r>
    </w:p>
    <w:p w:rsidR="006A199E" w:rsidRPr="006A199E" w:rsidRDefault="006A199E" w:rsidP="006A199E">
      <w:pPr>
        <w:spacing w:before="120" w:after="120"/>
        <w:jc w:val="both"/>
        <w:rPr>
          <w:rFonts w:ascii="Bookman Old Style" w:hAnsi="Bookman Old Style"/>
          <w:color w:val="000000"/>
          <w:sz w:val="20"/>
          <w:szCs w:val="20"/>
        </w:rPr>
      </w:pPr>
      <w:r w:rsidRPr="006A199E">
        <w:rPr>
          <w:rFonts w:ascii="Bookman Old Style" w:hAnsi="Bookman Old Style"/>
          <w:color w:val="000000"/>
          <w:sz w:val="20"/>
          <w:szCs w:val="20"/>
        </w:rPr>
        <w:t>ЗП – Стоимость объекта оценки, полученная методом затратного подхода;</w:t>
      </w:r>
    </w:p>
    <w:p w:rsidR="006A199E" w:rsidRPr="006A199E" w:rsidRDefault="006A199E" w:rsidP="006A199E">
      <w:pPr>
        <w:spacing w:before="120" w:after="120"/>
        <w:jc w:val="both"/>
        <w:rPr>
          <w:rFonts w:ascii="Bookman Old Style" w:hAnsi="Bookman Old Style"/>
          <w:color w:val="000000"/>
          <w:sz w:val="20"/>
          <w:szCs w:val="20"/>
        </w:rPr>
      </w:pPr>
      <w:r w:rsidRPr="006A199E">
        <w:rPr>
          <w:rFonts w:ascii="Bookman Old Style" w:hAnsi="Bookman Old Style"/>
          <w:color w:val="000000"/>
          <w:sz w:val="20"/>
          <w:szCs w:val="20"/>
        </w:rPr>
        <w:t>РП – Стоимость объекта оценки, полученная методом сравнительного подхода;</w:t>
      </w:r>
    </w:p>
    <w:p w:rsidR="006A199E" w:rsidRPr="006A199E" w:rsidRDefault="006A199E" w:rsidP="006A199E">
      <w:pPr>
        <w:spacing w:before="120" w:after="120"/>
        <w:jc w:val="both"/>
        <w:rPr>
          <w:rFonts w:ascii="Bookman Old Style" w:hAnsi="Bookman Old Style"/>
          <w:color w:val="000000"/>
          <w:sz w:val="20"/>
          <w:szCs w:val="20"/>
        </w:rPr>
      </w:pPr>
      <w:r w:rsidRPr="006A199E">
        <w:rPr>
          <w:rFonts w:ascii="Bookman Old Style" w:hAnsi="Bookman Old Style"/>
          <w:color w:val="000000"/>
          <w:sz w:val="20"/>
          <w:szCs w:val="20"/>
        </w:rPr>
        <w:t xml:space="preserve">Хр, Хд – Вес каждого подхода. </w:t>
      </w:r>
    </w:p>
    <w:p w:rsidR="00F45425" w:rsidRDefault="006A199E" w:rsidP="006A199E">
      <w:pPr>
        <w:spacing w:before="120" w:after="120"/>
        <w:jc w:val="both"/>
        <w:rPr>
          <w:rFonts w:ascii="Bookman Old Style" w:hAnsi="Bookman Old Style"/>
          <w:sz w:val="20"/>
          <w:szCs w:val="20"/>
        </w:rPr>
      </w:pPr>
      <w:r w:rsidRPr="006A199E">
        <w:rPr>
          <w:rFonts w:ascii="Bookman Old Style" w:hAnsi="Bookman Old Style"/>
          <w:sz w:val="20"/>
          <w:szCs w:val="20"/>
        </w:rPr>
        <w:t xml:space="preserve">Таким образом, в результате проведенных расчетов и согласования полученных результатов получили стоимость </w:t>
      </w:r>
      <w:r w:rsidR="006568BA">
        <w:rPr>
          <w:rFonts w:ascii="Bookman Old Style" w:hAnsi="Bookman Old Style"/>
          <w:sz w:val="20"/>
          <w:szCs w:val="20"/>
        </w:rPr>
        <w:t>недвижимого имущества</w:t>
      </w:r>
      <w:r w:rsidRPr="006A199E">
        <w:rPr>
          <w:rFonts w:ascii="Bookman Old Style" w:hAnsi="Bookman Old Style"/>
          <w:sz w:val="20"/>
          <w:szCs w:val="20"/>
        </w:rPr>
        <w:t>.</w:t>
      </w:r>
    </w:p>
    <w:p w:rsidR="006A199E" w:rsidRDefault="006A199E" w:rsidP="006A199E">
      <w:pPr>
        <w:spacing w:before="120" w:after="120"/>
        <w:jc w:val="right"/>
        <w:rPr>
          <w:rFonts w:ascii="Bookman Old Style" w:hAnsi="Bookman Old Style"/>
          <w:b/>
          <w:bCs/>
          <w:sz w:val="20"/>
          <w:szCs w:val="20"/>
        </w:rPr>
      </w:pPr>
      <w:r w:rsidRPr="00577673">
        <w:rPr>
          <w:rFonts w:ascii="Bookman Old Style" w:hAnsi="Bookman Old Style"/>
          <w:b/>
          <w:bCs/>
          <w:sz w:val="20"/>
          <w:szCs w:val="20"/>
        </w:rPr>
        <w:t xml:space="preserve">Таблица </w:t>
      </w:r>
      <w:r>
        <w:rPr>
          <w:rFonts w:ascii="Bookman Old Style" w:hAnsi="Bookman Old Style"/>
          <w:b/>
          <w:bCs/>
          <w:sz w:val="20"/>
          <w:szCs w:val="20"/>
        </w:rPr>
        <w:t>6</w:t>
      </w:r>
      <w:r w:rsidRPr="00577673">
        <w:rPr>
          <w:rFonts w:ascii="Bookman Old Style" w:hAnsi="Bookman Old Style"/>
          <w:b/>
          <w:bCs/>
          <w:sz w:val="20"/>
          <w:szCs w:val="20"/>
        </w:rPr>
        <w:t xml:space="preserve">.1. Итоговая величина рыночной стоимости </w:t>
      </w:r>
      <w:r>
        <w:rPr>
          <w:rFonts w:ascii="Bookman Old Style" w:hAnsi="Bookman Old Style"/>
          <w:b/>
          <w:bCs/>
          <w:sz w:val="20"/>
          <w:szCs w:val="20"/>
        </w:rPr>
        <w:t>недвижимого имущества</w:t>
      </w:r>
    </w:p>
    <w:tbl>
      <w:tblPr>
        <w:tblW w:w="4949" w:type="pct"/>
        <w:tblLook w:val="04A0"/>
      </w:tblPr>
      <w:tblGrid>
        <w:gridCol w:w="580"/>
        <w:gridCol w:w="2651"/>
        <w:gridCol w:w="1219"/>
        <w:gridCol w:w="1502"/>
        <w:gridCol w:w="1518"/>
        <w:gridCol w:w="1570"/>
        <w:gridCol w:w="1275"/>
      </w:tblGrid>
      <w:tr w:rsidR="006568BA" w:rsidRPr="006568BA" w:rsidTr="006568BA">
        <w:trPr>
          <w:cantSplit/>
          <w:trHeight w:val="170"/>
        </w:trPr>
        <w:tc>
          <w:tcPr>
            <w:tcW w:w="281" w:type="pct"/>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rsidR="006568BA" w:rsidRPr="006568BA" w:rsidRDefault="006568BA" w:rsidP="006568BA">
            <w:pPr>
              <w:jc w:val="center"/>
              <w:rPr>
                <w:rFonts w:ascii="Cambria" w:hAnsi="Cambria"/>
                <w:b/>
                <w:bCs/>
                <w:color w:val="000000"/>
                <w:sz w:val="16"/>
                <w:szCs w:val="16"/>
              </w:rPr>
            </w:pPr>
            <w:r w:rsidRPr="006568BA">
              <w:rPr>
                <w:rFonts w:ascii="Cambria" w:hAnsi="Cambria"/>
                <w:b/>
                <w:bCs/>
                <w:color w:val="000000"/>
                <w:sz w:val="16"/>
                <w:szCs w:val="16"/>
              </w:rPr>
              <w:t>№ п/п</w:t>
            </w:r>
          </w:p>
        </w:tc>
        <w:tc>
          <w:tcPr>
            <w:tcW w:w="1285" w:type="pct"/>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rsidR="006568BA" w:rsidRPr="006568BA" w:rsidRDefault="006568BA" w:rsidP="006568BA">
            <w:pPr>
              <w:jc w:val="center"/>
              <w:rPr>
                <w:rFonts w:ascii="Cambria" w:hAnsi="Cambria"/>
                <w:b/>
                <w:bCs/>
                <w:color w:val="000000"/>
                <w:sz w:val="16"/>
                <w:szCs w:val="16"/>
              </w:rPr>
            </w:pPr>
            <w:r w:rsidRPr="006568BA">
              <w:rPr>
                <w:rFonts w:ascii="Cambria" w:hAnsi="Cambria"/>
                <w:b/>
                <w:bCs/>
                <w:color w:val="000000"/>
                <w:sz w:val="16"/>
                <w:szCs w:val="16"/>
              </w:rPr>
              <w:t>Наименование объектов оценки</w:t>
            </w:r>
          </w:p>
        </w:tc>
        <w:tc>
          <w:tcPr>
            <w:tcW w:w="591" w:type="pct"/>
            <w:vMerge w:val="restart"/>
            <w:tcBorders>
              <w:top w:val="single" w:sz="4" w:space="0" w:color="auto"/>
              <w:left w:val="single" w:sz="4" w:space="0" w:color="auto"/>
              <w:bottom w:val="single" w:sz="4" w:space="0" w:color="000000"/>
              <w:right w:val="single" w:sz="4" w:space="0" w:color="auto"/>
            </w:tcBorders>
            <w:shd w:val="clear" w:color="000000" w:fill="F2F2F2"/>
            <w:vAlign w:val="center"/>
            <w:hideMark/>
          </w:tcPr>
          <w:p w:rsidR="006568BA" w:rsidRPr="006568BA" w:rsidRDefault="006568BA" w:rsidP="006568BA">
            <w:pPr>
              <w:jc w:val="center"/>
              <w:rPr>
                <w:rFonts w:ascii="Cambria" w:hAnsi="Cambria"/>
                <w:b/>
                <w:bCs/>
                <w:color w:val="000000"/>
                <w:sz w:val="16"/>
                <w:szCs w:val="16"/>
              </w:rPr>
            </w:pPr>
            <w:r w:rsidRPr="006568BA">
              <w:rPr>
                <w:rFonts w:ascii="Cambria" w:hAnsi="Cambria"/>
                <w:b/>
                <w:bCs/>
                <w:color w:val="000000"/>
                <w:sz w:val="16"/>
                <w:szCs w:val="16"/>
              </w:rPr>
              <w:t>Назначение</w:t>
            </w:r>
          </w:p>
        </w:tc>
        <w:tc>
          <w:tcPr>
            <w:tcW w:w="728" w:type="pct"/>
            <w:tcBorders>
              <w:top w:val="single" w:sz="4" w:space="0" w:color="auto"/>
              <w:left w:val="nil"/>
              <w:bottom w:val="single" w:sz="4" w:space="0" w:color="auto"/>
              <w:right w:val="single" w:sz="4" w:space="0" w:color="auto"/>
            </w:tcBorders>
            <w:shd w:val="clear" w:color="000000" w:fill="F2F2F2"/>
            <w:vAlign w:val="center"/>
            <w:hideMark/>
          </w:tcPr>
          <w:p w:rsidR="006568BA" w:rsidRPr="006568BA" w:rsidRDefault="006568BA" w:rsidP="006568BA">
            <w:pPr>
              <w:jc w:val="center"/>
              <w:rPr>
                <w:rFonts w:ascii="Cambria" w:hAnsi="Cambria"/>
                <w:b/>
                <w:bCs/>
                <w:color w:val="000000"/>
                <w:sz w:val="16"/>
                <w:szCs w:val="16"/>
              </w:rPr>
            </w:pPr>
            <w:r w:rsidRPr="006568BA">
              <w:rPr>
                <w:rFonts w:ascii="Cambria" w:hAnsi="Cambria"/>
                <w:b/>
                <w:bCs/>
                <w:color w:val="000000"/>
                <w:sz w:val="16"/>
                <w:szCs w:val="16"/>
              </w:rPr>
              <w:t>Рыночная стоимость, полученная доходным подходом, руб.</w:t>
            </w:r>
          </w:p>
        </w:tc>
        <w:tc>
          <w:tcPr>
            <w:tcW w:w="736" w:type="pct"/>
            <w:tcBorders>
              <w:top w:val="single" w:sz="4" w:space="0" w:color="auto"/>
              <w:left w:val="nil"/>
              <w:bottom w:val="single" w:sz="4" w:space="0" w:color="auto"/>
              <w:right w:val="single" w:sz="4" w:space="0" w:color="auto"/>
            </w:tcBorders>
            <w:shd w:val="clear" w:color="000000" w:fill="F2F2F2"/>
            <w:vAlign w:val="center"/>
            <w:hideMark/>
          </w:tcPr>
          <w:p w:rsidR="006568BA" w:rsidRPr="006568BA" w:rsidRDefault="006568BA" w:rsidP="006568BA">
            <w:pPr>
              <w:jc w:val="center"/>
              <w:rPr>
                <w:rFonts w:ascii="Cambria" w:hAnsi="Cambria"/>
                <w:b/>
                <w:bCs/>
                <w:color w:val="000000"/>
                <w:sz w:val="16"/>
                <w:szCs w:val="16"/>
              </w:rPr>
            </w:pPr>
            <w:r w:rsidRPr="006568BA">
              <w:rPr>
                <w:rFonts w:ascii="Cambria" w:hAnsi="Cambria"/>
                <w:b/>
                <w:bCs/>
                <w:color w:val="000000"/>
                <w:sz w:val="16"/>
                <w:szCs w:val="16"/>
              </w:rPr>
              <w:t>Рыночная стоимость, полученная сравнительным подходом, руб.</w:t>
            </w:r>
          </w:p>
        </w:tc>
        <w:tc>
          <w:tcPr>
            <w:tcW w:w="761" w:type="pct"/>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rsidR="006568BA" w:rsidRPr="006568BA" w:rsidRDefault="006568BA" w:rsidP="006568BA">
            <w:pPr>
              <w:jc w:val="center"/>
              <w:rPr>
                <w:rFonts w:ascii="Cambria" w:hAnsi="Cambria"/>
                <w:b/>
                <w:bCs/>
                <w:color w:val="000000"/>
                <w:sz w:val="16"/>
                <w:szCs w:val="16"/>
              </w:rPr>
            </w:pPr>
            <w:r w:rsidRPr="006568BA">
              <w:rPr>
                <w:rFonts w:ascii="Cambria" w:hAnsi="Cambria"/>
                <w:b/>
                <w:bCs/>
                <w:color w:val="000000"/>
                <w:sz w:val="16"/>
                <w:szCs w:val="16"/>
              </w:rPr>
              <w:t>Итоговая величина рыночной стоимости Объекта оценки, руб. НДС не облагается</w:t>
            </w:r>
          </w:p>
        </w:tc>
        <w:tc>
          <w:tcPr>
            <w:tcW w:w="618" w:type="pct"/>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rsidR="006568BA" w:rsidRPr="006568BA" w:rsidRDefault="006568BA" w:rsidP="006568BA">
            <w:pPr>
              <w:jc w:val="center"/>
              <w:rPr>
                <w:rFonts w:ascii="Cambria" w:hAnsi="Cambria"/>
                <w:b/>
                <w:bCs/>
                <w:color w:val="000000"/>
                <w:sz w:val="16"/>
                <w:szCs w:val="16"/>
              </w:rPr>
            </w:pPr>
            <w:r w:rsidRPr="006568BA">
              <w:rPr>
                <w:rFonts w:ascii="Cambria" w:hAnsi="Cambria"/>
                <w:b/>
                <w:bCs/>
                <w:color w:val="000000"/>
                <w:sz w:val="16"/>
                <w:szCs w:val="16"/>
              </w:rPr>
              <w:t>Рыночная стоимость Объекта оценки (округл), руб. НДС не облагается</w:t>
            </w:r>
          </w:p>
        </w:tc>
      </w:tr>
      <w:tr w:rsidR="006568BA" w:rsidRPr="006568BA" w:rsidTr="006568BA">
        <w:trPr>
          <w:cantSplit/>
          <w:trHeight w:val="170"/>
        </w:trPr>
        <w:tc>
          <w:tcPr>
            <w:tcW w:w="281" w:type="pct"/>
            <w:vMerge/>
            <w:tcBorders>
              <w:top w:val="single" w:sz="4" w:space="0" w:color="auto"/>
              <w:left w:val="single" w:sz="4" w:space="0" w:color="auto"/>
              <w:bottom w:val="single" w:sz="4" w:space="0" w:color="auto"/>
              <w:right w:val="single" w:sz="4" w:space="0" w:color="auto"/>
            </w:tcBorders>
            <w:vAlign w:val="center"/>
            <w:hideMark/>
          </w:tcPr>
          <w:p w:rsidR="006568BA" w:rsidRPr="006568BA" w:rsidRDefault="006568BA" w:rsidP="006568BA">
            <w:pPr>
              <w:rPr>
                <w:rFonts w:ascii="Cambria" w:hAnsi="Cambria"/>
                <w:b/>
                <w:bCs/>
                <w:color w:val="000000"/>
                <w:sz w:val="16"/>
                <w:szCs w:val="16"/>
              </w:rPr>
            </w:pPr>
          </w:p>
        </w:tc>
        <w:tc>
          <w:tcPr>
            <w:tcW w:w="1285" w:type="pct"/>
            <w:vMerge/>
            <w:tcBorders>
              <w:top w:val="single" w:sz="4" w:space="0" w:color="auto"/>
              <w:left w:val="single" w:sz="4" w:space="0" w:color="auto"/>
              <w:bottom w:val="single" w:sz="4" w:space="0" w:color="auto"/>
              <w:right w:val="single" w:sz="4" w:space="0" w:color="auto"/>
            </w:tcBorders>
            <w:vAlign w:val="center"/>
            <w:hideMark/>
          </w:tcPr>
          <w:p w:rsidR="006568BA" w:rsidRPr="006568BA" w:rsidRDefault="006568BA" w:rsidP="006568BA">
            <w:pPr>
              <w:rPr>
                <w:rFonts w:ascii="Cambria" w:hAnsi="Cambria"/>
                <w:b/>
                <w:bCs/>
                <w:color w:val="000000"/>
                <w:sz w:val="16"/>
                <w:szCs w:val="16"/>
              </w:rPr>
            </w:pPr>
          </w:p>
        </w:tc>
        <w:tc>
          <w:tcPr>
            <w:tcW w:w="591" w:type="pct"/>
            <w:vMerge/>
            <w:tcBorders>
              <w:top w:val="single" w:sz="4" w:space="0" w:color="auto"/>
              <w:left w:val="single" w:sz="4" w:space="0" w:color="auto"/>
              <w:bottom w:val="single" w:sz="4" w:space="0" w:color="000000"/>
              <w:right w:val="single" w:sz="4" w:space="0" w:color="auto"/>
            </w:tcBorders>
            <w:vAlign w:val="center"/>
            <w:hideMark/>
          </w:tcPr>
          <w:p w:rsidR="006568BA" w:rsidRPr="006568BA" w:rsidRDefault="006568BA" w:rsidP="006568BA">
            <w:pPr>
              <w:rPr>
                <w:rFonts w:ascii="Cambria" w:hAnsi="Cambria"/>
                <w:b/>
                <w:bCs/>
                <w:color w:val="000000"/>
                <w:sz w:val="16"/>
                <w:szCs w:val="16"/>
              </w:rPr>
            </w:pPr>
          </w:p>
        </w:tc>
        <w:tc>
          <w:tcPr>
            <w:tcW w:w="728" w:type="pct"/>
            <w:tcBorders>
              <w:top w:val="nil"/>
              <w:left w:val="nil"/>
              <w:bottom w:val="single" w:sz="4" w:space="0" w:color="auto"/>
              <w:right w:val="single" w:sz="4" w:space="0" w:color="auto"/>
            </w:tcBorders>
            <w:shd w:val="clear" w:color="000000" w:fill="F2F2F2"/>
            <w:vAlign w:val="center"/>
            <w:hideMark/>
          </w:tcPr>
          <w:p w:rsidR="006568BA" w:rsidRPr="006568BA" w:rsidRDefault="006568BA" w:rsidP="006568BA">
            <w:pPr>
              <w:jc w:val="center"/>
              <w:rPr>
                <w:rFonts w:ascii="Cambria" w:hAnsi="Cambria"/>
                <w:b/>
                <w:bCs/>
                <w:color w:val="000000"/>
                <w:sz w:val="16"/>
                <w:szCs w:val="16"/>
              </w:rPr>
            </w:pPr>
            <w:r w:rsidRPr="006568BA">
              <w:rPr>
                <w:rFonts w:ascii="Cambria" w:hAnsi="Cambria"/>
                <w:b/>
                <w:bCs/>
                <w:color w:val="000000"/>
                <w:sz w:val="16"/>
                <w:szCs w:val="16"/>
              </w:rPr>
              <w:t>Вес подхода 0,47</w:t>
            </w:r>
          </w:p>
        </w:tc>
        <w:tc>
          <w:tcPr>
            <w:tcW w:w="736" w:type="pct"/>
            <w:tcBorders>
              <w:top w:val="nil"/>
              <w:left w:val="nil"/>
              <w:bottom w:val="single" w:sz="4" w:space="0" w:color="auto"/>
              <w:right w:val="single" w:sz="4" w:space="0" w:color="auto"/>
            </w:tcBorders>
            <w:shd w:val="clear" w:color="000000" w:fill="F2F2F2"/>
            <w:vAlign w:val="center"/>
            <w:hideMark/>
          </w:tcPr>
          <w:p w:rsidR="006568BA" w:rsidRPr="006568BA" w:rsidRDefault="006568BA" w:rsidP="006568BA">
            <w:pPr>
              <w:jc w:val="center"/>
              <w:rPr>
                <w:rFonts w:ascii="Cambria" w:hAnsi="Cambria"/>
                <w:b/>
                <w:bCs/>
                <w:color w:val="000000"/>
                <w:sz w:val="16"/>
                <w:szCs w:val="16"/>
              </w:rPr>
            </w:pPr>
            <w:r w:rsidRPr="006568BA">
              <w:rPr>
                <w:rFonts w:ascii="Cambria" w:hAnsi="Cambria"/>
                <w:b/>
                <w:bCs/>
                <w:color w:val="000000"/>
                <w:sz w:val="16"/>
                <w:szCs w:val="16"/>
              </w:rPr>
              <w:t>Вес подхода 0,53</w:t>
            </w:r>
          </w:p>
        </w:tc>
        <w:tc>
          <w:tcPr>
            <w:tcW w:w="761" w:type="pct"/>
            <w:vMerge/>
            <w:tcBorders>
              <w:top w:val="single" w:sz="4" w:space="0" w:color="auto"/>
              <w:left w:val="single" w:sz="4" w:space="0" w:color="auto"/>
              <w:bottom w:val="single" w:sz="4" w:space="0" w:color="auto"/>
              <w:right w:val="single" w:sz="4" w:space="0" w:color="auto"/>
            </w:tcBorders>
            <w:vAlign w:val="center"/>
            <w:hideMark/>
          </w:tcPr>
          <w:p w:rsidR="006568BA" w:rsidRPr="006568BA" w:rsidRDefault="006568BA" w:rsidP="006568BA">
            <w:pPr>
              <w:rPr>
                <w:rFonts w:ascii="Cambria" w:hAnsi="Cambria"/>
                <w:b/>
                <w:bCs/>
                <w:color w:val="000000"/>
                <w:sz w:val="16"/>
                <w:szCs w:val="16"/>
              </w:rPr>
            </w:pPr>
          </w:p>
        </w:tc>
        <w:tc>
          <w:tcPr>
            <w:tcW w:w="618" w:type="pct"/>
            <w:vMerge/>
            <w:tcBorders>
              <w:top w:val="single" w:sz="4" w:space="0" w:color="auto"/>
              <w:left w:val="single" w:sz="4" w:space="0" w:color="auto"/>
              <w:bottom w:val="single" w:sz="4" w:space="0" w:color="auto"/>
              <w:right w:val="single" w:sz="4" w:space="0" w:color="auto"/>
            </w:tcBorders>
            <w:vAlign w:val="center"/>
            <w:hideMark/>
          </w:tcPr>
          <w:p w:rsidR="006568BA" w:rsidRPr="006568BA" w:rsidRDefault="006568BA" w:rsidP="006568BA">
            <w:pPr>
              <w:rPr>
                <w:rFonts w:ascii="Cambria" w:hAnsi="Cambria"/>
                <w:b/>
                <w:bCs/>
                <w:color w:val="000000"/>
                <w:sz w:val="16"/>
                <w:szCs w:val="16"/>
              </w:rPr>
            </w:pPr>
          </w:p>
        </w:tc>
      </w:tr>
      <w:tr w:rsidR="006568BA" w:rsidRPr="006568BA" w:rsidTr="006568BA">
        <w:trPr>
          <w:cantSplit/>
          <w:trHeight w:val="730"/>
        </w:trPr>
        <w:tc>
          <w:tcPr>
            <w:tcW w:w="281" w:type="pct"/>
            <w:vMerge w:val="restart"/>
            <w:tcBorders>
              <w:top w:val="nil"/>
              <w:left w:val="single" w:sz="4" w:space="0" w:color="auto"/>
              <w:bottom w:val="single" w:sz="4" w:space="0" w:color="000000"/>
              <w:right w:val="single" w:sz="4" w:space="0" w:color="auto"/>
            </w:tcBorders>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1</w:t>
            </w:r>
          </w:p>
        </w:tc>
        <w:tc>
          <w:tcPr>
            <w:tcW w:w="1285" w:type="pct"/>
            <w:vMerge w:val="restart"/>
            <w:tcBorders>
              <w:top w:val="nil"/>
              <w:left w:val="single" w:sz="4" w:space="0" w:color="auto"/>
              <w:bottom w:val="single" w:sz="4" w:space="0" w:color="000000"/>
              <w:right w:val="single" w:sz="4" w:space="0" w:color="auto"/>
            </w:tcBorders>
            <w:shd w:val="clear" w:color="auto" w:fill="auto"/>
            <w:vAlign w:val="center"/>
            <w:hideMark/>
          </w:tcPr>
          <w:p w:rsidR="006568BA" w:rsidRPr="006568BA" w:rsidRDefault="006568BA" w:rsidP="006568BA">
            <w:pPr>
              <w:rPr>
                <w:rFonts w:ascii="Cambria" w:hAnsi="Cambria"/>
                <w:sz w:val="16"/>
                <w:szCs w:val="16"/>
              </w:rPr>
            </w:pPr>
            <w:r w:rsidRPr="006568BA">
              <w:rPr>
                <w:rFonts w:ascii="Cambria" w:hAnsi="Cambria"/>
                <w:sz w:val="16"/>
                <w:szCs w:val="16"/>
              </w:rPr>
              <w:t xml:space="preserve">Нежилое здание, назначение: 2- этажный (подземных этажей -1), общая площадь 4216,7 кв. м.,  инв.№ 04:401:001:015107160:0001, лит. В3, в,в1,В2,В4,В5,В6, адрес: г. Красноярск, ул. Айвазовского, 37 «А» Кадастровый номер: 24:50:0500203:386 </w:t>
            </w:r>
          </w:p>
        </w:tc>
        <w:tc>
          <w:tcPr>
            <w:tcW w:w="591" w:type="pct"/>
            <w:tcBorders>
              <w:top w:val="nil"/>
              <w:left w:val="nil"/>
              <w:bottom w:val="single" w:sz="4" w:space="0" w:color="auto"/>
              <w:right w:val="single" w:sz="4" w:space="0" w:color="auto"/>
            </w:tcBorders>
            <w:shd w:val="clear" w:color="auto" w:fill="auto"/>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АДМ</w:t>
            </w:r>
          </w:p>
        </w:tc>
        <w:tc>
          <w:tcPr>
            <w:tcW w:w="728" w:type="pct"/>
            <w:tcBorders>
              <w:top w:val="nil"/>
              <w:left w:val="nil"/>
              <w:bottom w:val="single" w:sz="4" w:space="0" w:color="auto"/>
              <w:right w:val="single" w:sz="4" w:space="0" w:color="auto"/>
            </w:tcBorders>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13 985 900</w:t>
            </w:r>
          </w:p>
        </w:tc>
        <w:tc>
          <w:tcPr>
            <w:tcW w:w="736" w:type="pct"/>
            <w:tcBorders>
              <w:top w:val="nil"/>
              <w:left w:val="nil"/>
              <w:bottom w:val="single" w:sz="4" w:space="0" w:color="auto"/>
              <w:right w:val="single" w:sz="4" w:space="0" w:color="auto"/>
            </w:tcBorders>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14 275 800</w:t>
            </w:r>
          </w:p>
        </w:tc>
        <w:tc>
          <w:tcPr>
            <w:tcW w:w="761" w:type="pct"/>
            <w:tcBorders>
              <w:top w:val="nil"/>
              <w:left w:val="nil"/>
              <w:bottom w:val="single" w:sz="4" w:space="0" w:color="auto"/>
              <w:right w:val="single" w:sz="4" w:space="0" w:color="auto"/>
            </w:tcBorders>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14 139 547,00</w:t>
            </w:r>
          </w:p>
        </w:tc>
        <w:tc>
          <w:tcPr>
            <w:tcW w:w="618" w:type="pct"/>
            <w:tcBorders>
              <w:top w:val="nil"/>
              <w:left w:val="nil"/>
              <w:bottom w:val="single" w:sz="4" w:space="0" w:color="auto"/>
              <w:right w:val="single" w:sz="4" w:space="0" w:color="auto"/>
            </w:tcBorders>
            <w:shd w:val="clear" w:color="auto" w:fill="auto"/>
            <w:noWrap/>
            <w:vAlign w:val="center"/>
            <w:hideMark/>
          </w:tcPr>
          <w:p w:rsidR="006568BA" w:rsidRPr="006568BA" w:rsidRDefault="006568BA" w:rsidP="006568BA">
            <w:pPr>
              <w:jc w:val="right"/>
              <w:rPr>
                <w:rFonts w:ascii="Cambria" w:hAnsi="Cambria"/>
                <w:color w:val="000000"/>
                <w:sz w:val="16"/>
                <w:szCs w:val="16"/>
              </w:rPr>
            </w:pPr>
            <w:r w:rsidRPr="006568BA">
              <w:rPr>
                <w:rFonts w:ascii="Cambria" w:hAnsi="Cambria"/>
                <w:color w:val="000000"/>
                <w:sz w:val="16"/>
                <w:szCs w:val="16"/>
              </w:rPr>
              <w:t>14 139 500</w:t>
            </w:r>
          </w:p>
        </w:tc>
      </w:tr>
      <w:tr w:rsidR="006568BA" w:rsidRPr="006568BA" w:rsidTr="006568BA">
        <w:trPr>
          <w:cantSplit/>
          <w:trHeight w:val="170"/>
        </w:trPr>
        <w:tc>
          <w:tcPr>
            <w:tcW w:w="281" w:type="pct"/>
            <w:vMerge/>
            <w:tcBorders>
              <w:top w:val="nil"/>
              <w:left w:val="single" w:sz="4" w:space="0" w:color="auto"/>
              <w:bottom w:val="single" w:sz="4" w:space="0" w:color="000000"/>
              <w:right w:val="single" w:sz="4" w:space="0" w:color="auto"/>
            </w:tcBorders>
            <w:vAlign w:val="center"/>
            <w:hideMark/>
          </w:tcPr>
          <w:p w:rsidR="006568BA" w:rsidRPr="006568BA" w:rsidRDefault="006568BA" w:rsidP="006568BA">
            <w:pPr>
              <w:rPr>
                <w:rFonts w:ascii="Cambria" w:hAnsi="Cambria"/>
                <w:color w:val="000000"/>
                <w:sz w:val="16"/>
                <w:szCs w:val="16"/>
              </w:rPr>
            </w:pPr>
          </w:p>
        </w:tc>
        <w:tc>
          <w:tcPr>
            <w:tcW w:w="1285" w:type="pct"/>
            <w:vMerge/>
            <w:tcBorders>
              <w:top w:val="nil"/>
              <w:left w:val="single" w:sz="4" w:space="0" w:color="auto"/>
              <w:bottom w:val="single" w:sz="4" w:space="0" w:color="000000"/>
              <w:right w:val="single" w:sz="4" w:space="0" w:color="auto"/>
            </w:tcBorders>
            <w:vAlign w:val="center"/>
            <w:hideMark/>
          </w:tcPr>
          <w:p w:rsidR="006568BA" w:rsidRPr="006568BA" w:rsidRDefault="006568BA" w:rsidP="006568BA">
            <w:pPr>
              <w:rPr>
                <w:rFonts w:ascii="Cambria" w:hAnsi="Cambria"/>
                <w:sz w:val="16"/>
                <w:szCs w:val="16"/>
              </w:rPr>
            </w:pPr>
          </w:p>
        </w:tc>
        <w:tc>
          <w:tcPr>
            <w:tcW w:w="591" w:type="pct"/>
            <w:tcBorders>
              <w:top w:val="nil"/>
              <w:left w:val="nil"/>
              <w:bottom w:val="single" w:sz="4" w:space="0" w:color="auto"/>
              <w:right w:val="single" w:sz="4" w:space="0" w:color="auto"/>
            </w:tcBorders>
            <w:shd w:val="clear" w:color="auto" w:fill="auto"/>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ПСН</w:t>
            </w:r>
          </w:p>
        </w:tc>
        <w:tc>
          <w:tcPr>
            <w:tcW w:w="728" w:type="pct"/>
            <w:tcBorders>
              <w:top w:val="nil"/>
              <w:left w:val="nil"/>
              <w:bottom w:val="single" w:sz="4" w:space="0" w:color="auto"/>
              <w:right w:val="single" w:sz="4" w:space="0" w:color="auto"/>
            </w:tcBorders>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47 225 600</w:t>
            </w:r>
          </w:p>
        </w:tc>
        <w:tc>
          <w:tcPr>
            <w:tcW w:w="736" w:type="pct"/>
            <w:tcBorders>
              <w:top w:val="nil"/>
              <w:left w:val="nil"/>
              <w:bottom w:val="single" w:sz="4" w:space="0" w:color="auto"/>
              <w:right w:val="single" w:sz="4" w:space="0" w:color="auto"/>
            </w:tcBorders>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53 288 100</w:t>
            </w:r>
          </w:p>
        </w:tc>
        <w:tc>
          <w:tcPr>
            <w:tcW w:w="761" w:type="pct"/>
            <w:tcBorders>
              <w:top w:val="nil"/>
              <w:left w:val="nil"/>
              <w:bottom w:val="single" w:sz="4" w:space="0" w:color="auto"/>
              <w:right w:val="single" w:sz="4" w:space="0" w:color="auto"/>
            </w:tcBorders>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50 438 725,00</w:t>
            </w:r>
          </w:p>
        </w:tc>
        <w:tc>
          <w:tcPr>
            <w:tcW w:w="618" w:type="pct"/>
            <w:tcBorders>
              <w:top w:val="nil"/>
              <w:left w:val="nil"/>
              <w:bottom w:val="single" w:sz="4" w:space="0" w:color="auto"/>
              <w:right w:val="single" w:sz="4" w:space="0" w:color="auto"/>
            </w:tcBorders>
            <w:shd w:val="clear" w:color="auto" w:fill="auto"/>
            <w:noWrap/>
            <w:vAlign w:val="center"/>
            <w:hideMark/>
          </w:tcPr>
          <w:p w:rsidR="006568BA" w:rsidRPr="006568BA" w:rsidRDefault="006568BA" w:rsidP="006568BA">
            <w:pPr>
              <w:jc w:val="right"/>
              <w:rPr>
                <w:rFonts w:ascii="Cambria" w:hAnsi="Cambria"/>
                <w:color w:val="000000"/>
                <w:sz w:val="16"/>
                <w:szCs w:val="16"/>
              </w:rPr>
            </w:pPr>
            <w:r w:rsidRPr="006568BA">
              <w:rPr>
                <w:rFonts w:ascii="Cambria" w:hAnsi="Cambria"/>
                <w:color w:val="000000"/>
                <w:sz w:val="16"/>
                <w:szCs w:val="16"/>
              </w:rPr>
              <w:t>50 438 700</w:t>
            </w:r>
          </w:p>
        </w:tc>
      </w:tr>
      <w:tr w:rsidR="006568BA" w:rsidRPr="006568BA" w:rsidTr="006568BA">
        <w:trPr>
          <w:cantSplit/>
          <w:trHeight w:val="170"/>
        </w:trPr>
        <w:tc>
          <w:tcPr>
            <w:tcW w:w="281" w:type="pct"/>
            <w:tcBorders>
              <w:top w:val="nil"/>
              <w:left w:val="single" w:sz="4" w:space="0" w:color="auto"/>
              <w:bottom w:val="single" w:sz="4" w:space="0" w:color="auto"/>
              <w:right w:val="single" w:sz="4" w:space="0" w:color="auto"/>
            </w:tcBorders>
            <w:shd w:val="clear" w:color="auto" w:fill="auto"/>
            <w:noWrap/>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2</w:t>
            </w:r>
          </w:p>
        </w:tc>
        <w:tc>
          <w:tcPr>
            <w:tcW w:w="1285" w:type="pct"/>
            <w:tcBorders>
              <w:top w:val="nil"/>
              <w:left w:val="nil"/>
              <w:bottom w:val="single" w:sz="4" w:space="0" w:color="auto"/>
              <w:right w:val="single" w:sz="4" w:space="0" w:color="auto"/>
            </w:tcBorders>
            <w:shd w:val="clear" w:color="auto" w:fill="auto"/>
            <w:vAlign w:val="center"/>
            <w:hideMark/>
          </w:tcPr>
          <w:p w:rsidR="006568BA" w:rsidRPr="006568BA" w:rsidRDefault="006568BA" w:rsidP="006568BA">
            <w:pPr>
              <w:rPr>
                <w:rFonts w:ascii="Cambria" w:hAnsi="Cambria"/>
                <w:color w:val="000000"/>
                <w:sz w:val="16"/>
                <w:szCs w:val="16"/>
              </w:rPr>
            </w:pPr>
            <w:r w:rsidRPr="006568BA">
              <w:rPr>
                <w:rFonts w:ascii="Cambria" w:hAnsi="Cambria"/>
                <w:color w:val="000000"/>
                <w:sz w:val="16"/>
                <w:szCs w:val="16"/>
              </w:rPr>
              <w:t>Холодный склад, назначение: нежилое, 1- этажный,  общая площадь 1002,2 кв. метра, инв. № 01:3396:013795, лит. В1, адрес: г. Красноярск, ул. Айвазовского, 37 «А», строение 3. Кадастровый номер: 24:50:0500203:398</w:t>
            </w:r>
          </w:p>
        </w:tc>
        <w:tc>
          <w:tcPr>
            <w:tcW w:w="591" w:type="pct"/>
            <w:tcBorders>
              <w:top w:val="nil"/>
              <w:left w:val="nil"/>
              <w:bottom w:val="single" w:sz="4" w:space="0" w:color="auto"/>
              <w:right w:val="single" w:sz="4" w:space="0" w:color="auto"/>
            </w:tcBorders>
            <w:shd w:val="clear" w:color="auto" w:fill="auto"/>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ПСН</w:t>
            </w:r>
          </w:p>
        </w:tc>
        <w:tc>
          <w:tcPr>
            <w:tcW w:w="728" w:type="pct"/>
            <w:tcBorders>
              <w:top w:val="nil"/>
              <w:left w:val="nil"/>
              <w:bottom w:val="single" w:sz="4" w:space="0" w:color="auto"/>
              <w:right w:val="single" w:sz="4" w:space="0" w:color="auto"/>
            </w:tcBorders>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9 119 600</w:t>
            </w:r>
          </w:p>
        </w:tc>
        <w:tc>
          <w:tcPr>
            <w:tcW w:w="736" w:type="pct"/>
            <w:tcBorders>
              <w:top w:val="nil"/>
              <w:left w:val="nil"/>
              <w:bottom w:val="single" w:sz="4" w:space="0" w:color="auto"/>
              <w:right w:val="single" w:sz="4" w:space="0" w:color="auto"/>
            </w:tcBorders>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9 456 700</w:t>
            </w:r>
          </w:p>
        </w:tc>
        <w:tc>
          <w:tcPr>
            <w:tcW w:w="761" w:type="pct"/>
            <w:tcBorders>
              <w:top w:val="nil"/>
              <w:left w:val="nil"/>
              <w:bottom w:val="single" w:sz="4" w:space="0" w:color="auto"/>
              <w:right w:val="single" w:sz="4" w:space="0" w:color="auto"/>
            </w:tcBorders>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9 298 263,00</w:t>
            </w:r>
          </w:p>
        </w:tc>
        <w:tc>
          <w:tcPr>
            <w:tcW w:w="618" w:type="pct"/>
            <w:tcBorders>
              <w:top w:val="nil"/>
              <w:left w:val="nil"/>
              <w:bottom w:val="single" w:sz="4" w:space="0" w:color="auto"/>
              <w:right w:val="single" w:sz="4" w:space="0" w:color="auto"/>
            </w:tcBorders>
            <w:shd w:val="clear" w:color="auto" w:fill="auto"/>
            <w:noWrap/>
            <w:vAlign w:val="center"/>
            <w:hideMark/>
          </w:tcPr>
          <w:p w:rsidR="006568BA" w:rsidRPr="006568BA" w:rsidRDefault="006568BA" w:rsidP="006568BA">
            <w:pPr>
              <w:jc w:val="right"/>
              <w:rPr>
                <w:rFonts w:ascii="Cambria" w:hAnsi="Cambria"/>
                <w:color w:val="000000"/>
                <w:sz w:val="16"/>
                <w:szCs w:val="16"/>
              </w:rPr>
            </w:pPr>
            <w:r w:rsidRPr="006568BA">
              <w:rPr>
                <w:rFonts w:ascii="Cambria" w:hAnsi="Cambria"/>
                <w:color w:val="000000"/>
                <w:sz w:val="16"/>
                <w:szCs w:val="16"/>
              </w:rPr>
              <w:t>9 298 300</w:t>
            </w:r>
          </w:p>
        </w:tc>
      </w:tr>
      <w:tr w:rsidR="006568BA" w:rsidRPr="006568BA" w:rsidTr="006568BA">
        <w:trPr>
          <w:cantSplit/>
          <w:trHeight w:val="170"/>
        </w:trPr>
        <w:tc>
          <w:tcPr>
            <w:tcW w:w="281" w:type="pct"/>
            <w:tcBorders>
              <w:top w:val="nil"/>
              <w:left w:val="single" w:sz="4" w:space="0" w:color="auto"/>
              <w:bottom w:val="single" w:sz="4" w:space="0" w:color="auto"/>
              <w:right w:val="single" w:sz="4" w:space="0" w:color="auto"/>
            </w:tcBorders>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3</w:t>
            </w:r>
          </w:p>
        </w:tc>
        <w:tc>
          <w:tcPr>
            <w:tcW w:w="1285" w:type="pct"/>
            <w:tcBorders>
              <w:top w:val="nil"/>
              <w:left w:val="nil"/>
              <w:bottom w:val="single" w:sz="4" w:space="0" w:color="auto"/>
              <w:right w:val="single" w:sz="4" w:space="0" w:color="auto"/>
            </w:tcBorders>
            <w:shd w:val="clear" w:color="auto" w:fill="auto"/>
            <w:vAlign w:val="center"/>
            <w:hideMark/>
          </w:tcPr>
          <w:p w:rsidR="006568BA" w:rsidRPr="006568BA" w:rsidRDefault="006568BA" w:rsidP="006568BA">
            <w:pPr>
              <w:rPr>
                <w:rFonts w:ascii="Cambria" w:hAnsi="Cambria"/>
                <w:color w:val="000000"/>
                <w:sz w:val="16"/>
                <w:szCs w:val="16"/>
              </w:rPr>
            </w:pPr>
            <w:r w:rsidRPr="006568BA">
              <w:rPr>
                <w:rFonts w:ascii="Cambria" w:hAnsi="Cambria"/>
                <w:color w:val="000000"/>
                <w:sz w:val="16"/>
                <w:szCs w:val="16"/>
              </w:rPr>
              <w:t>Склад готовой продукции, назначение: нежилое, 1-этажный, общая площадь 1497,2 кв. м.,  инв. № 01:3237:012895, лит. В3,  адрес: г. Красноярск, ул. Айвазовского,37 «А», строен. 1, Кадастровый номер 24:50:0000000:0:105432</w:t>
            </w:r>
          </w:p>
        </w:tc>
        <w:tc>
          <w:tcPr>
            <w:tcW w:w="591" w:type="pct"/>
            <w:tcBorders>
              <w:top w:val="nil"/>
              <w:left w:val="nil"/>
              <w:bottom w:val="single" w:sz="4" w:space="0" w:color="auto"/>
              <w:right w:val="single" w:sz="4" w:space="0" w:color="auto"/>
            </w:tcBorders>
            <w:shd w:val="clear" w:color="auto" w:fill="auto"/>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ПСН</w:t>
            </w:r>
          </w:p>
        </w:tc>
        <w:tc>
          <w:tcPr>
            <w:tcW w:w="728" w:type="pct"/>
            <w:tcBorders>
              <w:top w:val="nil"/>
              <w:left w:val="nil"/>
              <w:bottom w:val="single" w:sz="4" w:space="0" w:color="auto"/>
              <w:right w:val="single" w:sz="4" w:space="0" w:color="auto"/>
            </w:tcBorders>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18 748 500</w:t>
            </w:r>
          </w:p>
        </w:tc>
        <w:tc>
          <w:tcPr>
            <w:tcW w:w="736" w:type="pct"/>
            <w:tcBorders>
              <w:top w:val="nil"/>
              <w:left w:val="nil"/>
              <w:bottom w:val="single" w:sz="4" w:space="0" w:color="auto"/>
              <w:right w:val="single" w:sz="4" w:space="0" w:color="auto"/>
            </w:tcBorders>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21 155 300</w:t>
            </w:r>
          </w:p>
        </w:tc>
        <w:tc>
          <w:tcPr>
            <w:tcW w:w="761" w:type="pct"/>
            <w:tcBorders>
              <w:top w:val="nil"/>
              <w:left w:val="nil"/>
              <w:bottom w:val="single" w:sz="4" w:space="0" w:color="auto"/>
              <w:right w:val="single" w:sz="4" w:space="0" w:color="auto"/>
            </w:tcBorders>
            <w:shd w:val="clear" w:color="auto" w:fill="auto"/>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20 024 104,00</w:t>
            </w:r>
          </w:p>
        </w:tc>
        <w:tc>
          <w:tcPr>
            <w:tcW w:w="618" w:type="pct"/>
            <w:tcBorders>
              <w:top w:val="nil"/>
              <w:left w:val="nil"/>
              <w:bottom w:val="single" w:sz="4" w:space="0" w:color="auto"/>
              <w:right w:val="single" w:sz="4" w:space="0" w:color="auto"/>
            </w:tcBorders>
            <w:shd w:val="clear" w:color="auto" w:fill="auto"/>
            <w:noWrap/>
            <w:vAlign w:val="center"/>
            <w:hideMark/>
          </w:tcPr>
          <w:p w:rsidR="006568BA" w:rsidRPr="006568BA" w:rsidRDefault="006568BA" w:rsidP="006568BA">
            <w:pPr>
              <w:jc w:val="right"/>
              <w:rPr>
                <w:rFonts w:ascii="Cambria" w:hAnsi="Cambria"/>
                <w:color w:val="000000"/>
                <w:sz w:val="16"/>
                <w:szCs w:val="16"/>
              </w:rPr>
            </w:pPr>
            <w:r w:rsidRPr="006568BA">
              <w:rPr>
                <w:rFonts w:ascii="Cambria" w:hAnsi="Cambria"/>
                <w:color w:val="000000"/>
                <w:sz w:val="16"/>
                <w:szCs w:val="16"/>
              </w:rPr>
              <w:t>20 024 100</w:t>
            </w:r>
          </w:p>
        </w:tc>
      </w:tr>
      <w:tr w:rsidR="006568BA" w:rsidRPr="006568BA" w:rsidTr="006568BA">
        <w:trPr>
          <w:cantSplit/>
          <w:trHeight w:val="170"/>
        </w:trPr>
        <w:tc>
          <w:tcPr>
            <w:tcW w:w="28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4</w:t>
            </w:r>
          </w:p>
        </w:tc>
        <w:tc>
          <w:tcPr>
            <w:tcW w:w="1285" w:type="pct"/>
            <w:tcBorders>
              <w:top w:val="single" w:sz="4" w:space="0" w:color="auto"/>
              <w:left w:val="nil"/>
              <w:bottom w:val="single" w:sz="4" w:space="0" w:color="auto"/>
              <w:right w:val="single" w:sz="4" w:space="0" w:color="auto"/>
            </w:tcBorders>
            <w:shd w:val="clear" w:color="auto" w:fill="auto"/>
            <w:vAlign w:val="center"/>
            <w:hideMark/>
          </w:tcPr>
          <w:p w:rsidR="006568BA" w:rsidRPr="006568BA" w:rsidRDefault="006568BA" w:rsidP="006568BA">
            <w:pPr>
              <w:rPr>
                <w:rFonts w:ascii="Cambria" w:hAnsi="Cambria"/>
                <w:color w:val="000000"/>
                <w:sz w:val="16"/>
                <w:szCs w:val="16"/>
              </w:rPr>
            </w:pPr>
            <w:r w:rsidRPr="006568BA">
              <w:rPr>
                <w:rFonts w:ascii="Cambria" w:hAnsi="Cambria"/>
                <w:color w:val="000000"/>
                <w:sz w:val="16"/>
                <w:szCs w:val="16"/>
              </w:rPr>
              <w:t>Земельный участок, категория земель: земли населенных пунктов, разрешенное использование: занимаемый производственной базой, общая площадь 12774 кв. м., адрес: г. Красноярск, ул. Айвазовского,37 «А», кадастровый номер: 24:50:0500203:458</w:t>
            </w:r>
          </w:p>
        </w:tc>
        <w:tc>
          <w:tcPr>
            <w:tcW w:w="591" w:type="pct"/>
            <w:tcBorders>
              <w:top w:val="single" w:sz="4" w:space="0" w:color="auto"/>
              <w:left w:val="nil"/>
              <w:bottom w:val="single" w:sz="4" w:space="0" w:color="auto"/>
              <w:right w:val="single" w:sz="4" w:space="0" w:color="auto"/>
            </w:tcBorders>
            <w:shd w:val="clear" w:color="auto" w:fill="auto"/>
            <w:vAlign w:val="center"/>
            <w:hideMark/>
          </w:tcPr>
          <w:p w:rsidR="006568BA" w:rsidRPr="006568BA" w:rsidRDefault="006568BA" w:rsidP="006568BA">
            <w:pPr>
              <w:jc w:val="center"/>
              <w:rPr>
                <w:rFonts w:ascii="Cambria" w:hAnsi="Cambria"/>
                <w:sz w:val="16"/>
                <w:szCs w:val="16"/>
              </w:rPr>
            </w:pPr>
            <w:r w:rsidRPr="006568BA">
              <w:rPr>
                <w:rFonts w:ascii="Cambria" w:hAnsi="Cambria"/>
                <w:sz w:val="16"/>
                <w:szCs w:val="16"/>
              </w:rPr>
              <w:t>ПСН</w:t>
            </w:r>
          </w:p>
        </w:tc>
        <w:tc>
          <w:tcPr>
            <w:tcW w:w="728" w:type="pct"/>
            <w:tcBorders>
              <w:top w:val="single" w:sz="4" w:space="0" w:color="auto"/>
              <w:left w:val="nil"/>
              <w:bottom w:val="single" w:sz="4" w:space="0" w:color="auto"/>
              <w:right w:val="single" w:sz="4" w:space="0" w:color="auto"/>
            </w:tcBorders>
            <w:shd w:val="clear" w:color="auto" w:fill="auto"/>
            <w:vAlign w:val="center"/>
            <w:hideMark/>
          </w:tcPr>
          <w:p w:rsidR="006568BA" w:rsidRPr="006568BA" w:rsidRDefault="006568BA" w:rsidP="006568BA">
            <w:pPr>
              <w:jc w:val="center"/>
              <w:rPr>
                <w:rFonts w:ascii="Cambria" w:hAnsi="Cambria"/>
                <w:color w:val="000000"/>
                <w:sz w:val="16"/>
                <w:szCs w:val="16"/>
              </w:rPr>
            </w:pPr>
            <w:r>
              <w:rPr>
                <w:rFonts w:ascii="Cambria" w:hAnsi="Cambria"/>
                <w:color w:val="000000"/>
                <w:sz w:val="16"/>
                <w:szCs w:val="16"/>
              </w:rPr>
              <w:t>-</w:t>
            </w:r>
          </w:p>
        </w:tc>
        <w:tc>
          <w:tcPr>
            <w:tcW w:w="736" w:type="pct"/>
            <w:tcBorders>
              <w:top w:val="single" w:sz="4" w:space="0" w:color="auto"/>
              <w:left w:val="nil"/>
              <w:bottom w:val="single" w:sz="4" w:space="0" w:color="auto"/>
              <w:right w:val="single" w:sz="4" w:space="0" w:color="auto"/>
            </w:tcBorders>
            <w:shd w:val="clear" w:color="auto" w:fill="auto"/>
            <w:vAlign w:val="center"/>
          </w:tcPr>
          <w:p w:rsidR="006568BA" w:rsidRPr="006568BA" w:rsidRDefault="006568BA" w:rsidP="006568BA">
            <w:pPr>
              <w:jc w:val="center"/>
              <w:rPr>
                <w:rFonts w:ascii="Cambria" w:hAnsi="Cambria"/>
                <w:color w:val="000000"/>
                <w:sz w:val="16"/>
                <w:szCs w:val="16"/>
              </w:rPr>
            </w:pPr>
            <w:r w:rsidRPr="006568BA">
              <w:rPr>
                <w:rFonts w:ascii="Cambria" w:hAnsi="Cambria"/>
                <w:color w:val="000000"/>
                <w:sz w:val="16"/>
                <w:szCs w:val="16"/>
              </w:rPr>
              <w:t>2 051 700</w:t>
            </w:r>
          </w:p>
        </w:tc>
        <w:tc>
          <w:tcPr>
            <w:tcW w:w="761" w:type="pct"/>
            <w:tcBorders>
              <w:top w:val="single" w:sz="4" w:space="0" w:color="auto"/>
              <w:left w:val="nil"/>
              <w:bottom w:val="single" w:sz="4" w:space="0" w:color="auto"/>
              <w:right w:val="single" w:sz="4" w:space="0" w:color="auto"/>
            </w:tcBorders>
            <w:shd w:val="clear" w:color="auto" w:fill="auto"/>
            <w:vAlign w:val="center"/>
          </w:tcPr>
          <w:p w:rsidR="006568BA" w:rsidRPr="006568BA" w:rsidRDefault="006568BA" w:rsidP="006568BA">
            <w:pPr>
              <w:jc w:val="center"/>
              <w:rPr>
                <w:rFonts w:ascii="Cambria" w:hAnsi="Cambria"/>
                <w:color w:val="000000"/>
                <w:sz w:val="16"/>
                <w:szCs w:val="16"/>
              </w:rPr>
            </w:pPr>
            <w:r>
              <w:rPr>
                <w:rFonts w:ascii="Cambria" w:hAnsi="Cambria"/>
                <w:color w:val="000000"/>
                <w:sz w:val="16"/>
                <w:szCs w:val="16"/>
              </w:rPr>
              <w:t>-</w:t>
            </w:r>
          </w:p>
        </w:tc>
        <w:tc>
          <w:tcPr>
            <w:tcW w:w="618" w:type="pct"/>
            <w:tcBorders>
              <w:top w:val="single" w:sz="4" w:space="0" w:color="auto"/>
              <w:left w:val="nil"/>
              <w:bottom w:val="single" w:sz="4" w:space="0" w:color="auto"/>
              <w:right w:val="single" w:sz="4" w:space="0" w:color="auto"/>
            </w:tcBorders>
            <w:shd w:val="clear" w:color="auto" w:fill="auto"/>
            <w:noWrap/>
            <w:vAlign w:val="center"/>
            <w:hideMark/>
          </w:tcPr>
          <w:p w:rsidR="006568BA" w:rsidRPr="006568BA" w:rsidRDefault="006568BA" w:rsidP="006568BA">
            <w:pPr>
              <w:jc w:val="right"/>
              <w:rPr>
                <w:rFonts w:ascii="Cambria" w:hAnsi="Cambria"/>
                <w:color w:val="000000"/>
                <w:sz w:val="16"/>
                <w:szCs w:val="16"/>
              </w:rPr>
            </w:pPr>
            <w:r w:rsidRPr="006568BA">
              <w:rPr>
                <w:rFonts w:ascii="Cambria" w:hAnsi="Cambria"/>
                <w:color w:val="000000"/>
                <w:sz w:val="16"/>
                <w:szCs w:val="16"/>
              </w:rPr>
              <w:t>2 051 700</w:t>
            </w:r>
          </w:p>
        </w:tc>
      </w:tr>
    </w:tbl>
    <w:p w:rsidR="006568BA" w:rsidRDefault="006568BA" w:rsidP="006A199E">
      <w:pPr>
        <w:spacing w:before="120" w:after="120"/>
        <w:jc w:val="right"/>
        <w:rPr>
          <w:rFonts w:ascii="Bookman Old Style" w:hAnsi="Bookman Old Style"/>
          <w:b/>
          <w:bCs/>
          <w:sz w:val="20"/>
          <w:szCs w:val="20"/>
        </w:rPr>
      </w:pPr>
    </w:p>
    <w:p w:rsidR="006568BA" w:rsidRDefault="006568BA" w:rsidP="006A199E">
      <w:pPr>
        <w:spacing w:before="120" w:after="120"/>
        <w:jc w:val="right"/>
        <w:rPr>
          <w:rFonts w:ascii="Bookman Old Style" w:hAnsi="Bookman Old Style"/>
          <w:b/>
          <w:bCs/>
          <w:sz w:val="20"/>
          <w:szCs w:val="20"/>
        </w:rPr>
      </w:pPr>
    </w:p>
    <w:p w:rsidR="006568BA" w:rsidRDefault="006568BA" w:rsidP="006A199E">
      <w:pPr>
        <w:spacing w:before="120" w:after="120"/>
        <w:jc w:val="right"/>
        <w:rPr>
          <w:rFonts w:ascii="Bookman Old Style" w:hAnsi="Bookman Old Style"/>
          <w:b/>
          <w:sz w:val="20"/>
          <w:szCs w:val="20"/>
        </w:rPr>
      </w:pPr>
    </w:p>
    <w:p w:rsidR="00F45425" w:rsidRDefault="00F45425" w:rsidP="00F45425">
      <w:pPr>
        <w:spacing w:before="120" w:after="120"/>
        <w:jc w:val="right"/>
        <w:rPr>
          <w:rFonts w:ascii="Bookman Old Style" w:hAnsi="Bookman Old Style"/>
          <w:b/>
          <w:sz w:val="20"/>
          <w:szCs w:val="20"/>
        </w:rPr>
      </w:pPr>
    </w:p>
    <w:p w:rsidR="00F45425" w:rsidRDefault="00F45425" w:rsidP="00F45425">
      <w:pPr>
        <w:spacing w:before="120" w:after="120"/>
        <w:jc w:val="right"/>
        <w:rPr>
          <w:rFonts w:ascii="Bookman Old Style" w:hAnsi="Bookman Old Style"/>
          <w:b/>
          <w:sz w:val="20"/>
          <w:szCs w:val="20"/>
        </w:rPr>
      </w:pPr>
    </w:p>
    <w:p w:rsidR="00F45425" w:rsidRDefault="00F45425" w:rsidP="00F45425">
      <w:pPr>
        <w:spacing w:before="120" w:after="120"/>
        <w:jc w:val="right"/>
        <w:rPr>
          <w:rFonts w:ascii="Bookman Old Style" w:hAnsi="Bookman Old Style"/>
          <w:b/>
          <w:sz w:val="20"/>
          <w:szCs w:val="20"/>
        </w:rPr>
      </w:pPr>
    </w:p>
    <w:p w:rsidR="006A199E" w:rsidRDefault="006A199E" w:rsidP="00F45425">
      <w:pPr>
        <w:spacing w:before="120" w:after="120"/>
        <w:jc w:val="right"/>
        <w:rPr>
          <w:rFonts w:ascii="Bookman Old Style" w:hAnsi="Bookman Old Style"/>
          <w:b/>
          <w:sz w:val="20"/>
          <w:szCs w:val="20"/>
        </w:rPr>
      </w:pPr>
    </w:p>
    <w:p w:rsidR="006A199E" w:rsidRDefault="006A199E" w:rsidP="00F45425">
      <w:pPr>
        <w:spacing w:before="120" w:after="120"/>
        <w:jc w:val="right"/>
        <w:rPr>
          <w:rFonts w:ascii="Bookman Old Style" w:hAnsi="Bookman Old Style"/>
          <w:b/>
          <w:sz w:val="20"/>
          <w:szCs w:val="20"/>
        </w:rPr>
      </w:pPr>
    </w:p>
    <w:p w:rsidR="006A199E" w:rsidRDefault="006A199E" w:rsidP="00F45425">
      <w:pPr>
        <w:spacing w:before="120" w:after="120"/>
        <w:jc w:val="right"/>
        <w:rPr>
          <w:rFonts w:ascii="Bookman Old Style" w:hAnsi="Bookman Old Style"/>
          <w:b/>
          <w:sz w:val="20"/>
          <w:szCs w:val="20"/>
        </w:rPr>
      </w:pPr>
    </w:p>
    <w:p w:rsidR="006A199E" w:rsidRDefault="006A199E" w:rsidP="00F45425">
      <w:pPr>
        <w:spacing w:before="120" w:after="120"/>
        <w:jc w:val="right"/>
        <w:rPr>
          <w:rFonts w:ascii="Bookman Old Style" w:hAnsi="Bookman Old Style"/>
          <w:b/>
          <w:sz w:val="20"/>
          <w:szCs w:val="20"/>
        </w:rPr>
      </w:pPr>
    </w:p>
    <w:p w:rsidR="006A199E" w:rsidRDefault="006A199E" w:rsidP="00F45425">
      <w:pPr>
        <w:spacing w:before="120" w:after="120"/>
        <w:jc w:val="right"/>
        <w:rPr>
          <w:rFonts w:ascii="Bookman Old Style" w:hAnsi="Bookman Old Style"/>
          <w:b/>
          <w:sz w:val="20"/>
          <w:szCs w:val="20"/>
        </w:rPr>
      </w:pPr>
    </w:p>
    <w:p w:rsidR="006A199E" w:rsidRDefault="006A199E" w:rsidP="00F45425">
      <w:pPr>
        <w:spacing w:before="120" w:after="120"/>
        <w:jc w:val="right"/>
        <w:rPr>
          <w:rFonts w:ascii="Bookman Old Style" w:hAnsi="Bookman Old Style"/>
          <w:b/>
          <w:sz w:val="20"/>
          <w:szCs w:val="20"/>
        </w:rPr>
      </w:pPr>
    </w:p>
    <w:p w:rsidR="008E2317" w:rsidRPr="00106FF2" w:rsidRDefault="00F6041B" w:rsidP="00B42846">
      <w:pPr>
        <w:pStyle w:val="1"/>
        <w:spacing w:before="120" w:after="120"/>
        <w:jc w:val="center"/>
        <w:rPr>
          <w:rFonts w:ascii="Bookman Old Style" w:hAnsi="Bookman Old Style"/>
        </w:rPr>
      </w:pPr>
      <w:bookmarkStart w:id="346" w:name="_GoBack"/>
      <w:bookmarkStart w:id="347" w:name="_Toc170273684"/>
      <w:bookmarkStart w:id="348" w:name="_Toc200193981"/>
      <w:bookmarkStart w:id="349" w:name="_Toc461206425"/>
      <w:bookmarkEnd w:id="248"/>
      <w:bookmarkEnd w:id="249"/>
      <w:bookmarkEnd w:id="265"/>
      <w:bookmarkEnd w:id="266"/>
      <w:bookmarkEnd w:id="346"/>
      <w:r>
        <w:rPr>
          <w:rFonts w:ascii="Bookman Old Style" w:hAnsi="Bookman Old Style"/>
        </w:rPr>
        <w:lastRenderedPageBreak/>
        <w:t>7</w:t>
      </w:r>
      <w:r w:rsidR="001F6EFB" w:rsidRPr="00106FF2">
        <w:rPr>
          <w:rFonts w:ascii="Bookman Old Style" w:hAnsi="Bookman Old Style"/>
        </w:rPr>
        <w:t>. ИТОГОВО</w:t>
      </w:r>
      <w:r w:rsidR="00773C7B" w:rsidRPr="00106FF2">
        <w:rPr>
          <w:rFonts w:ascii="Bookman Old Style" w:hAnsi="Bookman Old Style"/>
        </w:rPr>
        <w:t>Е ЗАКЛЮЧЕНИЕ О</w:t>
      </w:r>
      <w:r w:rsidR="00723C80" w:rsidRPr="00106FF2">
        <w:rPr>
          <w:rFonts w:ascii="Bookman Old Style" w:hAnsi="Bookman Old Style"/>
        </w:rPr>
        <w:t xml:space="preserve"> </w:t>
      </w:r>
      <w:r w:rsidR="00773C7B" w:rsidRPr="00106FF2">
        <w:rPr>
          <w:rFonts w:ascii="Bookman Old Style" w:hAnsi="Bookman Old Style"/>
        </w:rPr>
        <w:t>СТОИМОСТИ ОБЪЕКТ</w:t>
      </w:r>
      <w:r w:rsidR="003460FD">
        <w:rPr>
          <w:rFonts w:ascii="Bookman Old Style" w:hAnsi="Bookman Old Style"/>
        </w:rPr>
        <w:t>А</w:t>
      </w:r>
      <w:r w:rsidR="001F6EFB" w:rsidRPr="00106FF2">
        <w:rPr>
          <w:rFonts w:ascii="Bookman Old Style" w:hAnsi="Bookman Old Style"/>
        </w:rPr>
        <w:t xml:space="preserve"> ОЦЕНКИ</w:t>
      </w:r>
      <w:bookmarkEnd w:id="347"/>
      <w:bookmarkEnd w:id="348"/>
      <w:bookmarkEnd w:id="349"/>
    </w:p>
    <w:p w:rsidR="00486896" w:rsidRPr="00106FF2" w:rsidRDefault="00486896" w:rsidP="00B42846">
      <w:pPr>
        <w:autoSpaceDE w:val="0"/>
        <w:autoSpaceDN w:val="0"/>
        <w:adjustRightInd w:val="0"/>
        <w:spacing w:before="120" w:after="120"/>
        <w:ind w:firstLine="709"/>
        <w:jc w:val="both"/>
        <w:rPr>
          <w:rFonts w:ascii="Bookman Old Style" w:hAnsi="Bookman Old Style"/>
          <w:sz w:val="20"/>
          <w:szCs w:val="20"/>
        </w:rPr>
      </w:pPr>
      <w:r w:rsidRPr="00106FF2">
        <w:rPr>
          <w:rFonts w:ascii="Bookman Old Style" w:hAnsi="Bookman Old Style"/>
          <w:sz w:val="20"/>
          <w:szCs w:val="20"/>
        </w:rPr>
        <w:t>Таким образом, основываясь на полученных и собранных фактах (сведениях, инфор</w:t>
      </w:r>
      <w:r w:rsidR="00E7270E">
        <w:rPr>
          <w:rFonts w:ascii="Bookman Old Style" w:hAnsi="Bookman Old Style"/>
          <w:sz w:val="20"/>
          <w:szCs w:val="20"/>
        </w:rPr>
        <w:t>мации) и проведенных расчетах, о</w:t>
      </w:r>
      <w:r w:rsidRPr="00106FF2">
        <w:rPr>
          <w:rFonts w:ascii="Bookman Old Style" w:hAnsi="Bookman Old Style"/>
          <w:sz w:val="20"/>
          <w:szCs w:val="20"/>
        </w:rPr>
        <w:t xml:space="preserve">ценщик пришёл к следующему заключению: </w:t>
      </w:r>
    </w:p>
    <w:p w:rsidR="00106FF2" w:rsidRDefault="00486896" w:rsidP="00B42846">
      <w:pPr>
        <w:autoSpaceDE w:val="0"/>
        <w:autoSpaceDN w:val="0"/>
        <w:adjustRightInd w:val="0"/>
        <w:spacing w:before="120" w:after="120"/>
        <w:jc w:val="both"/>
        <w:rPr>
          <w:rFonts w:ascii="Bookman Old Style" w:hAnsi="Bookman Old Style"/>
          <w:sz w:val="20"/>
          <w:szCs w:val="20"/>
        </w:rPr>
      </w:pPr>
      <w:r w:rsidRPr="00C9495B">
        <w:rPr>
          <w:rFonts w:ascii="Bookman Old Style" w:hAnsi="Bookman Old Style"/>
          <w:sz w:val="20"/>
          <w:szCs w:val="20"/>
        </w:rPr>
        <w:t>расчетное значение</w:t>
      </w:r>
      <w:r w:rsidR="00E7270E">
        <w:rPr>
          <w:rFonts w:ascii="Bookman Old Style" w:hAnsi="Bookman Old Style"/>
          <w:sz w:val="20"/>
          <w:szCs w:val="20"/>
        </w:rPr>
        <w:t xml:space="preserve"> итоговой величины</w:t>
      </w:r>
      <w:r w:rsidR="00212908" w:rsidRPr="00C9495B">
        <w:rPr>
          <w:rFonts w:ascii="Bookman Old Style" w:hAnsi="Bookman Old Style"/>
          <w:sz w:val="20"/>
          <w:szCs w:val="20"/>
        </w:rPr>
        <w:t xml:space="preserve"> </w:t>
      </w:r>
      <w:r w:rsidR="00C61514" w:rsidRPr="00C9495B">
        <w:rPr>
          <w:rFonts w:ascii="Bookman Old Style" w:hAnsi="Bookman Old Style"/>
          <w:sz w:val="20"/>
          <w:szCs w:val="20"/>
        </w:rPr>
        <w:t xml:space="preserve">рыночной стоимости </w:t>
      </w:r>
      <w:r w:rsidR="003460FD">
        <w:rPr>
          <w:rFonts w:ascii="Bookman Old Style" w:hAnsi="Bookman Old Style"/>
          <w:sz w:val="20"/>
          <w:szCs w:val="20"/>
        </w:rPr>
        <w:t>Объекта оценки</w:t>
      </w:r>
      <w:r w:rsidR="00212908" w:rsidRPr="00C9495B">
        <w:rPr>
          <w:rFonts w:ascii="Bookman Old Style" w:hAnsi="Bookman Old Style"/>
          <w:sz w:val="20"/>
          <w:szCs w:val="20"/>
        </w:rPr>
        <w:t>:</w:t>
      </w:r>
    </w:p>
    <w:p w:rsidR="006568BA" w:rsidRPr="00023975" w:rsidRDefault="006568BA" w:rsidP="006568BA">
      <w:pPr>
        <w:autoSpaceDE w:val="0"/>
        <w:autoSpaceDN w:val="0"/>
        <w:adjustRightInd w:val="0"/>
        <w:spacing w:before="120" w:after="120"/>
        <w:ind w:left="720"/>
        <w:jc w:val="both"/>
        <w:rPr>
          <w:rFonts w:ascii="Bookman Old Style" w:hAnsi="Bookman Old Style"/>
          <w:color w:val="000000" w:themeColor="text1"/>
          <w:sz w:val="20"/>
          <w:szCs w:val="20"/>
        </w:rPr>
      </w:pPr>
      <w:r w:rsidRPr="00023975">
        <w:rPr>
          <w:rFonts w:ascii="Bookman Old Style" w:hAnsi="Bookman Old Style"/>
          <w:color w:val="000000" w:themeColor="text1"/>
          <w:sz w:val="20"/>
          <w:szCs w:val="20"/>
        </w:rPr>
        <w:t>Недвижимое и движимое имущество ООО «Окно», находящееся в залоге у Открытого акционерного общества Акционерный коммерческий банк «Банк Москвы», в составе элементов:</w:t>
      </w:r>
    </w:p>
    <w:p w:rsidR="006568BA" w:rsidRPr="00023975" w:rsidRDefault="006568BA" w:rsidP="006568BA">
      <w:pPr>
        <w:numPr>
          <w:ilvl w:val="1"/>
          <w:numId w:val="52"/>
        </w:numPr>
        <w:autoSpaceDE w:val="0"/>
        <w:autoSpaceDN w:val="0"/>
        <w:adjustRightInd w:val="0"/>
        <w:spacing w:before="120" w:after="120"/>
        <w:ind w:left="1321" w:hanging="357"/>
        <w:jc w:val="both"/>
        <w:rPr>
          <w:rFonts w:ascii="Bookman Old Style" w:hAnsi="Bookman Old Style"/>
          <w:color w:val="000000" w:themeColor="text1"/>
          <w:sz w:val="20"/>
          <w:szCs w:val="20"/>
        </w:rPr>
      </w:pPr>
      <w:r w:rsidRPr="00023975">
        <w:rPr>
          <w:rFonts w:ascii="Bookman Old Style" w:hAnsi="Bookman Old Style"/>
          <w:color w:val="000000" w:themeColor="text1"/>
          <w:sz w:val="20"/>
          <w:szCs w:val="20"/>
        </w:rPr>
        <w:t xml:space="preserve">Нежилое здание, назначение: 2- этажный (подземных этажей -1), общая площадь 4216,7 кв. м.,  инв.№ 04:401:001:015107160:0001, лит. В3, в,в1,В2,В4,В5,В6, адрес: г. Красноярск, ул. Айвазовского, 37 «А» Кадастровый номер: 24:50:0500203:386 </w:t>
      </w:r>
    </w:p>
    <w:p w:rsidR="006568BA" w:rsidRPr="00023975" w:rsidRDefault="006568BA" w:rsidP="006568BA">
      <w:pPr>
        <w:numPr>
          <w:ilvl w:val="1"/>
          <w:numId w:val="52"/>
        </w:numPr>
        <w:autoSpaceDE w:val="0"/>
        <w:autoSpaceDN w:val="0"/>
        <w:adjustRightInd w:val="0"/>
        <w:spacing w:before="120" w:after="120"/>
        <w:ind w:left="1321" w:hanging="357"/>
        <w:jc w:val="both"/>
        <w:rPr>
          <w:rFonts w:ascii="Bookman Old Style" w:hAnsi="Bookman Old Style"/>
          <w:color w:val="000000" w:themeColor="text1"/>
          <w:sz w:val="20"/>
          <w:szCs w:val="20"/>
        </w:rPr>
      </w:pPr>
      <w:r w:rsidRPr="00023975">
        <w:rPr>
          <w:rFonts w:ascii="Bookman Old Style" w:hAnsi="Bookman Old Style"/>
          <w:color w:val="000000" w:themeColor="text1"/>
          <w:sz w:val="20"/>
          <w:szCs w:val="20"/>
        </w:rPr>
        <w:t>Холодный склад, назначение: нежилое, 1- этажный,  общая площадь 1002,2 кв. метра, инв. № 01:3396:013795, лит. В1, адрес: г. Красноярск, ул. Айвазовского, 37 «А», строение 3. Кадастровый номер: 24:50:0500203:398</w:t>
      </w:r>
    </w:p>
    <w:p w:rsidR="006568BA" w:rsidRPr="00023975" w:rsidRDefault="006568BA" w:rsidP="006568BA">
      <w:pPr>
        <w:numPr>
          <w:ilvl w:val="1"/>
          <w:numId w:val="52"/>
        </w:numPr>
        <w:autoSpaceDE w:val="0"/>
        <w:autoSpaceDN w:val="0"/>
        <w:adjustRightInd w:val="0"/>
        <w:spacing w:before="120" w:after="120"/>
        <w:ind w:left="1321" w:hanging="357"/>
        <w:jc w:val="both"/>
        <w:rPr>
          <w:rFonts w:ascii="Bookman Old Style" w:hAnsi="Bookman Old Style"/>
          <w:color w:val="000000" w:themeColor="text1"/>
          <w:sz w:val="20"/>
          <w:szCs w:val="20"/>
        </w:rPr>
      </w:pPr>
      <w:r w:rsidRPr="00023975">
        <w:rPr>
          <w:rFonts w:ascii="Bookman Old Style" w:hAnsi="Bookman Old Style"/>
          <w:color w:val="000000" w:themeColor="text1"/>
          <w:sz w:val="20"/>
          <w:szCs w:val="20"/>
        </w:rPr>
        <w:t>Склад готовой продукции, назначение: нежилое, 1-этажный, общая площадь 1497,2 кв. м.,  инв. № 01:3237:012895, лит. В3,  адрес: г. Красноярск, ул. Айвазовского,37 «А», строен. 1, Кадастровый номер 24:50:0000000:0:105432</w:t>
      </w:r>
    </w:p>
    <w:p w:rsidR="006568BA" w:rsidRPr="00023975" w:rsidRDefault="006568BA" w:rsidP="006568BA">
      <w:pPr>
        <w:numPr>
          <w:ilvl w:val="1"/>
          <w:numId w:val="52"/>
        </w:numPr>
        <w:autoSpaceDE w:val="0"/>
        <w:autoSpaceDN w:val="0"/>
        <w:adjustRightInd w:val="0"/>
        <w:spacing w:before="120" w:after="120"/>
        <w:ind w:left="1321" w:hanging="357"/>
        <w:jc w:val="both"/>
        <w:rPr>
          <w:rFonts w:ascii="Bookman Old Style" w:hAnsi="Bookman Old Style"/>
          <w:color w:val="000000" w:themeColor="text1"/>
          <w:sz w:val="20"/>
          <w:szCs w:val="20"/>
        </w:rPr>
      </w:pPr>
      <w:r w:rsidRPr="00023975">
        <w:rPr>
          <w:rFonts w:ascii="Bookman Old Style" w:hAnsi="Bookman Old Style"/>
          <w:color w:val="000000" w:themeColor="text1"/>
          <w:sz w:val="20"/>
          <w:szCs w:val="20"/>
        </w:rPr>
        <w:t>Земельный участок, категория земель: земли населенных пунктов, разрешенное использование: занимаемый производственной базой, общая площадь 12774 кв. м., адрес: г. Красноярск, ул. Айвазовского,37 «А»</w:t>
      </w:r>
      <w:r>
        <w:rPr>
          <w:rFonts w:ascii="Bookman Old Style" w:hAnsi="Bookman Old Style"/>
          <w:color w:val="000000" w:themeColor="text1"/>
          <w:sz w:val="20"/>
          <w:szCs w:val="20"/>
        </w:rPr>
        <w:t>. К</w:t>
      </w:r>
      <w:r w:rsidRPr="00023975">
        <w:rPr>
          <w:rFonts w:ascii="Bookman Old Style" w:hAnsi="Bookman Old Style"/>
          <w:color w:val="000000" w:themeColor="text1"/>
          <w:sz w:val="20"/>
          <w:szCs w:val="20"/>
        </w:rPr>
        <w:t>адастровый номер: 24:50:0500203:458</w:t>
      </w:r>
    </w:p>
    <w:p w:rsidR="006568BA" w:rsidRPr="00023975" w:rsidRDefault="006568BA" w:rsidP="006568BA">
      <w:pPr>
        <w:numPr>
          <w:ilvl w:val="1"/>
          <w:numId w:val="52"/>
        </w:numPr>
        <w:autoSpaceDE w:val="0"/>
        <w:autoSpaceDN w:val="0"/>
        <w:adjustRightInd w:val="0"/>
        <w:spacing w:before="120" w:after="120"/>
        <w:ind w:left="1321" w:hanging="357"/>
        <w:jc w:val="both"/>
        <w:rPr>
          <w:rFonts w:ascii="Bookman Old Style" w:hAnsi="Bookman Old Style"/>
          <w:color w:val="000000" w:themeColor="text1"/>
          <w:sz w:val="20"/>
          <w:szCs w:val="20"/>
        </w:rPr>
      </w:pPr>
      <w:r w:rsidRPr="00023975">
        <w:rPr>
          <w:rFonts w:ascii="Bookman Old Style" w:hAnsi="Bookman Old Style"/>
          <w:color w:val="000000" w:themeColor="text1"/>
          <w:sz w:val="20"/>
          <w:szCs w:val="20"/>
        </w:rPr>
        <w:t>Центр обработки и нарезания ПВХ профилей  KABAN Makina FA 1030</w:t>
      </w:r>
    </w:p>
    <w:p w:rsidR="006568BA" w:rsidRPr="00023975" w:rsidRDefault="006568BA" w:rsidP="006568BA">
      <w:pPr>
        <w:numPr>
          <w:ilvl w:val="1"/>
          <w:numId w:val="52"/>
        </w:numPr>
        <w:autoSpaceDE w:val="0"/>
        <w:autoSpaceDN w:val="0"/>
        <w:adjustRightInd w:val="0"/>
        <w:spacing w:before="120" w:after="120"/>
        <w:ind w:left="1321" w:hanging="357"/>
        <w:jc w:val="both"/>
        <w:rPr>
          <w:rFonts w:ascii="Bookman Old Style" w:hAnsi="Bookman Old Style"/>
          <w:color w:val="000000" w:themeColor="text1"/>
          <w:sz w:val="20"/>
          <w:szCs w:val="20"/>
        </w:rPr>
      </w:pPr>
      <w:r w:rsidRPr="00023975">
        <w:rPr>
          <w:rFonts w:ascii="Bookman Old Style" w:hAnsi="Bookman Old Style"/>
          <w:color w:val="000000" w:themeColor="text1"/>
          <w:sz w:val="20"/>
          <w:szCs w:val="20"/>
        </w:rPr>
        <w:t>Станок для рубки армирования  KABAN Makina КС1010</w:t>
      </w:r>
    </w:p>
    <w:p w:rsidR="006568BA" w:rsidRPr="00023975" w:rsidRDefault="006568BA" w:rsidP="006568BA">
      <w:pPr>
        <w:numPr>
          <w:ilvl w:val="1"/>
          <w:numId w:val="52"/>
        </w:numPr>
        <w:autoSpaceDE w:val="0"/>
        <w:autoSpaceDN w:val="0"/>
        <w:adjustRightInd w:val="0"/>
        <w:spacing w:before="120" w:after="120"/>
        <w:ind w:left="1321" w:hanging="357"/>
        <w:jc w:val="both"/>
        <w:rPr>
          <w:rFonts w:ascii="Bookman Old Style" w:hAnsi="Bookman Old Style"/>
          <w:color w:val="000000" w:themeColor="text1"/>
          <w:sz w:val="20"/>
          <w:szCs w:val="20"/>
        </w:rPr>
      </w:pPr>
      <w:r w:rsidRPr="00023975">
        <w:rPr>
          <w:rFonts w:ascii="Bookman Old Style" w:hAnsi="Bookman Old Style"/>
          <w:color w:val="000000" w:themeColor="text1"/>
          <w:sz w:val="20"/>
          <w:szCs w:val="20"/>
        </w:rPr>
        <w:t>Цифровая система измерения  KABAN Makina DS500</w:t>
      </w:r>
    </w:p>
    <w:p w:rsidR="006568BA" w:rsidRPr="00023975" w:rsidRDefault="006568BA" w:rsidP="006568BA">
      <w:pPr>
        <w:numPr>
          <w:ilvl w:val="1"/>
          <w:numId w:val="52"/>
        </w:numPr>
        <w:autoSpaceDE w:val="0"/>
        <w:autoSpaceDN w:val="0"/>
        <w:adjustRightInd w:val="0"/>
        <w:spacing w:before="120" w:after="120"/>
        <w:ind w:left="1321" w:hanging="357"/>
        <w:jc w:val="both"/>
        <w:rPr>
          <w:rFonts w:ascii="Bookman Old Style" w:hAnsi="Bookman Old Style"/>
          <w:color w:val="000000" w:themeColor="text1"/>
          <w:sz w:val="20"/>
          <w:szCs w:val="20"/>
        </w:rPr>
      </w:pPr>
      <w:r w:rsidRPr="00023975">
        <w:rPr>
          <w:rFonts w:ascii="Bookman Old Style" w:hAnsi="Bookman Old Style"/>
          <w:color w:val="000000" w:themeColor="text1"/>
          <w:sz w:val="20"/>
          <w:szCs w:val="20"/>
        </w:rPr>
        <w:t>Цифровой измерительный компас KABAN Makina DК 100</w:t>
      </w:r>
    </w:p>
    <w:p w:rsidR="006568BA" w:rsidRPr="00023975" w:rsidRDefault="006568BA" w:rsidP="006568BA">
      <w:pPr>
        <w:numPr>
          <w:ilvl w:val="1"/>
          <w:numId w:val="52"/>
        </w:numPr>
        <w:autoSpaceDE w:val="0"/>
        <w:autoSpaceDN w:val="0"/>
        <w:adjustRightInd w:val="0"/>
        <w:spacing w:before="120" w:after="120"/>
        <w:ind w:left="1321" w:hanging="357"/>
        <w:jc w:val="both"/>
        <w:rPr>
          <w:rFonts w:ascii="Bookman Old Style" w:hAnsi="Bookman Old Style"/>
          <w:color w:val="000000" w:themeColor="text1"/>
          <w:sz w:val="20"/>
          <w:szCs w:val="20"/>
        </w:rPr>
      </w:pPr>
      <w:r w:rsidRPr="00023975">
        <w:rPr>
          <w:rFonts w:ascii="Bookman Old Style" w:hAnsi="Bookman Old Style"/>
          <w:color w:val="000000" w:themeColor="text1"/>
          <w:sz w:val="20"/>
          <w:szCs w:val="20"/>
        </w:rPr>
        <w:t>Станок одноголовочный сварочный   KABAN Makina ВА2030</w:t>
      </w:r>
    </w:p>
    <w:p w:rsidR="006568BA" w:rsidRPr="00023975" w:rsidRDefault="006568BA" w:rsidP="006568BA">
      <w:pPr>
        <w:numPr>
          <w:ilvl w:val="1"/>
          <w:numId w:val="52"/>
        </w:numPr>
        <w:autoSpaceDE w:val="0"/>
        <w:autoSpaceDN w:val="0"/>
        <w:adjustRightInd w:val="0"/>
        <w:spacing w:before="120" w:after="120"/>
        <w:ind w:left="1321" w:hanging="357"/>
        <w:jc w:val="both"/>
        <w:rPr>
          <w:rFonts w:ascii="Bookman Old Style" w:hAnsi="Bookman Old Style"/>
          <w:color w:val="000000" w:themeColor="text1"/>
          <w:sz w:val="20"/>
          <w:szCs w:val="20"/>
        </w:rPr>
      </w:pPr>
      <w:r w:rsidRPr="00023975">
        <w:rPr>
          <w:rFonts w:ascii="Bookman Old Style" w:hAnsi="Bookman Old Style"/>
          <w:color w:val="000000" w:themeColor="text1"/>
          <w:sz w:val="20"/>
          <w:szCs w:val="20"/>
        </w:rPr>
        <w:t>Автоматический копировально-фрезерный станок для фрезерования отверстий  под ручку и фурнитуру KABAN Makina DE 4060</w:t>
      </w:r>
    </w:p>
    <w:p w:rsidR="006568BA" w:rsidRDefault="006568BA" w:rsidP="006568BA">
      <w:pPr>
        <w:numPr>
          <w:ilvl w:val="1"/>
          <w:numId w:val="52"/>
        </w:numPr>
        <w:autoSpaceDE w:val="0"/>
        <w:autoSpaceDN w:val="0"/>
        <w:adjustRightInd w:val="0"/>
        <w:spacing w:before="120" w:after="120"/>
        <w:ind w:left="1321" w:hanging="357"/>
        <w:jc w:val="both"/>
        <w:rPr>
          <w:rFonts w:ascii="Bookman Old Style" w:hAnsi="Bookman Old Style"/>
          <w:color w:val="000000" w:themeColor="text1"/>
          <w:sz w:val="20"/>
          <w:szCs w:val="20"/>
        </w:rPr>
      </w:pPr>
      <w:r w:rsidRPr="00023975">
        <w:rPr>
          <w:rFonts w:ascii="Bookman Old Style" w:hAnsi="Bookman Old Style"/>
          <w:color w:val="000000" w:themeColor="text1"/>
          <w:sz w:val="20"/>
          <w:szCs w:val="20"/>
        </w:rPr>
        <w:t>Механический  копировально-фрезерный  станок  KABAN Makina DF4060</w:t>
      </w:r>
    </w:p>
    <w:p w:rsidR="006568BA" w:rsidRDefault="006568BA" w:rsidP="006568BA">
      <w:pPr>
        <w:numPr>
          <w:ilvl w:val="1"/>
          <w:numId w:val="52"/>
        </w:numPr>
        <w:autoSpaceDE w:val="0"/>
        <w:autoSpaceDN w:val="0"/>
        <w:adjustRightInd w:val="0"/>
        <w:spacing w:before="120" w:after="120"/>
        <w:ind w:left="1321" w:hanging="357"/>
        <w:jc w:val="both"/>
        <w:rPr>
          <w:rFonts w:ascii="Bookman Old Style" w:hAnsi="Bookman Old Style"/>
          <w:color w:val="000000" w:themeColor="text1"/>
          <w:sz w:val="20"/>
          <w:szCs w:val="20"/>
        </w:rPr>
      </w:pPr>
      <w:r w:rsidRPr="00023975">
        <w:rPr>
          <w:rFonts w:ascii="Bookman Old Style" w:hAnsi="Bookman Old Style"/>
          <w:color w:val="000000" w:themeColor="text1"/>
          <w:sz w:val="20"/>
          <w:szCs w:val="20"/>
        </w:rPr>
        <w:t>Автоматический станок для обработки импоста  KABAN Makina СF3060</w:t>
      </w:r>
    </w:p>
    <w:p w:rsidR="003460FD" w:rsidRPr="005D0816" w:rsidRDefault="00982955" w:rsidP="005D0816">
      <w:pPr>
        <w:pStyle w:val="aff2"/>
        <w:spacing w:before="120" w:after="120"/>
        <w:ind w:left="714"/>
        <w:contextualSpacing w:val="0"/>
        <w:rPr>
          <w:rFonts w:ascii="Bookman Old Style" w:hAnsi="Bookman Old Style"/>
          <w:sz w:val="20"/>
          <w:szCs w:val="20"/>
        </w:rPr>
      </w:pPr>
      <w:r w:rsidRPr="005D0816">
        <w:rPr>
          <w:rFonts w:ascii="Bookman Old Style" w:hAnsi="Bookman Old Style"/>
          <w:sz w:val="20"/>
          <w:szCs w:val="20"/>
        </w:rPr>
        <w:t>Принадлежащ</w:t>
      </w:r>
      <w:r w:rsidR="00405E79" w:rsidRPr="005D0816">
        <w:rPr>
          <w:rFonts w:ascii="Bookman Old Style" w:hAnsi="Bookman Old Style"/>
          <w:sz w:val="20"/>
          <w:szCs w:val="20"/>
        </w:rPr>
        <w:t>его</w:t>
      </w:r>
      <w:r w:rsidR="00C61514" w:rsidRPr="005D0816">
        <w:rPr>
          <w:rFonts w:ascii="Bookman Old Style" w:hAnsi="Bookman Old Style"/>
          <w:sz w:val="20"/>
          <w:szCs w:val="20"/>
        </w:rPr>
        <w:t>:</w:t>
      </w:r>
      <w:r w:rsidR="00C9495B" w:rsidRPr="005D0816">
        <w:rPr>
          <w:rFonts w:ascii="Bookman Old Style" w:hAnsi="Bookman Old Style"/>
          <w:sz w:val="20"/>
          <w:szCs w:val="20"/>
        </w:rPr>
        <w:t xml:space="preserve"> </w:t>
      </w:r>
      <w:r w:rsidR="007064EB" w:rsidRPr="005D0816">
        <w:rPr>
          <w:rFonts w:ascii="Bookman Old Style" w:hAnsi="Bookman Old Style"/>
          <w:sz w:val="20"/>
          <w:szCs w:val="20"/>
        </w:rPr>
        <w:t xml:space="preserve"> </w:t>
      </w:r>
    </w:p>
    <w:p w:rsidR="00982955" w:rsidRPr="003460FD" w:rsidRDefault="000C64BF" w:rsidP="005D0816">
      <w:pPr>
        <w:pStyle w:val="aff2"/>
        <w:autoSpaceDE w:val="0"/>
        <w:autoSpaceDN w:val="0"/>
        <w:adjustRightInd w:val="0"/>
        <w:spacing w:before="120" w:after="120"/>
        <w:jc w:val="both"/>
        <w:rPr>
          <w:rFonts w:ascii="Bookman Old Style" w:hAnsi="Bookman Old Style"/>
          <w:sz w:val="20"/>
          <w:szCs w:val="20"/>
        </w:rPr>
      </w:pPr>
      <w:r>
        <w:rPr>
          <w:rFonts w:ascii="Bookman Old Style" w:hAnsi="Bookman Old Style"/>
          <w:sz w:val="20"/>
          <w:szCs w:val="20"/>
        </w:rPr>
        <w:t xml:space="preserve">Обществу с ограниченной </w:t>
      </w:r>
      <w:r w:rsidR="00B21788">
        <w:rPr>
          <w:rFonts w:ascii="Bookman Old Style" w:hAnsi="Bookman Old Style"/>
          <w:sz w:val="20"/>
          <w:szCs w:val="20"/>
        </w:rPr>
        <w:t>ответственностью</w:t>
      </w:r>
      <w:r w:rsidRPr="000C64BF">
        <w:rPr>
          <w:rFonts w:ascii="Bookman Old Style" w:hAnsi="Bookman Old Style"/>
          <w:sz w:val="20"/>
          <w:szCs w:val="20"/>
        </w:rPr>
        <w:t xml:space="preserve"> «</w:t>
      </w:r>
      <w:r w:rsidR="006568BA">
        <w:rPr>
          <w:rFonts w:ascii="Bookman Old Style" w:hAnsi="Bookman Old Style"/>
          <w:sz w:val="20"/>
          <w:szCs w:val="20"/>
        </w:rPr>
        <w:t>Окно</w:t>
      </w:r>
      <w:r w:rsidRPr="000C64BF">
        <w:rPr>
          <w:rFonts w:ascii="Bookman Old Style" w:hAnsi="Bookman Old Style"/>
          <w:sz w:val="20"/>
          <w:szCs w:val="20"/>
        </w:rPr>
        <w:t>»</w:t>
      </w:r>
      <w:r w:rsidR="00982955" w:rsidRPr="003460FD">
        <w:rPr>
          <w:rFonts w:ascii="Bookman Old Style" w:hAnsi="Bookman Old Style"/>
          <w:sz w:val="20"/>
          <w:szCs w:val="20"/>
        </w:rPr>
        <w:t>.</w:t>
      </w:r>
    </w:p>
    <w:p w:rsidR="00486896" w:rsidRPr="006259AD" w:rsidRDefault="00486896" w:rsidP="00B42846">
      <w:pPr>
        <w:autoSpaceDE w:val="0"/>
        <w:autoSpaceDN w:val="0"/>
        <w:adjustRightInd w:val="0"/>
        <w:spacing w:before="120" w:after="120"/>
        <w:jc w:val="both"/>
        <w:rPr>
          <w:rFonts w:ascii="Bookman Old Style" w:hAnsi="Bookman Old Style"/>
          <w:sz w:val="20"/>
          <w:szCs w:val="20"/>
        </w:rPr>
      </w:pPr>
      <w:r w:rsidRPr="004A53BF">
        <w:rPr>
          <w:rFonts w:ascii="Bookman Old Style" w:hAnsi="Bookman Old Style"/>
          <w:sz w:val="20"/>
          <w:szCs w:val="20"/>
        </w:rPr>
        <w:t>по состоянию на «</w:t>
      </w:r>
      <w:r w:rsidR="005D0816">
        <w:rPr>
          <w:rFonts w:ascii="Bookman Old Style" w:hAnsi="Bookman Old Style"/>
          <w:sz w:val="20"/>
          <w:szCs w:val="20"/>
        </w:rPr>
        <w:t>2</w:t>
      </w:r>
      <w:r w:rsidR="006568BA">
        <w:rPr>
          <w:rFonts w:ascii="Bookman Old Style" w:hAnsi="Bookman Old Style"/>
          <w:sz w:val="20"/>
          <w:szCs w:val="20"/>
        </w:rPr>
        <w:t>6</w:t>
      </w:r>
      <w:r w:rsidR="00A06A73" w:rsidRPr="004A53BF">
        <w:rPr>
          <w:rFonts w:ascii="Bookman Old Style" w:hAnsi="Bookman Old Style"/>
          <w:sz w:val="20"/>
          <w:szCs w:val="20"/>
        </w:rPr>
        <w:t xml:space="preserve"> </w:t>
      </w:r>
      <w:r w:rsidRPr="004A53BF">
        <w:rPr>
          <w:rFonts w:ascii="Bookman Old Style" w:hAnsi="Bookman Old Style"/>
          <w:sz w:val="20"/>
          <w:szCs w:val="20"/>
        </w:rPr>
        <w:t xml:space="preserve">» </w:t>
      </w:r>
      <w:r w:rsidR="005D0816">
        <w:rPr>
          <w:rFonts w:ascii="Bookman Old Style" w:hAnsi="Bookman Old Style"/>
          <w:sz w:val="20"/>
          <w:szCs w:val="20"/>
        </w:rPr>
        <w:t>августа</w:t>
      </w:r>
      <w:r w:rsidRPr="004A53BF">
        <w:rPr>
          <w:rFonts w:ascii="Bookman Old Style" w:hAnsi="Bookman Old Style"/>
          <w:sz w:val="20"/>
          <w:szCs w:val="20"/>
        </w:rPr>
        <w:t xml:space="preserve"> 20</w:t>
      </w:r>
      <w:r w:rsidR="00C9495B" w:rsidRPr="004A53BF">
        <w:rPr>
          <w:rFonts w:ascii="Bookman Old Style" w:hAnsi="Bookman Old Style"/>
          <w:sz w:val="20"/>
          <w:szCs w:val="20"/>
        </w:rPr>
        <w:t>1</w:t>
      </w:r>
      <w:r w:rsidR="005D0816">
        <w:rPr>
          <w:rFonts w:ascii="Bookman Old Style" w:hAnsi="Bookman Old Style"/>
          <w:sz w:val="20"/>
          <w:szCs w:val="20"/>
        </w:rPr>
        <w:t>6</w:t>
      </w:r>
      <w:r w:rsidRPr="004A53BF">
        <w:rPr>
          <w:rFonts w:ascii="Bookman Old Style" w:hAnsi="Bookman Old Style"/>
          <w:sz w:val="20"/>
          <w:szCs w:val="20"/>
        </w:rPr>
        <w:t xml:space="preserve"> года округленно составляет:</w:t>
      </w:r>
    </w:p>
    <w:p w:rsidR="000C64BF" w:rsidRDefault="006568BA" w:rsidP="000C64BF">
      <w:pPr>
        <w:spacing w:before="120" w:after="120"/>
        <w:contextualSpacing/>
        <w:jc w:val="center"/>
        <w:rPr>
          <w:rFonts w:ascii="Bookman Old Style" w:hAnsi="Bookman Old Style" w:cs="Calibri"/>
          <w:b/>
          <w:color w:val="000000"/>
          <w:sz w:val="20"/>
          <w:szCs w:val="20"/>
        </w:rPr>
      </w:pPr>
      <w:r w:rsidRPr="006568BA">
        <w:rPr>
          <w:rFonts w:ascii="Bookman Old Style" w:hAnsi="Bookman Old Style" w:cs="Calibri"/>
          <w:b/>
          <w:bCs/>
          <w:i/>
          <w:color w:val="000000"/>
          <w:sz w:val="20"/>
          <w:szCs w:val="20"/>
        </w:rPr>
        <w:t>111 377 400, сто одиннадцать миллионов триста семьдесят семь тысяч четыреста рублей</w:t>
      </w:r>
      <w:r w:rsidR="000C64BF">
        <w:rPr>
          <w:rFonts w:ascii="Bookman Old Style" w:hAnsi="Bookman Old Style" w:cs="Calibri"/>
          <w:b/>
          <w:color w:val="000000"/>
          <w:sz w:val="20"/>
          <w:szCs w:val="20"/>
        </w:rPr>
        <w:t>,</w:t>
      </w:r>
      <w:r>
        <w:rPr>
          <w:rFonts w:ascii="Bookman Old Style" w:hAnsi="Bookman Old Style" w:cs="Calibri"/>
          <w:b/>
          <w:color w:val="000000"/>
          <w:sz w:val="20"/>
          <w:szCs w:val="20"/>
        </w:rPr>
        <w:t xml:space="preserve"> </w:t>
      </w:r>
      <w:r w:rsidR="00180F9A">
        <w:rPr>
          <w:rFonts w:ascii="Bookman Old Style" w:hAnsi="Bookman Old Style" w:cs="Calibri"/>
          <w:b/>
          <w:color w:val="000000"/>
          <w:sz w:val="20"/>
          <w:szCs w:val="20"/>
        </w:rPr>
        <w:t xml:space="preserve"> </w:t>
      </w:r>
      <w:r w:rsidR="000C64BF" w:rsidRPr="00B00070">
        <w:rPr>
          <w:rFonts w:ascii="Bookman Old Style" w:hAnsi="Bookman Old Style" w:cs="Calibri"/>
          <w:b/>
          <w:color w:val="000000"/>
          <w:sz w:val="20"/>
          <w:szCs w:val="20"/>
        </w:rPr>
        <w:t>в том числе по элементам:</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7229"/>
        <w:gridCol w:w="2268"/>
      </w:tblGrid>
      <w:tr w:rsidR="006568BA" w:rsidRPr="00023975" w:rsidTr="00D70166">
        <w:trPr>
          <w:cantSplit/>
          <w:trHeight w:val="284"/>
        </w:trPr>
        <w:tc>
          <w:tcPr>
            <w:tcW w:w="534" w:type="dxa"/>
            <w:shd w:val="clear" w:color="auto" w:fill="F2F2F2" w:themeFill="background1" w:themeFillShade="F2"/>
            <w:vAlign w:val="center"/>
            <w:hideMark/>
          </w:tcPr>
          <w:p w:rsidR="006568BA" w:rsidRPr="00023975" w:rsidRDefault="006568BA" w:rsidP="00D70166">
            <w:pPr>
              <w:jc w:val="center"/>
              <w:rPr>
                <w:rFonts w:asciiTheme="majorHAnsi" w:hAnsiTheme="majorHAnsi"/>
                <w:b/>
                <w:bCs/>
                <w:color w:val="000000"/>
                <w:sz w:val="18"/>
                <w:szCs w:val="18"/>
              </w:rPr>
            </w:pPr>
            <w:r w:rsidRPr="00023975">
              <w:rPr>
                <w:rFonts w:asciiTheme="majorHAnsi" w:hAnsiTheme="majorHAnsi"/>
                <w:b/>
                <w:bCs/>
                <w:color w:val="000000"/>
                <w:sz w:val="18"/>
                <w:szCs w:val="18"/>
              </w:rPr>
              <w:t>№ п.п.</w:t>
            </w:r>
          </w:p>
        </w:tc>
        <w:tc>
          <w:tcPr>
            <w:tcW w:w="7229" w:type="dxa"/>
            <w:shd w:val="clear" w:color="auto" w:fill="F2F2F2" w:themeFill="background1" w:themeFillShade="F2"/>
            <w:vAlign w:val="center"/>
            <w:hideMark/>
          </w:tcPr>
          <w:p w:rsidR="006568BA" w:rsidRPr="00023975" w:rsidRDefault="006568BA" w:rsidP="00D70166">
            <w:pPr>
              <w:jc w:val="center"/>
              <w:rPr>
                <w:rFonts w:asciiTheme="majorHAnsi" w:hAnsiTheme="majorHAnsi"/>
                <w:b/>
                <w:bCs/>
                <w:color w:val="000000"/>
                <w:sz w:val="18"/>
                <w:szCs w:val="18"/>
              </w:rPr>
            </w:pPr>
            <w:r w:rsidRPr="00023975">
              <w:rPr>
                <w:rFonts w:asciiTheme="majorHAnsi" w:hAnsiTheme="majorHAnsi"/>
                <w:b/>
                <w:bCs/>
                <w:color w:val="000000"/>
                <w:sz w:val="18"/>
                <w:szCs w:val="18"/>
              </w:rPr>
              <w:t>Элемент Объекта оценки</w:t>
            </w:r>
          </w:p>
        </w:tc>
        <w:tc>
          <w:tcPr>
            <w:tcW w:w="2268" w:type="dxa"/>
            <w:shd w:val="clear" w:color="auto" w:fill="F2F2F2" w:themeFill="background1" w:themeFillShade="F2"/>
            <w:vAlign w:val="center"/>
          </w:tcPr>
          <w:p w:rsidR="006568BA" w:rsidRPr="00023975" w:rsidRDefault="006568BA" w:rsidP="00D70166">
            <w:pPr>
              <w:jc w:val="center"/>
              <w:rPr>
                <w:rFonts w:asciiTheme="majorHAnsi" w:hAnsiTheme="majorHAnsi"/>
                <w:b/>
                <w:color w:val="000000"/>
                <w:sz w:val="18"/>
                <w:szCs w:val="18"/>
                <w:highlight w:val="yellow"/>
              </w:rPr>
            </w:pPr>
            <w:r w:rsidRPr="00023975">
              <w:rPr>
                <w:rFonts w:asciiTheme="majorHAnsi" w:hAnsiTheme="majorHAnsi"/>
                <w:b/>
                <w:color w:val="000000"/>
                <w:sz w:val="18"/>
                <w:szCs w:val="18"/>
              </w:rPr>
              <w:t>Рыночная стоимость элемента Объекта оценки, руб. НДС не облагается</w:t>
            </w:r>
          </w:p>
        </w:tc>
      </w:tr>
      <w:tr w:rsidR="006568BA" w:rsidRPr="00023975" w:rsidTr="00D70166">
        <w:trPr>
          <w:cantSplit/>
          <w:trHeight w:val="284"/>
        </w:trPr>
        <w:tc>
          <w:tcPr>
            <w:tcW w:w="534" w:type="dxa"/>
            <w:shd w:val="clear" w:color="auto" w:fill="auto"/>
            <w:noWrap/>
            <w:vAlign w:val="center"/>
          </w:tcPr>
          <w:p w:rsidR="006568BA" w:rsidRPr="00023975" w:rsidRDefault="006568BA" w:rsidP="00D70166">
            <w:pPr>
              <w:jc w:val="center"/>
              <w:rPr>
                <w:rFonts w:asciiTheme="majorHAnsi" w:hAnsiTheme="majorHAnsi"/>
                <w:color w:val="000000"/>
                <w:sz w:val="18"/>
                <w:szCs w:val="18"/>
              </w:rPr>
            </w:pPr>
            <w:r w:rsidRPr="00023975">
              <w:rPr>
                <w:rFonts w:asciiTheme="majorHAnsi" w:hAnsiTheme="majorHAnsi"/>
                <w:color w:val="000000"/>
                <w:sz w:val="18"/>
                <w:szCs w:val="18"/>
              </w:rPr>
              <w:t>1</w:t>
            </w:r>
          </w:p>
        </w:tc>
        <w:tc>
          <w:tcPr>
            <w:tcW w:w="7229" w:type="dxa"/>
            <w:shd w:val="clear" w:color="auto" w:fill="auto"/>
            <w:noWrap/>
          </w:tcPr>
          <w:p w:rsidR="006568BA" w:rsidRPr="002477AD" w:rsidRDefault="006568BA" w:rsidP="00D70166">
            <w:pPr>
              <w:autoSpaceDE w:val="0"/>
              <w:autoSpaceDN w:val="0"/>
              <w:adjustRightInd w:val="0"/>
              <w:jc w:val="both"/>
              <w:rPr>
                <w:rFonts w:asciiTheme="majorHAnsi" w:hAnsiTheme="majorHAnsi"/>
                <w:color w:val="000000" w:themeColor="text1"/>
                <w:sz w:val="18"/>
                <w:szCs w:val="18"/>
              </w:rPr>
            </w:pPr>
            <w:r w:rsidRPr="002477AD">
              <w:rPr>
                <w:rFonts w:asciiTheme="majorHAnsi" w:hAnsiTheme="majorHAnsi"/>
                <w:color w:val="000000" w:themeColor="text1"/>
                <w:sz w:val="18"/>
                <w:szCs w:val="18"/>
              </w:rPr>
              <w:t xml:space="preserve">Нежилое здание, назначение: 2- этажный (подземных этажей -1), общая площадь 4216,7 кв. м.,  инв.№ 04:401:001:015107160:0001, лит. В3, в,в1,В2,В4,В5,В6, адрес: г. Красноярск, ул. Айвазовского, 37 «А» Кадастровый номер: 24:50:0500203:386 </w:t>
            </w:r>
          </w:p>
        </w:tc>
        <w:tc>
          <w:tcPr>
            <w:tcW w:w="2268" w:type="dxa"/>
            <w:vAlign w:val="center"/>
          </w:tcPr>
          <w:p w:rsidR="006568BA" w:rsidRPr="00C204F1" w:rsidRDefault="006568BA" w:rsidP="00D70166">
            <w:pPr>
              <w:jc w:val="right"/>
              <w:rPr>
                <w:rFonts w:ascii="Cambria" w:hAnsi="Cambria"/>
                <w:sz w:val="18"/>
                <w:szCs w:val="18"/>
              </w:rPr>
            </w:pPr>
            <w:r w:rsidRPr="00C204F1">
              <w:rPr>
                <w:rFonts w:ascii="Cambria" w:hAnsi="Cambria"/>
                <w:sz w:val="18"/>
                <w:szCs w:val="18"/>
              </w:rPr>
              <w:t>64 578 200</w:t>
            </w:r>
          </w:p>
        </w:tc>
      </w:tr>
      <w:tr w:rsidR="006568BA" w:rsidRPr="00023975" w:rsidTr="00D70166">
        <w:trPr>
          <w:cantSplit/>
          <w:trHeight w:val="284"/>
        </w:trPr>
        <w:tc>
          <w:tcPr>
            <w:tcW w:w="534" w:type="dxa"/>
            <w:shd w:val="clear" w:color="auto" w:fill="auto"/>
            <w:noWrap/>
            <w:vAlign w:val="center"/>
          </w:tcPr>
          <w:p w:rsidR="006568BA" w:rsidRPr="00023975" w:rsidRDefault="006568BA" w:rsidP="00D70166">
            <w:pPr>
              <w:jc w:val="center"/>
              <w:rPr>
                <w:rFonts w:asciiTheme="majorHAnsi" w:hAnsiTheme="majorHAnsi"/>
                <w:color w:val="000000"/>
                <w:sz w:val="18"/>
                <w:szCs w:val="18"/>
              </w:rPr>
            </w:pPr>
            <w:r w:rsidRPr="00023975">
              <w:rPr>
                <w:rFonts w:asciiTheme="majorHAnsi" w:hAnsiTheme="majorHAnsi"/>
                <w:color w:val="000000"/>
                <w:sz w:val="18"/>
                <w:szCs w:val="18"/>
              </w:rPr>
              <w:t>2</w:t>
            </w:r>
          </w:p>
        </w:tc>
        <w:tc>
          <w:tcPr>
            <w:tcW w:w="7229" w:type="dxa"/>
            <w:shd w:val="clear" w:color="auto" w:fill="auto"/>
            <w:noWrap/>
          </w:tcPr>
          <w:p w:rsidR="006568BA" w:rsidRPr="002477AD" w:rsidRDefault="006568BA" w:rsidP="00D70166">
            <w:pPr>
              <w:autoSpaceDE w:val="0"/>
              <w:autoSpaceDN w:val="0"/>
              <w:adjustRightInd w:val="0"/>
              <w:jc w:val="both"/>
              <w:rPr>
                <w:rFonts w:asciiTheme="majorHAnsi" w:hAnsiTheme="majorHAnsi"/>
                <w:color w:val="000000" w:themeColor="text1"/>
                <w:sz w:val="18"/>
                <w:szCs w:val="18"/>
              </w:rPr>
            </w:pPr>
            <w:r w:rsidRPr="002477AD">
              <w:rPr>
                <w:rFonts w:asciiTheme="majorHAnsi" w:hAnsiTheme="majorHAnsi"/>
                <w:color w:val="000000" w:themeColor="text1"/>
                <w:sz w:val="18"/>
                <w:szCs w:val="18"/>
              </w:rPr>
              <w:t>Холодный склад, назначение: нежилое, 1- этажный,  общая площадь 1002,2 кв. метра, инв. № 01:3396:013795, лит. В1, адрес: г. Красноярск, ул. Айвазовского, 37 «А», строение 3. Кадастровый номер: 24:50:0500203:398</w:t>
            </w:r>
          </w:p>
        </w:tc>
        <w:tc>
          <w:tcPr>
            <w:tcW w:w="2268" w:type="dxa"/>
            <w:vAlign w:val="center"/>
          </w:tcPr>
          <w:p w:rsidR="006568BA" w:rsidRPr="00C204F1" w:rsidRDefault="006568BA" w:rsidP="00D70166">
            <w:pPr>
              <w:jc w:val="right"/>
              <w:rPr>
                <w:rFonts w:ascii="Cambria" w:hAnsi="Cambria"/>
                <w:sz w:val="18"/>
                <w:szCs w:val="18"/>
              </w:rPr>
            </w:pPr>
            <w:r w:rsidRPr="00C204F1">
              <w:rPr>
                <w:rFonts w:ascii="Cambria" w:hAnsi="Cambria"/>
                <w:sz w:val="18"/>
                <w:szCs w:val="18"/>
              </w:rPr>
              <w:t>9 298 300</w:t>
            </w:r>
          </w:p>
        </w:tc>
      </w:tr>
      <w:tr w:rsidR="006568BA" w:rsidRPr="00023975" w:rsidTr="00D70166">
        <w:trPr>
          <w:cantSplit/>
          <w:trHeight w:val="284"/>
        </w:trPr>
        <w:tc>
          <w:tcPr>
            <w:tcW w:w="534" w:type="dxa"/>
            <w:shd w:val="clear" w:color="auto" w:fill="auto"/>
            <w:noWrap/>
            <w:vAlign w:val="center"/>
          </w:tcPr>
          <w:p w:rsidR="006568BA" w:rsidRPr="00023975" w:rsidRDefault="006568BA" w:rsidP="00D70166">
            <w:pPr>
              <w:jc w:val="center"/>
              <w:rPr>
                <w:rFonts w:asciiTheme="majorHAnsi" w:hAnsiTheme="majorHAnsi"/>
                <w:color w:val="000000"/>
                <w:sz w:val="18"/>
                <w:szCs w:val="18"/>
              </w:rPr>
            </w:pPr>
            <w:r w:rsidRPr="00023975">
              <w:rPr>
                <w:rFonts w:asciiTheme="majorHAnsi" w:hAnsiTheme="majorHAnsi"/>
                <w:color w:val="000000"/>
                <w:sz w:val="18"/>
                <w:szCs w:val="18"/>
              </w:rPr>
              <w:t>3</w:t>
            </w:r>
          </w:p>
        </w:tc>
        <w:tc>
          <w:tcPr>
            <w:tcW w:w="7229" w:type="dxa"/>
            <w:shd w:val="clear" w:color="auto" w:fill="auto"/>
            <w:noWrap/>
          </w:tcPr>
          <w:p w:rsidR="006568BA" w:rsidRPr="002477AD" w:rsidRDefault="006568BA" w:rsidP="00D70166">
            <w:pPr>
              <w:autoSpaceDE w:val="0"/>
              <w:autoSpaceDN w:val="0"/>
              <w:adjustRightInd w:val="0"/>
              <w:jc w:val="both"/>
              <w:rPr>
                <w:rFonts w:asciiTheme="majorHAnsi" w:hAnsiTheme="majorHAnsi"/>
                <w:color w:val="000000" w:themeColor="text1"/>
                <w:sz w:val="18"/>
                <w:szCs w:val="18"/>
              </w:rPr>
            </w:pPr>
            <w:r w:rsidRPr="002477AD">
              <w:rPr>
                <w:rFonts w:asciiTheme="majorHAnsi" w:hAnsiTheme="majorHAnsi"/>
                <w:color w:val="000000" w:themeColor="text1"/>
                <w:sz w:val="18"/>
                <w:szCs w:val="18"/>
              </w:rPr>
              <w:t>Склад готовой продукции, назначение: нежилое, 1-этажный, общая площадь 1497,2 кв. м.,  инв. № 01:3237:012895, лит. В3,  адрес: г. Красноярск, ул. Айвазовского,37 «А», строен. 1, Кадастровый номер 24:50:0000000:0:105432</w:t>
            </w:r>
          </w:p>
        </w:tc>
        <w:tc>
          <w:tcPr>
            <w:tcW w:w="2268" w:type="dxa"/>
            <w:vAlign w:val="center"/>
          </w:tcPr>
          <w:p w:rsidR="006568BA" w:rsidRPr="00C204F1" w:rsidRDefault="006568BA" w:rsidP="00D70166">
            <w:pPr>
              <w:jc w:val="right"/>
              <w:rPr>
                <w:rFonts w:ascii="Cambria" w:hAnsi="Cambria"/>
                <w:sz w:val="18"/>
                <w:szCs w:val="18"/>
              </w:rPr>
            </w:pPr>
            <w:r w:rsidRPr="00C204F1">
              <w:rPr>
                <w:rFonts w:ascii="Cambria" w:hAnsi="Cambria"/>
                <w:sz w:val="18"/>
                <w:szCs w:val="18"/>
              </w:rPr>
              <w:t>20 024 100</w:t>
            </w:r>
          </w:p>
        </w:tc>
      </w:tr>
      <w:tr w:rsidR="006568BA" w:rsidRPr="00023975" w:rsidTr="00D70166">
        <w:trPr>
          <w:cantSplit/>
          <w:trHeight w:val="284"/>
        </w:trPr>
        <w:tc>
          <w:tcPr>
            <w:tcW w:w="534" w:type="dxa"/>
            <w:shd w:val="clear" w:color="auto" w:fill="auto"/>
            <w:noWrap/>
            <w:vAlign w:val="center"/>
          </w:tcPr>
          <w:p w:rsidR="006568BA" w:rsidRPr="00023975" w:rsidRDefault="006568BA" w:rsidP="00D70166">
            <w:pPr>
              <w:jc w:val="center"/>
              <w:rPr>
                <w:rFonts w:asciiTheme="majorHAnsi" w:hAnsiTheme="majorHAnsi"/>
                <w:color w:val="000000"/>
                <w:sz w:val="18"/>
                <w:szCs w:val="18"/>
              </w:rPr>
            </w:pPr>
            <w:r w:rsidRPr="00023975">
              <w:rPr>
                <w:rFonts w:asciiTheme="majorHAnsi" w:hAnsiTheme="majorHAnsi"/>
                <w:color w:val="000000"/>
                <w:sz w:val="18"/>
                <w:szCs w:val="18"/>
              </w:rPr>
              <w:t>4</w:t>
            </w:r>
          </w:p>
        </w:tc>
        <w:tc>
          <w:tcPr>
            <w:tcW w:w="7229" w:type="dxa"/>
            <w:shd w:val="clear" w:color="auto" w:fill="auto"/>
            <w:noWrap/>
          </w:tcPr>
          <w:p w:rsidR="006568BA" w:rsidRPr="002477AD" w:rsidRDefault="006568BA" w:rsidP="00D70166">
            <w:pPr>
              <w:autoSpaceDE w:val="0"/>
              <w:autoSpaceDN w:val="0"/>
              <w:adjustRightInd w:val="0"/>
              <w:jc w:val="both"/>
              <w:rPr>
                <w:rFonts w:asciiTheme="majorHAnsi" w:hAnsiTheme="majorHAnsi"/>
                <w:color w:val="000000" w:themeColor="text1"/>
                <w:sz w:val="18"/>
                <w:szCs w:val="18"/>
              </w:rPr>
            </w:pPr>
            <w:r w:rsidRPr="002477AD">
              <w:rPr>
                <w:rFonts w:asciiTheme="majorHAnsi" w:hAnsiTheme="majorHAnsi"/>
                <w:color w:val="000000" w:themeColor="text1"/>
                <w:sz w:val="18"/>
                <w:szCs w:val="18"/>
              </w:rPr>
              <w:t>Земельный участок, категория земель: земли населенных пунктов, разрешенное использование: занимаемый производственной базой, общая площадь 12774 кв. м., адрес: г. Красноярск, ул. Айвазовского,37 «А»</w:t>
            </w:r>
            <w:r>
              <w:rPr>
                <w:rFonts w:asciiTheme="majorHAnsi" w:hAnsiTheme="majorHAnsi"/>
                <w:color w:val="000000" w:themeColor="text1"/>
                <w:sz w:val="18"/>
                <w:szCs w:val="18"/>
              </w:rPr>
              <w:t>.</w:t>
            </w:r>
            <w:r w:rsidRPr="002477AD">
              <w:rPr>
                <w:rFonts w:asciiTheme="majorHAnsi" w:hAnsiTheme="majorHAnsi"/>
                <w:color w:val="000000" w:themeColor="text1"/>
                <w:sz w:val="18"/>
                <w:szCs w:val="18"/>
              </w:rPr>
              <w:t xml:space="preserve"> </w:t>
            </w:r>
            <w:r>
              <w:rPr>
                <w:rFonts w:asciiTheme="majorHAnsi" w:hAnsiTheme="majorHAnsi"/>
                <w:color w:val="000000" w:themeColor="text1"/>
                <w:sz w:val="18"/>
                <w:szCs w:val="18"/>
              </w:rPr>
              <w:t>К</w:t>
            </w:r>
            <w:r w:rsidRPr="002477AD">
              <w:rPr>
                <w:rFonts w:asciiTheme="majorHAnsi" w:hAnsiTheme="majorHAnsi"/>
                <w:color w:val="000000" w:themeColor="text1"/>
                <w:sz w:val="18"/>
                <w:szCs w:val="18"/>
              </w:rPr>
              <w:t>адастровый номер: 24:50:0500203:458</w:t>
            </w:r>
          </w:p>
        </w:tc>
        <w:tc>
          <w:tcPr>
            <w:tcW w:w="2268" w:type="dxa"/>
            <w:vAlign w:val="center"/>
          </w:tcPr>
          <w:p w:rsidR="006568BA" w:rsidRPr="00C204F1" w:rsidRDefault="006568BA" w:rsidP="00D70166">
            <w:pPr>
              <w:jc w:val="right"/>
              <w:rPr>
                <w:rFonts w:ascii="Cambria" w:hAnsi="Cambria"/>
                <w:sz w:val="18"/>
                <w:szCs w:val="18"/>
              </w:rPr>
            </w:pPr>
            <w:r w:rsidRPr="00C204F1">
              <w:rPr>
                <w:rFonts w:ascii="Cambria" w:hAnsi="Cambria"/>
                <w:sz w:val="18"/>
                <w:szCs w:val="18"/>
              </w:rPr>
              <w:t>2 051 700</w:t>
            </w:r>
          </w:p>
        </w:tc>
      </w:tr>
      <w:tr w:rsidR="006568BA" w:rsidRPr="00023975" w:rsidTr="00D70166">
        <w:trPr>
          <w:cantSplit/>
          <w:trHeight w:val="284"/>
        </w:trPr>
        <w:tc>
          <w:tcPr>
            <w:tcW w:w="534" w:type="dxa"/>
            <w:shd w:val="clear" w:color="auto" w:fill="auto"/>
            <w:noWrap/>
            <w:vAlign w:val="center"/>
          </w:tcPr>
          <w:p w:rsidR="006568BA" w:rsidRPr="00023975" w:rsidRDefault="006568BA" w:rsidP="00D70166">
            <w:pPr>
              <w:jc w:val="center"/>
              <w:rPr>
                <w:rFonts w:asciiTheme="majorHAnsi" w:hAnsiTheme="majorHAnsi"/>
                <w:color w:val="000000"/>
                <w:sz w:val="18"/>
                <w:szCs w:val="18"/>
              </w:rPr>
            </w:pPr>
            <w:r w:rsidRPr="00023975">
              <w:rPr>
                <w:rFonts w:asciiTheme="majorHAnsi" w:hAnsiTheme="majorHAnsi"/>
                <w:color w:val="000000"/>
                <w:sz w:val="18"/>
                <w:szCs w:val="18"/>
              </w:rPr>
              <w:t>5</w:t>
            </w:r>
          </w:p>
        </w:tc>
        <w:tc>
          <w:tcPr>
            <w:tcW w:w="7229" w:type="dxa"/>
            <w:shd w:val="clear" w:color="auto" w:fill="auto"/>
            <w:noWrap/>
          </w:tcPr>
          <w:p w:rsidR="006568BA" w:rsidRPr="002477AD" w:rsidRDefault="006568BA" w:rsidP="00D70166">
            <w:pPr>
              <w:autoSpaceDE w:val="0"/>
              <w:autoSpaceDN w:val="0"/>
              <w:adjustRightInd w:val="0"/>
              <w:jc w:val="both"/>
              <w:rPr>
                <w:rFonts w:asciiTheme="majorHAnsi" w:hAnsiTheme="majorHAnsi"/>
                <w:color w:val="000000" w:themeColor="text1"/>
                <w:sz w:val="18"/>
                <w:szCs w:val="18"/>
              </w:rPr>
            </w:pPr>
            <w:r w:rsidRPr="002477AD">
              <w:rPr>
                <w:rFonts w:asciiTheme="majorHAnsi" w:hAnsiTheme="majorHAnsi"/>
                <w:color w:val="000000" w:themeColor="text1"/>
                <w:sz w:val="18"/>
                <w:szCs w:val="18"/>
              </w:rPr>
              <w:t>Центр обработки и нарезания ПВХ профилей  KABAN Makina FA 1030</w:t>
            </w:r>
          </w:p>
        </w:tc>
        <w:tc>
          <w:tcPr>
            <w:tcW w:w="2268" w:type="dxa"/>
            <w:vAlign w:val="center"/>
          </w:tcPr>
          <w:p w:rsidR="006568BA" w:rsidRDefault="006568BA" w:rsidP="00D70166">
            <w:pPr>
              <w:jc w:val="right"/>
              <w:rPr>
                <w:rFonts w:ascii="Cambria" w:hAnsi="Cambria"/>
                <w:color w:val="000000"/>
                <w:sz w:val="18"/>
                <w:szCs w:val="18"/>
              </w:rPr>
            </w:pPr>
            <w:r>
              <w:rPr>
                <w:rFonts w:ascii="Cambria" w:hAnsi="Cambria"/>
                <w:color w:val="000000"/>
                <w:sz w:val="18"/>
                <w:szCs w:val="18"/>
              </w:rPr>
              <w:t>13 919 700</w:t>
            </w:r>
          </w:p>
        </w:tc>
      </w:tr>
      <w:tr w:rsidR="006568BA" w:rsidRPr="00023975" w:rsidTr="00D70166">
        <w:trPr>
          <w:cantSplit/>
          <w:trHeight w:val="284"/>
        </w:trPr>
        <w:tc>
          <w:tcPr>
            <w:tcW w:w="534" w:type="dxa"/>
            <w:shd w:val="clear" w:color="auto" w:fill="auto"/>
            <w:noWrap/>
            <w:vAlign w:val="center"/>
          </w:tcPr>
          <w:p w:rsidR="006568BA" w:rsidRPr="00023975" w:rsidRDefault="006568BA" w:rsidP="00D70166">
            <w:pPr>
              <w:jc w:val="center"/>
              <w:rPr>
                <w:rFonts w:asciiTheme="majorHAnsi" w:hAnsiTheme="majorHAnsi"/>
                <w:color w:val="000000"/>
                <w:sz w:val="18"/>
                <w:szCs w:val="18"/>
              </w:rPr>
            </w:pPr>
            <w:r w:rsidRPr="00023975">
              <w:rPr>
                <w:rFonts w:asciiTheme="majorHAnsi" w:hAnsiTheme="majorHAnsi"/>
                <w:color w:val="000000"/>
                <w:sz w:val="18"/>
                <w:szCs w:val="18"/>
              </w:rPr>
              <w:t>6</w:t>
            </w:r>
          </w:p>
        </w:tc>
        <w:tc>
          <w:tcPr>
            <w:tcW w:w="7229" w:type="dxa"/>
            <w:shd w:val="clear" w:color="auto" w:fill="auto"/>
            <w:noWrap/>
          </w:tcPr>
          <w:p w:rsidR="006568BA" w:rsidRPr="002477AD" w:rsidRDefault="006568BA" w:rsidP="00D70166">
            <w:pPr>
              <w:autoSpaceDE w:val="0"/>
              <w:autoSpaceDN w:val="0"/>
              <w:adjustRightInd w:val="0"/>
              <w:jc w:val="both"/>
              <w:rPr>
                <w:rFonts w:asciiTheme="majorHAnsi" w:hAnsiTheme="majorHAnsi"/>
                <w:color w:val="000000" w:themeColor="text1"/>
                <w:sz w:val="18"/>
                <w:szCs w:val="18"/>
              </w:rPr>
            </w:pPr>
            <w:r w:rsidRPr="002477AD">
              <w:rPr>
                <w:rFonts w:asciiTheme="majorHAnsi" w:hAnsiTheme="majorHAnsi"/>
                <w:color w:val="000000" w:themeColor="text1"/>
                <w:sz w:val="18"/>
                <w:szCs w:val="18"/>
              </w:rPr>
              <w:t>Станок для рубки армирования  KABAN Makina КС1010</w:t>
            </w:r>
          </w:p>
        </w:tc>
        <w:tc>
          <w:tcPr>
            <w:tcW w:w="2268" w:type="dxa"/>
            <w:vAlign w:val="center"/>
          </w:tcPr>
          <w:p w:rsidR="006568BA" w:rsidRDefault="006568BA" w:rsidP="00D70166">
            <w:pPr>
              <w:jc w:val="right"/>
              <w:rPr>
                <w:rFonts w:ascii="Cambria" w:hAnsi="Cambria"/>
                <w:color w:val="000000"/>
                <w:sz w:val="18"/>
                <w:szCs w:val="18"/>
              </w:rPr>
            </w:pPr>
            <w:r>
              <w:rPr>
                <w:rFonts w:ascii="Cambria" w:hAnsi="Cambria"/>
                <w:color w:val="000000"/>
                <w:sz w:val="18"/>
                <w:szCs w:val="18"/>
              </w:rPr>
              <w:t>502 700</w:t>
            </w:r>
          </w:p>
        </w:tc>
      </w:tr>
      <w:tr w:rsidR="006568BA" w:rsidRPr="00023975" w:rsidTr="00D70166">
        <w:trPr>
          <w:cantSplit/>
          <w:trHeight w:val="284"/>
        </w:trPr>
        <w:tc>
          <w:tcPr>
            <w:tcW w:w="534" w:type="dxa"/>
            <w:shd w:val="clear" w:color="auto" w:fill="auto"/>
            <w:noWrap/>
            <w:vAlign w:val="center"/>
          </w:tcPr>
          <w:p w:rsidR="006568BA" w:rsidRPr="00023975" w:rsidRDefault="006568BA" w:rsidP="00D70166">
            <w:pPr>
              <w:jc w:val="center"/>
              <w:rPr>
                <w:rFonts w:asciiTheme="majorHAnsi" w:hAnsiTheme="majorHAnsi"/>
                <w:color w:val="000000"/>
                <w:sz w:val="18"/>
                <w:szCs w:val="18"/>
              </w:rPr>
            </w:pPr>
            <w:r w:rsidRPr="00023975">
              <w:rPr>
                <w:rFonts w:asciiTheme="majorHAnsi" w:hAnsiTheme="majorHAnsi"/>
                <w:color w:val="000000"/>
                <w:sz w:val="18"/>
                <w:szCs w:val="18"/>
              </w:rPr>
              <w:t>7</w:t>
            </w:r>
          </w:p>
        </w:tc>
        <w:tc>
          <w:tcPr>
            <w:tcW w:w="7229" w:type="dxa"/>
            <w:shd w:val="clear" w:color="auto" w:fill="auto"/>
            <w:noWrap/>
          </w:tcPr>
          <w:p w:rsidR="006568BA" w:rsidRPr="002477AD" w:rsidRDefault="006568BA" w:rsidP="00D70166">
            <w:pPr>
              <w:autoSpaceDE w:val="0"/>
              <w:autoSpaceDN w:val="0"/>
              <w:adjustRightInd w:val="0"/>
              <w:jc w:val="both"/>
              <w:rPr>
                <w:rFonts w:asciiTheme="majorHAnsi" w:hAnsiTheme="majorHAnsi"/>
                <w:color w:val="000000" w:themeColor="text1"/>
                <w:sz w:val="18"/>
                <w:szCs w:val="18"/>
              </w:rPr>
            </w:pPr>
            <w:r w:rsidRPr="002477AD">
              <w:rPr>
                <w:rFonts w:asciiTheme="majorHAnsi" w:hAnsiTheme="majorHAnsi"/>
                <w:color w:val="000000" w:themeColor="text1"/>
                <w:sz w:val="18"/>
                <w:szCs w:val="18"/>
              </w:rPr>
              <w:t>Цифровая система измерения  KABAN Makina DS500</w:t>
            </w:r>
          </w:p>
        </w:tc>
        <w:tc>
          <w:tcPr>
            <w:tcW w:w="2268" w:type="dxa"/>
            <w:vAlign w:val="center"/>
          </w:tcPr>
          <w:p w:rsidR="006568BA" w:rsidRDefault="006568BA" w:rsidP="00D70166">
            <w:pPr>
              <w:jc w:val="right"/>
              <w:rPr>
                <w:rFonts w:ascii="Cambria" w:hAnsi="Cambria"/>
                <w:color w:val="000000"/>
                <w:sz w:val="18"/>
                <w:szCs w:val="18"/>
              </w:rPr>
            </w:pPr>
            <w:r>
              <w:rPr>
                <w:rFonts w:ascii="Cambria" w:hAnsi="Cambria"/>
                <w:color w:val="000000"/>
                <w:sz w:val="18"/>
                <w:szCs w:val="18"/>
              </w:rPr>
              <w:t>309 300</w:t>
            </w:r>
          </w:p>
        </w:tc>
      </w:tr>
      <w:tr w:rsidR="006568BA" w:rsidRPr="00023975" w:rsidTr="00D70166">
        <w:trPr>
          <w:cantSplit/>
          <w:trHeight w:val="284"/>
        </w:trPr>
        <w:tc>
          <w:tcPr>
            <w:tcW w:w="534" w:type="dxa"/>
            <w:shd w:val="clear" w:color="auto" w:fill="auto"/>
            <w:noWrap/>
            <w:vAlign w:val="center"/>
          </w:tcPr>
          <w:p w:rsidR="006568BA" w:rsidRPr="00023975" w:rsidRDefault="006568BA" w:rsidP="00D70166">
            <w:pPr>
              <w:jc w:val="center"/>
              <w:rPr>
                <w:rFonts w:asciiTheme="majorHAnsi" w:hAnsiTheme="majorHAnsi"/>
                <w:color w:val="000000"/>
                <w:sz w:val="18"/>
                <w:szCs w:val="18"/>
              </w:rPr>
            </w:pPr>
            <w:r w:rsidRPr="00023975">
              <w:rPr>
                <w:rFonts w:asciiTheme="majorHAnsi" w:hAnsiTheme="majorHAnsi"/>
                <w:color w:val="000000"/>
                <w:sz w:val="18"/>
                <w:szCs w:val="18"/>
              </w:rPr>
              <w:lastRenderedPageBreak/>
              <w:t>8</w:t>
            </w:r>
          </w:p>
        </w:tc>
        <w:tc>
          <w:tcPr>
            <w:tcW w:w="7229" w:type="dxa"/>
            <w:shd w:val="clear" w:color="auto" w:fill="auto"/>
            <w:noWrap/>
          </w:tcPr>
          <w:p w:rsidR="006568BA" w:rsidRPr="002477AD" w:rsidRDefault="006568BA" w:rsidP="00D70166">
            <w:pPr>
              <w:autoSpaceDE w:val="0"/>
              <w:autoSpaceDN w:val="0"/>
              <w:adjustRightInd w:val="0"/>
              <w:jc w:val="both"/>
              <w:rPr>
                <w:rFonts w:asciiTheme="majorHAnsi" w:hAnsiTheme="majorHAnsi"/>
                <w:color w:val="000000" w:themeColor="text1"/>
                <w:sz w:val="18"/>
                <w:szCs w:val="18"/>
              </w:rPr>
            </w:pPr>
            <w:r w:rsidRPr="002477AD">
              <w:rPr>
                <w:rFonts w:asciiTheme="majorHAnsi" w:hAnsiTheme="majorHAnsi"/>
                <w:color w:val="000000" w:themeColor="text1"/>
                <w:sz w:val="18"/>
                <w:szCs w:val="18"/>
              </w:rPr>
              <w:t>Цифровой измерительный компас KABAN Makina DК 100</w:t>
            </w:r>
          </w:p>
        </w:tc>
        <w:tc>
          <w:tcPr>
            <w:tcW w:w="2268" w:type="dxa"/>
            <w:vAlign w:val="center"/>
          </w:tcPr>
          <w:p w:rsidR="006568BA" w:rsidRDefault="006568BA" w:rsidP="00D70166">
            <w:pPr>
              <w:jc w:val="right"/>
              <w:rPr>
                <w:rFonts w:ascii="Cambria" w:hAnsi="Cambria"/>
                <w:color w:val="000000"/>
                <w:sz w:val="18"/>
                <w:szCs w:val="18"/>
              </w:rPr>
            </w:pPr>
            <w:r>
              <w:rPr>
                <w:rFonts w:ascii="Cambria" w:hAnsi="Cambria"/>
                <w:color w:val="000000"/>
                <w:sz w:val="18"/>
                <w:szCs w:val="18"/>
              </w:rPr>
              <w:t>108 300</w:t>
            </w:r>
          </w:p>
        </w:tc>
      </w:tr>
      <w:tr w:rsidR="006568BA" w:rsidRPr="00023975" w:rsidTr="00D70166">
        <w:trPr>
          <w:cantSplit/>
          <w:trHeight w:val="284"/>
        </w:trPr>
        <w:tc>
          <w:tcPr>
            <w:tcW w:w="534" w:type="dxa"/>
            <w:shd w:val="clear" w:color="auto" w:fill="auto"/>
            <w:noWrap/>
            <w:vAlign w:val="center"/>
          </w:tcPr>
          <w:p w:rsidR="006568BA" w:rsidRPr="00023975" w:rsidRDefault="006568BA" w:rsidP="00D70166">
            <w:pPr>
              <w:jc w:val="center"/>
              <w:rPr>
                <w:rFonts w:asciiTheme="majorHAnsi" w:hAnsiTheme="majorHAnsi"/>
                <w:color w:val="000000"/>
                <w:sz w:val="18"/>
                <w:szCs w:val="18"/>
              </w:rPr>
            </w:pPr>
            <w:r w:rsidRPr="00023975">
              <w:rPr>
                <w:rFonts w:asciiTheme="majorHAnsi" w:hAnsiTheme="majorHAnsi"/>
                <w:color w:val="000000"/>
                <w:sz w:val="18"/>
                <w:szCs w:val="18"/>
              </w:rPr>
              <w:t>9</w:t>
            </w:r>
          </w:p>
        </w:tc>
        <w:tc>
          <w:tcPr>
            <w:tcW w:w="7229" w:type="dxa"/>
            <w:shd w:val="clear" w:color="auto" w:fill="auto"/>
            <w:noWrap/>
          </w:tcPr>
          <w:p w:rsidR="006568BA" w:rsidRPr="002477AD" w:rsidRDefault="006568BA" w:rsidP="00D70166">
            <w:pPr>
              <w:autoSpaceDE w:val="0"/>
              <w:autoSpaceDN w:val="0"/>
              <w:adjustRightInd w:val="0"/>
              <w:jc w:val="both"/>
              <w:rPr>
                <w:rFonts w:asciiTheme="majorHAnsi" w:hAnsiTheme="majorHAnsi"/>
                <w:color w:val="000000" w:themeColor="text1"/>
                <w:sz w:val="18"/>
                <w:szCs w:val="18"/>
              </w:rPr>
            </w:pPr>
            <w:r w:rsidRPr="002477AD">
              <w:rPr>
                <w:rFonts w:asciiTheme="majorHAnsi" w:hAnsiTheme="majorHAnsi"/>
                <w:color w:val="000000" w:themeColor="text1"/>
                <w:sz w:val="18"/>
                <w:szCs w:val="18"/>
              </w:rPr>
              <w:t>Станок одноголовочный сварочный   KABAN Makina ВА2030</w:t>
            </w:r>
          </w:p>
        </w:tc>
        <w:tc>
          <w:tcPr>
            <w:tcW w:w="2268" w:type="dxa"/>
            <w:vAlign w:val="center"/>
          </w:tcPr>
          <w:p w:rsidR="006568BA" w:rsidRDefault="006568BA" w:rsidP="00D70166">
            <w:pPr>
              <w:jc w:val="right"/>
              <w:rPr>
                <w:rFonts w:ascii="Cambria" w:hAnsi="Cambria"/>
                <w:color w:val="000000"/>
                <w:sz w:val="18"/>
                <w:szCs w:val="18"/>
              </w:rPr>
            </w:pPr>
            <w:r>
              <w:rPr>
                <w:rFonts w:ascii="Cambria" w:hAnsi="Cambria"/>
                <w:color w:val="000000"/>
                <w:sz w:val="18"/>
                <w:szCs w:val="18"/>
              </w:rPr>
              <w:t>178 600</w:t>
            </w:r>
          </w:p>
        </w:tc>
      </w:tr>
      <w:tr w:rsidR="006568BA" w:rsidRPr="00023975" w:rsidTr="00D70166">
        <w:trPr>
          <w:cantSplit/>
          <w:trHeight w:val="284"/>
        </w:trPr>
        <w:tc>
          <w:tcPr>
            <w:tcW w:w="534" w:type="dxa"/>
            <w:shd w:val="clear" w:color="auto" w:fill="auto"/>
            <w:noWrap/>
            <w:vAlign w:val="center"/>
          </w:tcPr>
          <w:p w:rsidR="006568BA" w:rsidRPr="00023975" w:rsidRDefault="006568BA" w:rsidP="00D70166">
            <w:pPr>
              <w:jc w:val="center"/>
              <w:rPr>
                <w:rFonts w:asciiTheme="majorHAnsi" w:hAnsiTheme="majorHAnsi"/>
                <w:color w:val="000000"/>
                <w:sz w:val="18"/>
                <w:szCs w:val="18"/>
              </w:rPr>
            </w:pPr>
            <w:r w:rsidRPr="00023975">
              <w:rPr>
                <w:rFonts w:asciiTheme="majorHAnsi" w:hAnsiTheme="majorHAnsi"/>
                <w:color w:val="000000"/>
                <w:sz w:val="18"/>
                <w:szCs w:val="18"/>
              </w:rPr>
              <w:t>10</w:t>
            </w:r>
          </w:p>
        </w:tc>
        <w:tc>
          <w:tcPr>
            <w:tcW w:w="7229" w:type="dxa"/>
            <w:shd w:val="clear" w:color="auto" w:fill="auto"/>
            <w:noWrap/>
          </w:tcPr>
          <w:p w:rsidR="006568BA" w:rsidRPr="002477AD" w:rsidRDefault="006568BA" w:rsidP="00D70166">
            <w:pPr>
              <w:autoSpaceDE w:val="0"/>
              <w:autoSpaceDN w:val="0"/>
              <w:adjustRightInd w:val="0"/>
              <w:jc w:val="both"/>
              <w:rPr>
                <w:rFonts w:asciiTheme="majorHAnsi" w:hAnsiTheme="majorHAnsi"/>
                <w:color w:val="000000" w:themeColor="text1"/>
                <w:sz w:val="18"/>
                <w:szCs w:val="18"/>
              </w:rPr>
            </w:pPr>
            <w:r w:rsidRPr="002477AD">
              <w:rPr>
                <w:rFonts w:asciiTheme="majorHAnsi" w:hAnsiTheme="majorHAnsi"/>
                <w:color w:val="000000" w:themeColor="text1"/>
                <w:sz w:val="18"/>
                <w:szCs w:val="18"/>
              </w:rPr>
              <w:t>Автоматический копировально-фрезерный станок для фрезерования отверстий  под ручку и фурнитуру KABAN Makina DE 4060</w:t>
            </w:r>
          </w:p>
        </w:tc>
        <w:tc>
          <w:tcPr>
            <w:tcW w:w="2268" w:type="dxa"/>
            <w:vAlign w:val="center"/>
          </w:tcPr>
          <w:p w:rsidR="006568BA" w:rsidRDefault="006568BA" w:rsidP="00D70166">
            <w:pPr>
              <w:jc w:val="right"/>
              <w:rPr>
                <w:rFonts w:ascii="Cambria" w:hAnsi="Cambria"/>
                <w:color w:val="000000"/>
                <w:sz w:val="18"/>
                <w:szCs w:val="18"/>
              </w:rPr>
            </w:pPr>
            <w:r>
              <w:rPr>
                <w:rFonts w:ascii="Cambria" w:hAnsi="Cambria"/>
                <w:color w:val="000000"/>
                <w:sz w:val="18"/>
                <w:szCs w:val="18"/>
              </w:rPr>
              <w:t>162 400</w:t>
            </w:r>
          </w:p>
        </w:tc>
      </w:tr>
      <w:tr w:rsidR="006568BA" w:rsidRPr="00023975" w:rsidTr="00D70166">
        <w:trPr>
          <w:cantSplit/>
          <w:trHeight w:val="284"/>
        </w:trPr>
        <w:tc>
          <w:tcPr>
            <w:tcW w:w="534" w:type="dxa"/>
            <w:shd w:val="clear" w:color="auto" w:fill="auto"/>
            <w:noWrap/>
            <w:vAlign w:val="center"/>
          </w:tcPr>
          <w:p w:rsidR="006568BA" w:rsidRPr="00023975" w:rsidRDefault="006568BA" w:rsidP="00D70166">
            <w:pPr>
              <w:jc w:val="center"/>
              <w:rPr>
                <w:rFonts w:asciiTheme="majorHAnsi" w:hAnsiTheme="majorHAnsi"/>
                <w:color w:val="000000"/>
                <w:sz w:val="18"/>
                <w:szCs w:val="18"/>
              </w:rPr>
            </w:pPr>
            <w:r>
              <w:rPr>
                <w:rFonts w:asciiTheme="majorHAnsi" w:hAnsiTheme="majorHAnsi"/>
                <w:color w:val="000000"/>
                <w:sz w:val="18"/>
                <w:szCs w:val="18"/>
              </w:rPr>
              <w:t>11</w:t>
            </w:r>
          </w:p>
        </w:tc>
        <w:tc>
          <w:tcPr>
            <w:tcW w:w="7229" w:type="dxa"/>
            <w:shd w:val="clear" w:color="auto" w:fill="auto"/>
            <w:noWrap/>
          </w:tcPr>
          <w:p w:rsidR="006568BA" w:rsidRPr="002477AD" w:rsidRDefault="006568BA" w:rsidP="00D70166">
            <w:pPr>
              <w:autoSpaceDE w:val="0"/>
              <w:autoSpaceDN w:val="0"/>
              <w:adjustRightInd w:val="0"/>
              <w:jc w:val="both"/>
              <w:rPr>
                <w:rFonts w:asciiTheme="majorHAnsi" w:hAnsiTheme="majorHAnsi"/>
                <w:color w:val="000000" w:themeColor="text1"/>
                <w:sz w:val="18"/>
                <w:szCs w:val="18"/>
              </w:rPr>
            </w:pPr>
            <w:r w:rsidRPr="002477AD">
              <w:rPr>
                <w:rFonts w:asciiTheme="majorHAnsi" w:hAnsiTheme="majorHAnsi"/>
                <w:color w:val="000000" w:themeColor="text1"/>
                <w:sz w:val="18"/>
                <w:szCs w:val="18"/>
              </w:rPr>
              <w:t>Механический  копировально-фрезерный  станок  KABAN Makina DF4060</w:t>
            </w:r>
          </w:p>
        </w:tc>
        <w:tc>
          <w:tcPr>
            <w:tcW w:w="2268" w:type="dxa"/>
            <w:vAlign w:val="center"/>
          </w:tcPr>
          <w:p w:rsidR="006568BA" w:rsidRDefault="006568BA" w:rsidP="00D70166">
            <w:pPr>
              <w:jc w:val="right"/>
              <w:rPr>
                <w:rFonts w:ascii="Cambria" w:hAnsi="Cambria"/>
                <w:color w:val="000000"/>
                <w:sz w:val="18"/>
                <w:szCs w:val="18"/>
              </w:rPr>
            </w:pPr>
            <w:r>
              <w:rPr>
                <w:rFonts w:ascii="Cambria" w:hAnsi="Cambria"/>
                <w:color w:val="000000"/>
                <w:sz w:val="18"/>
                <w:szCs w:val="18"/>
              </w:rPr>
              <w:t>122 500</w:t>
            </w:r>
          </w:p>
        </w:tc>
      </w:tr>
      <w:tr w:rsidR="006568BA" w:rsidRPr="00023975" w:rsidTr="00D70166">
        <w:trPr>
          <w:cantSplit/>
          <w:trHeight w:val="284"/>
        </w:trPr>
        <w:tc>
          <w:tcPr>
            <w:tcW w:w="534" w:type="dxa"/>
            <w:shd w:val="clear" w:color="auto" w:fill="auto"/>
            <w:noWrap/>
            <w:vAlign w:val="center"/>
          </w:tcPr>
          <w:p w:rsidR="006568BA" w:rsidRPr="00023975" w:rsidRDefault="006568BA" w:rsidP="00D70166">
            <w:pPr>
              <w:jc w:val="center"/>
              <w:rPr>
                <w:rFonts w:asciiTheme="majorHAnsi" w:hAnsiTheme="majorHAnsi"/>
                <w:color w:val="000000"/>
                <w:sz w:val="18"/>
                <w:szCs w:val="18"/>
              </w:rPr>
            </w:pPr>
            <w:r>
              <w:rPr>
                <w:rFonts w:asciiTheme="majorHAnsi" w:hAnsiTheme="majorHAnsi"/>
                <w:color w:val="000000"/>
                <w:sz w:val="18"/>
                <w:szCs w:val="18"/>
              </w:rPr>
              <w:t>12</w:t>
            </w:r>
          </w:p>
        </w:tc>
        <w:tc>
          <w:tcPr>
            <w:tcW w:w="7229" w:type="dxa"/>
            <w:shd w:val="clear" w:color="auto" w:fill="auto"/>
            <w:noWrap/>
          </w:tcPr>
          <w:p w:rsidR="006568BA" w:rsidRPr="002477AD" w:rsidRDefault="006568BA" w:rsidP="00D70166">
            <w:pPr>
              <w:rPr>
                <w:rFonts w:asciiTheme="majorHAnsi" w:hAnsiTheme="majorHAnsi"/>
                <w:sz w:val="18"/>
                <w:szCs w:val="18"/>
              </w:rPr>
            </w:pPr>
            <w:r w:rsidRPr="002477AD">
              <w:rPr>
                <w:rFonts w:asciiTheme="majorHAnsi" w:hAnsiTheme="majorHAnsi"/>
                <w:color w:val="000000" w:themeColor="text1"/>
                <w:sz w:val="18"/>
                <w:szCs w:val="18"/>
              </w:rPr>
              <w:t>Автоматический станок для обработки импоста  KABAN Makina СF3060</w:t>
            </w:r>
          </w:p>
        </w:tc>
        <w:tc>
          <w:tcPr>
            <w:tcW w:w="2268" w:type="dxa"/>
            <w:vAlign w:val="center"/>
          </w:tcPr>
          <w:p w:rsidR="006568BA" w:rsidRDefault="006568BA" w:rsidP="00D70166">
            <w:pPr>
              <w:jc w:val="right"/>
              <w:rPr>
                <w:rFonts w:ascii="Cambria" w:hAnsi="Cambria"/>
                <w:color w:val="000000"/>
                <w:sz w:val="18"/>
                <w:szCs w:val="18"/>
              </w:rPr>
            </w:pPr>
            <w:r>
              <w:rPr>
                <w:rFonts w:ascii="Cambria" w:hAnsi="Cambria"/>
                <w:color w:val="000000"/>
                <w:sz w:val="18"/>
                <w:szCs w:val="18"/>
              </w:rPr>
              <w:t>121 600</w:t>
            </w:r>
          </w:p>
        </w:tc>
      </w:tr>
    </w:tbl>
    <w:p w:rsidR="006568BA" w:rsidRDefault="006568BA" w:rsidP="000C64BF">
      <w:pPr>
        <w:spacing w:before="120" w:after="120"/>
        <w:contextualSpacing/>
        <w:jc w:val="center"/>
        <w:rPr>
          <w:rFonts w:ascii="Bookman Old Style" w:hAnsi="Bookman Old Style" w:cs="Calibri"/>
          <w:b/>
          <w:color w:val="000000"/>
          <w:sz w:val="20"/>
          <w:szCs w:val="20"/>
        </w:rPr>
      </w:pPr>
    </w:p>
    <w:p w:rsidR="006568BA" w:rsidRDefault="006568BA" w:rsidP="000C64BF">
      <w:pPr>
        <w:spacing w:before="120" w:after="120"/>
        <w:contextualSpacing/>
        <w:jc w:val="center"/>
        <w:rPr>
          <w:rFonts w:ascii="Bookman Old Style" w:hAnsi="Bookman Old Style" w:cs="Calibri"/>
          <w:b/>
          <w:color w:val="000000"/>
          <w:sz w:val="20"/>
          <w:szCs w:val="20"/>
        </w:rPr>
      </w:pPr>
    </w:p>
    <w:p w:rsidR="00B21788" w:rsidRPr="00784E32" w:rsidRDefault="00B21788" w:rsidP="00886A98">
      <w:pPr>
        <w:autoSpaceDE w:val="0"/>
        <w:autoSpaceDN w:val="0"/>
        <w:adjustRightInd w:val="0"/>
        <w:spacing w:before="120" w:after="120"/>
        <w:ind w:firstLine="709"/>
        <w:jc w:val="both"/>
        <w:rPr>
          <w:rFonts w:ascii="Bookman Old Style" w:hAnsi="Bookman Old Style"/>
          <w:sz w:val="20"/>
          <w:szCs w:val="20"/>
        </w:rPr>
      </w:pPr>
    </w:p>
    <w:p w:rsidR="00AC3257" w:rsidRDefault="00AC3257" w:rsidP="00B2723A">
      <w:pPr>
        <w:spacing w:after="120"/>
        <w:jc w:val="center"/>
        <w:rPr>
          <w:rFonts w:ascii="Bookman Old Style" w:hAnsi="Bookman Old Style" w:cs="Calibri"/>
          <w:b/>
          <w:color w:val="000000"/>
          <w:sz w:val="22"/>
          <w:szCs w:val="22"/>
        </w:rPr>
      </w:pPr>
    </w:p>
    <w:p w:rsidR="00BE6191" w:rsidRPr="00BE6191" w:rsidRDefault="00C3029D" w:rsidP="003949B7">
      <w:pPr>
        <w:jc w:val="both"/>
        <w:rPr>
          <w:rFonts w:ascii="Bookman Old Style" w:hAnsi="Bookman Old Style"/>
          <w:sz w:val="20"/>
          <w:szCs w:val="20"/>
        </w:rPr>
      </w:pPr>
      <w:r>
        <w:rPr>
          <w:rFonts w:ascii="Bookman Old Style" w:hAnsi="Bookman Old Style"/>
          <w:sz w:val="20"/>
          <w:szCs w:val="20"/>
        </w:rPr>
        <w:t>О</w:t>
      </w:r>
      <w:r w:rsidR="003949B7" w:rsidRPr="00BE6191">
        <w:rPr>
          <w:rFonts w:ascii="Bookman Old Style" w:hAnsi="Bookman Old Style"/>
          <w:sz w:val="20"/>
          <w:szCs w:val="20"/>
        </w:rPr>
        <w:t>ценщик</w:t>
      </w:r>
    </w:p>
    <w:p w:rsidR="00BE6191" w:rsidRPr="00BE6191" w:rsidRDefault="00BE6191" w:rsidP="003949B7">
      <w:pPr>
        <w:jc w:val="both"/>
        <w:rPr>
          <w:rFonts w:ascii="Bookman Old Style" w:hAnsi="Bookman Old Style"/>
          <w:sz w:val="20"/>
          <w:szCs w:val="20"/>
        </w:rPr>
      </w:pPr>
      <w:r w:rsidRPr="00BE6191">
        <w:rPr>
          <w:rFonts w:ascii="Bookman Old Style" w:hAnsi="Bookman Old Style"/>
          <w:sz w:val="20"/>
          <w:szCs w:val="20"/>
        </w:rPr>
        <w:t>ООО «Агентство оценки собственности</w:t>
      </w:r>
    </w:p>
    <w:p w:rsidR="003949B7" w:rsidRDefault="00BE6191" w:rsidP="0049692D">
      <w:pPr>
        <w:jc w:val="both"/>
        <w:rPr>
          <w:rFonts w:ascii="Bookman Old Style" w:hAnsi="Bookman Old Style"/>
          <w:sz w:val="20"/>
          <w:szCs w:val="20"/>
        </w:rPr>
      </w:pPr>
      <w:r w:rsidRPr="00BE6191">
        <w:rPr>
          <w:rFonts w:ascii="Bookman Old Style" w:hAnsi="Bookman Old Style"/>
          <w:sz w:val="20"/>
          <w:szCs w:val="20"/>
        </w:rPr>
        <w:t>«Золотое правило»</w:t>
      </w:r>
      <w:r w:rsidR="0049692D">
        <w:rPr>
          <w:rFonts w:ascii="Bookman Old Style" w:hAnsi="Bookman Old Style"/>
          <w:sz w:val="20"/>
          <w:szCs w:val="20"/>
        </w:rPr>
        <w:tab/>
        <w:t xml:space="preserve">  </w:t>
      </w:r>
    </w:p>
    <w:p w:rsidR="00B055DE" w:rsidRPr="00E80E8D" w:rsidRDefault="00B055DE" w:rsidP="0049692D">
      <w:pPr>
        <w:jc w:val="both"/>
        <w:rPr>
          <w:rFonts w:ascii="Bookman Old Style" w:hAnsi="Bookman Old Style"/>
          <w:sz w:val="20"/>
          <w:szCs w:val="20"/>
        </w:rPr>
      </w:pPr>
    </w:p>
    <w:p w:rsidR="003949B7" w:rsidRPr="00E80E8D" w:rsidRDefault="003949B7" w:rsidP="003949B7">
      <w:pPr>
        <w:ind w:left="7788"/>
        <w:jc w:val="both"/>
        <w:rPr>
          <w:rFonts w:ascii="Bookman Old Style" w:hAnsi="Bookman Old Style"/>
          <w:sz w:val="20"/>
          <w:szCs w:val="20"/>
        </w:rPr>
      </w:pPr>
      <w:r w:rsidRPr="00E80E8D">
        <w:rPr>
          <w:rFonts w:ascii="Bookman Old Style" w:hAnsi="Bookman Old Style"/>
          <w:sz w:val="20"/>
          <w:szCs w:val="20"/>
        </w:rPr>
        <w:t xml:space="preserve">      </w:t>
      </w:r>
      <w:r w:rsidR="00C3029D">
        <w:rPr>
          <w:rFonts w:ascii="Bookman Old Style" w:hAnsi="Bookman Old Style"/>
          <w:sz w:val="20"/>
          <w:szCs w:val="20"/>
        </w:rPr>
        <w:t xml:space="preserve">   </w:t>
      </w:r>
      <w:r w:rsidR="006A746A">
        <w:rPr>
          <w:rFonts w:ascii="Bookman Old Style" w:hAnsi="Bookman Old Style"/>
          <w:sz w:val="20"/>
          <w:szCs w:val="20"/>
        </w:rPr>
        <w:t xml:space="preserve">   </w:t>
      </w:r>
      <w:r w:rsidR="000C64BF">
        <w:rPr>
          <w:rFonts w:ascii="Bookman Old Style" w:hAnsi="Bookman Old Style"/>
          <w:sz w:val="20"/>
          <w:szCs w:val="20"/>
        </w:rPr>
        <w:t>О.С. Золотарев</w:t>
      </w:r>
    </w:p>
    <w:p w:rsidR="00BF0939" w:rsidRPr="0049692D" w:rsidRDefault="006C4CCF" w:rsidP="0049692D">
      <w:pPr>
        <w:ind w:left="4248" w:firstLine="708"/>
        <w:jc w:val="both"/>
        <w:rPr>
          <w:rFonts w:ascii="Bookman Old Style" w:hAnsi="Bookman Old Style"/>
          <w:sz w:val="20"/>
          <w:szCs w:val="20"/>
        </w:rPr>
      </w:pPr>
      <w:r w:rsidRPr="006C4CCF">
        <w:rPr>
          <w:rFonts w:ascii="Bookman Old Style" w:hAnsi="Bookman Old Style"/>
          <w:i/>
          <w:noProof/>
          <w:sz w:val="20"/>
          <w:szCs w:val="20"/>
        </w:rPr>
        <w:pict>
          <v:line id="Line 124" o:spid="_x0000_s1045" style="position:absolute;left:0;text-align:left;z-index:251657728;visibility:visible" from="272.35pt,1.9pt" to="513.8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"/>
        </w:pict>
      </w:r>
    </w:p>
    <w:sectPr w:rsidR="00BF0939" w:rsidRPr="0049692D" w:rsidSect="0011030C">
      <w:headerReference w:type="default" r:id="rId81"/>
      <w:footerReference w:type="even" r:id="rId82"/>
      <w:footerReference w:type="default" r:id="rId83"/>
      <w:footnotePr>
        <w:pos w:val="beneathText"/>
      </w:footnotePr>
      <w:pgSz w:w="11907" w:h="16840" w:code="9"/>
      <w:pgMar w:top="851" w:right="851" w:bottom="851" w:left="851" w:header="284" w:footer="720" w:gutter="0"/>
      <w:pgNumType w:start="1"/>
      <w:cols w:space="720"/>
      <w:noEndnote/>
      <w:titlePg/>
      <w:docGrid w:linePitch="35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24B9" w:rsidRDefault="00B124B9">
      <w:r>
        <w:separator/>
      </w:r>
    </w:p>
  </w:endnote>
  <w:endnote w:type="continuationSeparator" w:id="0">
    <w:p w:rsidR="00B124B9" w:rsidRDefault="00B124B9">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BatangChe">
    <w:panose1 w:val="02030609000101010101"/>
    <w:charset w:val="81"/>
    <w:family w:val="modern"/>
    <w:pitch w:val="fixed"/>
    <w:sig w:usb0="B00002AF" w:usb1="69D77CFB" w:usb2="00000030" w:usb3="00000000" w:csb0="0008009F" w:csb1="00000000"/>
  </w:font>
  <w:font w:name="Trebuchet MS">
    <w:panose1 w:val="020B0603020202020204"/>
    <w:charset w:val="CC"/>
    <w:family w:val="swiss"/>
    <w:pitch w:val="variable"/>
    <w:sig w:usb0="00000287" w:usb1="00000000" w:usb2="00000000" w:usb3="00000000" w:csb0="0000009F" w:csb1="00000000"/>
  </w:font>
  <w:font w:name="Cambria Math">
    <w:panose1 w:val="02040503050406030204"/>
    <w:charset w:val="CC"/>
    <w:family w:val="roman"/>
    <w:pitch w:val="variable"/>
    <w:sig w:usb0="E00002FF" w:usb1="420024FF" w:usb2="00000000" w:usb3="00000000" w:csb0="0000019F" w:csb1="00000000"/>
  </w:font>
  <w:font w:name="NewtonC">
    <w:altName w:val="Malgun Gothic"/>
    <w:panose1 w:val="00000000000000000000"/>
    <w:charset w:val="81"/>
    <w:family w:val="auto"/>
    <w:notTrueType/>
    <w:pitch w:val="default"/>
    <w:sig w:usb0="00000001" w:usb1="09060000" w:usb2="00000010" w:usb3="00000000" w:csb0="0008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166" w:rsidRDefault="006C4CCF" w:rsidP="008207C3">
    <w:pPr>
      <w:pStyle w:val="a4"/>
      <w:framePr w:wrap="around" w:vAnchor="text" w:hAnchor="margin" w:xAlign="right" w:y="1"/>
      <w:rPr>
        <w:rStyle w:val="a6"/>
      </w:rPr>
    </w:pPr>
    <w:r>
      <w:rPr>
        <w:rStyle w:val="a6"/>
      </w:rPr>
      <w:fldChar w:fldCharType="begin"/>
    </w:r>
    <w:r w:rsidR="00D70166">
      <w:rPr>
        <w:rStyle w:val="a6"/>
      </w:rPr>
      <w:instrText xml:space="preserve">PAGE  </w:instrText>
    </w:r>
    <w:r>
      <w:rPr>
        <w:rStyle w:val="a6"/>
      </w:rPr>
      <w:fldChar w:fldCharType="end"/>
    </w:r>
  </w:p>
  <w:p w:rsidR="00D70166" w:rsidRDefault="00D70166" w:rsidP="008F0B95">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166" w:rsidRPr="00664DFA" w:rsidRDefault="006C4CCF" w:rsidP="00486FB7">
    <w:pPr>
      <w:pStyle w:val="a4"/>
      <w:ind w:right="360"/>
      <w:rPr>
        <w:sz w:val="12"/>
        <w:szCs w:val="12"/>
      </w:rPr>
    </w:pPr>
    <w:r w:rsidRPr="006C4CCF">
      <w:rPr>
        <w:noProof/>
        <w:sz w:val="20"/>
        <w:szCs w:val="20"/>
      </w:rPr>
      <w:pict>
        <v:group id="Group 5" o:spid="_x0000_s8193" style="position:absolute;margin-left:.4pt;margin-top:809.25pt;width:593.6pt;height:15pt;z-index:251657728;mso-width-percent:1000;mso-position-horizontal-relative:page;mso-position-vertical-relative:page;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">
          <v:shapetype id="_x0000_t202" coordsize="21600,21600" o:spt="202" path="m,l,21600r21600,l21600,xe">
            <v:stroke joinstyle="miter"/>
            <v:path gradientshapeok="t" o:connecttype="rect"/>
          </v:shapetype>
          <v:shape id="Text Box 6" o:spid="_x0000_s8197" type="#_x0000_t202" style="position:absolute;left:10803;top:14982;width:659;height: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k0w8MA&#10;AADaAAAADwAAAGRycy9kb3ducmV2LnhtbESPQWvCQBSE7wX/w/KE3upGD7aNriKiIBTEGA8en9ln&#10;sph9G7Orxn/fFQo9DjPzDTOdd7YWd2q9caxgOEhAEBdOGy4VHPL1xxcIH5A11o5JwZM8zGe9tymm&#10;2j04o/s+lCJC2KeooAqhSaX0RUUW/cA1xNE7u9ZiiLItpW7xEeG2lqMkGUuLhuNChQ0tKyou+5tV&#10;sDhytjLX7WmXnTOT598J/4wvSr33u8UERKAu/If/2hut4BNeV+INk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k0w8MAAADaAAAADwAAAAAAAAAAAAAAAACYAgAAZHJzL2Rv&#10;d25yZXYueG1sUEsFBgAAAAAEAAQA9QAAAIgDAAAAAA==&#10;" filled="f" stroked="f">
            <v:textbox inset="0,0,0,0">
              <w:txbxContent>
                <w:p w:rsidR="00D70166" w:rsidRPr="000C5F1B" w:rsidRDefault="006C4CCF">
                  <w:pPr>
                    <w:jc w:val="center"/>
                    <w:rPr>
                      <w:rFonts w:ascii="Bookman Old Style" w:hAnsi="Bookman Old Style"/>
                      <w:sz w:val="18"/>
                      <w:szCs w:val="18"/>
                    </w:rPr>
                  </w:pPr>
                  <w:r w:rsidRPr="000C5F1B">
                    <w:rPr>
                      <w:rFonts w:ascii="Bookman Old Style" w:hAnsi="Bookman Old Style"/>
                      <w:sz w:val="18"/>
                      <w:szCs w:val="18"/>
                    </w:rPr>
                    <w:fldChar w:fldCharType="begin"/>
                  </w:r>
                  <w:r w:rsidR="00D70166" w:rsidRPr="000C5F1B">
                    <w:rPr>
                      <w:rFonts w:ascii="Bookman Old Style" w:hAnsi="Bookman Old Style"/>
                      <w:sz w:val="18"/>
                      <w:szCs w:val="18"/>
                    </w:rPr>
                    <w:instrText xml:space="preserve"> PAGE    \* MERGEFORMAT </w:instrText>
                  </w:r>
                  <w:r w:rsidRPr="000C5F1B">
                    <w:rPr>
                      <w:rFonts w:ascii="Bookman Old Style" w:hAnsi="Bookman Old Style"/>
                      <w:sz w:val="18"/>
                      <w:szCs w:val="18"/>
                    </w:rPr>
                    <w:fldChar w:fldCharType="separate"/>
                  </w:r>
                  <w:r w:rsidR="00897D5C" w:rsidRPr="00897D5C">
                    <w:rPr>
                      <w:rFonts w:ascii="Bookman Old Style" w:hAnsi="Bookman Old Style"/>
                      <w:noProof/>
                      <w:color w:val="8C8C8C"/>
                      <w:sz w:val="18"/>
                      <w:szCs w:val="18"/>
                    </w:rPr>
                    <w:t>78</w:t>
                  </w:r>
                  <w:r w:rsidRPr="000C5F1B">
                    <w:rPr>
                      <w:rFonts w:ascii="Bookman Old Style" w:hAnsi="Bookman Old Style"/>
                      <w:sz w:val="18"/>
                      <w:szCs w:val="18"/>
                    </w:rPr>
                    <w:fldChar w:fldCharType="end"/>
                  </w:r>
                </w:p>
              </w:txbxContent>
            </v:textbox>
          </v:shape>
          <v:group id="Group 7" o:spid="_x0000_s8194" style="position:absolute;top:14970;width:12255;height:230;flip:x" coordorigin="-8,14978" coordsize="12255,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8" o:spid="_x0000_s8196" type="#_x0000_t34" style="position:absolute;left:-8;top:14978;width:1260;height:230;flip:y;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ZJU8EAAADbAAAADwAAAGRycy9kb3ducmV2LnhtbERPS4vCMBC+C/sfwizsRdbUFWWpRhFB&#10;uhcPvsDj2IxNsZmUJmrXX28Ewdt8fM+ZzFpbiSs1vnSsoN9LQBDnTpdcKNhtl9+/IHxA1lg5JgX/&#10;5GE2/ehMMNXuxmu6bkIhYgj7FBWYEOpUSp8bsuh7riaO3Mk1FkOETSF1g7cYbiv5kyQjabHk2GCw&#10;poWh/Ly5WAVdn8h9PjyYrJutjne9593cZkp9fbbzMYhAbXiLX+4/HecP4PlLPEBO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35klTwQAAANsAAAAPAAAAAAAAAAAAAAAA&#10;AKECAABkcnMvZG93bnJldi54bWxQSwUGAAAAAAQABAD5AAAAjwMAAAAA&#10;" strokecolor="#a5a5a5"/>
            <v:shape id="AutoShape 9" o:spid="_x0000_s8195" type="#_x0000_t34" style="position:absolute;left:1252;top:14978;width:10995;height:230;rotation:18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9NAWMIAAADbAAAADwAAAGRycy9kb3ducmV2LnhtbERPS4vCMBC+C/sfwizsRTRVRKQ2Fdni&#10;siCCr4u3oZltq82kNFG7/94Igrf5+J6TLDpTixu1rrKsYDSMQBDnVldcKDgeVoMZCOeRNdaWScE/&#10;OVikH70EY23vvKPb3hcihLCLUUHpfRNL6fKSDLqhbYgD92dbgz7AtpC6xXsIN7UcR9FUGqw4NJTY&#10;0HdJ+WV/NQo2u5/j5SSv2birlv0zrrPTeZsp9fXZLecgPHX+LX65f3WYP4HnL+EAmT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9NAWMIAAADbAAAADwAAAAAAAAAAAAAA&#10;AAChAgAAZHJzL2Rvd25yZXYueG1sUEsFBgAAAAAEAAQA+QAAAJADAAAAAA==&#10;" adj="20904" strokecolor="#a5a5a5"/>
          </v:group>
          <w10:wrap anchorx="page" anchory="page"/>
        </v:group>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24B9" w:rsidRDefault="00B124B9">
      <w:r>
        <w:separator/>
      </w:r>
    </w:p>
  </w:footnote>
  <w:footnote w:type="continuationSeparator" w:id="0">
    <w:p w:rsidR="00B124B9" w:rsidRDefault="00B124B9">
      <w:r>
        <w:continuationSeparator/>
      </w:r>
    </w:p>
  </w:footnote>
  <w:footnote w:id="1">
    <w:p w:rsidR="00D70166" w:rsidRPr="003369D4" w:rsidRDefault="00D70166" w:rsidP="003369D4">
      <w:pPr>
        <w:pStyle w:val="afe"/>
        <w:spacing w:before="80" w:after="80"/>
        <w:rPr>
          <w:rFonts w:asciiTheme="majorHAnsi" w:hAnsiTheme="majorHAnsi"/>
          <w:sz w:val="16"/>
          <w:szCs w:val="16"/>
        </w:rPr>
      </w:pPr>
      <w:r w:rsidRPr="003369D4">
        <w:rPr>
          <w:rStyle w:val="aff0"/>
          <w:rFonts w:asciiTheme="majorHAnsi" w:hAnsiTheme="majorHAnsi"/>
          <w:sz w:val="16"/>
          <w:szCs w:val="16"/>
        </w:rPr>
        <w:footnoteRef/>
      </w:r>
      <w:r w:rsidRPr="003369D4">
        <w:rPr>
          <w:rFonts w:asciiTheme="majorHAnsi" w:hAnsiTheme="majorHAnsi"/>
          <w:sz w:val="16"/>
          <w:szCs w:val="16"/>
        </w:rPr>
        <w:t xml:space="preserve"> «Заказчик», согласно условиям Договора </w:t>
      </w:r>
    </w:p>
  </w:footnote>
  <w:footnote w:id="2">
    <w:p w:rsidR="00D70166" w:rsidRPr="003369D4" w:rsidRDefault="00D70166" w:rsidP="003369D4">
      <w:pPr>
        <w:pStyle w:val="afe"/>
        <w:spacing w:before="80" w:after="80"/>
        <w:rPr>
          <w:rFonts w:asciiTheme="majorHAnsi" w:hAnsiTheme="majorHAnsi"/>
          <w:sz w:val="16"/>
          <w:szCs w:val="16"/>
        </w:rPr>
      </w:pPr>
      <w:r w:rsidRPr="003369D4">
        <w:rPr>
          <w:rStyle w:val="aff0"/>
          <w:rFonts w:asciiTheme="majorHAnsi" w:hAnsiTheme="majorHAnsi"/>
          <w:sz w:val="16"/>
          <w:szCs w:val="16"/>
        </w:rPr>
        <w:footnoteRef/>
      </w:r>
      <w:r w:rsidRPr="003369D4">
        <w:rPr>
          <w:rFonts w:asciiTheme="majorHAnsi" w:hAnsiTheme="majorHAnsi"/>
          <w:sz w:val="16"/>
          <w:szCs w:val="16"/>
        </w:rPr>
        <w:t xml:space="preserve"> «Исполнитель», согласно условиям Договора</w:t>
      </w:r>
    </w:p>
  </w:footnote>
  <w:footnote w:id="3">
    <w:p w:rsidR="00D70166" w:rsidRPr="00C834FF" w:rsidRDefault="00D70166" w:rsidP="00AA51E2">
      <w:pPr>
        <w:pStyle w:val="afe"/>
        <w:spacing w:before="60" w:after="60"/>
        <w:rPr>
          <w:rFonts w:asciiTheme="majorHAnsi" w:hAnsiTheme="majorHAnsi"/>
          <w:sz w:val="16"/>
          <w:szCs w:val="16"/>
        </w:rPr>
      </w:pPr>
      <w:r w:rsidRPr="00C834FF">
        <w:rPr>
          <w:rStyle w:val="aff0"/>
          <w:rFonts w:asciiTheme="majorHAnsi" w:hAnsiTheme="majorHAnsi"/>
          <w:sz w:val="16"/>
          <w:szCs w:val="16"/>
        </w:rPr>
        <w:footnoteRef/>
      </w:r>
      <w:r w:rsidRPr="00C834FF">
        <w:rPr>
          <w:rFonts w:asciiTheme="majorHAnsi" w:hAnsiTheme="majorHAnsi"/>
          <w:sz w:val="16"/>
          <w:szCs w:val="16"/>
        </w:rPr>
        <w:t xml:space="preserve"> Указанные документы предоставлены в оригиналах и копиях, заверенных в соответствии с требованиями законодательства РФ в области оценочной деятельности.</w:t>
      </w:r>
    </w:p>
  </w:footnote>
  <w:footnote w:id="4">
    <w:p w:rsidR="00D70166" w:rsidRPr="00C834FF" w:rsidRDefault="00D70166" w:rsidP="00DB0AEE">
      <w:pPr>
        <w:pStyle w:val="afe"/>
        <w:spacing w:before="60" w:after="60"/>
        <w:rPr>
          <w:rFonts w:asciiTheme="majorHAnsi" w:hAnsiTheme="majorHAnsi"/>
          <w:sz w:val="16"/>
          <w:szCs w:val="16"/>
        </w:rPr>
      </w:pPr>
      <w:r w:rsidRPr="00C834FF">
        <w:rPr>
          <w:rStyle w:val="aff0"/>
          <w:rFonts w:asciiTheme="majorHAnsi" w:hAnsiTheme="majorHAnsi"/>
          <w:sz w:val="16"/>
          <w:szCs w:val="16"/>
        </w:rPr>
        <w:footnoteRef/>
      </w:r>
      <w:r w:rsidRPr="00C834FF">
        <w:rPr>
          <w:rFonts w:asciiTheme="majorHAnsi" w:hAnsiTheme="majorHAnsi"/>
          <w:sz w:val="16"/>
          <w:szCs w:val="16"/>
        </w:rPr>
        <w:t xml:space="preserve"> Приложение № 1 </w:t>
      </w:r>
    </w:p>
  </w:footnote>
  <w:footnote w:id="5">
    <w:p w:rsidR="00D70166" w:rsidRPr="00C834FF" w:rsidRDefault="00D70166" w:rsidP="000A4482">
      <w:pPr>
        <w:pStyle w:val="afe"/>
        <w:spacing w:before="60" w:after="60"/>
        <w:rPr>
          <w:rFonts w:asciiTheme="majorHAnsi" w:hAnsiTheme="majorHAnsi"/>
          <w:sz w:val="16"/>
          <w:szCs w:val="16"/>
        </w:rPr>
      </w:pPr>
      <w:r w:rsidRPr="00C834FF">
        <w:rPr>
          <w:rStyle w:val="aff0"/>
          <w:rFonts w:asciiTheme="majorHAnsi" w:hAnsiTheme="majorHAnsi"/>
          <w:sz w:val="16"/>
          <w:szCs w:val="16"/>
        </w:rPr>
        <w:footnoteRef/>
      </w:r>
      <w:r>
        <w:rPr>
          <w:rFonts w:asciiTheme="majorHAnsi" w:hAnsiTheme="majorHAnsi"/>
          <w:sz w:val="16"/>
          <w:szCs w:val="16"/>
        </w:rPr>
        <w:t xml:space="preserve"> Приложение № 2</w:t>
      </w:r>
    </w:p>
  </w:footnote>
  <w:footnote w:id="6">
    <w:p w:rsidR="00D70166" w:rsidRPr="00C834FF" w:rsidRDefault="00D70166" w:rsidP="00AA51E2">
      <w:pPr>
        <w:pStyle w:val="afe"/>
        <w:spacing w:before="60" w:after="60"/>
        <w:rPr>
          <w:rFonts w:asciiTheme="majorHAnsi" w:hAnsiTheme="majorHAnsi"/>
          <w:sz w:val="16"/>
          <w:szCs w:val="16"/>
        </w:rPr>
      </w:pPr>
      <w:r w:rsidRPr="00C834FF">
        <w:rPr>
          <w:rStyle w:val="aff0"/>
          <w:rFonts w:asciiTheme="majorHAnsi" w:hAnsiTheme="majorHAnsi"/>
          <w:sz w:val="16"/>
          <w:szCs w:val="16"/>
        </w:rPr>
        <w:footnoteRef/>
      </w:r>
      <w:r w:rsidRPr="00C834FF">
        <w:rPr>
          <w:rFonts w:asciiTheme="majorHAnsi" w:hAnsiTheme="majorHAnsi"/>
          <w:sz w:val="16"/>
          <w:szCs w:val="16"/>
        </w:rPr>
        <w:t xml:space="preserve"> Приложение № </w:t>
      </w:r>
      <w:r>
        <w:rPr>
          <w:rFonts w:asciiTheme="majorHAnsi" w:hAnsiTheme="majorHAnsi"/>
          <w:sz w:val="16"/>
          <w:szCs w:val="16"/>
        </w:rPr>
        <w:t>3</w:t>
      </w:r>
    </w:p>
  </w:footnote>
  <w:footnote w:id="7">
    <w:p w:rsidR="00D70166" w:rsidRPr="00C834FF" w:rsidRDefault="00D70166" w:rsidP="000A4482">
      <w:pPr>
        <w:pStyle w:val="afe"/>
        <w:spacing w:before="60" w:after="60"/>
        <w:rPr>
          <w:rFonts w:asciiTheme="majorHAnsi" w:hAnsiTheme="majorHAnsi"/>
          <w:sz w:val="16"/>
          <w:szCs w:val="16"/>
        </w:rPr>
      </w:pPr>
      <w:r w:rsidRPr="00C834FF">
        <w:rPr>
          <w:rStyle w:val="aff0"/>
          <w:rFonts w:asciiTheme="majorHAnsi" w:hAnsiTheme="majorHAnsi"/>
          <w:sz w:val="16"/>
          <w:szCs w:val="16"/>
        </w:rPr>
        <w:footnoteRef/>
      </w:r>
      <w:r w:rsidRPr="00C834FF">
        <w:rPr>
          <w:rFonts w:asciiTheme="majorHAnsi" w:hAnsiTheme="majorHAnsi"/>
          <w:sz w:val="16"/>
          <w:szCs w:val="16"/>
        </w:rPr>
        <w:t xml:space="preserve"> Приложение № </w:t>
      </w:r>
      <w:r>
        <w:rPr>
          <w:rFonts w:asciiTheme="majorHAnsi" w:hAnsiTheme="majorHAnsi"/>
          <w:sz w:val="16"/>
          <w:szCs w:val="16"/>
        </w:rPr>
        <w:t>4</w:t>
      </w:r>
    </w:p>
  </w:footnote>
  <w:footnote w:id="8">
    <w:p w:rsidR="00D70166" w:rsidRPr="00255DD5" w:rsidRDefault="00D70166" w:rsidP="00AA51E2">
      <w:pPr>
        <w:pStyle w:val="afe"/>
        <w:spacing w:before="60" w:after="60"/>
        <w:rPr>
          <w:rFonts w:asciiTheme="majorHAnsi" w:hAnsiTheme="majorHAnsi"/>
          <w:sz w:val="16"/>
          <w:szCs w:val="16"/>
        </w:rPr>
      </w:pPr>
      <w:r w:rsidRPr="00255DD5">
        <w:rPr>
          <w:rStyle w:val="aff0"/>
          <w:rFonts w:asciiTheme="majorHAnsi" w:hAnsiTheme="majorHAnsi"/>
          <w:sz w:val="16"/>
          <w:szCs w:val="16"/>
        </w:rPr>
        <w:footnoteRef/>
      </w:r>
      <w:r w:rsidRPr="00255DD5">
        <w:rPr>
          <w:rFonts w:asciiTheme="majorHAnsi" w:hAnsiTheme="majorHAnsi"/>
          <w:sz w:val="16"/>
          <w:szCs w:val="16"/>
        </w:rPr>
        <w:t xml:space="preserve"> Соответствующие ссылки приведены по тексту отчета.</w:t>
      </w:r>
    </w:p>
  </w:footnote>
  <w:footnote w:id="9">
    <w:p w:rsidR="00D70166" w:rsidRPr="007C5CFA" w:rsidRDefault="00D70166" w:rsidP="007C5CFA">
      <w:pPr>
        <w:pStyle w:val="afe"/>
        <w:spacing w:before="80" w:after="80"/>
        <w:rPr>
          <w:rFonts w:asciiTheme="majorHAnsi" w:hAnsiTheme="majorHAnsi"/>
          <w:sz w:val="16"/>
          <w:szCs w:val="16"/>
        </w:rPr>
      </w:pPr>
      <w:r w:rsidRPr="007C5CFA">
        <w:rPr>
          <w:rStyle w:val="aff0"/>
          <w:rFonts w:asciiTheme="majorHAnsi" w:hAnsiTheme="majorHAnsi"/>
          <w:sz w:val="16"/>
          <w:szCs w:val="16"/>
        </w:rPr>
        <w:footnoteRef/>
      </w:r>
      <w:r w:rsidRPr="007C5CFA">
        <w:rPr>
          <w:rFonts w:asciiTheme="majorHAnsi" w:hAnsiTheme="majorHAnsi"/>
          <w:sz w:val="16"/>
          <w:szCs w:val="16"/>
        </w:rPr>
        <w:t xml:space="preserve"> В ред. Федерального закона 135-ФЗ от 29.07.1998 года, с учетом изм. и дополнений</w:t>
      </w:r>
    </w:p>
  </w:footnote>
  <w:footnote w:id="10">
    <w:p w:rsidR="00D70166" w:rsidRPr="00C834FF" w:rsidRDefault="00D70166" w:rsidP="00526C57">
      <w:pPr>
        <w:pStyle w:val="afe"/>
        <w:spacing w:before="80" w:after="80"/>
        <w:rPr>
          <w:rFonts w:asciiTheme="majorHAnsi" w:hAnsiTheme="majorHAnsi"/>
          <w:sz w:val="16"/>
          <w:szCs w:val="16"/>
        </w:rPr>
      </w:pPr>
      <w:r w:rsidRPr="00C834FF">
        <w:rPr>
          <w:rStyle w:val="aff0"/>
          <w:rFonts w:asciiTheme="majorHAnsi" w:hAnsiTheme="majorHAnsi"/>
          <w:sz w:val="16"/>
          <w:szCs w:val="16"/>
        </w:rPr>
        <w:footnoteRef/>
      </w:r>
      <w:r w:rsidRPr="00C834FF">
        <w:rPr>
          <w:rFonts w:asciiTheme="majorHAnsi" w:hAnsiTheme="majorHAnsi"/>
          <w:sz w:val="16"/>
          <w:szCs w:val="16"/>
        </w:rPr>
        <w:t xml:space="preserve"> Приложение № 1 </w:t>
      </w:r>
    </w:p>
  </w:footnote>
  <w:footnote w:id="11">
    <w:p w:rsidR="00D70166" w:rsidRPr="00C834FF" w:rsidRDefault="00D70166" w:rsidP="000A4482">
      <w:pPr>
        <w:pStyle w:val="afe"/>
        <w:spacing w:before="80" w:after="80"/>
        <w:rPr>
          <w:rFonts w:asciiTheme="majorHAnsi" w:hAnsiTheme="majorHAnsi"/>
          <w:sz w:val="16"/>
          <w:szCs w:val="16"/>
        </w:rPr>
      </w:pPr>
      <w:r w:rsidRPr="00C834FF">
        <w:rPr>
          <w:rStyle w:val="aff0"/>
          <w:rFonts w:asciiTheme="majorHAnsi" w:hAnsiTheme="majorHAnsi"/>
          <w:sz w:val="16"/>
          <w:szCs w:val="16"/>
        </w:rPr>
        <w:footnoteRef/>
      </w:r>
      <w:r>
        <w:rPr>
          <w:rFonts w:asciiTheme="majorHAnsi" w:hAnsiTheme="majorHAnsi"/>
          <w:sz w:val="16"/>
          <w:szCs w:val="16"/>
        </w:rPr>
        <w:t xml:space="preserve"> Приложение № 3</w:t>
      </w:r>
    </w:p>
  </w:footnote>
  <w:footnote w:id="12">
    <w:p w:rsidR="00D70166" w:rsidRPr="00514632" w:rsidRDefault="00D70166" w:rsidP="00B21788">
      <w:pPr>
        <w:pStyle w:val="afe"/>
        <w:spacing w:before="80" w:after="80"/>
        <w:rPr>
          <w:rFonts w:asciiTheme="majorHAnsi" w:hAnsiTheme="majorHAnsi"/>
          <w:sz w:val="16"/>
          <w:szCs w:val="16"/>
        </w:rPr>
      </w:pPr>
      <w:r w:rsidRPr="00514632">
        <w:rPr>
          <w:rStyle w:val="aff0"/>
          <w:rFonts w:asciiTheme="majorHAnsi" w:hAnsiTheme="majorHAnsi"/>
          <w:sz w:val="16"/>
          <w:szCs w:val="16"/>
        </w:rPr>
        <w:footnoteRef/>
      </w:r>
      <w:r w:rsidRPr="00514632">
        <w:rPr>
          <w:rFonts w:asciiTheme="majorHAnsi" w:hAnsiTheme="majorHAnsi"/>
          <w:sz w:val="16"/>
          <w:szCs w:val="16"/>
        </w:rPr>
        <w:t xml:space="preserve"> Статья 129 пункт 1 Федерального закона № 127-ФЗ «О несостоятельности(банкротстве)»</w:t>
      </w:r>
    </w:p>
  </w:footnote>
  <w:footnote w:id="13">
    <w:p w:rsidR="00D70166" w:rsidRPr="00C834FF" w:rsidRDefault="00D70166" w:rsidP="00DB0AEE">
      <w:pPr>
        <w:pStyle w:val="afe"/>
        <w:spacing w:before="80" w:after="80"/>
        <w:rPr>
          <w:rFonts w:asciiTheme="majorHAnsi" w:hAnsiTheme="majorHAnsi"/>
          <w:sz w:val="16"/>
          <w:szCs w:val="16"/>
        </w:rPr>
      </w:pPr>
      <w:r w:rsidRPr="00C834FF">
        <w:rPr>
          <w:rStyle w:val="aff0"/>
          <w:rFonts w:asciiTheme="majorHAnsi" w:hAnsiTheme="majorHAnsi"/>
          <w:sz w:val="16"/>
          <w:szCs w:val="16"/>
        </w:rPr>
        <w:footnoteRef/>
      </w:r>
      <w:r w:rsidRPr="00C834FF">
        <w:rPr>
          <w:rFonts w:asciiTheme="majorHAnsi" w:hAnsiTheme="majorHAnsi"/>
          <w:sz w:val="16"/>
          <w:szCs w:val="16"/>
        </w:rPr>
        <w:t xml:space="preserve"> Приложение № 1 </w:t>
      </w:r>
    </w:p>
  </w:footnote>
  <w:footnote w:id="14">
    <w:p w:rsidR="00D70166" w:rsidRPr="00C834FF" w:rsidRDefault="00D70166" w:rsidP="00C33B02">
      <w:pPr>
        <w:pStyle w:val="afe"/>
        <w:spacing w:before="80" w:after="80"/>
        <w:rPr>
          <w:rFonts w:asciiTheme="majorHAnsi" w:hAnsiTheme="majorHAnsi"/>
          <w:sz w:val="16"/>
          <w:szCs w:val="16"/>
        </w:rPr>
      </w:pPr>
      <w:r w:rsidRPr="00C834FF">
        <w:rPr>
          <w:rStyle w:val="aff0"/>
          <w:rFonts w:asciiTheme="majorHAnsi" w:hAnsiTheme="majorHAnsi"/>
          <w:sz w:val="16"/>
          <w:szCs w:val="16"/>
        </w:rPr>
        <w:footnoteRef/>
      </w:r>
      <w:r>
        <w:rPr>
          <w:rFonts w:asciiTheme="majorHAnsi" w:hAnsiTheme="majorHAnsi"/>
          <w:sz w:val="16"/>
          <w:szCs w:val="16"/>
        </w:rPr>
        <w:t xml:space="preserve"> Приложение № 2</w:t>
      </w:r>
    </w:p>
  </w:footnote>
  <w:footnote w:id="15">
    <w:p w:rsidR="00D70166" w:rsidRPr="00C834FF" w:rsidRDefault="00D70166" w:rsidP="00C33B02">
      <w:pPr>
        <w:pStyle w:val="afe"/>
        <w:spacing w:before="80" w:after="80"/>
        <w:rPr>
          <w:rFonts w:asciiTheme="majorHAnsi" w:hAnsiTheme="majorHAnsi"/>
          <w:sz w:val="16"/>
          <w:szCs w:val="16"/>
        </w:rPr>
      </w:pPr>
      <w:r w:rsidRPr="00C834FF">
        <w:rPr>
          <w:rStyle w:val="aff0"/>
          <w:rFonts w:asciiTheme="majorHAnsi" w:hAnsiTheme="majorHAnsi"/>
          <w:sz w:val="16"/>
          <w:szCs w:val="16"/>
        </w:rPr>
        <w:footnoteRef/>
      </w:r>
      <w:r w:rsidRPr="00C834FF">
        <w:rPr>
          <w:rFonts w:asciiTheme="majorHAnsi" w:hAnsiTheme="majorHAnsi"/>
          <w:sz w:val="16"/>
          <w:szCs w:val="16"/>
        </w:rPr>
        <w:t xml:space="preserve"> Приложение № </w:t>
      </w:r>
      <w:r>
        <w:rPr>
          <w:rFonts w:asciiTheme="majorHAnsi" w:hAnsiTheme="majorHAnsi"/>
          <w:sz w:val="16"/>
          <w:szCs w:val="16"/>
        </w:rPr>
        <w:t>3</w:t>
      </w:r>
    </w:p>
  </w:footnote>
  <w:footnote w:id="16">
    <w:p w:rsidR="00D70166" w:rsidRPr="00C834FF" w:rsidRDefault="00D70166" w:rsidP="000A4482">
      <w:pPr>
        <w:pStyle w:val="afe"/>
        <w:spacing w:before="80" w:after="80"/>
        <w:rPr>
          <w:rFonts w:asciiTheme="majorHAnsi" w:hAnsiTheme="majorHAnsi"/>
          <w:sz w:val="16"/>
          <w:szCs w:val="16"/>
        </w:rPr>
      </w:pPr>
      <w:r w:rsidRPr="00C834FF">
        <w:rPr>
          <w:rStyle w:val="aff0"/>
          <w:rFonts w:asciiTheme="majorHAnsi" w:hAnsiTheme="majorHAnsi"/>
          <w:sz w:val="16"/>
          <w:szCs w:val="16"/>
        </w:rPr>
        <w:footnoteRef/>
      </w:r>
      <w:r w:rsidRPr="00C834FF">
        <w:rPr>
          <w:rFonts w:asciiTheme="majorHAnsi" w:hAnsiTheme="majorHAnsi"/>
          <w:sz w:val="16"/>
          <w:szCs w:val="16"/>
        </w:rPr>
        <w:t xml:space="preserve"> Приложение № </w:t>
      </w:r>
      <w:r>
        <w:rPr>
          <w:rFonts w:asciiTheme="majorHAnsi" w:hAnsiTheme="majorHAnsi"/>
          <w:sz w:val="16"/>
          <w:szCs w:val="16"/>
        </w:rPr>
        <w:t>4</w:t>
      </w:r>
    </w:p>
  </w:footnote>
  <w:footnote w:id="17">
    <w:p w:rsidR="00D70166" w:rsidRPr="00C33B02" w:rsidRDefault="00D70166" w:rsidP="00C33B02">
      <w:pPr>
        <w:pStyle w:val="afe"/>
        <w:spacing w:before="80" w:after="80"/>
        <w:rPr>
          <w:rFonts w:asciiTheme="majorHAnsi" w:hAnsiTheme="majorHAnsi"/>
          <w:sz w:val="16"/>
          <w:szCs w:val="16"/>
        </w:rPr>
      </w:pPr>
      <w:r w:rsidRPr="00C33B02">
        <w:rPr>
          <w:rStyle w:val="aff0"/>
          <w:rFonts w:asciiTheme="majorHAnsi" w:hAnsiTheme="majorHAnsi"/>
          <w:sz w:val="16"/>
          <w:szCs w:val="16"/>
        </w:rPr>
        <w:footnoteRef/>
      </w:r>
      <w:r w:rsidRPr="00C33B02">
        <w:rPr>
          <w:rFonts w:asciiTheme="majorHAnsi" w:hAnsiTheme="majorHAnsi"/>
          <w:sz w:val="16"/>
          <w:szCs w:val="16"/>
        </w:rPr>
        <w:t xml:space="preserve"> Соответствующие ссылки приведены по тексту Отчета об оценке</w:t>
      </w:r>
    </w:p>
  </w:footnote>
  <w:footnote w:id="18">
    <w:p w:rsidR="00D70166" w:rsidRPr="00C33B02" w:rsidRDefault="00D70166" w:rsidP="00C33B02">
      <w:pPr>
        <w:pStyle w:val="afe"/>
        <w:spacing w:before="80" w:after="80"/>
        <w:rPr>
          <w:rFonts w:asciiTheme="majorHAnsi" w:hAnsiTheme="majorHAnsi"/>
          <w:sz w:val="16"/>
          <w:szCs w:val="16"/>
        </w:rPr>
      </w:pPr>
      <w:r w:rsidRPr="00C33B02">
        <w:rPr>
          <w:rStyle w:val="aff0"/>
          <w:rFonts w:asciiTheme="majorHAnsi" w:hAnsiTheme="majorHAnsi"/>
          <w:sz w:val="16"/>
          <w:szCs w:val="16"/>
        </w:rPr>
        <w:footnoteRef/>
      </w:r>
      <w:r w:rsidRPr="00C33B02">
        <w:rPr>
          <w:rFonts w:asciiTheme="majorHAnsi" w:hAnsiTheme="majorHAnsi"/>
          <w:sz w:val="16"/>
          <w:szCs w:val="16"/>
        </w:rPr>
        <w:t xml:space="preserve"> Источник: Справочная система ДубльГИС </w:t>
      </w:r>
      <w:hyperlink r:id="rId1" w:history="1">
        <w:r w:rsidRPr="00C33B02">
          <w:rPr>
            <w:rStyle w:val="aa"/>
            <w:rFonts w:asciiTheme="majorHAnsi" w:hAnsiTheme="majorHAnsi"/>
            <w:color w:val="auto"/>
            <w:sz w:val="16"/>
            <w:szCs w:val="16"/>
          </w:rPr>
          <w:t>http://maps.google.com</w:t>
        </w:r>
      </w:hyperlink>
      <w:r w:rsidRPr="00C33B02">
        <w:rPr>
          <w:rFonts w:asciiTheme="majorHAnsi" w:hAnsiTheme="majorHAnsi"/>
          <w:sz w:val="16"/>
          <w:szCs w:val="16"/>
          <w:u w:val="single"/>
        </w:rPr>
        <w:t>, http://</w:t>
      </w:r>
      <w:r w:rsidRPr="00C33B02">
        <w:rPr>
          <w:rFonts w:asciiTheme="majorHAnsi" w:hAnsiTheme="majorHAnsi"/>
          <w:sz w:val="16"/>
          <w:szCs w:val="16"/>
        </w:rPr>
        <w:t xml:space="preserve"> </w:t>
      </w:r>
      <w:r w:rsidRPr="00C33B02">
        <w:rPr>
          <w:rFonts w:asciiTheme="majorHAnsi" w:hAnsiTheme="majorHAnsi"/>
          <w:sz w:val="16"/>
          <w:szCs w:val="16"/>
          <w:u w:val="single"/>
        </w:rPr>
        <w:t xml:space="preserve">http://hakasstat.gks.ru/ , </w:t>
      </w:r>
      <w:hyperlink r:id="rId2" w:history="1">
        <w:r w:rsidRPr="00C33B02">
          <w:rPr>
            <w:rStyle w:val="aa"/>
            <w:rFonts w:asciiTheme="majorHAnsi" w:hAnsiTheme="majorHAnsi"/>
            <w:color w:val="auto"/>
            <w:sz w:val="16"/>
            <w:szCs w:val="16"/>
          </w:rPr>
          <w:t>http://ru.wikipedia.org</w:t>
        </w:r>
      </w:hyperlink>
      <w:r w:rsidRPr="00C33B02">
        <w:rPr>
          <w:rFonts w:asciiTheme="majorHAnsi" w:hAnsiTheme="majorHAnsi"/>
          <w:sz w:val="16"/>
          <w:szCs w:val="16"/>
          <w:u w:val="single"/>
        </w:rPr>
        <w:t xml:space="preserve">, </w:t>
      </w:r>
      <w:r w:rsidRPr="00C33B02">
        <w:rPr>
          <w:rFonts w:asciiTheme="majorHAnsi" w:hAnsiTheme="majorHAnsi"/>
          <w:sz w:val="16"/>
          <w:szCs w:val="16"/>
        </w:rPr>
        <w:t xml:space="preserve"> </w:t>
      </w:r>
      <w:hyperlink r:id="rId3" w:history="1">
        <w:r w:rsidRPr="00C33B02">
          <w:rPr>
            <w:rStyle w:val="aa"/>
            <w:rFonts w:asciiTheme="majorHAnsi" w:hAnsiTheme="majorHAnsi"/>
            <w:color w:val="auto"/>
            <w:sz w:val="16"/>
            <w:szCs w:val="16"/>
          </w:rPr>
          <w:t>http://www.admkrsk.ru/</w:t>
        </w:r>
      </w:hyperlink>
      <w:r w:rsidRPr="00C33B02">
        <w:rPr>
          <w:rFonts w:asciiTheme="majorHAnsi" w:hAnsiTheme="majorHAnsi"/>
          <w:sz w:val="16"/>
          <w:szCs w:val="16"/>
        </w:rPr>
        <w:t>, http://region.krasu.ru/</w:t>
      </w:r>
    </w:p>
  </w:footnote>
  <w:footnote w:id="19">
    <w:p w:rsidR="00D70166" w:rsidRPr="00F9054B" w:rsidRDefault="00D70166" w:rsidP="000A4482">
      <w:pPr>
        <w:pStyle w:val="afe"/>
        <w:spacing w:before="80" w:after="80"/>
        <w:rPr>
          <w:rFonts w:ascii="Cambria" w:hAnsi="Cambria"/>
          <w:sz w:val="16"/>
          <w:szCs w:val="16"/>
        </w:rPr>
      </w:pPr>
      <w:r w:rsidRPr="00F9054B">
        <w:rPr>
          <w:rStyle w:val="aff0"/>
          <w:rFonts w:ascii="Cambria" w:hAnsi="Cambria"/>
          <w:sz w:val="16"/>
          <w:szCs w:val="16"/>
        </w:rPr>
        <w:footnoteRef/>
      </w:r>
      <w:r w:rsidRPr="00F9054B">
        <w:rPr>
          <w:rFonts w:ascii="Cambria" w:hAnsi="Cambria"/>
          <w:sz w:val="16"/>
          <w:szCs w:val="16"/>
        </w:rPr>
        <w:t xml:space="preserve"> Источник: Таблица № 3 МГСН 301.03-97 «Методика оценки аварийности зданий», </w:t>
      </w:r>
    </w:p>
  </w:footnote>
  <w:footnote w:id="20">
    <w:p w:rsidR="00D70166" w:rsidRPr="00F9054B" w:rsidRDefault="00D70166" w:rsidP="00181522">
      <w:pPr>
        <w:pStyle w:val="afe"/>
        <w:spacing w:before="80" w:after="80"/>
        <w:rPr>
          <w:rFonts w:ascii="Cambria" w:hAnsi="Cambria"/>
          <w:sz w:val="16"/>
          <w:szCs w:val="16"/>
        </w:rPr>
      </w:pPr>
      <w:r w:rsidRPr="00F9054B">
        <w:rPr>
          <w:rStyle w:val="aff0"/>
          <w:rFonts w:ascii="Cambria" w:hAnsi="Cambria"/>
          <w:sz w:val="16"/>
          <w:szCs w:val="16"/>
        </w:rPr>
        <w:footnoteRef/>
      </w:r>
      <w:r w:rsidRPr="00F9054B">
        <w:rPr>
          <w:rFonts w:ascii="Cambria" w:hAnsi="Cambria"/>
          <w:sz w:val="16"/>
          <w:szCs w:val="16"/>
        </w:rPr>
        <w:t xml:space="preserve"> Источник: Таблица № 3 МГСН 301.03-97 «Методика оценки аварийности зданий», </w:t>
      </w:r>
    </w:p>
  </w:footnote>
  <w:footnote w:id="21">
    <w:p w:rsidR="00D70166" w:rsidRPr="00F9054B" w:rsidRDefault="00D70166" w:rsidP="00181522">
      <w:pPr>
        <w:pStyle w:val="afe"/>
        <w:spacing w:before="80" w:after="80"/>
        <w:rPr>
          <w:rFonts w:ascii="Cambria" w:hAnsi="Cambria"/>
          <w:sz w:val="16"/>
          <w:szCs w:val="16"/>
        </w:rPr>
      </w:pPr>
      <w:r w:rsidRPr="00F9054B">
        <w:rPr>
          <w:rStyle w:val="aff0"/>
          <w:rFonts w:ascii="Cambria" w:hAnsi="Cambria"/>
          <w:sz w:val="16"/>
          <w:szCs w:val="16"/>
        </w:rPr>
        <w:footnoteRef/>
      </w:r>
      <w:r w:rsidRPr="00F9054B">
        <w:rPr>
          <w:rFonts w:ascii="Cambria" w:hAnsi="Cambria"/>
          <w:sz w:val="16"/>
          <w:szCs w:val="16"/>
        </w:rPr>
        <w:t xml:space="preserve"> Источник: Таблица № 3 МГСН 301.03-97 «Методика оценки аварийности зданий», </w:t>
      </w:r>
    </w:p>
  </w:footnote>
  <w:footnote w:id="22">
    <w:p w:rsidR="00D70166" w:rsidRPr="00100842" w:rsidRDefault="00D70166" w:rsidP="00A276AF">
      <w:pPr>
        <w:pStyle w:val="afe"/>
        <w:spacing w:before="80" w:after="80"/>
        <w:rPr>
          <w:rFonts w:asciiTheme="majorHAnsi" w:hAnsiTheme="majorHAnsi"/>
          <w:sz w:val="16"/>
          <w:szCs w:val="16"/>
        </w:rPr>
      </w:pPr>
      <w:r w:rsidRPr="00100842">
        <w:rPr>
          <w:rStyle w:val="aff0"/>
          <w:rFonts w:asciiTheme="majorHAnsi" w:hAnsiTheme="majorHAnsi"/>
          <w:sz w:val="16"/>
          <w:szCs w:val="16"/>
        </w:rPr>
        <w:footnoteRef/>
      </w:r>
      <w:r w:rsidRPr="00100842">
        <w:rPr>
          <w:rFonts w:asciiTheme="majorHAnsi" w:hAnsiTheme="majorHAnsi"/>
          <w:sz w:val="16"/>
          <w:szCs w:val="16"/>
        </w:rPr>
        <w:t xml:space="preserve"> Качественные характеристики определены на основании: Шкалы экспертных оценок физического состояния, «Оценка рыночной стоимости машин и оборудования», под ред. Рутгайзера В.М, М. – Издательство «Дело», 1998 год, с. 86. Шкала представлена в Приложении № 1 к Акту осмотра, идентификации и определения технического состояния имущества подлежащего оценке</w:t>
      </w:r>
    </w:p>
  </w:footnote>
  <w:footnote w:id="23">
    <w:p w:rsidR="00D70166" w:rsidRPr="00F80AB0" w:rsidRDefault="00D70166" w:rsidP="00266CA2">
      <w:pPr>
        <w:pStyle w:val="afe"/>
        <w:spacing w:before="80" w:after="80"/>
        <w:rPr>
          <w:rFonts w:asciiTheme="majorHAnsi" w:hAnsiTheme="majorHAnsi"/>
          <w:sz w:val="16"/>
          <w:szCs w:val="16"/>
        </w:rPr>
      </w:pPr>
      <w:r w:rsidRPr="00F80AB0">
        <w:rPr>
          <w:rStyle w:val="aff0"/>
          <w:rFonts w:asciiTheme="majorHAnsi" w:hAnsiTheme="majorHAnsi"/>
          <w:sz w:val="16"/>
          <w:szCs w:val="16"/>
        </w:rPr>
        <w:footnoteRef/>
      </w:r>
      <w:r w:rsidRPr="00F80AB0">
        <w:rPr>
          <w:rFonts w:asciiTheme="majorHAnsi" w:hAnsiTheme="majorHAnsi"/>
          <w:sz w:val="16"/>
          <w:szCs w:val="16"/>
        </w:rPr>
        <w:t xml:space="preserve"> ФСО № 3 «Требования к отчету об оценке» утв. Приказом Минэкономразвития России № 299 от 20.05.2015 года</w:t>
      </w:r>
    </w:p>
  </w:footnote>
  <w:footnote w:id="24">
    <w:p w:rsidR="00D70166" w:rsidRPr="00334269" w:rsidRDefault="00D70166" w:rsidP="00B12755">
      <w:pPr>
        <w:pStyle w:val="afe"/>
        <w:rPr>
          <w:rFonts w:ascii="Cambria" w:hAnsi="Cambria"/>
          <w:sz w:val="16"/>
          <w:szCs w:val="16"/>
        </w:rPr>
      </w:pPr>
      <w:r w:rsidRPr="0065340D">
        <w:rPr>
          <w:rStyle w:val="aff0"/>
          <w:rFonts w:ascii="Cambria" w:hAnsi="Cambria"/>
          <w:sz w:val="16"/>
          <w:szCs w:val="16"/>
        </w:rPr>
        <w:footnoteRef/>
      </w:r>
      <w:r w:rsidRPr="0065340D">
        <w:rPr>
          <w:rFonts w:ascii="Cambria" w:hAnsi="Cambria"/>
          <w:sz w:val="16"/>
          <w:szCs w:val="16"/>
        </w:rPr>
        <w:t xml:space="preserve"> По </w:t>
      </w:r>
      <w:r w:rsidRPr="00334269">
        <w:rPr>
          <w:rFonts w:ascii="Cambria" w:hAnsi="Cambria"/>
          <w:sz w:val="16"/>
          <w:szCs w:val="16"/>
        </w:rPr>
        <w:t xml:space="preserve">данным интернет сайта </w:t>
      </w:r>
      <w:hyperlink r:id="rId4" w:history="1">
        <w:r w:rsidRPr="00334269">
          <w:rPr>
            <w:rStyle w:val="aa"/>
            <w:rFonts w:ascii="Cambria" w:hAnsi="Cambria"/>
            <w:color w:val="auto"/>
            <w:sz w:val="16"/>
            <w:szCs w:val="16"/>
            <w:u w:val="none"/>
          </w:rPr>
          <w:t>http://www.krasstat.gks.ru/default.aspx</w:t>
        </w:r>
      </w:hyperlink>
      <w:r w:rsidRPr="00334269">
        <w:rPr>
          <w:rFonts w:ascii="Cambria" w:hAnsi="Cambria"/>
          <w:sz w:val="16"/>
          <w:szCs w:val="16"/>
        </w:rPr>
        <w:t xml:space="preserve">. </w:t>
      </w:r>
    </w:p>
  </w:footnote>
  <w:footnote w:id="25">
    <w:p w:rsidR="00D70166" w:rsidRPr="001434E4" w:rsidRDefault="00D70166" w:rsidP="00A7343D">
      <w:pPr>
        <w:pStyle w:val="afe"/>
        <w:rPr>
          <w:rFonts w:asciiTheme="majorHAnsi" w:hAnsiTheme="majorHAnsi"/>
          <w:sz w:val="16"/>
          <w:szCs w:val="16"/>
        </w:rPr>
      </w:pPr>
      <w:r w:rsidRPr="001434E4">
        <w:rPr>
          <w:rStyle w:val="aff0"/>
          <w:rFonts w:asciiTheme="majorHAnsi" w:hAnsiTheme="majorHAnsi"/>
          <w:sz w:val="16"/>
          <w:szCs w:val="16"/>
        </w:rPr>
        <w:footnoteRef/>
      </w:r>
      <w:r w:rsidRPr="001434E4">
        <w:rPr>
          <w:rFonts w:asciiTheme="majorHAnsi" w:hAnsiTheme="majorHAnsi"/>
          <w:sz w:val="16"/>
          <w:szCs w:val="16"/>
        </w:rPr>
        <w:t xml:space="preserve"> Источник:. </w:t>
      </w:r>
      <w:hyperlink r:id="rId5" w:history="1">
        <w:r w:rsidRPr="001434E4">
          <w:rPr>
            <w:rStyle w:val="aa"/>
            <w:rFonts w:asciiTheme="majorHAnsi" w:hAnsiTheme="majorHAnsi"/>
            <w:color w:val="auto"/>
            <w:sz w:val="16"/>
            <w:szCs w:val="16"/>
            <w:u w:val="none"/>
          </w:rPr>
          <w:t>http://www.ridasib.com/</w:t>
        </w:r>
      </w:hyperlink>
      <w:r w:rsidRPr="001434E4">
        <w:rPr>
          <w:rFonts w:asciiTheme="majorHAnsi" w:hAnsiTheme="majorHAnsi"/>
          <w:sz w:val="16"/>
          <w:szCs w:val="16"/>
        </w:rPr>
        <w:t>, http://rway.ru/, http://askbda.ru/</w:t>
      </w:r>
    </w:p>
  </w:footnote>
  <w:footnote w:id="26">
    <w:p w:rsidR="00D70166" w:rsidRPr="00D96ED6" w:rsidRDefault="00D70166" w:rsidP="00A7343D">
      <w:pPr>
        <w:pStyle w:val="afe"/>
        <w:rPr>
          <w:rFonts w:asciiTheme="majorHAnsi" w:hAnsiTheme="majorHAnsi"/>
          <w:sz w:val="16"/>
          <w:szCs w:val="16"/>
        </w:rPr>
      </w:pPr>
      <w:r w:rsidRPr="00D96ED6">
        <w:rPr>
          <w:rStyle w:val="aff0"/>
          <w:rFonts w:asciiTheme="majorHAnsi" w:hAnsiTheme="majorHAnsi"/>
          <w:sz w:val="16"/>
          <w:szCs w:val="16"/>
        </w:rPr>
        <w:footnoteRef/>
      </w:r>
      <w:r w:rsidRPr="00D96ED6">
        <w:rPr>
          <w:rFonts w:asciiTheme="majorHAnsi" w:hAnsiTheme="majorHAnsi"/>
          <w:sz w:val="16"/>
          <w:szCs w:val="16"/>
        </w:rPr>
        <w:t xml:space="preserve"> Указанные факторы рекомендованы к анализу при оценке недвижимого имущества в ФСО № 7 утв. Приказом №611 от 25.09.2014 года.</w:t>
      </w:r>
    </w:p>
  </w:footnote>
  <w:footnote w:id="27">
    <w:p w:rsidR="00D70166" w:rsidRPr="0080375D" w:rsidRDefault="00D70166" w:rsidP="0080375D">
      <w:pPr>
        <w:pStyle w:val="afe"/>
        <w:spacing w:before="80" w:after="80"/>
        <w:rPr>
          <w:rFonts w:asciiTheme="majorHAnsi" w:hAnsiTheme="majorHAnsi"/>
          <w:sz w:val="16"/>
          <w:szCs w:val="16"/>
        </w:rPr>
      </w:pPr>
      <w:r w:rsidRPr="0080375D">
        <w:rPr>
          <w:rStyle w:val="aff0"/>
          <w:rFonts w:asciiTheme="majorHAnsi" w:hAnsiTheme="majorHAnsi"/>
          <w:sz w:val="16"/>
          <w:szCs w:val="16"/>
        </w:rPr>
        <w:footnoteRef/>
      </w:r>
      <w:r w:rsidRPr="0080375D">
        <w:rPr>
          <w:rFonts w:asciiTheme="majorHAnsi" w:hAnsiTheme="majorHAnsi"/>
          <w:sz w:val="16"/>
          <w:szCs w:val="16"/>
        </w:rPr>
        <w:t xml:space="preserve"> По материалам «Справочник оценщика недвижимости. Корректирующие коэффициенты для сравнительного подхода» авторы: Лейфер Л.А., Приволжский центр финансового консалтинга и оц</w:t>
      </w:r>
      <w:r>
        <w:rPr>
          <w:rFonts w:asciiTheme="majorHAnsi" w:hAnsiTheme="majorHAnsi"/>
          <w:sz w:val="16"/>
          <w:szCs w:val="16"/>
        </w:rPr>
        <w:t>енки, г.Нижний Новгород, 2014 г</w:t>
      </w:r>
      <w:r w:rsidRPr="0080375D">
        <w:rPr>
          <w:rFonts w:asciiTheme="majorHAnsi" w:hAnsiTheme="majorHAnsi"/>
          <w:sz w:val="16"/>
          <w:szCs w:val="16"/>
        </w:rPr>
        <w:t xml:space="preserve">. </w:t>
      </w:r>
    </w:p>
  </w:footnote>
  <w:footnote w:id="28">
    <w:p w:rsidR="00D70166" w:rsidRPr="00B54341" w:rsidRDefault="00D70166" w:rsidP="005F6A69">
      <w:pPr>
        <w:pStyle w:val="afe"/>
        <w:spacing w:before="80" w:after="80"/>
        <w:rPr>
          <w:rFonts w:asciiTheme="majorHAnsi" w:hAnsiTheme="majorHAnsi"/>
          <w:sz w:val="16"/>
          <w:szCs w:val="16"/>
        </w:rPr>
      </w:pPr>
      <w:r w:rsidRPr="00B54341">
        <w:rPr>
          <w:rStyle w:val="aff0"/>
          <w:rFonts w:asciiTheme="majorHAnsi" w:hAnsiTheme="majorHAnsi"/>
          <w:sz w:val="16"/>
          <w:szCs w:val="16"/>
        </w:rPr>
        <w:footnoteRef/>
      </w:r>
      <w:r w:rsidRPr="00B54341">
        <w:rPr>
          <w:rFonts w:asciiTheme="majorHAnsi" w:hAnsiTheme="majorHAnsi"/>
          <w:sz w:val="16"/>
          <w:szCs w:val="16"/>
        </w:rPr>
        <w:t xml:space="preserve"> По материалам «Справочник оценщика недвижимости. Корректирующие коэффициенты для сравнительного подхода» авторы: Лейфер Л.А., Приволжский центр финансового консалтинга и оценки, г.Нижний Новгород, 2014 г.. </w:t>
      </w:r>
    </w:p>
  </w:footnote>
  <w:footnote w:id="29">
    <w:p w:rsidR="00D70166" w:rsidRPr="00B54341" w:rsidRDefault="00D70166" w:rsidP="005F6A69">
      <w:pPr>
        <w:pStyle w:val="afe"/>
        <w:spacing w:before="80" w:after="80"/>
        <w:rPr>
          <w:rFonts w:asciiTheme="majorHAnsi" w:hAnsiTheme="majorHAnsi"/>
          <w:sz w:val="16"/>
          <w:szCs w:val="16"/>
        </w:rPr>
      </w:pPr>
      <w:r w:rsidRPr="00B54341">
        <w:rPr>
          <w:rStyle w:val="aff0"/>
          <w:rFonts w:asciiTheme="majorHAnsi" w:hAnsiTheme="majorHAnsi"/>
          <w:sz w:val="16"/>
          <w:szCs w:val="16"/>
        </w:rPr>
        <w:footnoteRef/>
      </w:r>
      <w:r w:rsidRPr="00B54341">
        <w:rPr>
          <w:rFonts w:asciiTheme="majorHAnsi" w:hAnsiTheme="majorHAnsi"/>
          <w:sz w:val="16"/>
          <w:szCs w:val="16"/>
        </w:rPr>
        <w:t xml:space="preserve"> По материалам «Справочник оценщика недвижимости. Корректирующие коэффициенты для сравнительного подхода» авторы: Лейфер Л.А., Приволжский центр финансового консалтинга и оценки, г.Нижний Новгород, 2014 г.. </w:t>
      </w:r>
    </w:p>
  </w:footnote>
  <w:footnote w:id="30">
    <w:p w:rsidR="00D70166" w:rsidRPr="00B54341" w:rsidRDefault="00D70166" w:rsidP="005F6A69">
      <w:pPr>
        <w:pStyle w:val="afe"/>
        <w:spacing w:before="80" w:after="80"/>
        <w:rPr>
          <w:rFonts w:asciiTheme="majorHAnsi" w:hAnsiTheme="majorHAnsi"/>
          <w:sz w:val="16"/>
          <w:szCs w:val="16"/>
        </w:rPr>
      </w:pPr>
      <w:r w:rsidRPr="00B54341">
        <w:rPr>
          <w:rStyle w:val="aff0"/>
          <w:rFonts w:asciiTheme="majorHAnsi" w:hAnsiTheme="majorHAnsi"/>
          <w:sz w:val="16"/>
          <w:szCs w:val="16"/>
        </w:rPr>
        <w:footnoteRef/>
      </w:r>
      <w:r w:rsidRPr="00B54341">
        <w:rPr>
          <w:rFonts w:asciiTheme="majorHAnsi" w:hAnsiTheme="majorHAnsi"/>
          <w:sz w:val="16"/>
          <w:szCs w:val="16"/>
        </w:rPr>
        <w:t xml:space="preserve"> По материалам «Справочник оценщика недвижимости. Характеристики рынка. Прогнозы. Поправочные коэффициенты» (авторы: Лейфер Л.А., Шегурова Д.А., Приволжский центр финансового консалтинга и оценки, г.Нижний Новгород, 2012 г.</w:t>
      </w:r>
    </w:p>
  </w:footnote>
  <w:footnote w:id="31">
    <w:p w:rsidR="00D70166" w:rsidRPr="00B54341" w:rsidRDefault="00D70166" w:rsidP="005F6A69">
      <w:pPr>
        <w:pStyle w:val="afe"/>
        <w:spacing w:before="80" w:after="80"/>
        <w:rPr>
          <w:rFonts w:asciiTheme="majorHAnsi" w:hAnsiTheme="majorHAnsi"/>
          <w:sz w:val="16"/>
          <w:szCs w:val="16"/>
        </w:rPr>
      </w:pPr>
      <w:r w:rsidRPr="00B54341">
        <w:rPr>
          <w:rStyle w:val="aff0"/>
          <w:rFonts w:asciiTheme="majorHAnsi" w:hAnsiTheme="majorHAnsi"/>
          <w:sz w:val="16"/>
          <w:szCs w:val="16"/>
        </w:rPr>
        <w:footnoteRef/>
      </w:r>
      <w:r w:rsidRPr="00B54341">
        <w:rPr>
          <w:rFonts w:asciiTheme="majorHAnsi" w:hAnsiTheme="majorHAnsi"/>
          <w:sz w:val="16"/>
          <w:szCs w:val="16"/>
        </w:rPr>
        <w:t xml:space="preserve"> Источник: Отчет </w:t>
      </w:r>
      <w:r w:rsidRPr="00B54341">
        <w:rPr>
          <w:rFonts w:asciiTheme="majorHAnsi" w:hAnsiTheme="majorHAnsi"/>
          <w:sz w:val="16"/>
          <w:szCs w:val="16"/>
          <w:lang w:val="en-GB"/>
        </w:rPr>
        <w:t>RID</w:t>
      </w:r>
      <w:r w:rsidRPr="00B54341">
        <w:rPr>
          <w:rFonts w:asciiTheme="majorHAnsi" w:hAnsiTheme="majorHAnsi"/>
          <w:sz w:val="16"/>
          <w:szCs w:val="16"/>
        </w:rPr>
        <w:t xml:space="preserve"> </w:t>
      </w:r>
      <w:r w:rsidRPr="00B54341">
        <w:rPr>
          <w:rFonts w:asciiTheme="majorHAnsi" w:hAnsiTheme="majorHAnsi"/>
          <w:sz w:val="16"/>
          <w:szCs w:val="16"/>
          <w:lang w:val="en-GB"/>
        </w:rPr>
        <w:t>Analytics</w:t>
      </w:r>
      <w:r w:rsidRPr="00B54341">
        <w:rPr>
          <w:rFonts w:asciiTheme="majorHAnsi" w:hAnsiTheme="majorHAnsi"/>
          <w:sz w:val="16"/>
          <w:szCs w:val="16"/>
        </w:rPr>
        <w:t xml:space="preserve">. http://www.ridasib.com/ Ответственный за деловое сотрудничество: Менеджер ООО «Агентство «РИД Аналитикс» Олеся Шитц (383)213-23-47 monitor@ridasib.com, www.ridasib.com, ICQ 203-018-416. </w:t>
      </w:r>
    </w:p>
  </w:footnote>
  <w:footnote w:id="32">
    <w:p w:rsidR="00D70166" w:rsidRPr="00416221" w:rsidRDefault="00D70166" w:rsidP="005F6A69">
      <w:pPr>
        <w:pStyle w:val="afe"/>
        <w:spacing w:before="80" w:after="80"/>
        <w:rPr>
          <w:rFonts w:asciiTheme="majorHAnsi" w:hAnsiTheme="majorHAnsi"/>
          <w:sz w:val="16"/>
          <w:szCs w:val="16"/>
        </w:rPr>
      </w:pPr>
      <w:r w:rsidRPr="00416221">
        <w:rPr>
          <w:rStyle w:val="aff0"/>
          <w:rFonts w:asciiTheme="majorHAnsi" w:hAnsiTheme="majorHAnsi"/>
          <w:sz w:val="16"/>
          <w:szCs w:val="16"/>
        </w:rPr>
        <w:footnoteRef/>
      </w:r>
      <w:r w:rsidRPr="00416221">
        <w:rPr>
          <w:rFonts w:asciiTheme="majorHAnsi" w:hAnsiTheme="majorHAnsi"/>
          <w:sz w:val="16"/>
          <w:szCs w:val="16"/>
        </w:rPr>
        <w:t xml:space="preserve"> По материалам «Справочник оценщика недвижимости. Характеристики рынка. Прогнозы. Поправочные коэффициенты» (авторы: Лейфер Л.А., Шегурова Д.А., Приволжский центр финансового консалтинга и оценки, г.Нижний Новгород, 2012 г. </w:t>
      </w:r>
    </w:p>
  </w:footnote>
  <w:footnote w:id="33">
    <w:p w:rsidR="00D70166" w:rsidRPr="00187310" w:rsidRDefault="00D70166" w:rsidP="005F6A69">
      <w:pPr>
        <w:pStyle w:val="afe"/>
        <w:rPr>
          <w:rFonts w:asciiTheme="majorHAnsi" w:hAnsiTheme="majorHAnsi"/>
          <w:sz w:val="16"/>
          <w:szCs w:val="16"/>
        </w:rPr>
      </w:pPr>
      <w:r w:rsidRPr="00187310">
        <w:rPr>
          <w:rStyle w:val="aff0"/>
          <w:rFonts w:asciiTheme="majorHAnsi" w:hAnsiTheme="majorHAnsi"/>
          <w:sz w:val="16"/>
          <w:szCs w:val="16"/>
        </w:rPr>
        <w:footnoteRef/>
      </w:r>
      <w:r w:rsidRPr="00187310">
        <w:rPr>
          <w:rFonts w:asciiTheme="majorHAnsi" w:hAnsiTheme="majorHAnsi"/>
          <w:sz w:val="16"/>
          <w:szCs w:val="16"/>
        </w:rPr>
        <w:t xml:space="preserve"> Источник: Источник информации: А.Д. Власов, «Проблемы кадастровой оценки земельных участков под промышленными объектами в поселениях», журнал «Имущественные отношения в Российской Федерации», №1(40). </w:t>
      </w:r>
      <w:hyperlink r:id="rId6" w:tgtFrame="_blank" w:history="1">
        <w:r w:rsidRPr="00187310">
          <w:rPr>
            <w:rStyle w:val="aa"/>
            <w:rFonts w:asciiTheme="majorHAnsi" w:hAnsiTheme="majorHAnsi"/>
            <w:sz w:val="16"/>
            <w:szCs w:val="16"/>
          </w:rPr>
          <w:t>http://elibrary.ru/author_items.asp?authorid=289221</w:t>
        </w:r>
      </w:hyperlink>
    </w:p>
  </w:footnote>
  <w:footnote w:id="34">
    <w:p w:rsidR="00D70166" w:rsidRPr="009C02B9" w:rsidRDefault="00D70166" w:rsidP="005F6A69">
      <w:pPr>
        <w:spacing w:before="80" w:after="80"/>
        <w:rPr>
          <w:rFonts w:asciiTheme="majorHAnsi" w:hAnsiTheme="majorHAnsi"/>
          <w:sz w:val="16"/>
          <w:szCs w:val="16"/>
        </w:rPr>
      </w:pPr>
      <w:r w:rsidRPr="009C02B9">
        <w:rPr>
          <w:rStyle w:val="aff0"/>
          <w:rFonts w:asciiTheme="majorHAnsi" w:hAnsiTheme="majorHAnsi"/>
          <w:sz w:val="16"/>
          <w:szCs w:val="16"/>
        </w:rPr>
        <w:footnoteRef/>
      </w:r>
      <w:r w:rsidRPr="009C02B9">
        <w:rPr>
          <w:rFonts w:asciiTheme="majorHAnsi" w:hAnsiTheme="majorHAnsi"/>
          <w:sz w:val="16"/>
          <w:szCs w:val="16"/>
        </w:rPr>
        <w:t xml:space="preserve"> Источник: «Результаты экспертных оценок величин значимых параметров, используемых в оценочной деятельности», представленной в Информационном бюллетене «Российский оценщик», №4 (118), 2013 г. стр. 28</w:t>
      </w:r>
    </w:p>
  </w:footnote>
  <w:footnote w:id="35">
    <w:p w:rsidR="00D70166" w:rsidRPr="00187310" w:rsidRDefault="00D70166" w:rsidP="00187310">
      <w:pPr>
        <w:pStyle w:val="afe"/>
        <w:spacing w:before="80" w:after="80"/>
        <w:rPr>
          <w:rFonts w:asciiTheme="majorHAnsi" w:hAnsiTheme="majorHAnsi"/>
          <w:sz w:val="16"/>
          <w:szCs w:val="16"/>
        </w:rPr>
      </w:pPr>
      <w:r w:rsidRPr="00187310">
        <w:rPr>
          <w:rStyle w:val="aff0"/>
          <w:rFonts w:asciiTheme="majorHAnsi" w:hAnsiTheme="majorHAnsi"/>
          <w:sz w:val="16"/>
          <w:szCs w:val="16"/>
        </w:rPr>
        <w:footnoteRef/>
      </w:r>
      <w:r w:rsidRPr="00187310">
        <w:rPr>
          <w:rFonts w:asciiTheme="majorHAnsi" w:hAnsiTheme="majorHAnsi"/>
          <w:sz w:val="16"/>
          <w:szCs w:val="16"/>
        </w:rPr>
        <w:t xml:space="preserve"> Источник информации: "Общие понятия оценки, подходы к оценке и требования к проведению оценки (ФСО N 1)" </w:t>
      </w:r>
      <w:bookmarkStart w:id="219" w:name="fso1"/>
      <w:bookmarkEnd w:id="219"/>
      <w:r w:rsidRPr="00187310">
        <w:rPr>
          <w:rFonts w:asciiTheme="majorHAnsi" w:hAnsiTheme="majorHAnsi"/>
          <w:sz w:val="16"/>
          <w:szCs w:val="16"/>
        </w:rPr>
        <w:t>утвержден приказом Минэкономразвития Р</w:t>
      </w:r>
      <w:r>
        <w:rPr>
          <w:rFonts w:asciiTheme="majorHAnsi" w:hAnsiTheme="majorHAnsi"/>
          <w:sz w:val="16"/>
          <w:szCs w:val="16"/>
        </w:rPr>
        <w:t>оссии от 20 мая 2015 года N 297</w:t>
      </w:r>
      <w:r w:rsidRPr="00187310">
        <w:rPr>
          <w:rFonts w:asciiTheme="majorHAnsi" w:hAnsiTheme="majorHAnsi"/>
          <w:sz w:val="16"/>
          <w:szCs w:val="16"/>
        </w:rPr>
        <w:t>.</w:t>
      </w:r>
    </w:p>
  </w:footnote>
  <w:footnote w:id="36">
    <w:p w:rsidR="00D70166" w:rsidRPr="00187310" w:rsidRDefault="00D70166" w:rsidP="00187310">
      <w:pPr>
        <w:pStyle w:val="afe"/>
        <w:spacing w:before="80" w:after="80"/>
        <w:rPr>
          <w:rFonts w:asciiTheme="majorHAnsi" w:hAnsiTheme="majorHAnsi"/>
          <w:sz w:val="16"/>
          <w:szCs w:val="16"/>
        </w:rPr>
      </w:pPr>
      <w:r w:rsidRPr="00187310">
        <w:rPr>
          <w:rStyle w:val="aff0"/>
          <w:rFonts w:asciiTheme="majorHAnsi" w:hAnsiTheme="majorHAnsi"/>
          <w:sz w:val="16"/>
          <w:szCs w:val="16"/>
        </w:rPr>
        <w:footnoteRef/>
      </w:r>
      <w:r w:rsidRPr="00187310">
        <w:rPr>
          <w:rFonts w:asciiTheme="majorHAnsi" w:hAnsiTheme="majorHAnsi"/>
          <w:sz w:val="16"/>
          <w:szCs w:val="16"/>
        </w:rPr>
        <w:t xml:space="preserve"> Источник информации: Приказ Минэкономразвития России от 25.09.2014 N 611 "Об утверждении Федерального стандарта оценки "Оценка недвижимости (ФСО N 7)"</w:t>
      </w:r>
    </w:p>
  </w:footnote>
  <w:footnote w:id="37">
    <w:p w:rsidR="00D70166" w:rsidRPr="002751EC" w:rsidRDefault="00D70166" w:rsidP="002751EC">
      <w:pPr>
        <w:pStyle w:val="afe"/>
        <w:spacing w:before="80" w:after="80"/>
        <w:rPr>
          <w:rFonts w:asciiTheme="majorHAnsi" w:hAnsiTheme="majorHAnsi"/>
          <w:sz w:val="16"/>
          <w:szCs w:val="16"/>
        </w:rPr>
      </w:pPr>
      <w:r w:rsidRPr="002751EC">
        <w:rPr>
          <w:rStyle w:val="aff0"/>
          <w:rFonts w:asciiTheme="majorHAnsi" w:hAnsiTheme="majorHAnsi"/>
          <w:sz w:val="16"/>
          <w:szCs w:val="16"/>
        </w:rPr>
        <w:footnoteRef/>
      </w:r>
      <w:r w:rsidRPr="002751EC">
        <w:rPr>
          <w:rFonts w:asciiTheme="majorHAnsi" w:hAnsiTheme="majorHAnsi"/>
          <w:sz w:val="16"/>
          <w:szCs w:val="16"/>
        </w:rPr>
        <w:t xml:space="preserve"> Источник информации: "Общие понятия оценки, подходы к оценке и требования к проведению оценки (ФСО N 1)" утвержден приказом Минэкономразвития России </w:t>
      </w:r>
      <w:r w:rsidRPr="00187310">
        <w:rPr>
          <w:rFonts w:asciiTheme="majorHAnsi" w:hAnsiTheme="majorHAnsi"/>
          <w:sz w:val="16"/>
          <w:szCs w:val="16"/>
        </w:rPr>
        <w:t>от 20 мая 2015 года N 297</w:t>
      </w:r>
      <w:r w:rsidRPr="002751EC">
        <w:rPr>
          <w:rFonts w:asciiTheme="majorHAnsi" w:hAnsiTheme="majorHAnsi"/>
          <w:sz w:val="16"/>
          <w:szCs w:val="16"/>
        </w:rPr>
        <w:t>.</w:t>
      </w:r>
    </w:p>
  </w:footnote>
  <w:footnote w:id="38">
    <w:p w:rsidR="00D70166" w:rsidRPr="002751EC" w:rsidRDefault="00D70166" w:rsidP="002751EC">
      <w:pPr>
        <w:pStyle w:val="afe"/>
        <w:spacing w:before="80" w:after="80"/>
        <w:rPr>
          <w:rFonts w:asciiTheme="majorHAnsi" w:hAnsiTheme="majorHAnsi"/>
          <w:sz w:val="16"/>
          <w:szCs w:val="16"/>
        </w:rPr>
      </w:pPr>
      <w:r w:rsidRPr="002751EC">
        <w:rPr>
          <w:rStyle w:val="aff0"/>
          <w:rFonts w:asciiTheme="majorHAnsi" w:hAnsiTheme="majorHAnsi"/>
          <w:sz w:val="16"/>
          <w:szCs w:val="16"/>
        </w:rPr>
        <w:footnoteRef/>
      </w:r>
      <w:r w:rsidRPr="002751EC">
        <w:rPr>
          <w:rFonts w:asciiTheme="majorHAnsi" w:hAnsiTheme="majorHAnsi"/>
          <w:sz w:val="16"/>
          <w:szCs w:val="16"/>
        </w:rPr>
        <w:t xml:space="preserve"> Источник информации: Приказ Минэкономразвития России от 25.09.2014 N 611 "Об утверждении Федерального стандарта оценки "Оценка недвижимости (ФСО N 7)"</w:t>
      </w:r>
    </w:p>
  </w:footnote>
  <w:footnote w:id="39">
    <w:p w:rsidR="00D70166" w:rsidRPr="00187310" w:rsidRDefault="00D70166" w:rsidP="00E24854">
      <w:pPr>
        <w:pStyle w:val="afe"/>
        <w:spacing w:before="80" w:after="80"/>
        <w:rPr>
          <w:rFonts w:asciiTheme="majorHAnsi" w:hAnsiTheme="majorHAnsi"/>
          <w:sz w:val="16"/>
          <w:szCs w:val="16"/>
        </w:rPr>
      </w:pPr>
      <w:r w:rsidRPr="00187310">
        <w:rPr>
          <w:rStyle w:val="aff0"/>
          <w:rFonts w:asciiTheme="majorHAnsi" w:hAnsiTheme="majorHAnsi"/>
          <w:sz w:val="16"/>
          <w:szCs w:val="16"/>
        </w:rPr>
        <w:footnoteRef/>
      </w:r>
      <w:r w:rsidRPr="00187310">
        <w:rPr>
          <w:rFonts w:asciiTheme="majorHAnsi" w:hAnsiTheme="majorHAnsi"/>
          <w:sz w:val="16"/>
          <w:szCs w:val="16"/>
        </w:rPr>
        <w:t xml:space="preserve"> Источник информации: "Общие понятия оценки, подходы к оценке и требования к проведению оценки (ФСО N 1)" утвержден приказом Минэкономразвития России от 20 мая 2015 года N 297.</w:t>
      </w:r>
    </w:p>
  </w:footnote>
  <w:footnote w:id="40">
    <w:p w:rsidR="00D70166" w:rsidRPr="00187310" w:rsidRDefault="00D70166" w:rsidP="00E24854">
      <w:pPr>
        <w:pStyle w:val="afe"/>
        <w:spacing w:before="80" w:after="80"/>
        <w:rPr>
          <w:rFonts w:asciiTheme="majorHAnsi" w:hAnsiTheme="majorHAnsi"/>
          <w:sz w:val="16"/>
          <w:szCs w:val="16"/>
        </w:rPr>
      </w:pPr>
      <w:r w:rsidRPr="00187310">
        <w:rPr>
          <w:rStyle w:val="aff0"/>
          <w:rFonts w:asciiTheme="majorHAnsi" w:hAnsiTheme="majorHAnsi"/>
          <w:sz w:val="16"/>
          <w:szCs w:val="16"/>
        </w:rPr>
        <w:footnoteRef/>
      </w:r>
      <w:r w:rsidRPr="00187310">
        <w:rPr>
          <w:rFonts w:asciiTheme="majorHAnsi" w:hAnsiTheme="majorHAnsi"/>
          <w:sz w:val="16"/>
          <w:szCs w:val="16"/>
        </w:rPr>
        <w:t xml:space="preserve"> Источник информации: Приказ Минэкономразвития России от 25.09.2014 N 611 "Об утверждении Федерального стандарта оценки "Оценка недвижимости (ФСО N 7)"</w:t>
      </w:r>
    </w:p>
  </w:footnote>
  <w:footnote w:id="41">
    <w:p w:rsidR="00D70166" w:rsidRPr="00514632" w:rsidRDefault="00D70166" w:rsidP="005F6A69">
      <w:pPr>
        <w:pStyle w:val="afe"/>
        <w:spacing w:before="80" w:after="80"/>
        <w:rPr>
          <w:rFonts w:asciiTheme="majorHAnsi" w:hAnsiTheme="majorHAnsi"/>
          <w:sz w:val="16"/>
          <w:szCs w:val="16"/>
        </w:rPr>
      </w:pPr>
      <w:r w:rsidRPr="00514632">
        <w:rPr>
          <w:rStyle w:val="aff0"/>
          <w:rFonts w:asciiTheme="majorHAnsi" w:hAnsiTheme="majorHAnsi"/>
          <w:sz w:val="16"/>
          <w:szCs w:val="16"/>
        </w:rPr>
        <w:footnoteRef/>
      </w:r>
      <w:r w:rsidRPr="00514632">
        <w:rPr>
          <w:rFonts w:asciiTheme="majorHAnsi" w:hAnsiTheme="majorHAnsi"/>
          <w:sz w:val="16"/>
          <w:szCs w:val="16"/>
        </w:rPr>
        <w:t xml:space="preserve"> Методические рекомендации по определению рыночной стоимости земельных участков, утвержденных распоряжением Минимущества России от 06.03.2002 N 568-р</w:t>
      </w:r>
    </w:p>
  </w:footnote>
  <w:footnote w:id="42">
    <w:p w:rsidR="00D70166" w:rsidRPr="00350107" w:rsidRDefault="00D70166" w:rsidP="005F6A69">
      <w:pPr>
        <w:pStyle w:val="afe"/>
        <w:rPr>
          <w:rFonts w:asciiTheme="majorHAnsi" w:hAnsiTheme="majorHAnsi"/>
          <w:bCs/>
          <w:sz w:val="16"/>
          <w:szCs w:val="16"/>
        </w:rPr>
      </w:pPr>
      <w:r w:rsidRPr="00350107">
        <w:rPr>
          <w:rStyle w:val="aff0"/>
          <w:rFonts w:asciiTheme="majorHAnsi" w:hAnsiTheme="majorHAnsi"/>
          <w:sz w:val="16"/>
          <w:szCs w:val="16"/>
        </w:rPr>
        <w:footnoteRef/>
      </w:r>
      <w:r w:rsidRPr="00350107">
        <w:rPr>
          <w:rFonts w:asciiTheme="majorHAnsi" w:hAnsiTheme="majorHAnsi"/>
          <w:sz w:val="16"/>
          <w:szCs w:val="16"/>
        </w:rPr>
        <w:t xml:space="preserve"> Источник информации: В соответствии с Приказом Минэкономразвития России от 25.09.2014 N 611 "Об утверждении Федерального стандарта оценки "Оценка недвижимости (ФСО N 7)"</w:t>
      </w:r>
    </w:p>
  </w:footnote>
  <w:footnote w:id="43">
    <w:p w:rsidR="00D70166" w:rsidRPr="00350107" w:rsidRDefault="00D70166" w:rsidP="00F53AE8">
      <w:pPr>
        <w:pStyle w:val="afe"/>
        <w:rPr>
          <w:rFonts w:asciiTheme="majorHAnsi" w:hAnsiTheme="majorHAnsi"/>
          <w:bCs/>
          <w:sz w:val="16"/>
          <w:szCs w:val="16"/>
        </w:rPr>
      </w:pPr>
      <w:r w:rsidRPr="00350107">
        <w:rPr>
          <w:rStyle w:val="aff0"/>
          <w:rFonts w:asciiTheme="majorHAnsi" w:hAnsiTheme="majorHAnsi"/>
          <w:sz w:val="16"/>
          <w:szCs w:val="16"/>
        </w:rPr>
        <w:footnoteRef/>
      </w:r>
      <w:r w:rsidRPr="00350107">
        <w:rPr>
          <w:rFonts w:asciiTheme="majorHAnsi" w:hAnsiTheme="majorHAnsi"/>
          <w:sz w:val="16"/>
          <w:szCs w:val="16"/>
        </w:rPr>
        <w:t xml:space="preserve"> Источник информации: В соответствии с Приказом Минэкономразвития России от 25.09.2014 N 611 "Об утверждении Федерального стандарта оценки "Оценка недвижимости (ФСО N 7)"</w:t>
      </w:r>
    </w:p>
  </w:footnote>
  <w:footnote w:id="44">
    <w:p w:rsidR="00D70166" w:rsidRPr="009D7CA8" w:rsidRDefault="00D70166" w:rsidP="006A199E">
      <w:pPr>
        <w:pStyle w:val="afe"/>
        <w:rPr>
          <w:rFonts w:asciiTheme="majorHAnsi" w:hAnsiTheme="majorHAnsi"/>
          <w:bCs/>
          <w:sz w:val="16"/>
          <w:szCs w:val="16"/>
        </w:rPr>
      </w:pPr>
      <w:r w:rsidRPr="009D7CA8">
        <w:rPr>
          <w:rStyle w:val="aff0"/>
          <w:rFonts w:asciiTheme="majorHAnsi" w:hAnsiTheme="majorHAnsi"/>
          <w:sz w:val="16"/>
          <w:szCs w:val="16"/>
        </w:rPr>
        <w:footnoteRef/>
      </w:r>
      <w:r w:rsidRPr="009D7CA8">
        <w:rPr>
          <w:rFonts w:asciiTheme="majorHAnsi" w:hAnsiTheme="majorHAnsi"/>
          <w:sz w:val="16"/>
          <w:szCs w:val="16"/>
        </w:rPr>
        <w:t xml:space="preserve"> Источник информации: В соответствии с Приказом Минэкономразвития России от 25.09.2014 N 611 "Об утверждении Федерального стандарта оценки "Оценка недвижимости (ФСО N 7)"</w:t>
      </w:r>
    </w:p>
  </w:footnote>
  <w:footnote w:id="45">
    <w:p w:rsidR="00D70166" w:rsidRPr="00046B4A" w:rsidRDefault="00D70166" w:rsidP="00484047">
      <w:pPr>
        <w:pStyle w:val="afe"/>
        <w:spacing w:before="80" w:after="80"/>
        <w:rPr>
          <w:rFonts w:asciiTheme="majorHAnsi" w:hAnsiTheme="majorHAnsi"/>
          <w:sz w:val="16"/>
          <w:szCs w:val="16"/>
        </w:rPr>
      </w:pPr>
      <w:r w:rsidRPr="00046B4A">
        <w:rPr>
          <w:rStyle w:val="aff0"/>
          <w:rFonts w:asciiTheme="majorHAnsi" w:hAnsiTheme="majorHAnsi"/>
          <w:sz w:val="16"/>
          <w:szCs w:val="16"/>
        </w:rPr>
        <w:footnoteRef/>
      </w:r>
      <w:r w:rsidRPr="00046B4A">
        <w:rPr>
          <w:rFonts w:asciiTheme="majorHAnsi" w:hAnsiTheme="majorHAnsi"/>
          <w:sz w:val="16"/>
          <w:szCs w:val="16"/>
        </w:rPr>
        <w:t xml:space="preserve"> Федеральный стандарт оценки № 1, утвержден приказом Минэкономразвития России № 2</w:t>
      </w:r>
      <w:r>
        <w:rPr>
          <w:rFonts w:asciiTheme="majorHAnsi" w:hAnsiTheme="majorHAnsi"/>
          <w:sz w:val="16"/>
          <w:szCs w:val="16"/>
        </w:rPr>
        <w:t>97</w:t>
      </w:r>
      <w:r w:rsidRPr="00046B4A">
        <w:rPr>
          <w:rFonts w:asciiTheme="majorHAnsi" w:hAnsiTheme="majorHAnsi"/>
          <w:sz w:val="16"/>
          <w:szCs w:val="16"/>
        </w:rPr>
        <w:t xml:space="preserve"> от 20.0</w:t>
      </w:r>
      <w:r>
        <w:rPr>
          <w:rFonts w:asciiTheme="majorHAnsi" w:hAnsiTheme="majorHAnsi"/>
          <w:sz w:val="16"/>
          <w:szCs w:val="16"/>
        </w:rPr>
        <w:t>5</w:t>
      </w:r>
      <w:r w:rsidRPr="00046B4A">
        <w:rPr>
          <w:rFonts w:asciiTheme="majorHAnsi" w:hAnsiTheme="majorHAnsi"/>
          <w:sz w:val="16"/>
          <w:szCs w:val="16"/>
        </w:rPr>
        <w:t>.20</w:t>
      </w:r>
      <w:r>
        <w:rPr>
          <w:rFonts w:asciiTheme="majorHAnsi" w:hAnsiTheme="majorHAnsi"/>
          <w:sz w:val="16"/>
          <w:szCs w:val="16"/>
        </w:rPr>
        <w:t>15</w:t>
      </w:r>
      <w:r w:rsidRPr="00046B4A">
        <w:rPr>
          <w:rFonts w:asciiTheme="majorHAnsi" w:hAnsiTheme="majorHAnsi"/>
          <w:sz w:val="16"/>
          <w:szCs w:val="16"/>
        </w:rPr>
        <w:t xml:space="preserve"> года</w:t>
      </w:r>
    </w:p>
  </w:footnote>
  <w:footnote w:id="46">
    <w:p w:rsidR="00D70166" w:rsidRPr="00F45425" w:rsidRDefault="00D70166" w:rsidP="006A199E">
      <w:pPr>
        <w:pStyle w:val="afe"/>
        <w:spacing w:before="80" w:after="80"/>
        <w:rPr>
          <w:rFonts w:asciiTheme="majorHAnsi" w:hAnsiTheme="majorHAnsi"/>
          <w:sz w:val="16"/>
          <w:szCs w:val="16"/>
        </w:rPr>
      </w:pPr>
      <w:r w:rsidRPr="00F45425">
        <w:rPr>
          <w:rStyle w:val="aff0"/>
          <w:rFonts w:asciiTheme="majorHAnsi" w:hAnsiTheme="majorHAnsi"/>
          <w:sz w:val="16"/>
          <w:szCs w:val="16"/>
        </w:rPr>
        <w:footnoteRef/>
      </w:r>
      <w:r w:rsidRPr="00F45425">
        <w:rPr>
          <w:rFonts w:asciiTheme="majorHAnsi" w:hAnsiTheme="majorHAnsi"/>
          <w:sz w:val="16"/>
          <w:szCs w:val="16"/>
        </w:rPr>
        <w:t xml:space="preserve"> Источник информации: С.В. Грибовский «Оценка стоимости недвижимости» Москва, 2009г., Учебное пособие, стр. 83-157</w:t>
      </w:r>
    </w:p>
  </w:footnote>
  <w:footnote w:id="47">
    <w:p w:rsidR="00D70166" w:rsidRPr="00F45425" w:rsidRDefault="00D70166" w:rsidP="006A199E">
      <w:pPr>
        <w:pStyle w:val="afe"/>
        <w:spacing w:before="80" w:after="80"/>
        <w:rPr>
          <w:rFonts w:asciiTheme="majorHAnsi" w:hAnsiTheme="majorHAnsi"/>
          <w:sz w:val="16"/>
          <w:szCs w:val="16"/>
        </w:rPr>
      </w:pPr>
      <w:r w:rsidRPr="00F80AB0">
        <w:rPr>
          <w:rStyle w:val="aff0"/>
          <w:rFonts w:asciiTheme="majorHAnsi" w:hAnsiTheme="majorHAnsi"/>
          <w:sz w:val="16"/>
          <w:szCs w:val="16"/>
        </w:rPr>
        <w:footnoteRef/>
      </w:r>
      <w:r w:rsidRPr="00F80AB0">
        <w:rPr>
          <w:rFonts w:asciiTheme="majorHAnsi" w:hAnsiTheme="majorHAnsi"/>
          <w:sz w:val="16"/>
          <w:szCs w:val="16"/>
        </w:rPr>
        <w:t xml:space="preserve"> Распечатки позволяющие пользователю отчета об оценке судить об авторстве используемой информации и дате ее подготовке в </w:t>
      </w:r>
      <w:r>
        <w:rPr>
          <w:rFonts w:asciiTheme="majorHAnsi" w:hAnsiTheme="majorHAnsi"/>
          <w:sz w:val="16"/>
          <w:szCs w:val="16"/>
        </w:rPr>
        <w:t>Приложении № 5</w:t>
      </w:r>
    </w:p>
  </w:footnote>
  <w:footnote w:id="48">
    <w:p w:rsidR="00D70166" w:rsidRPr="00470126" w:rsidRDefault="00D70166" w:rsidP="00577735">
      <w:pPr>
        <w:pStyle w:val="afe"/>
        <w:spacing w:before="80" w:after="80"/>
        <w:rPr>
          <w:rFonts w:asciiTheme="majorHAnsi" w:hAnsiTheme="majorHAnsi"/>
          <w:sz w:val="16"/>
          <w:szCs w:val="16"/>
        </w:rPr>
      </w:pPr>
      <w:r w:rsidRPr="00470126">
        <w:rPr>
          <w:rStyle w:val="aff0"/>
          <w:rFonts w:asciiTheme="majorHAnsi" w:hAnsiTheme="majorHAnsi"/>
          <w:sz w:val="16"/>
          <w:szCs w:val="16"/>
        </w:rPr>
        <w:footnoteRef/>
      </w:r>
      <w:r w:rsidRPr="00470126">
        <w:rPr>
          <w:rFonts w:asciiTheme="majorHAnsi" w:hAnsiTheme="majorHAnsi"/>
          <w:sz w:val="16"/>
          <w:szCs w:val="16"/>
        </w:rPr>
        <w:t xml:space="preserve"> По материалам «Справочник оценщика недвижимости. Корректирующие коэффициенты для сравнительного подхода» (автор: Лейфер Л.А., Приволжский центр финансового консалтинга и оцен</w:t>
      </w:r>
      <w:r>
        <w:rPr>
          <w:rFonts w:asciiTheme="majorHAnsi" w:hAnsiTheme="majorHAnsi"/>
          <w:sz w:val="16"/>
          <w:szCs w:val="16"/>
        </w:rPr>
        <w:t xml:space="preserve">ки, г.Нижний Новгород, 2014 </w:t>
      </w:r>
      <w:r w:rsidRPr="00B50B21">
        <w:rPr>
          <w:rFonts w:asciiTheme="majorHAnsi" w:hAnsiTheme="majorHAnsi"/>
          <w:sz w:val="16"/>
          <w:szCs w:val="16"/>
        </w:rPr>
        <w:t>г. Копии материалов в Приложении №</w:t>
      </w:r>
      <w:r>
        <w:rPr>
          <w:rFonts w:asciiTheme="majorHAnsi" w:hAnsiTheme="majorHAnsi"/>
          <w:sz w:val="16"/>
          <w:szCs w:val="16"/>
        </w:rPr>
        <w:t xml:space="preserve"> 6</w:t>
      </w:r>
      <w:r w:rsidRPr="00470126">
        <w:rPr>
          <w:rFonts w:asciiTheme="majorHAnsi" w:hAnsiTheme="majorHAnsi"/>
          <w:sz w:val="16"/>
          <w:szCs w:val="16"/>
        </w:rPr>
        <w:t>.</w:t>
      </w:r>
    </w:p>
  </w:footnote>
  <w:footnote w:id="49">
    <w:p w:rsidR="00D70166" w:rsidRPr="00470126" w:rsidRDefault="00D70166" w:rsidP="004A1E09">
      <w:pPr>
        <w:pStyle w:val="afe"/>
        <w:spacing w:before="80" w:after="80"/>
        <w:rPr>
          <w:rFonts w:asciiTheme="majorHAnsi" w:hAnsiTheme="majorHAnsi"/>
          <w:sz w:val="16"/>
          <w:szCs w:val="16"/>
        </w:rPr>
      </w:pPr>
      <w:r w:rsidRPr="00470126">
        <w:rPr>
          <w:rStyle w:val="aff0"/>
          <w:rFonts w:asciiTheme="majorHAnsi" w:hAnsiTheme="majorHAnsi"/>
          <w:sz w:val="16"/>
          <w:szCs w:val="16"/>
        </w:rPr>
        <w:footnoteRef/>
      </w:r>
      <w:r w:rsidRPr="00470126">
        <w:rPr>
          <w:rFonts w:asciiTheme="majorHAnsi" w:hAnsiTheme="majorHAnsi"/>
          <w:sz w:val="16"/>
          <w:szCs w:val="16"/>
        </w:rPr>
        <w:t xml:space="preserve"> По материалам «Справочник оценщика недвижимости. Корректирующие коэффициенты для сравнительного подхода» (автор: Лейфер Л.А., Приволжский центр финансового консалтинга и оценки, г.Нижний Новгород, 2014 </w:t>
      </w:r>
      <w:r w:rsidRPr="00B50B21">
        <w:rPr>
          <w:rFonts w:asciiTheme="majorHAnsi" w:hAnsiTheme="majorHAnsi"/>
          <w:sz w:val="16"/>
          <w:szCs w:val="16"/>
        </w:rPr>
        <w:t>г.. Копии материалов в Приложении №</w:t>
      </w:r>
      <w:r w:rsidRPr="00470126">
        <w:rPr>
          <w:rFonts w:asciiTheme="majorHAnsi" w:hAnsiTheme="majorHAnsi"/>
          <w:sz w:val="16"/>
          <w:szCs w:val="16"/>
        </w:rPr>
        <w:t xml:space="preserve"> </w:t>
      </w:r>
      <w:r>
        <w:rPr>
          <w:rFonts w:asciiTheme="majorHAnsi" w:hAnsiTheme="majorHAnsi"/>
          <w:sz w:val="16"/>
          <w:szCs w:val="16"/>
        </w:rPr>
        <w:t>6</w:t>
      </w:r>
      <w:r w:rsidRPr="00470126">
        <w:rPr>
          <w:rFonts w:asciiTheme="majorHAnsi" w:hAnsiTheme="majorHAnsi"/>
          <w:sz w:val="16"/>
          <w:szCs w:val="16"/>
        </w:rPr>
        <w:t>.</w:t>
      </w:r>
    </w:p>
  </w:footnote>
  <w:footnote w:id="50">
    <w:p w:rsidR="00D70166" w:rsidRPr="00484047" w:rsidRDefault="00D70166" w:rsidP="006568BA">
      <w:pPr>
        <w:pStyle w:val="afe"/>
        <w:spacing w:before="80" w:after="80"/>
        <w:rPr>
          <w:rFonts w:asciiTheme="majorHAnsi" w:hAnsiTheme="majorHAnsi"/>
          <w:sz w:val="16"/>
          <w:szCs w:val="16"/>
        </w:rPr>
      </w:pPr>
      <w:r w:rsidRPr="00484047">
        <w:rPr>
          <w:rStyle w:val="aff0"/>
          <w:rFonts w:asciiTheme="majorHAnsi" w:hAnsiTheme="majorHAnsi"/>
          <w:sz w:val="16"/>
          <w:szCs w:val="16"/>
        </w:rPr>
        <w:footnoteRef/>
      </w:r>
      <w:r w:rsidRPr="00484047">
        <w:rPr>
          <w:rFonts w:asciiTheme="majorHAnsi" w:hAnsiTheme="majorHAnsi"/>
          <w:sz w:val="16"/>
          <w:szCs w:val="16"/>
        </w:rPr>
        <w:t xml:space="preserve"> По материалам «Справочник оценщика недвижимости. Корректирующие коэффициенты для сравнительного подхода» (авторы: Лейфер Л.А., Приволжский центр финансового консалтинга и оценки, г.Нижний Новгород, 2012 г., К</w:t>
      </w:r>
      <w:r>
        <w:rPr>
          <w:rFonts w:asciiTheme="majorHAnsi" w:hAnsiTheme="majorHAnsi"/>
          <w:sz w:val="16"/>
          <w:szCs w:val="16"/>
        </w:rPr>
        <w:t>опии материалов в Приложении № 6</w:t>
      </w:r>
      <w:r w:rsidRPr="00484047">
        <w:rPr>
          <w:rFonts w:asciiTheme="majorHAnsi" w:hAnsiTheme="majorHAnsi"/>
          <w:sz w:val="16"/>
          <w:szCs w:val="16"/>
        </w:rPr>
        <w:t xml:space="preserve"> </w:t>
      </w:r>
    </w:p>
  </w:footnote>
  <w:footnote w:id="51">
    <w:p w:rsidR="00D70166" w:rsidRPr="00484047" w:rsidRDefault="00D70166" w:rsidP="00484047">
      <w:pPr>
        <w:pStyle w:val="afe"/>
        <w:spacing w:before="80" w:after="80"/>
        <w:rPr>
          <w:rFonts w:asciiTheme="majorHAnsi" w:hAnsiTheme="majorHAnsi"/>
          <w:sz w:val="16"/>
          <w:szCs w:val="16"/>
        </w:rPr>
      </w:pPr>
      <w:r w:rsidRPr="00484047">
        <w:rPr>
          <w:rStyle w:val="aff0"/>
          <w:rFonts w:asciiTheme="majorHAnsi" w:hAnsiTheme="majorHAnsi"/>
          <w:sz w:val="16"/>
          <w:szCs w:val="16"/>
        </w:rPr>
        <w:footnoteRef/>
      </w:r>
      <w:r w:rsidRPr="00484047">
        <w:rPr>
          <w:rFonts w:asciiTheme="majorHAnsi" w:hAnsiTheme="majorHAnsi"/>
          <w:sz w:val="16"/>
          <w:szCs w:val="16"/>
        </w:rPr>
        <w:t xml:space="preserve"> По материалам «Справочник оценщика недвижимости. Корректирующие коэффициенты для сравнительного подхода» (авторы: Лейфер Л.А., Приволжский центр финансового консалтинга и оценки, г.Нижний Новгород, 2012 г., К</w:t>
      </w:r>
      <w:r>
        <w:rPr>
          <w:rFonts w:asciiTheme="majorHAnsi" w:hAnsiTheme="majorHAnsi"/>
          <w:sz w:val="16"/>
          <w:szCs w:val="16"/>
        </w:rPr>
        <w:t>опии материалов в Приложении № 6</w:t>
      </w:r>
      <w:r w:rsidRPr="00484047">
        <w:rPr>
          <w:rFonts w:asciiTheme="majorHAnsi" w:hAnsiTheme="majorHAnsi"/>
          <w:sz w:val="16"/>
          <w:szCs w:val="16"/>
        </w:rPr>
        <w:t xml:space="preserve"> </w:t>
      </w:r>
    </w:p>
  </w:footnote>
  <w:footnote w:id="52">
    <w:p w:rsidR="00D70166" w:rsidRPr="00484047" w:rsidRDefault="00D70166" w:rsidP="004A1E09">
      <w:pPr>
        <w:pStyle w:val="afe"/>
        <w:spacing w:before="80" w:after="80"/>
        <w:rPr>
          <w:rFonts w:asciiTheme="majorHAnsi" w:hAnsiTheme="majorHAnsi"/>
          <w:sz w:val="16"/>
          <w:szCs w:val="16"/>
        </w:rPr>
      </w:pPr>
      <w:r w:rsidRPr="00484047">
        <w:rPr>
          <w:rStyle w:val="aff0"/>
          <w:rFonts w:asciiTheme="majorHAnsi" w:hAnsiTheme="majorHAnsi"/>
          <w:sz w:val="16"/>
          <w:szCs w:val="16"/>
        </w:rPr>
        <w:footnoteRef/>
      </w:r>
      <w:r w:rsidRPr="00484047">
        <w:rPr>
          <w:rFonts w:asciiTheme="majorHAnsi" w:hAnsiTheme="majorHAnsi"/>
          <w:sz w:val="16"/>
          <w:szCs w:val="16"/>
        </w:rPr>
        <w:t xml:space="preserve"> По материалам «Справочник оценщика недвижимости. Корректирующие коэффициенты для сравнительного подхода» (авторы: Лейфер Л.А., Приволжский центр финансового консалтинга и оценки, г.Нижний Новгород, 2012 г., Ко</w:t>
      </w:r>
      <w:r>
        <w:rPr>
          <w:rFonts w:asciiTheme="majorHAnsi" w:hAnsiTheme="majorHAnsi"/>
          <w:sz w:val="16"/>
          <w:szCs w:val="16"/>
        </w:rPr>
        <w:t>пии материалов в Приложении №6</w:t>
      </w:r>
    </w:p>
  </w:footnote>
  <w:footnote w:id="53">
    <w:p w:rsidR="00D70166" w:rsidRPr="00B50B21" w:rsidRDefault="00D70166" w:rsidP="006A199E">
      <w:pPr>
        <w:pStyle w:val="afe"/>
        <w:spacing w:before="80" w:after="80"/>
        <w:rPr>
          <w:rFonts w:asciiTheme="majorHAnsi" w:hAnsiTheme="majorHAnsi"/>
          <w:sz w:val="16"/>
          <w:szCs w:val="16"/>
        </w:rPr>
      </w:pPr>
      <w:r w:rsidRPr="00484047">
        <w:rPr>
          <w:rStyle w:val="aff0"/>
          <w:rFonts w:asciiTheme="majorHAnsi" w:hAnsiTheme="majorHAnsi"/>
          <w:sz w:val="16"/>
          <w:szCs w:val="16"/>
        </w:rPr>
        <w:footnoteRef/>
      </w:r>
      <w:r w:rsidRPr="00484047">
        <w:rPr>
          <w:rFonts w:asciiTheme="majorHAnsi" w:hAnsiTheme="majorHAnsi"/>
          <w:sz w:val="16"/>
          <w:szCs w:val="16"/>
        </w:rPr>
        <w:t xml:space="preserve"> ФСО № 1,2,3 не устанавливает значения максимальной корректировки, при которой объект аналог не соответствует объекту оценки по </w:t>
      </w:r>
      <w:r w:rsidRPr="00B50B21">
        <w:rPr>
          <w:rFonts w:asciiTheme="majorHAnsi" w:hAnsiTheme="majorHAnsi"/>
          <w:sz w:val="16"/>
          <w:szCs w:val="16"/>
        </w:rPr>
        <w:t>своим экономическим, материальным, техническим и другим характеристикам.</w:t>
      </w:r>
    </w:p>
    <w:p w:rsidR="00D70166" w:rsidRPr="00B50B21" w:rsidRDefault="00D70166" w:rsidP="006A199E">
      <w:pPr>
        <w:pStyle w:val="afe"/>
        <w:spacing w:before="80" w:after="80"/>
        <w:rPr>
          <w:rFonts w:asciiTheme="majorHAnsi" w:hAnsiTheme="majorHAnsi"/>
          <w:sz w:val="16"/>
          <w:szCs w:val="16"/>
        </w:rPr>
      </w:pPr>
      <w:r w:rsidRPr="00B50B21">
        <w:rPr>
          <w:rFonts w:asciiTheme="majorHAnsi" w:hAnsiTheme="majorHAnsi"/>
          <w:sz w:val="16"/>
          <w:szCs w:val="16"/>
        </w:rPr>
        <w:t>Пункт 22 разд 4 ФСО № 1: «Применяя сравнительный подход оценщик должен:…скорректировать значения единиц сравнения для объектов аналогов по каждому элементу сравнения в зависимости от соотношения характеристик объекта оценки и объекта аналога по данному элементу сравнения».</w:t>
      </w:r>
    </w:p>
  </w:footnote>
  <w:footnote w:id="54">
    <w:p w:rsidR="00D70166" w:rsidRPr="00514632" w:rsidRDefault="00D70166" w:rsidP="00CE17F5">
      <w:pPr>
        <w:pStyle w:val="afe"/>
        <w:spacing w:before="80" w:after="80"/>
        <w:rPr>
          <w:rFonts w:asciiTheme="majorHAnsi" w:hAnsiTheme="majorHAnsi"/>
          <w:sz w:val="16"/>
          <w:szCs w:val="16"/>
        </w:rPr>
      </w:pPr>
      <w:r w:rsidRPr="00514632">
        <w:rPr>
          <w:rStyle w:val="aff0"/>
          <w:rFonts w:asciiTheme="majorHAnsi" w:hAnsiTheme="majorHAnsi"/>
          <w:sz w:val="16"/>
          <w:szCs w:val="16"/>
        </w:rPr>
        <w:footnoteRef/>
      </w:r>
      <w:r w:rsidRPr="00514632">
        <w:rPr>
          <w:rFonts w:asciiTheme="majorHAnsi" w:hAnsiTheme="majorHAnsi"/>
          <w:sz w:val="16"/>
          <w:szCs w:val="16"/>
        </w:rPr>
        <w:t xml:space="preserve"> Распечатки, подтверждающие источники получения информации в приложении № 5.</w:t>
      </w:r>
    </w:p>
  </w:footnote>
  <w:footnote w:id="55">
    <w:p w:rsidR="00D70166" w:rsidRPr="000512FC" w:rsidRDefault="00D70166" w:rsidP="00CE17F5">
      <w:pPr>
        <w:pStyle w:val="afe"/>
        <w:spacing w:before="80" w:after="80"/>
        <w:jc w:val="both"/>
        <w:rPr>
          <w:rFonts w:asciiTheme="majorHAnsi" w:hAnsiTheme="majorHAnsi"/>
          <w:sz w:val="16"/>
          <w:szCs w:val="16"/>
        </w:rPr>
      </w:pPr>
      <w:r w:rsidRPr="00514632">
        <w:rPr>
          <w:rStyle w:val="aff0"/>
          <w:rFonts w:asciiTheme="majorHAnsi" w:hAnsiTheme="majorHAnsi"/>
          <w:sz w:val="16"/>
          <w:szCs w:val="16"/>
        </w:rPr>
        <w:footnoteRef/>
      </w:r>
      <w:r w:rsidRPr="00514632">
        <w:rPr>
          <w:rFonts w:asciiTheme="majorHAnsi" w:hAnsiTheme="majorHAnsi"/>
          <w:sz w:val="16"/>
          <w:szCs w:val="16"/>
        </w:rPr>
        <w:t xml:space="preserve"> По материалам «Справочник оценщика недвижимости. Корректирующие коэффициенты для оценки земельных участков» (автор: </w:t>
      </w:r>
      <w:r w:rsidRPr="000512FC">
        <w:rPr>
          <w:rFonts w:asciiTheme="majorHAnsi" w:hAnsiTheme="majorHAnsi"/>
          <w:sz w:val="16"/>
          <w:szCs w:val="16"/>
        </w:rPr>
        <w:t>Лейфер Л.А., Приволжский центр финансового консалтинга и оценки, г.Нижний Новгород, 2014 г. Копии материалов в Приложении № 6.</w:t>
      </w:r>
    </w:p>
  </w:footnote>
  <w:footnote w:id="56">
    <w:p w:rsidR="00D70166" w:rsidRPr="000512FC" w:rsidRDefault="00D70166" w:rsidP="006568BA">
      <w:pPr>
        <w:pStyle w:val="afe"/>
        <w:spacing w:before="80" w:after="80"/>
        <w:jc w:val="both"/>
        <w:rPr>
          <w:rFonts w:asciiTheme="majorHAnsi" w:hAnsiTheme="majorHAnsi"/>
          <w:sz w:val="16"/>
          <w:szCs w:val="16"/>
        </w:rPr>
      </w:pPr>
      <w:r w:rsidRPr="00514632">
        <w:rPr>
          <w:rStyle w:val="aff0"/>
          <w:rFonts w:asciiTheme="majorHAnsi" w:hAnsiTheme="majorHAnsi"/>
          <w:sz w:val="16"/>
          <w:szCs w:val="16"/>
        </w:rPr>
        <w:footnoteRef/>
      </w:r>
      <w:r w:rsidRPr="00514632">
        <w:rPr>
          <w:rFonts w:asciiTheme="majorHAnsi" w:hAnsiTheme="majorHAnsi"/>
          <w:sz w:val="16"/>
          <w:szCs w:val="16"/>
        </w:rPr>
        <w:t xml:space="preserve"> По материалам «Справочник оценщика недвижимости. Корректирующие коэффициенты для оценки земельных участков» (автор: </w:t>
      </w:r>
      <w:r w:rsidRPr="000512FC">
        <w:rPr>
          <w:rFonts w:asciiTheme="majorHAnsi" w:hAnsiTheme="majorHAnsi"/>
          <w:sz w:val="16"/>
          <w:szCs w:val="16"/>
        </w:rPr>
        <w:t xml:space="preserve">Лейфер Л.А., Приволжский центр финансового консалтинга и оценки, г.Нижний Новгород, 2014 г. Копии материалов в Приложении № </w:t>
      </w:r>
      <w:r>
        <w:rPr>
          <w:rFonts w:asciiTheme="majorHAnsi" w:hAnsiTheme="majorHAnsi"/>
          <w:sz w:val="16"/>
          <w:szCs w:val="16"/>
        </w:rPr>
        <w:t>6</w:t>
      </w:r>
      <w:r w:rsidRPr="000512FC">
        <w:rPr>
          <w:rFonts w:asciiTheme="majorHAnsi" w:hAnsiTheme="majorHAnsi"/>
          <w:sz w:val="16"/>
          <w:szCs w:val="16"/>
        </w:rPr>
        <w:t>.</w:t>
      </w:r>
    </w:p>
  </w:footnote>
  <w:footnote w:id="57">
    <w:p w:rsidR="00D70166" w:rsidRPr="00C84705" w:rsidRDefault="00D70166" w:rsidP="006A199E">
      <w:pPr>
        <w:pStyle w:val="afe"/>
        <w:spacing w:before="80" w:after="80"/>
        <w:rPr>
          <w:rFonts w:asciiTheme="majorHAnsi" w:hAnsiTheme="majorHAnsi"/>
          <w:sz w:val="16"/>
          <w:szCs w:val="16"/>
        </w:rPr>
      </w:pPr>
      <w:r w:rsidRPr="00C84705">
        <w:rPr>
          <w:rStyle w:val="aff0"/>
          <w:rFonts w:asciiTheme="majorHAnsi" w:hAnsiTheme="majorHAnsi"/>
          <w:sz w:val="16"/>
          <w:szCs w:val="16"/>
        </w:rPr>
        <w:footnoteRef/>
      </w:r>
      <w:r w:rsidRPr="00C84705">
        <w:rPr>
          <w:rFonts w:asciiTheme="majorHAnsi" w:hAnsiTheme="majorHAnsi"/>
          <w:sz w:val="16"/>
          <w:szCs w:val="16"/>
        </w:rPr>
        <w:t xml:space="preserve"> Федеральный стандарт оценки № 1, утвержден приказом Минэкономразвития России № 256 от 20.07.2007 года</w:t>
      </w:r>
    </w:p>
  </w:footnote>
  <w:footnote w:id="58">
    <w:p w:rsidR="00D70166" w:rsidRPr="006568BA" w:rsidRDefault="00D70166" w:rsidP="006568BA">
      <w:pPr>
        <w:pStyle w:val="afe"/>
        <w:spacing w:before="80" w:after="80"/>
        <w:rPr>
          <w:rFonts w:ascii="Cambria" w:hAnsi="Cambria"/>
          <w:sz w:val="16"/>
          <w:szCs w:val="16"/>
        </w:rPr>
      </w:pPr>
      <w:r w:rsidRPr="006568BA">
        <w:rPr>
          <w:rStyle w:val="aff0"/>
          <w:rFonts w:ascii="Cambria" w:hAnsi="Cambria"/>
          <w:sz w:val="16"/>
          <w:szCs w:val="16"/>
        </w:rPr>
        <w:footnoteRef/>
      </w:r>
      <w:r w:rsidRPr="006568BA">
        <w:rPr>
          <w:rFonts w:ascii="Cambria" w:hAnsi="Cambria"/>
          <w:sz w:val="16"/>
          <w:szCs w:val="16"/>
        </w:rPr>
        <w:t xml:space="preserve"> Источник информации: «Оценка стоимости недвижимости» С.В. Грибовский, 2009 год, стр. 243 и 183</w:t>
      </w:r>
    </w:p>
  </w:footnote>
  <w:footnote w:id="59">
    <w:p w:rsidR="00D70166" w:rsidRPr="006568BA" w:rsidRDefault="00D70166" w:rsidP="006568BA">
      <w:pPr>
        <w:pStyle w:val="afe"/>
        <w:spacing w:before="80" w:after="80"/>
        <w:rPr>
          <w:rFonts w:ascii="Cambria" w:hAnsi="Cambria"/>
          <w:sz w:val="16"/>
          <w:szCs w:val="16"/>
        </w:rPr>
      </w:pPr>
      <w:r w:rsidRPr="006568BA">
        <w:rPr>
          <w:rStyle w:val="aff0"/>
          <w:rFonts w:ascii="Cambria" w:hAnsi="Cambria"/>
          <w:sz w:val="16"/>
          <w:szCs w:val="16"/>
        </w:rPr>
        <w:footnoteRef/>
      </w:r>
      <w:r w:rsidRPr="006568BA">
        <w:rPr>
          <w:rFonts w:ascii="Cambria" w:hAnsi="Cambria"/>
          <w:sz w:val="16"/>
          <w:szCs w:val="16"/>
        </w:rPr>
        <w:t xml:space="preserve"> Копии соответствующих распечаток в приложении № </w:t>
      </w:r>
      <w:r>
        <w:rPr>
          <w:rFonts w:ascii="Cambria" w:hAnsi="Cambria"/>
          <w:sz w:val="16"/>
          <w:szCs w:val="16"/>
        </w:rPr>
        <w:t>5</w:t>
      </w:r>
      <w:r w:rsidRPr="006568BA">
        <w:rPr>
          <w:rFonts w:ascii="Cambria" w:hAnsi="Cambria"/>
          <w:sz w:val="16"/>
          <w:szCs w:val="16"/>
        </w:rPr>
        <w:t>.</w:t>
      </w:r>
    </w:p>
  </w:footnote>
  <w:footnote w:id="60">
    <w:p w:rsidR="00D70166" w:rsidRPr="00470126" w:rsidRDefault="00D70166" w:rsidP="006568BA">
      <w:pPr>
        <w:pStyle w:val="afe"/>
        <w:spacing w:before="80" w:after="80"/>
        <w:rPr>
          <w:rFonts w:asciiTheme="majorHAnsi" w:hAnsiTheme="majorHAnsi"/>
          <w:sz w:val="16"/>
          <w:szCs w:val="16"/>
        </w:rPr>
      </w:pPr>
      <w:r w:rsidRPr="00470126">
        <w:rPr>
          <w:rStyle w:val="aff0"/>
          <w:rFonts w:asciiTheme="majorHAnsi" w:hAnsiTheme="majorHAnsi"/>
          <w:sz w:val="16"/>
          <w:szCs w:val="16"/>
        </w:rPr>
        <w:footnoteRef/>
      </w:r>
      <w:r w:rsidRPr="00470126">
        <w:rPr>
          <w:rFonts w:asciiTheme="majorHAnsi" w:hAnsiTheme="majorHAnsi"/>
          <w:sz w:val="16"/>
          <w:szCs w:val="16"/>
        </w:rPr>
        <w:t xml:space="preserve"> По материалам «Справочник оценщика недвижимости. Корректирующие коэффициенты для сравнительного подхода» (автор: Лейфер Л.А., Приволжский центр финансового консалтинга и оцен</w:t>
      </w:r>
      <w:r>
        <w:rPr>
          <w:rFonts w:asciiTheme="majorHAnsi" w:hAnsiTheme="majorHAnsi"/>
          <w:sz w:val="16"/>
          <w:szCs w:val="16"/>
        </w:rPr>
        <w:t xml:space="preserve">ки, г.Нижний Новгород, 2014 </w:t>
      </w:r>
      <w:r w:rsidRPr="00B50B21">
        <w:rPr>
          <w:rFonts w:asciiTheme="majorHAnsi" w:hAnsiTheme="majorHAnsi"/>
          <w:sz w:val="16"/>
          <w:szCs w:val="16"/>
        </w:rPr>
        <w:t xml:space="preserve">г. </w:t>
      </w:r>
      <w:r w:rsidRPr="009E33BE">
        <w:rPr>
          <w:rFonts w:asciiTheme="majorHAnsi" w:hAnsiTheme="majorHAnsi"/>
          <w:sz w:val="16"/>
          <w:szCs w:val="16"/>
        </w:rPr>
        <w:t>Копии материалов в Приложении</w:t>
      </w:r>
      <w:r w:rsidRPr="00B50B21">
        <w:rPr>
          <w:rFonts w:asciiTheme="majorHAnsi" w:hAnsiTheme="majorHAnsi"/>
          <w:sz w:val="16"/>
          <w:szCs w:val="16"/>
        </w:rPr>
        <w:t xml:space="preserve"> №</w:t>
      </w:r>
      <w:r>
        <w:rPr>
          <w:rFonts w:asciiTheme="majorHAnsi" w:hAnsiTheme="majorHAnsi"/>
          <w:sz w:val="16"/>
          <w:szCs w:val="16"/>
        </w:rPr>
        <w:t xml:space="preserve"> 6</w:t>
      </w:r>
      <w:r w:rsidRPr="00470126">
        <w:rPr>
          <w:rFonts w:asciiTheme="majorHAnsi" w:hAnsiTheme="majorHAnsi"/>
          <w:sz w:val="16"/>
          <w:szCs w:val="16"/>
        </w:rPr>
        <w:t>.</w:t>
      </w:r>
    </w:p>
  </w:footnote>
  <w:footnote w:id="61">
    <w:p w:rsidR="00D70166" w:rsidRPr="00470126" w:rsidRDefault="00D70166" w:rsidP="006568BA">
      <w:pPr>
        <w:pStyle w:val="afe"/>
        <w:spacing w:before="80" w:after="80"/>
        <w:rPr>
          <w:rFonts w:asciiTheme="majorHAnsi" w:hAnsiTheme="majorHAnsi"/>
          <w:sz w:val="16"/>
          <w:szCs w:val="16"/>
        </w:rPr>
      </w:pPr>
      <w:r w:rsidRPr="00470126">
        <w:rPr>
          <w:rStyle w:val="aff0"/>
          <w:rFonts w:asciiTheme="majorHAnsi" w:hAnsiTheme="majorHAnsi"/>
          <w:sz w:val="16"/>
          <w:szCs w:val="16"/>
        </w:rPr>
        <w:footnoteRef/>
      </w:r>
      <w:r w:rsidRPr="00470126">
        <w:rPr>
          <w:rFonts w:asciiTheme="majorHAnsi" w:hAnsiTheme="majorHAnsi"/>
          <w:sz w:val="16"/>
          <w:szCs w:val="16"/>
        </w:rPr>
        <w:t xml:space="preserve"> По материалам «Справочник оценщика недвижимости. Корректирующие коэффициенты для сравнительного подхода» (автор: Лейфер Л.А., Приволжский центр финансового консалтинга и оценки, г.Нижний Новгород, 2014 </w:t>
      </w:r>
      <w:r>
        <w:rPr>
          <w:rFonts w:asciiTheme="majorHAnsi" w:hAnsiTheme="majorHAnsi"/>
          <w:sz w:val="16"/>
          <w:szCs w:val="16"/>
        </w:rPr>
        <w:t>г.</w:t>
      </w:r>
    </w:p>
  </w:footnote>
  <w:footnote w:id="62">
    <w:p w:rsidR="00D70166" w:rsidRPr="008569D1" w:rsidRDefault="00D70166" w:rsidP="006568BA">
      <w:pPr>
        <w:pStyle w:val="afe"/>
        <w:spacing w:before="80" w:after="80"/>
        <w:rPr>
          <w:rFonts w:ascii="Cambria" w:hAnsi="Cambria"/>
          <w:sz w:val="16"/>
          <w:szCs w:val="16"/>
        </w:rPr>
      </w:pPr>
      <w:r w:rsidRPr="008569D1">
        <w:rPr>
          <w:rStyle w:val="aff0"/>
          <w:rFonts w:ascii="Cambria" w:hAnsi="Cambria"/>
          <w:sz w:val="16"/>
          <w:szCs w:val="16"/>
        </w:rPr>
        <w:footnoteRef/>
      </w:r>
      <w:r w:rsidRPr="008569D1">
        <w:rPr>
          <w:rFonts w:ascii="Cambria" w:hAnsi="Cambria"/>
          <w:sz w:val="16"/>
          <w:szCs w:val="16"/>
        </w:rPr>
        <w:t xml:space="preserve"> </w:t>
      </w:r>
      <w:r>
        <w:rPr>
          <w:rFonts w:ascii="Cambria" w:hAnsi="Cambria"/>
          <w:sz w:val="16"/>
          <w:szCs w:val="16"/>
        </w:rPr>
        <w:t>По данным источника:</w:t>
      </w:r>
      <w:r w:rsidRPr="00953DB7">
        <w:rPr>
          <w:rFonts w:ascii="Cambria" w:hAnsi="Cambria"/>
          <w:sz w:val="16"/>
          <w:szCs w:val="16"/>
        </w:rPr>
        <w:t xml:space="preserve"> </w:t>
      </w:r>
      <w:r w:rsidRPr="00A96501">
        <w:rPr>
          <w:rFonts w:ascii="Cambria" w:hAnsi="Cambria"/>
          <w:sz w:val="16"/>
          <w:szCs w:val="16"/>
        </w:rPr>
        <w:t>"Сп</w:t>
      </w:r>
      <w:r>
        <w:rPr>
          <w:rFonts w:ascii="Cambria" w:hAnsi="Cambria"/>
          <w:sz w:val="16"/>
          <w:szCs w:val="16"/>
        </w:rPr>
        <w:t>равочник оценщика недвижимости. Том 1. Корректирующие коэффициенты для сравнительного подхода</w:t>
      </w:r>
      <w:r w:rsidRPr="00A96501">
        <w:rPr>
          <w:rFonts w:ascii="Cambria" w:hAnsi="Cambria"/>
          <w:sz w:val="16"/>
          <w:szCs w:val="16"/>
        </w:rPr>
        <w:t xml:space="preserve">"; Издание </w:t>
      </w:r>
      <w:r>
        <w:rPr>
          <w:rFonts w:ascii="Cambria" w:hAnsi="Cambria"/>
          <w:sz w:val="16"/>
          <w:szCs w:val="16"/>
        </w:rPr>
        <w:t>третье</w:t>
      </w:r>
      <w:r w:rsidRPr="00A96501">
        <w:rPr>
          <w:rFonts w:ascii="Cambria" w:hAnsi="Cambria"/>
          <w:sz w:val="16"/>
          <w:szCs w:val="16"/>
        </w:rPr>
        <w:t>, актуализированное и расширенное; Нижний Новгород, 201</w:t>
      </w:r>
      <w:r>
        <w:rPr>
          <w:rFonts w:ascii="Cambria" w:hAnsi="Cambria"/>
          <w:sz w:val="16"/>
          <w:szCs w:val="16"/>
        </w:rPr>
        <w:t>4</w:t>
      </w:r>
      <w:r w:rsidRPr="00A96501">
        <w:rPr>
          <w:rFonts w:ascii="Cambria" w:hAnsi="Cambria"/>
          <w:sz w:val="16"/>
          <w:szCs w:val="16"/>
        </w:rPr>
        <w:t>; Подготовлен Приволжским центром финансового консалтинга и оценки</w:t>
      </w:r>
      <w:r>
        <w:rPr>
          <w:rFonts w:ascii="Cambria" w:hAnsi="Cambria"/>
          <w:sz w:val="16"/>
          <w:szCs w:val="16"/>
        </w:rPr>
        <w:t>.</w:t>
      </w:r>
    </w:p>
  </w:footnote>
  <w:footnote w:id="63">
    <w:p w:rsidR="00D70166" w:rsidRPr="00484047" w:rsidRDefault="00D70166" w:rsidP="006568BA">
      <w:pPr>
        <w:pStyle w:val="afe"/>
        <w:spacing w:before="80" w:after="80"/>
        <w:rPr>
          <w:rFonts w:asciiTheme="majorHAnsi" w:hAnsiTheme="majorHAnsi"/>
          <w:sz w:val="16"/>
          <w:szCs w:val="16"/>
        </w:rPr>
      </w:pPr>
      <w:r w:rsidRPr="00484047">
        <w:rPr>
          <w:rStyle w:val="aff0"/>
          <w:rFonts w:asciiTheme="majorHAnsi" w:hAnsiTheme="majorHAnsi"/>
          <w:sz w:val="16"/>
          <w:szCs w:val="16"/>
        </w:rPr>
        <w:footnoteRef/>
      </w:r>
      <w:r w:rsidRPr="00484047">
        <w:rPr>
          <w:rFonts w:asciiTheme="majorHAnsi" w:hAnsiTheme="majorHAnsi"/>
          <w:sz w:val="16"/>
          <w:szCs w:val="16"/>
        </w:rPr>
        <w:t xml:space="preserve"> По материалам «Справочник оценщика недвижимости. Корректирующие коэффициенты для сравнительного подхода» (авторы: Лейфер Л.А., Приволжский центр финансового консалтинга и оцен</w:t>
      </w:r>
      <w:r>
        <w:rPr>
          <w:rFonts w:asciiTheme="majorHAnsi" w:hAnsiTheme="majorHAnsi"/>
          <w:sz w:val="16"/>
          <w:szCs w:val="16"/>
        </w:rPr>
        <w:t>ки, г.Нижний Новгород, 2012 г.</w:t>
      </w:r>
    </w:p>
  </w:footnote>
  <w:footnote w:id="64">
    <w:p w:rsidR="00D70166" w:rsidRPr="00B50B21" w:rsidRDefault="00D70166" w:rsidP="006A199E">
      <w:pPr>
        <w:pStyle w:val="afe"/>
        <w:spacing w:before="80" w:after="80"/>
        <w:rPr>
          <w:rFonts w:asciiTheme="majorHAnsi" w:hAnsiTheme="majorHAnsi"/>
          <w:sz w:val="16"/>
          <w:szCs w:val="16"/>
        </w:rPr>
      </w:pPr>
      <w:r w:rsidRPr="00484047">
        <w:rPr>
          <w:rStyle w:val="aff0"/>
          <w:rFonts w:asciiTheme="majorHAnsi" w:hAnsiTheme="majorHAnsi"/>
          <w:sz w:val="16"/>
          <w:szCs w:val="16"/>
        </w:rPr>
        <w:footnoteRef/>
      </w:r>
      <w:r w:rsidRPr="00484047">
        <w:rPr>
          <w:rFonts w:asciiTheme="majorHAnsi" w:hAnsiTheme="majorHAnsi"/>
          <w:sz w:val="16"/>
          <w:szCs w:val="16"/>
        </w:rPr>
        <w:t xml:space="preserve"> ФСО № 1,2,3 не устанавливает значения максимальной корректировки, при которой объект аналог не соответствует объекту оценки по </w:t>
      </w:r>
      <w:r w:rsidRPr="00B50B21">
        <w:rPr>
          <w:rFonts w:asciiTheme="majorHAnsi" w:hAnsiTheme="majorHAnsi"/>
          <w:sz w:val="16"/>
          <w:szCs w:val="16"/>
        </w:rPr>
        <w:t>своим экономическим, материальным, техническим и другим характеристикам.</w:t>
      </w:r>
    </w:p>
    <w:p w:rsidR="00D70166" w:rsidRPr="00B50B21" w:rsidRDefault="00D70166" w:rsidP="006A199E">
      <w:pPr>
        <w:pStyle w:val="afe"/>
        <w:spacing w:before="80" w:after="80"/>
        <w:rPr>
          <w:rFonts w:asciiTheme="majorHAnsi" w:hAnsiTheme="majorHAnsi"/>
          <w:sz w:val="16"/>
          <w:szCs w:val="16"/>
        </w:rPr>
      </w:pPr>
      <w:r w:rsidRPr="00B50B21">
        <w:rPr>
          <w:rFonts w:asciiTheme="majorHAnsi" w:hAnsiTheme="majorHAnsi"/>
          <w:sz w:val="16"/>
          <w:szCs w:val="16"/>
        </w:rPr>
        <w:t>Пункт 22 разд 4 ФСО № 1: «Применяя сравнительный подход оценщик должен:…скорректировать значения единиц сравнения для объектов аналогов по каждому элементу сравнения в зависимости от соотношения характеристик объекта оценки и объекта аналога по данному элементу сравнения».</w:t>
      </w:r>
    </w:p>
  </w:footnote>
  <w:footnote w:id="65">
    <w:p w:rsidR="00D70166" w:rsidRPr="00662FF2" w:rsidRDefault="00D70166" w:rsidP="006A199E">
      <w:pPr>
        <w:spacing w:before="120" w:after="120"/>
        <w:jc w:val="both"/>
        <w:rPr>
          <w:rFonts w:asciiTheme="majorHAnsi" w:hAnsiTheme="majorHAnsi"/>
          <w:sz w:val="16"/>
          <w:szCs w:val="16"/>
        </w:rPr>
      </w:pPr>
      <w:r w:rsidRPr="001A1B2D">
        <w:rPr>
          <w:rStyle w:val="aff0"/>
          <w:rFonts w:asciiTheme="majorHAnsi" w:hAnsiTheme="majorHAnsi"/>
          <w:sz w:val="18"/>
          <w:szCs w:val="18"/>
        </w:rPr>
        <w:footnoteRef/>
      </w:r>
      <w:r w:rsidRPr="001A1B2D">
        <w:rPr>
          <w:rFonts w:asciiTheme="majorHAnsi" w:hAnsiTheme="majorHAnsi"/>
          <w:sz w:val="18"/>
          <w:szCs w:val="18"/>
        </w:rPr>
        <w:t xml:space="preserve"> </w:t>
      </w:r>
      <w:r w:rsidRPr="001A1B2D">
        <w:rPr>
          <w:rFonts w:asciiTheme="majorHAnsi" w:hAnsiTheme="majorHAnsi"/>
          <w:sz w:val="16"/>
          <w:szCs w:val="16"/>
        </w:rPr>
        <w:t>ВСН 5</w:t>
      </w:r>
      <w:bookmarkStart w:id="310" w:name="OCRUncertain003"/>
      <w:r w:rsidRPr="001A1B2D">
        <w:rPr>
          <w:rFonts w:asciiTheme="majorHAnsi" w:hAnsiTheme="majorHAnsi"/>
          <w:sz w:val="16"/>
          <w:szCs w:val="16"/>
        </w:rPr>
        <w:t>8-8</w:t>
      </w:r>
      <w:bookmarkEnd w:id="310"/>
      <w:r w:rsidRPr="001A1B2D">
        <w:rPr>
          <w:rFonts w:asciiTheme="majorHAnsi" w:hAnsiTheme="majorHAnsi"/>
          <w:sz w:val="16"/>
          <w:szCs w:val="16"/>
        </w:rPr>
        <w:t xml:space="preserve">8(р) Ведомственные строительные нормы «Положение об </w:t>
      </w:r>
      <w:r w:rsidRPr="00662FF2">
        <w:rPr>
          <w:rFonts w:asciiTheme="majorHAnsi" w:hAnsiTheme="majorHAnsi"/>
          <w:sz w:val="16"/>
          <w:szCs w:val="16"/>
        </w:rPr>
        <w:t>организации и проведении реконструкции, ремонта и технического обслуживания зданий объектов коммунального и социально</w:t>
      </w:r>
      <w:bookmarkStart w:id="311" w:name="OCRUncertain005"/>
      <w:r w:rsidRPr="00662FF2">
        <w:rPr>
          <w:rFonts w:asciiTheme="majorHAnsi" w:hAnsiTheme="majorHAnsi"/>
          <w:sz w:val="16"/>
          <w:szCs w:val="16"/>
        </w:rPr>
        <w:t>-</w:t>
      </w:r>
      <w:bookmarkEnd w:id="311"/>
      <w:r w:rsidRPr="00662FF2">
        <w:rPr>
          <w:rFonts w:asciiTheme="majorHAnsi" w:hAnsiTheme="majorHAnsi"/>
          <w:sz w:val="16"/>
          <w:szCs w:val="16"/>
        </w:rPr>
        <w:t>культурного»</w:t>
      </w:r>
      <w:r w:rsidRPr="00662FF2">
        <w:rPr>
          <w:rFonts w:asciiTheme="majorHAnsi" w:hAnsiTheme="majorHAnsi"/>
          <w:sz w:val="18"/>
          <w:szCs w:val="18"/>
          <w:vertAlign w:val="superscript"/>
        </w:rPr>
        <w:t xml:space="preserve"> </w:t>
      </w:r>
      <w:r w:rsidRPr="00662FF2">
        <w:rPr>
          <w:rFonts w:asciiTheme="majorHAnsi" w:hAnsiTheme="majorHAnsi"/>
          <w:sz w:val="16"/>
          <w:szCs w:val="16"/>
        </w:rPr>
        <w:t xml:space="preserve">Источник: </w:t>
      </w:r>
      <w:hyperlink r:id="rId7" w:history="1">
        <w:r w:rsidRPr="00662FF2">
          <w:rPr>
            <w:rStyle w:val="aa"/>
            <w:rFonts w:asciiTheme="majorHAnsi" w:hAnsiTheme="majorHAnsi"/>
            <w:color w:val="auto"/>
            <w:sz w:val="16"/>
            <w:szCs w:val="16"/>
          </w:rPr>
          <w:t>http://files.stroyinf.ru/Data1/1/1877/</w:t>
        </w:r>
      </w:hyperlink>
    </w:p>
  </w:footnote>
  <w:footnote w:id="66">
    <w:p w:rsidR="00D70166" w:rsidRPr="002801D7" w:rsidRDefault="00D70166" w:rsidP="006A199E">
      <w:pPr>
        <w:pStyle w:val="afe"/>
        <w:spacing w:before="80" w:after="80"/>
        <w:rPr>
          <w:rFonts w:asciiTheme="majorHAnsi" w:hAnsiTheme="majorHAnsi"/>
          <w:sz w:val="16"/>
          <w:szCs w:val="16"/>
        </w:rPr>
      </w:pPr>
      <w:r w:rsidRPr="00B102E3">
        <w:rPr>
          <w:rStyle w:val="aff0"/>
          <w:rFonts w:asciiTheme="majorHAnsi" w:hAnsiTheme="majorHAnsi"/>
          <w:sz w:val="16"/>
          <w:szCs w:val="16"/>
        </w:rPr>
        <w:footnoteRef/>
      </w:r>
      <w:r w:rsidRPr="00B102E3">
        <w:rPr>
          <w:rFonts w:asciiTheme="majorHAnsi" w:hAnsiTheme="majorHAnsi"/>
          <w:sz w:val="16"/>
          <w:szCs w:val="16"/>
        </w:rPr>
        <w:t xml:space="preserve"> </w:t>
      </w:r>
      <w:r w:rsidRPr="00512D39">
        <w:rPr>
          <w:rFonts w:asciiTheme="majorHAnsi" w:hAnsiTheme="majorHAnsi"/>
          <w:sz w:val="16"/>
          <w:szCs w:val="16"/>
        </w:rPr>
        <w:t xml:space="preserve">По материалам «Справочник оценщика недвижимости. </w:t>
      </w:r>
      <w:r>
        <w:rPr>
          <w:rFonts w:asciiTheme="majorHAnsi" w:hAnsiTheme="majorHAnsi"/>
          <w:sz w:val="16"/>
          <w:szCs w:val="16"/>
        </w:rPr>
        <w:t>Том 2. Текущие и прогнозные характеристики рынка для доходного подхода</w:t>
      </w:r>
      <w:r w:rsidRPr="00512D39">
        <w:rPr>
          <w:rFonts w:asciiTheme="majorHAnsi" w:hAnsiTheme="majorHAnsi"/>
          <w:sz w:val="16"/>
          <w:szCs w:val="16"/>
        </w:rPr>
        <w:t>»» (авторы: Лейфер Л.А., Приволжский центр финансового консалтинга и оценки, г.Нижний Новгород, 201</w:t>
      </w:r>
      <w:r>
        <w:rPr>
          <w:rFonts w:asciiTheme="majorHAnsi" w:hAnsiTheme="majorHAnsi"/>
          <w:sz w:val="16"/>
          <w:szCs w:val="16"/>
        </w:rPr>
        <w:t>4</w:t>
      </w:r>
      <w:r w:rsidRPr="00512D39">
        <w:rPr>
          <w:rFonts w:asciiTheme="majorHAnsi" w:hAnsiTheme="majorHAnsi"/>
          <w:sz w:val="16"/>
          <w:szCs w:val="16"/>
        </w:rPr>
        <w:t xml:space="preserve"> г. </w:t>
      </w:r>
    </w:p>
  </w:footnote>
  <w:footnote w:id="67">
    <w:p w:rsidR="00D70166" w:rsidRPr="002801D7" w:rsidRDefault="00D70166" w:rsidP="006A199E">
      <w:pPr>
        <w:pStyle w:val="afe"/>
        <w:spacing w:before="80" w:after="80"/>
        <w:rPr>
          <w:rFonts w:asciiTheme="majorHAnsi" w:hAnsiTheme="majorHAnsi"/>
          <w:sz w:val="16"/>
          <w:szCs w:val="16"/>
        </w:rPr>
      </w:pPr>
      <w:r w:rsidRPr="00B102E3">
        <w:rPr>
          <w:rStyle w:val="aff0"/>
          <w:rFonts w:asciiTheme="majorHAnsi" w:hAnsiTheme="majorHAnsi"/>
          <w:sz w:val="16"/>
          <w:szCs w:val="16"/>
        </w:rPr>
        <w:footnoteRef/>
      </w:r>
      <w:r w:rsidRPr="00B102E3">
        <w:rPr>
          <w:rFonts w:asciiTheme="majorHAnsi" w:hAnsiTheme="majorHAnsi"/>
          <w:sz w:val="16"/>
          <w:szCs w:val="16"/>
        </w:rPr>
        <w:t xml:space="preserve"> </w:t>
      </w:r>
      <w:r w:rsidRPr="00512D39">
        <w:rPr>
          <w:rFonts w:asciiTheme="majorHAnsi" w:hAnsiTheme="majorHAnsi"/>
          <w:sz w:val="16"/>
          <w:szCs w:val="16"/>
        </w:rPr>
        <w:t xml:space="preserve">По материалам «Справочник оценщика недвижимости. </w:t>
      </w:r>
      <w:r>
        <w:rPr>
          <w:rFonts w:asciiTheme="majorHAnsi" w:hAnsiTheme="majorHAnsi"/>
          <w:sz w:val="16"/>
          <w:szCs w:val="16"/>
        </w:rPr>
        <w:t xml:space="preserve">Том 2. Текущие и прогнозные характеристики рынка для доходного подхода </w:t>
      </w:r>
      <w:r w:rsidRPr="00512D39">
        <w:rPr>
          <w:rFonts w:asciiTheme="majorHAnsi" w:hAnsiTheme="majorHAnsi"/>
          <w:sz w:val="16"/>
          <w:szCs w:val="16"/>
        </w:rPr>
        <w:t>»» (авторы: Лейфер Л.А., Приволжский центр финансового консалтинга и</w:t>
      </w:r>
      <w:r>
        <w:rPr>
          <w:rFonts w:asciiTheme="majorHAnsi" w:hAnsiTheme="majorHAnsi"/>
          <w:sz w:val="16"/>
          <w:szCs w:val="16"/>
        </w:rPr>
        <w:t xml:space="preserve"> оценки, г.Нижний Новгород, 2014</w:t>
      </w:r>
      <w:r w:rsidRPr="00512D39">
        <w:rPr>
          <w:rFonts w:asciiTheme="majorHAnsi" w:hAnsiTheme="majorHAnsi"/>
          <w:sz w:val="16"/>
          <w:szCs w:val="16"/>
        </w:rPr>
        <w:t xml:space="preserve"> г. Копии материалов в Приложении № </w:t>
      </w:r>
      <w:r>
        <w:rPr>
          <w:rFonts w:asciiTheme="majorHAnsi" w:hAnsiTheme="majorHAnsi"/>
          <w:sz w:val="16"/>
          <w:szCs w:val="16"/>
        </w:rPr>
        <w:t>6</w:t>
      </w:r>
    </w:p>
  </w:footnote>
  <w:footnote w:id="68">
    <w:p w:rsidR="00D70166" w:rsidRPr="00F0034B" w:rsidRDefault="00D70166" w:rsidP="006568BA">
      <w:pPr>
        <w:pStyle w:val="afe"/>
        <w:spacing w:before="80" w:after="80"/>
        <w:rPr>
          <w:rFonts w:asciiTheme="majorHAnsi" w:hAnsiTheme="majorHAnsi"/>
          <w:sz w:val="16"/>
          <w:szCs w:val="16"/>
        </w:rPr>
      </w:pPr>
      <w:r w:rsidRPr="00DB0AEE">
        <w:rPr>
          <w:rStyle w:val="aff0"/>
          <w:rFonts w:asciiTheme="majorHAnsi" w:hAnsiTheme="majorHAnsi"/>
          <w:sz w:val="16"/>
          <w:szCs w:val="16"/>
        </w:rPr>
        <w:footnoteRef/>
      </w:r>
      <w:r w:rsidRPr="00DB0AEE">
        <w:rPr>
          <w:rFonts w:asciiTheme="majorHAnsi" w:hAnsiTheme="majorHAnsi"/>
          <w:sz w:val="16"/>
          <w:szCs w:val="16"/>
        </w:rPr>
        <w:t xml:space="preserve"> Распечатки, позволяющие судить об авторстве используемой информации и дате её подготовки в Приложении № </w:t>
      </w:r>
      <w:r>
        <w:rPr>
          <w:rFonts w:asciiTheme="majorHAnsi" w:hAnsiTheme="majorHAnsi"/>
          <w:sz w:val="16"/>
          <w:szCs w:val="16"/>
        </w:rPr>
        <w:t>4</w:t>
      </w:r>
      <w:r w:rsidRPr="00DB0AEE">
        <w:rPr>
          <w:rFonts w:asciiTheme="majorHAnsi" w:hAnsiTheme="majorHAnsi"/>
          <w:sz w:val="16"/>
          <w:szCs w:val="16"/>
        </w:rPr>
        <w:t xml:space="preserve"> Отчета об оценке</w:t>
      </w:r>
    </w:p>
  </w:footnote>
  <w:footnote w:id="69">
    <w:p w:rsidR="00D70166" w:rsidRDefault="00D70166" w:rsidP="006568BA">
      <w:pPr>
        <w:pStyle w:val="afe"/>
        <w:spacing w:before="80" w:after="80"/>
        <w:jc w:val="both"/>
        <w:rPr>
          <w:rFonts w:asciiTheme="majorHAnsi" w:hAnsiTheme="majorHAnsi"/>
          <w:sz w:val="16"/>
          <w:szCs w:val="16"/>
        </w:rPr>
      </w:pPr>
      <w:r w:rsidRPr="009144BC">
        <w:rPr>
          <w:rStyle w:val="aff0"/>
          <w:rFonts w:asciiTheme="majorHAnsi" w:hAnsiTheme="majorHAnsi"/>
          <w:sz w:val="16"/>
          <w:szCs w:val="16"/>
        </w:rPr>
        <w:footnoteRef/>
      </w:r>
      <w:r w:rsidRPr="009144BC">
        <w:rPr>
          <w:rFonts w:asciiTheme="majorHAnsi" w:hAnsiTheme="majorHAnsi"/>
          <w:sz w:val="16"/>
          <w:szCs w:val="16"/>
        </w:rPr>
        <w:t xml:space="preserve"> Распечатки, позволяющие пользователю отчета судить об авторстве используемой информации в Приложении № </w:t>
      </w:r>
      <w:r>
        <w:rPr>
          <w:rFonts w:asciiTheme="majorHAnsi" w:hAnsiTheme="majorHAnsi"/>
          <w:sz w:val="16"/>
          <w:szCs w:val="16"/>
        </w:rPr>
        <w:t>4</w:t>
      </w:r>
    </w:p>
    <w:p w:rsidR="00D70166" w:rsidRPr="009144BC" w:rsidRDefault="00D70166" w:rsidP="006568BA">
      <w:pPr>
        <w:pStyle w:val="afe"/>
        <w:spacing w:before="80" w:after="80"/>
        <w:jc w:val="both"/>
        <w:rPr>
          <w:rFonts w:asciiTheme="majorHAnsi" w:hAnsiTheme="majorHAnsi"/>
          <w:sz w:val="16"/>
          <w:szCs w:val="16"/>
        </w:rPr>
      </w:pPr>
      <w:r w:rsidRPr="009144BC">
        <w:rPr>
          <w:rFonts w:asciiTheme="majorHAnsi" w:hAnsiTheme="majorHAnsi"/>
          <w:sz w:val="16"/>
          <w:szCs w:val="16"/>
        </w:rPr>
        <w:t xml:space="preserve"> Отчета об оценке</w:t>
      </w:r>
    </w:p>
  </w:footnote>
  <w:footnote w:id="70">
    <w:p w:rsidR="00D70166" w:rsidRPr="009144BC" w:rsidRDefault="00D70166" w:rsidP="006568BA">
      <w:pPr>
        <w:pStyle w:val="afe"/>
        <w:spacing w:before="80" w:after="80"/>
        <w:rPr>
          <w:sz w:val="16"/>
          <w:szCs w:val="16"/>
        </w:rPr>
      </w:pPr>
      <w:r w:rsidRPr="009144BC">
        <w:rPr>
          <w:rStyle w:val="aff0"/>
          <w:rFonts w:ascii="Cambria" w:hAnsi="Cambria"/>
          <w:sz w:val="16"/>
          <w:szCs w:val="16"/>
        </w:rPr>
        <w:footnoteRef/>
      </w:r>
      <w:r w:rsidRPr="009144BC">
        <w:rPr>
          <w:rFonts w:ascii="Cambria" w:hAnsi="Cambria"/>
          <w:sz w:val="16"/>
          <w:szCs w:val="16"/>
        </w:rPr>
        <w:t xml:space="preserve"> Шкала экспертных оценок физического состояния, «Оценка рыночной стоимости машин и оборудования», под ред. Рутгайзера В.М, М. – Издательство «Дело», 1998 год, с. 86</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4911" w:type="pct"/>
      <w:tblBorders>
        <w:bottom w:val="single" w:sz="18" w:space="0" w:color="808080"/>
        <w:insideV w:val="single" w:sz="18" w:space="0" w:color="808080"/>
      </w:tblBorders>
      <w:tblCellMar>
        <w:top w:w="72" w:type="dxa"/>
        <w:left w:w="115" w:type="dxa"/>
        <w:bottom w:w="72" w:type="dxa"/>
        <w:right w:w="115" w:type="dxa"/>
      </w:tblCellMar>
      <w:tblLook w:val="04A0"/>
    </w:tblPr>
    <w:tblGrid>
      <w:gridCol w:w="8951"/>
      <w:gridCol w:w="1298"/>
    </w:tblGrid>
    <w:tr w:rsidR="00D70166" w:rsidRPr="00265AD2" w:rsidTr="00C206F1">
      <w:trPr>
        <w:trHeight w:val="309"/>
      </w:trPr>
      <w:tc>
        <w:tcPr>
          <w:tcW w:w="9216" w:type="dxa"/>
        </w:tcPr>
        <w:p w:rsidR="00D70166" w:rsidRPr="00D97287" w:rsidRDefault="00D70166" w:rsidP="00D97287">
          <w:pPr>
            <w:pStyle w:val="a7"/>
            <w:jc w:val="center"/>
            <w:rPr>
              <w:rFonts w:asciiTheme="majorHAnsi" w:hAnsiTheme="majorHAnsi"/>
              <w:sz w:val="18"/>
              <w:szCs w:val="18"/>
            </w:rPr>
          </w:pPr>
          <w:r w:rsidRPr="00D97287">
            <w:rPr>
              <w:rFonts w:asciiTheme="majorHAnsi" w:hAnsiTheme="majorHAnsi"/>
              <w:sz w:val="18"/>
              <w:szCs w:val="18"/>
            </w:rPr>
            <w:t>«Агентство оценки собственности «ЗОЛОТОЕ ПРАВИЛО»</w:t>
          </w:r>
        </w:p>
        <w:p w:rsidR="00D70166" w:rsidRPr="00D97287" w:rsidRDefault="00D70166" w:rsidP="00D97287">
          <w:pPr>
            <w:pStyle w:val="a7"/>
            <w:jc w:val="center"/>
            <w:rPr>
              <w:rFonts w:asciiTheme="majorHAnsi" w:hAnsiTheme="majorHAnsi"/>
              <w:sz w:val="18"/>
              <w:szCs w:val="18"/>
            </w:rPr>
          </w:pPr>
          <w:r w:rsidRPr="00D97287">
            <w:rPr>
              <w:rFonts w:asciiTheme="majorHAnsi" w:hAnsiTheme="majorHAnsi"/>
              <w:sz w:val="18"/>
              <w:szCs w:val="18"/>
            </w:rPr>
            <w:t>660017, Россия, Красноярский край, г. Красноярск, ул. Бограда, д. 92, офис 207</w:t>
          </w:r>
        </w:p>
        <w:p w:rsidR="00D70166" w:rsidRPr="00390688" w:rsidRDefault="00D70166" w:rsidP="00DB0AEE">
          <w:pPr>
            <w:pStyle w:val="a7"/>
            <w:jc w:val="center"/>
            <w:rPr>
              <w:rFonts w:ascii="Cambria" w:hAnsi="Cambria"/>
              <w:sz w:val="36"/>
              <w:szCs w:val="36"/>
            </w:rPr>
          </w:pPr>
          <w:r w:rsidRPr="00D97287">
            <w:rPr>
              <w:rFonts w:asciiTheme="majorHAnsi" w:hAnsiTheme="majorHAnsi"/>
              <w:sz w:val="18"/>
              <w:szCs w:val="18"/>
            </w:rPr>
            <w:t>тел</w:t>
          </w:r>
          <w:r w:rsidRPr="00390688">
            <w:rPr>
              <w:rFonts w:asciiTheme="majorHAnsi" w:hAnsiTheme="majorHAnsi"/>
              <w:sz w:val="18"/>
              <w:szCs w:val="18"/>
            </w:rPr>
            <w:t xml:space="preserve">. (391) 292-18-46,  </w:t>
          </w:r>
          <w:r w:rsidRPr="00D97287">
            <w:rPr>
              <w:rFonts w:asciiTheme="majorHAnsi" w:hAnsiTheme="majorHAnsi"/>
              <w:sz w:val="18"/>
              <w:szCs w:val="18"/>
              <w:lang w:val="en-US"/>
            </w:rPr>
            <w:t>e</w:t>
          </w:r>
          <w:r w:rsidRPr="00390688">
            <w:rPr>
              <w:rFonts w:asciiTheme="majorHAnsi" w:hAnsiTheme="majorHAnsi"/>
              <w:sz w:val="18"/>
              <w:szCs w:val="18"/>
            </w:rPr>
            <w:t>-</w:t>
          </w:r>
          <w:r w:rsidRPr="00D97287">
            <w:rPr>
              <w:rFonts w:asciiTheme="majorHAnsi" w:hAnsiTheme="majorHAnsi"/>
              <w:sz w:val="18"/>
              <w:szCs w:val="18"/>
              <w:lang w:val="en-US"/>
            </w:rPr>
            <w:t>mail</w:t>
          </w:r>
          <w:r w:rsidRPr="00390688">
            <w:rPr>
              <w:rFonts w:asciiTheme="majorHAnsi" w:hAnsiTheme="majorHAnsi"/>
              <w:sz w:val="18"/>
              <w:szCs w:val="18"/>
            </w:rPr>
            <w:t xml:space="preserve">: </w:t>
          </w:r>
          <w:r w:rsidRPr="00D97287">
            <w:rPr>
              <w:rFonts w:asciiTheme="majorHAnsi" w:hAnsiTheme="majorHAnsi"/>
              <w:sz w:val="18"/>
              <w:szCs w:val="18"/>
              <w:lang w:val="en-US"/>
            </w:rPr>
            <w:t>ozolotaryov</w:t>
          </w:r>
          <w:r w:rsidRPr="00390688">
            <w:rPr>
              <w:rFonts w:asciiTheme="majorHAnsi" w:hAnsiTheme="majorHAnsi"/>
              <w:sz w:val="18"/>
              <w:szCs w:val="18"/>
            </w:rPr>
            <w:t>@</w:t>
          </w:r>
          <w:r w:rsidRPr="00D97287">
            <w:rPr>
              <w:rFonts w:asciiTheme="majorHAnsi" w:hAnsiTheme="majorHAnsi"/>
              <w:sz w:val="18"/>
              <w:szCs w:val="18"/>
              <w:lang w:val="en-US"/>
            </w:rPr>
            <w:t>yandex</w:t>
          </w:r>
          <w:r w:rsidRPr="00390688">
            <w:rPr>
              <w:rFonts w:asciiTheme="majorHAnsi" w:hAnsiTheme="majorHAnsi"/>
              <w:sz w:val="18"/>
              <w:szCs w:val="18"/>
            </w:rPr>
            <w:t>.</w:t>
          </w:r>
          <w:r w:rsidRPr="00D97287">
            <w:rPr>
              <w:rFonts w:asciiTheme="majorHAnsi" w:hAnsiTheme="majorHAnsi"/>
              <w:sz w:val="18"/>
              <w:szCs w:val="18"/>
              <w:lang w:val="en-US"/>
            </w:rPr>
            <w:t>ru</w:t>
          </w:r>
        </w:p>
      </w:tc>
      <w:tc>
        <w:tcPr>
          <w:tcW w:w="1312" w:type="dxa"/>
          <w:vAlign w:val="center"/>
        </w:tcPr>
        <w:p w:rsidR="00D70166" w:rsidRPr="00207B66" w:rsidRDefault="00D70166" w:rsidP="00D97287">
          <w:pPr>
            <w:pStyle w:val="a7"/>
            <w:jc w:val="center"/>
            <w:rPr>
              <w:rFonts w:asciiTheme="majorHAnsi" w:hAnsiTheme="majorHAnsi"/>
              <w:bCs/>
              <w:sz w:val="32"/>
              <w:szCs w:val="32"/>
            </w:rPr>
          </w:pPr>
          <w:r>
            <w:rPr>
              <w:rFonts w:asciiTheme="majorHAnsi" w:hAnsiTheme="majorHAnsi"/>
              <w:bCs/>
              <w:sz w:val="32"/>
              <w:szCs w:val="32"/>
            </w:rPr>
            <w:t>2016</w:t>
          </w:r>
        </w:p>
      </w:tc>
    </w:tr>
  </w:tbl>
  <w:p w:rsidR="00D70166" w:rsidRPr="00490A50" w:rsidRDefault="00D70166" w:rsidP="00490A50">
    <w:pPr>
      <w:pStyle w:val="a7"/>
      <w:rPr>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C2584"/>
    <w:multiLevelType w:val="hybridMultilevel"/>
    <w:tmpl w:val="7D640336"/>
    <w:lvl w:ilvl="0" w:tplc="935E0EAA">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36C7E0D"/>
    <w:multiLevelType w:val="hybridMultilevel"/>
    <w:tmpl w:val="6D8856FA"/>
    <w:lvl w:ilvl="0" w:tplc="F33858D2">
      <w:start w:val="1"/>
      <w:numFmt w:val="bullet"/>
      <w:lvlText w:val=""/>
      <w:lvlJc w:val="left"/>
      <w:pPr>
        <w:ind w:left="1069" w:hanging="360"/>
      </w:pPr>
      <w:rPr>
        <w:rFonts w:ascii="Wingdings" w:hAnsi="Wingdings" w:hint="default"/>
      </w:rPr>
    </w:lvl>
    <w:lvl w:ilvl="1" w:tplc="04190003">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06686D69"/>
    <w:multiLevelType w:val="hybridMultilevel"/>
    <w:tmpl w:val="402A1B06"/>
    <w:lvl w:ilvl="0" w:tplc="F33858D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7C42559"/>
    <w:multiLevelType w:val="hybridMultilevel"/>
    <w:tmpl w:val="66FE8806"/>
    <w:lvl w:ilvl="0" w:tplc="0419000F">
      <w:start w:val="1"/>
      <w:numFmt w:val="decimal"/>
      <w:lvlText w:val="%1."/>
      <w:lvlJc w:val="left"/>
      <w:pPr>
        <w:ind w:left="1259" w:hanging="360"/>
      </w:pPr>
    </w:lvl>
    <w:lvl w:ilvl="1" w:tplc="04190019">
      <w:start w:val="1"/>
      <w:numFmt w:val="lowerLetter"/>
      <w:lvlText w:val="%2."/>
      <w:lvlJc w:val="left"/>
      <w:pPr>
        <w:ind w:left="1979" w:hanging="360"/>
      </w:pPr>
    </w:lvl>
    <w:lvl w:ilvl="2" w:tplc="0419001B" w:tentative="1">
      <w:start w:val="1"/>
      <w:numFmt w:val="lowerRoman"/>
      <w:lvlText w:val="%3."/>
      <w:lvlJc w:val="right"/>
      <w:pPr>
        <w:ind w:left="2699" w:hanging="180"/>
      </w:pPr>
    </w:lvl>
    <w:lvl w:ilvl="3" w:tplc="0419000F" w:tentative="1">
      <w:start w:val="1"/>
      <w:numFmt w:val="decimal"/>
      <w:lvlText w:val="%4."/>
      <w:lvlJc w:val="left"/>
      <w:pPr>
        <w:ind w:left="3419" w:hanging="360"/>
      </w:pPr>
    </w:lvl>
    <w:lvl w:ilvl="4" w:tplc="04190019" w:tentative="1">
      <w:start w:val="1"/>
      <w:numFmt w:val="lowerLetter"/>
      <w:lvlText w:val="%5."/>
      <w:lvlJc w:val="left"/>
      <w:pPr>
        <w:ind w:left="4139" w:hanging="360"/>
      </w:pPr>
    </w:lvl>
    <w:lvl w:ilvl="5" w:tplc="0419001B" w:tentative="1">
      <w:start w:val="1"/>
      <w:numFmt w:val="lowerRoman"/>
      <w:lvlText w:val="%6."/>
      <w:lvlJc w:val="right"/>
      <w:pPr>
        <w:ind w:left="4859" w:hanging="180"/>
      </w:pPr>
    </w:lvl>
    <w:lvl w:ilvl="6" w:tplc="0419000F" w:tentative="1">
      <w:start w:val="1"/>
      <w:numFmt w:val="decimal"/>
      <w:lvlText w:val="%7."/>
      <w:lvlJc w:val="left"/>
      <w:pPr>
        <w:ind w:left="5579" w:hanging="360"/>
      </w:pPr>
    </w:lvl>
    <w:lvl w:ilvl="7" w:tplc="04190019" w:tentative="1">
      <w:start w:val="1"/>
      <w:numFmt w:val="lowerLetter"/>
      <w:lvlText w:val="%8."/>
      <w:lvlJc w:val="left"/>
      <w:pPr>
        <w:ind w:left="6299" w:hanging="360"/>
      </w:pPr>
    </w:lvl>
    <w:lvl w:ilvl="8" w:tplc="0419001B" w:tentative="1">
      <w:start w:val="1"/>
      <w:numFmt w:val="lowerRoman"/>
      <w:lvlText w:val="%9."/>
      <w:lvlJc w:val="right"/>
      <w:pPr>
        <w:ind w:left="7019" w:hanging="180"/>
      </w:pPr>
    </w:lvl>
  </w:abstractNum>
  <w:abstractNum w:abstractNumId="4">
    <w:nsid w:val="07F50143"/>
    <w:multiLevelType w:val="hybridMultilevel"/>
    <w:tmpl w:val="091CF188"/>
    <w:lvl w:ilvl="0" w:tplc="F33858D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88E6363"/>
    <w:multiLevelType w:val="hybridMultilevel"/>
    <w:tmpl w:val="4D4E28C4"/>
    <w:lvl w:ilvl="0" w:tplc="47E47714">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89F773A"/>
    <w:multiLevelType w:val="hybridMultilevel"/>
    <w:tmpl w:val="5FBC097E"/>
    <w:lvl w:ilvl="0" w:tplc="F33858D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9B10360"/>
    <w:multiLevelType w:val="multilevel"/>
    <w:tmpl w:val="44886192"/>
    <w:lvl w:ilvl="0">
      <w:start w:val="1"/>
      <w:numFmt w:val="decimal"/>
      <w:lvlText w:val="%1."/>
      <w:lvlJc w:val="left"/>
      <w:pPr>
        <w:ind w:left="1069" w:hanging="360"/>
      </w:pPr>
      <w:rPr>
        <w:rFonts w:hint="default"/>
      </w:rPr>
    </w:lvl>
    <w:lvl w:ilvl="1">
      <w:start w:val="5"/>
      <w:numFmt w:val="decimal"/>
      <w:isLgl/>
      <w:lvlText w:val="%1.%2."/>
      <w:lvlJc w:val="left"/>
      <w:pPr>
        <w:ind w:left="1579" w:hanging="870"/>
      </w:pPr>
      <w:rPr>
        <w:rFonts w:eastAsia="Times New Roman" w:hint="default"/>
        <w:b/>
      </w:rPr>
    </w:lvl>
    <w:lvl w:ilvl="2">
      <w:start w:val="1"/>
      <w:numFmt w:val="decimal"/>
      <w:isLgl/>
      <w:lvlText w:val="%1.%2.%3."/>
      <w:lvlJc w:val="left"/>
      <w:pPr>
        <w:ind w:left="1579" w:hanging="870"/>
      </w:pPr>
      <w:rPr>
        <w:rFonts w:eastAsia="Times New Roman" w:hint="default"/>
        <w:b/>
      </w:rPr>
    </w:lvl>
    <w:lvl w:ilvl="3">
      <w:start w:val="2"/>
      <w:numFmt w:val="decimal"/>
      <w:isLgl/>
      <w:lvlText w:val="%1.%2.%3.%4."/>
      <w:lvlJc w:val="left"/>
      <w:pPr>
        <w:ind w:left="1789" w:hanging="1080"/>
      </w:pPr>
      <w:rPr>
        <w:rFonts w:eastAsia="Times New Roman" w:hint="default"/>
        <w:b/>
      </w:rPr>
    </w:lvl>
    <w:lvl w:ilvl="4">
      <w:start w:val="1"/>
      <w:numFmt w:val="decimal"/>
      <w:isLgl/>
      <w:lvlText w:val="%1.%2.%3.%4.%5."/>
      <w:lvlJc w:val="left"/>
      <w:pPr>
        <w:ind w:left="1789" w:hanging="1080"/>
      </w:pPr>
      <w:rPr>
        <w:rFonts w:eastAsia="Times New Roman" w:hint="default"/>
        <w:b/>
      </w:rPr>
    </w:lvl>
    <w:lvl w:ilvl="5">
      <w:start w:val="1"/>
      <w:numFmt w:val="decimal"/>
      <w:isLgl/>
      <w:lvlText w:val="%1.%2.%3.%4.%5.%6."/>
      <w:lvlJc w:val="left"/>
      <w:pPr>
        <w:ind w:left="2149" w:hanging="1440"/>
      </w:pPr>
      <w:rPr>
        <w:rFonts w:eastAsia="Times New Roman" w:hint="default"/>
        <w:b/>
      </w:rPr>
    </w:lvl>
    <w:lvl w:ilvl="6">
      <w:start w:val="1"/>
      <w:numFmt w:val="decimal"/>
      <w:isLgl/>
      <w:lvlText w:val="%1.%2.%3.%4.%5.%6.%7."/>
      <w:lvlJc w:val="left"/>
      <w:pPr>
        <w:ind w:left="2149" w:hanging="1440"/>
      </w:pPr>
      <w:rPr>
        <w:rFonts w:eastAsia="Times New Roman" w:hint="default"/>
        <w:b/>
      </w:rPr>
    </w:lvl>
    <w:lvl w:ilvl="7">
      <w:start w:val="1"/>
      <w:numFmt w:val="decimal"/>
      <w:isLgl/>
      <w:lvlText w:val="%1.%2.%3.%4.%5.%6.%7.%8."/>
      <w:lvlJc w:val="left"/>
      <w:pPr>
        <w:ind w:left="2509" w:hanging="1800"/>
      </w:pPr>
      <w:rPr>
        <w:rFonts w:eastAsia="Times New Roman" w:hint="default"/>
        <w:b/>
      </w:rPr>
    </w:lvl>
    <w:lvl w:ilvl="8">
      <w:start w:val="1"/>
      <w:numFmt w:val="decimal"/>
      <w:isLgl/>
      <w:lvlText w:val="%1.%2.%3.%4.%5.%6.%7.%8.%9."/>
      <w:lvlJc w:val="left"/>
      <w:pPr>
        <w:ind w:left="2509" w:hanging="1800"/>
      </w:pPr>
      <w:rPr>
        <w:rFonts w:eastAsia="Times New Roman" w:hint="default"/>
        <w:b/>
      </w:rPr>
    </w:lvl>
  </w:abstractNum>
  <w:abstractNum w:abstractNumId="8">
    <w:nsid w:val="0B09133E"/>
    <w:multiLevelType w:val="hybridMultilevel"/>
    <w:tmpl w:val="A5AAE3CA"/>
    <w:lvl w:ilvl="0" w:tplc="F33858D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B43464D"/>
    <w:multiLevelType w:val="hybridMultilevel"/>
    <w:tmpl w:val="8EB08D5A"/>
    <w:lvl w:ilvl="0" w:tplc="F33858D2">
      <w:start w:val="1"/>
      <w:numFmt w:val="bullet"/>
      <w:lvlText w:val=""/>
      <w:lvlJc w:val="left"/>
      <w:pPr>
        <w:ind w:left="720" w:hanging="360"/>
      </w:pPr>
      <w:rPr>
        <w:rFonts w:ascii="Wingdings" w:hAnsi="Wingdings" w:hint="default"/>
      </w:rPr>
    </w:lvl>
    <w:lvl w:ilvl="1" w:tplc="F33858D2">
      <w:start w:val="1"/>
      <w:numFmt w:val="bullet"/>
      <w:lvlText w:val=""/>
      <w:lvlJc w:val="left"/>
      <w:pPr>
        <w:ind w:left="1440" w:hanging="360"/>
      </w:pPr>
      <w:rPr>
        <w:rFonts w:ascii="Wingdings" w:hAnsi="Wingdings"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nsid w:val="0CBD4DE6"/>
    <w:multiLevelType w:val="hybridMultilevel"/>
    <w:tmpl w:val="518E1808"/>
    <w:lvl w:ilvl="0" w:tplc="F33858D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0E020667"/>
    <w:multiLevelType w:val="multilevel"/>
    <w:tmpl w:val="E00A5CC2"/>
    <w:lvl w:ilvl="0">
      <w:start w:val="1"/>
      <w:numFmt w:val="decimal"/>
      <w:lvlText w:val="%1."/>
      <w:lvlJc w:val="left"/>
      <w:pPr>
        <w:ind w:left="1069"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2">
    <w:nsid w:val="10F41B7C"/>
    <w:multiLevelType w:val="hybridMultilevel"/>
    <w:tmpl w:val="8BA48964"/>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25E4DCF"/>
    <w:multiLevelType w:val="hybridMultilevel"/>
    <w:tmpl w:val="8A72BDF2"/>
    <w:lvl w:ilvl="0" w:tplc="F33858D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4164823"/>
    <w:multiLevelType w:val="hybridMultilevel"/>
    <w:tmpl w:val="5164D128"/>
    <w:lvl w:ilvl="0" w:tplc="F33858D2">
      <w:start w:val="1"/>
      <w:numFmt w:val="bullet"/>
      <w:lvlText w:val=""/>
      <w:lvlJc w:val="left"/>
      <w:pPr>
        <w:ind w:left="1146" w:hanging="360"/>
      </w:pPr>
      <w:rPr>
        <w:rFonts w:ascii="Wingdings" w:hAnsi="Wingding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5">
    <w:nsid w:val="182C0A9F"/>
    <w:multiLevelType w:val="hybridMultilevel"/>
    <w:tmpl w:val="5E3809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B716197"/>
    <w:multiLevelType w:val="hybridMultilevel"/>
    <w:tmpl w:val="426ECADE"/>
    <w:lvl w:ilvl="0" w:tplc="04190003">
      <w:start w:val="1"/>
      <w:numFmt w:val="bullet"/>
      <w:lvlText w:val="o"/>
      <w:lvlJc w:val="left"/>
      <w:pPr>
        <w:ind w:left="900" w:hanging="360"/>
      </w:pPr>
      <w:rPr>
        <w:rFonts w:ascii="Courier New" w:hAnsi="Courier New" w:cs="Courier New"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nsid w:val="1C220337"/>
    <w:multiLevelType w:val="hybridMultilevel"/>
    <w:tmpl w:val="F836B3EE"/>
    <w:lvl w:ilvl="0" w:tplc="F33858D2">
      <w:start w:val="1"/>
      <w:numFmt w:val="bullet"/>
      <w:lvlText w:val=""/>
      <w:lvlJc w:val="left"/>
      <w:pPr>
        <w:ind w:left="1422" w:hanging="360"/>
      </w:pPr>
      <w:rPr>
        <w:rFonts w:ascii="Wingdings" w:hAnsi="Wingdings" w:hint="default"/>
      </w:rPr>
    </w:lvl>
    <w:lvl w:ilvl="1" w:tplc="04190003" w:tentative="1">
      <w:start w:val="1"/>
      <w:numFmt w:val="bullet"/>
      <w:lvlText w:val="o"/>
      <w:lvlJc w:val="left"/>
      <w:pPr>
        <w:ind w:left="2142" w:hanging="360"/>
      </w:pPr>
      <w:rPr>
        <w:rFonts w:ascii="Courier New" w:hAnsi="Courier New" w:cs="Courier New" w:hint="default"/>
      </w:rPr>
    </w:lvl>
    <w:lvl w:ilvl="2" w:tplc="04190005" w:tentative="1">
      <w:start w:val="1"/>
      <w:numFmt w:val="bullet"/>
      <w:lvlText w:val=""/>
      <w:lvlJc w:val="left"/>
      <w:pPr>
        <w:ind w:left="2862" w:hanging="360"/>
      </w:pPr>
      <w:rPr>
        <w:rFonts w:ascii="Wingdings" w:hAnsi="Wingdings" w:hint="default"/>
      </w:rPr>
    </w:lvl>
    <w:lvl w:ilvl="3" w:tplc="04190001" w:tentative="1">
      <w:start w:val="1"/>
      <w:numFmt w:val="bullet"/>
      <w:lvlText w:val=""/>
      <w:lvlJc w:val="left"/>
      <w:pPr>
        <w:ind w:left="3582" w:hanging="360"/>
      </w:pPr>
      <w:rPr>
        <w:rFonts w:ascii="Symbol" w:hAnsi="Symbol" w:hint="default"/>
      </w:rPr>
    </w:lvl>
    <w:lvl w:ilvl="4" w:tplc="04190003" w:tentative="1">
      <w:start w:val="1"/>
      <w:numFmt w:val="bullet"/>
      <w:lvlText w:val="o"/>
      <w:lvlJc w:val="left"/>
      <w:pPr>
        <w:ind w:left="4302" w:hanging="360"/>
      </w:pPr>
      <w:rPr>
        <w:rFonts w:ascii="Courier New" w:hAnsi="Courier New" w:cs="Courier New" w:hint="default"/>
      </w:rPr>
    </w:lvl>
    <w:lvl w:ilvl="5" w:tplc="04190005" w:tentative="1">
      <w:start w:val="1"/>
      <w:numFmt w:val="bullet"/>
      <w:lvlText w:val=""/>
      <w:lvlJc w:val="left"/>
      <w:pPr>
        <w:ind w:left="5022" w:hanging="360"/>
      </w:pPr>
      <w:rPr>
        <w:rFonts w:ascii="Wingdings" w:hAnsi="Wingdings" w:hint="default"/>
      </w:rPr>
    </w:lvl>
    <w:lvl w:ilvl="6" w:tplc="04190001" w:tentative="1">
      <w:start w:val="1"/>
      <w:numFmt w:val="bullet"/>
      <w:lvlText w:val=""/>
      <w:lvlJc w:val="left"/>
      <w:pPr>
        <w:ind w:left="5742" w:hanging="360"/>
      </w:pPr>
      <w:rPr>
        <w:rFonts w:ascii="Symbol" w:hAnsi="Symbol" w:hint="default"/>
      </w:rPr>
    </w:lvl>
    <w:lvl w:ilvl="7" w:tplc="04190003" w:tentative="1">
      <w:start w:val="1"/>
      <w:numFmt w:val="bullet"/>
      <w:lvlText w:val="o"/>
      <w:lvlJc w:val="left"/>
      <w:pPr>
        <w:ind w:left="6462" w:hanging="360"/>
      </w:pPr>
      <w:rPr>
        <w:rFonts w:ascii="Courier New" w:hAnsi="Courier New" w:cs="Courier New" w:hint="default"/>
      </w:rPr>
    </w:lvl>
    <w:lvl w:ilvl="8" w:tplc="04190005" w:tentative="1">
      <w:start w:val="1"/>
      <w:numFmt w:val="bullet"/>
      <w:lvlText w:val=""/>
      <w:lvlJc w:val="left"/>
      <w:pPr>
        <w:ind w:left="7182" w:hanging="360"/>
      </w:pPr>
      <w:rPr>
        <w:rFonts w:ascii="Wingdings" w:hAnsi="Wingdings" w:hint="default"/>
      </w:rPr>
    </w:lvl>
  </w:abstractNum>
  <w:abstractNum w:abstractNumId="18">
    <w:nsid w:val="1E071865"/>
    <w:multiLevelType w:val="hybridMultilevel"/>
    <w:tmpl w:val="1E5E6568"/>
    <w:lvl w:ilvl="0" w:tplc="29CCF950">
      <w:start w:val="1"/>
      <w:numFmt w:val="decimal"/>
      <w:lvlText w:val="%1."/>
      <w:lvlJc w:val="left"/>
      <w:pPr>
        <w:ind w:left="720" w:hanging="360"/>
      </w:pPr>
      <w:rPr>
        <w:rFonts w:ascii="Bookman Old Style" w:hAnsi="Bookman Old Style" w:hint="default"/>
        <w:sz w:val="20"/>
        <w:szCs w:val="20"/>
      </w:rPr>
    </w:lvl>
    <w:lvl w:ilvl="1" w:tplc="D81069C8">
      <w:start w:val="1"/>
      <w:numFmt w:val="lowerLetter"/>
      <w:lvlText w:val="%2."/>
      <w:lvlJc w:val="left"/>
      <w:pPr>
        <w:ind w:left="1440" w:hanging="360"/>
      </w:pPr>
      <w:rPr>
        <w:rFonts w:ascii="Bookman Old Style" w:hAnsi="Bookman Old Style" w:hint="default"/>
        <w:sz w:val="20"/>
        <w:szCs w:val="20"/>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214112C"/>
    <w:multiLevelType w:val="hybridMultilevel"/>
    <w:tmpl w:val="F0F8F6A2"/>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26D04341"/>
    <w:multiLevelType w:val="hybridMultilevel"/>
    <w:tmpl w:val="C51A2E24"/>
    <w:lvl w:ilvl="0" w:tplc="F33858D2">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nsid w:val="28806458"/>
    <w:multiLevelType w:val="hybridMultilevel"/>
    <w:tmpl w:val="A4F010A8"/>
    <w:lvl w:ilvl="0" w:tplc="F33858D2">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2">
    <w:nsid w:val="2E40191E"/>
    <w:multiLevelType w:val="hybridMultilevel"/>
    <w:tmpl w:val="BFF23FC4"/>
    <w:lvl w:ilvl="0" w:tplc="F33858D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2E91249C"/>
    <w:multiLevelType w:val="hybridMultilevel"/>
    <w:tmpl w:val="E95049C0"/>
    <w:lvl w:ilvl="0" w:tplc="A1EE96EE">
      <w:start w:val="1"/>
      <w:numFmt w:val="bullet"/>
      <w:pStyle w:val="a"/>
      <w:lvlText w:val=""/>
      <w:lvlJc w:val="left"/>
      <w:pPr>
        <w:ind w:left="1069" w:hanging="360"/>
      </w:pPr>
      <w:rPr>
        <w:rFonts w:ascii="Wingdings" w:hAnsi="Wingdings"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4">
    <w:nsid w:val="30DF25F5"/>
    <w:multiLevelType w:val="hybridMultilevel"/>
    <w:tmpl w:val="8D3224DA"/>
    <w:lvl w:ilvl="0" w:tplc="F33858D2">
      <w:start w:val="1"/>
      <w:numFmt w:val="bullet"/>
      <w:lvlText w:val=""/>
      <w:lvlJc w:val="left"/>
      <w:pPr>
        <w:ind w:left="720" w:hanging="360"/>
      </w:pPr>
      <w:rPr>
        <w:rFonts w:ascii="Wingdings" w:hAnsi="Wingdings" w:hint="default"/>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314F61FB"/>
    <w:multiLevelType w:val="hybridMultilevel"/>
    <w:tmpl w:val="6148A202"/>
    <w:lvl w:ilvl="0" w:tplc="F33858D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319B447A"/>
    <w:multiLevelType w:val="hybridMultilevel"/>
    <w:tmpl w:val="5B74E8BC"/>
    <w:lvl w:ilvl="0" w:tplc="F33858D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31C04A94"/>
    <w:multiLevelType w:val="hybridMultilevel"/>
    <w:tmpl w:val="ABAC7998"/>
    <w:lvl w:ilvl="0" w:tplc="0224664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331B4C01"/>
    <w:multiLevelType w:val="hybridMultilevel"/>
    <w:tmpl w:val="BBCC1D54"/>
    <w:lvl w:ilvl="0" w:tplc="F33858D2">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35EF5B7D"/>
    <w:multiLevelType w:val="hybridMultilevel"/>
    <w:tmpl w:val="15ACBAAC"/>
    <w:lvl w:ilvl="0" w:tplc="F33858D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3885109E"/>
    <w:multiLevelType w:val="hybridMultilevel"/>
    <w:tmpl w:val="6CA682B0"/>
    <w:lvl w:ilvl="0" w:tplc="F33858D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39342F94"/>
    <w:multiLevelType w:val="hybridMultilevel"/>
    <w:tmpl w:val="1DBE5578"/>
    <w:lvl w:ilvl="0" w:tplc="F33858D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39C73947"/>
    <w:multiLevelType w:val="hybridMultilevel"/>
    <w:tmpl w:val="3D2E56B2"/>
    <w:lvl w:ilvl="0" w:tplc="F33858D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3BC36BE0"/>
    <w:multiLevelType w:val="hybridMultilevel"/>
    <w:tmpl w:val="F48095F0"/>
    <w:lvl w:ilvl="0" w:tplc="F33858D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40E1494E"/>
    <w:multiLevelType w:val="hybridMultilevel"/>
    <w:tmpl w:val="E8C8FD6E"/>
    <w:lvl w:ilvl="0" w:tplc="7FC65834">
      <w:start w:val="1"/>
      <w:numFmt w:val="decimal"/>
      <w:lvlText w:val="%1."/>
      <w:lvlJc w:val="left"/>
      <w:pPr>
        <w:ind w:left="1353"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419532E0"/>
    <w:multiLevelType w:val="hybridMultilevel"/>
    <w:tmpl w:val="D9005C82"/>
    <w:lvl w:ilvl="0" w:tplc="F33858D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41A17DCC"/>
    <w:multiLevelType w:val="hybridMultilevel"/>
    <w:tmpl w:val="9190B42A"/>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471F451D"/>
    <w:multiLevelType w:val="hybridMultilevel"/>
    <w:tmpl w:val="59021274"/>
    <w:lvl w:ilvl="0" w:tplc="F33858D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47443812"/>
    <w:multiLevelType w:val="hybridMultilevel"/>
    <w:tmpl w:val="B54471A0"/>
    <w:lvl w:ilvl="0" w:tplc="F33858D2">
      <w:start w:val="1"/>
      <w:numFmt w:val="bullet"/>
      <w:lvlText w:val=""/>
      <w:lvlJc w:val="left"/>
      <w:pPr>
        <w:ind w:left="720" w:hanging="360"/>
      </w:pPr>
      <w:rPr>
        <w:rFonts w:ascii="Wingdings" w:hAnsi="Wingdings" w:hint="default"/>
      </w:rPr>
    </w:lvl>
    <w:lvl w:ilvl="1" w:tplc="F33858D2">
      <w:start w:val="1"/>
      <w:numFmt w:val="bullet"/>
      <w:lvlText w:val=""/>
      <w:lvlJc w:val="left"/>
      <w:pPr>
        <w:ind w:left="1440" w:hanging="360"/>
      </w:pPr>
      <w:rPr>
        <w:rFonts w:ascii="Wingdings" w:hAnsi="Wingdings" w:hint="default"/>
        <w:sz w:val="20"/>
        <w:szCs w:val="20"/>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9">
    <w:nsid w:val="48051E9A"/>
    <w:multiLevelType w:val="hybridMultilevel"/>
    <w:tmpl w:val="E2D6EC30"/>
    <w:lvl w:ilvl="0" w:tplc="F33858D2">
      <w:start w:val="1"/>
      <w:numFmt w:val="bullet"/>
      <w:lvlText w:val=""/>
      <w:lvlJc w:val="left"/>
      <w:pPr>
        <w:tabs>
          <w:tab w:val="num" w:pos="284"/>
        </w:tabs>
        <w:ind w:left="284" w:hanging="284"/>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nsid w:val="4B35770E"/>
    <w:multiLevelType w:val="hybridMultilevel"/>
    <w:tmpl w:val="138A1B3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4EC35506"/>
    <w:multiLevelType w:val="hybridMultilevel"/>
    <w:tmpl w:val="09149770"/>
    <w:lvl w:ilvl="0" w:tplc="0428D5E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nsid w:val="4FC4573D"/>
    <w:multiLevelType w:val="hybridMultilevel"/>
    <w:tmpl w:val="8D66EF22"/>
    <w:lvl w:ilvl="0" w:tplc="F33858D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508254C2"/>
    <w:multiLevelType w:val="hybridMultilevel"/>
    <w:tmpl w:val="C93474F8"/>
    <w:lvl w:ilvl="0" w:tplc="F33858D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5390119B"/>
    <w:multiLevelType w:val="hybridMultilevel"/>
    <w:tmpl w:val="10EED752"/>
    <w:lvl w:ilvl="0" w:tplc="97DEC16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5">
    <w:nsid w:val="570B7D68"/>
    <w:multiLevelType w:val="hybridMultilevel"/>
    <w:tmpl w:val="DEA4F9B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5B441BC7"/>
    <w:multiLevelType w:val="hybridMultilevel"/>
    <w:tmpl w:val="C60683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5BD541CA"/>
    <w:multiLevelType w:val="hybridMultilevel"/>
    <w:tmpl w:val="AF2E02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64E27EAA"/>
    <w:multiLevelType w:val="hybridMultilevel"/>
    <w:tmpl w:val="968E5096"/>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nsid w:val="6C2F1BE9"/>
    <w:multiLevelType w:val="hybridMultilevel"/>
    <w:tmpl w:val="0F0A34FA"/>
    <w:lvl w:ilvl="0" w:tplc="F33858D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6CBC28D5"/>
    <w:multiLevelType w:val="hybridMultilevel"/>
    <w:tmpl w:val="4C9E982C"/>
    <w:lvl w:ilvl="0" w:tplc="F33858D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6D536108"/>
    <w:multiLevelType w:val="hybridMultilevel"/>
    <w:tmpl w:val="74347E92"/>
    <w:lvl w:ilvl="0" w:tplc="F33858D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6F6B21DC"/>
    <w:multiLevelType w:val="hybridMultilevel"/>
    <w:tmpl w:val="E7065D40"/>
    <w:lvl w:ilvl="0" w:tplc="F33858D2">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3">
    <w:nsid w:val="6FB827B2"/>
    <w:multiLevelType w:val="hybridMultilevel"/>
    <w:tmpl w:val="377862DE"/>
    <w:lvl w:ilvl="0" w:tplc="F33858D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70D90F4F"/>
    <w:multiLevelType w:val="hybridMultilevel"/>
    <w:tmpl w:val="9EEC4BF4"/>
    <w:lvl w:ilvl="0" w:tplc="0419000F">
      <w:start w:val="1"/>
      <w:numFmt w:val="decimal"/>
      <w:lvlText w:val="%1."/>
      <w:lvlJc w:val="left"/>
      <w:pPr>
        <w:tabs>
          <w:tab w:val="num" w:pos="1004"/>
        </w:tabs>
        <w:ind w:left="1004" w:hanging="360"/>
      </w:pPr>
    </w:lvl>
    <w:lvl w:ilvl="1" w:tplc="04190019">
      <w:start w:val="1"/>
      <w:numFmt w:val="lowerLetter"/>
      <w:lvlText w:val="%2."/>
      <w:lvlJc w:val="left"/>
      <w:pPr>
        <w:tabs>
          <w:tab w:val="num" w:pos="1724"/>
        </w:tabs>
        <w:ind w:left="1724" w:hanging="360"/>
      </w:pPr>
    </w:lvl>
    <w:lvl w:ilvl="2" w:tplc="0419001B">
      <w:start w:val="1"/>
      <w:numFmt w:val="lowerRoman"/>
      <w:lvlText w:val="%3."/>
      <w:lvlJc w:val="right"/>
      <w:pPr>
        <w:tabs>
          <w:tab w:val="num" w:pos="2444"/>
        </w:tabs>
        <w:ind w:left="2444" w:hanging="180"/>
      </w:pPr>
    </w:lvl>
    <w:lvl w:ilvl="3" w:tplc="0419000F">
      <w:start w:val="1"/>
      <w:numFmt w:val="decimal"/>
      <w:lvlText w:val="%4."/>
      <w:lvlJc w:val="left"/>
      <w:pPr>
        <w:tabs>
          <w:tab w:val="num" w:pos="3164"/>
        </w:tabs>
        <w:ind w:left="3164" w:hanging="360"/>
      </w:pPr>
    </w:lvl>
    <w:lvl w:ilvl="4" w:tplc="04190019">
      <w:start w:val="1"/>
      <w:numFmt w:val="lowerLetter"/>
      <w:lvlText w:val="%5."/>
      <w:lvlJc w:val="left"/>
      <w:pPr>
        <w:tabs>
          <w:tab w:val="num" w:pos="3884"/>
        </w:tabs>
        <w:ind w:left="3884" w:hanging="360"/>
      </w:pPr>
    </w:lvl>
    <w:lvl w:ilvl="5" w:tplc="0419001B">
      <w:start w:val="1"/>
      <w:numFmt w:val="lowerRoman"/>
      <w:lvlText w:val="%6."/>
      <w:lvlJc w:val="right"/>
      <w:pPr>
        <w:tabs>
          <w:tab w:val="num" w:pos="4604"/>
        </w:tabs>
        <w:ind w:left="4604" w:hanging="180"/>
      </w:pPr>
    </w:lvl>
    <w:lvl w:ilvl="6" w:tplc="0419000F">
      <w:start w:val="1"/>
      <w:numFmt w:val="decimal"/>
      <w:lvlText w:val="%7."/>
      <w:lvlJc w:val="left"/>
      <w:pPr>
        <w:tabs>
          <w:tab w:val="num" w:pos="5324"/>
        </w:tabs>
        <w:ind w:left="5324" w:hanging="360"/>
      </w:pPr>
    </w:lvl>
    <w:lvl w:ilvl="7" w:tplc="04190019">
      <w:start w:val="1"/>
      <w:numFmt w:val="lowerLetter"/>
      <w:lvlText w:val="%8."/>
      <w:lvlJc w:val="left"/>
      <w:pPr>
        <w:tabs>
          <w:tab w:val="num" w:pos="6044"/>
        </w:tabs>
        <w:ind w:left="6044" w:hanging="360"/>
      </w:pPr>
    </w:lvl>
    <w:lvl w:ilvl="8" w:tplc="0419001B">
      <w:start w:val="1"/>
      <w:numFmt w:val="lowerRoman"/>
      <w:lvlText w:val="%9."/>
      <w:lvlJc w:val="right"/>
      <w:pPr>
        <w:tabs>
          <w:tab w:val="num" w:pos="6764"/>
        </w:tabs>
        <w:ind w:left="6764" w:hanging="180"/>
      </w:pPr>
    </w:lvl>
  </w:abstractNum>
  <w:abstractNum w:abstractNumId="55">
    <w:nsid w:val="70F2442D"/>
    <w:multiLevelType w:val="hybridMultilevel"/>
    <w:tmpl w:val="8506DDB0"/>
    <w:lvl w:ilvl="0" w:tplc="0428D5E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75045CBE"/>
    <w:multiLevelType w:val="hybridMultilevel"/>
    <w:tmpl w:val="9ECEDB00"/>
    <w:lvl w:ilvl="0" w:tplc="F33858D2">
      <w:start w:val="1"/>
      <w:numFmt w:val="bullet"/>
      <w:lvlText w:val=""/>
      <w:lvlJc w:val="left"/>
      <w:pPr>
        <w:ind w:left="720" w:hanging="360"/>
      </w:pPr>
      <w:rPr>
        <w:rFonts w:ascii="Wingdings" w:hAnsi="Wingdings" w:hint="default"/>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78441C90"/>
    <w:multiLevelType w:val="hybridMultilevel"/>
    <w:tmpl w:val="D158CEEA"/>
    <w:lvl w:ilvl="0" w:tplc="F33858D2">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8">
    <w:nsid w:val="79824D6E"/>
    <w:multiLevelType w:val="hybridMultilevel"/>
    <w:tmpl w:val="964455C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nsid w:val="79895BD1"/>
    <w:multiLevelType w:val="hybridMultilevel"/>
    <w:tmpl w:val="5C06D20A"/>
    <w:lvl w:ilvl="0" w:tplc="F33858D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7ADD4DB6"/>
    <w:multiLevelType w:val="multilevel"/>
    <w:tmpl w:val="1F14BF12"/>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7D1152D9"/>
    <w:multiLevelType w:val="hybridMultilevel"/>
    <w:tmpl w:val="14905F60"/>
    <w:lvl w:ilvl="0" w:tplc="F33858D2">
      <w:start w:val="1"/>
      <w:numFmt w:val="bullet"/>
      <w:lvlText w:val=""/>
      <w:lvlJc w:val="left"/>
      <w:pPr>
        <w:ind w:left="720" w:hanging="360"/>
      </w:pPr>
      <w:rPr>
        <w:rFonts w:ascii="Wingdings" w:hAnsi="Wingdings" w:hint="default"/>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7EFF496A"/>
    <w:multiLevelType w:val="hybridMultilevel"/>
    <w:tmpl w:val="78C49430"/>
    <w:lvl w:ilvl="0" w:tplc="F33858D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4"/>
  </w:num>
  <w:num w:numId="2">
    <w:abstractNumId w:val="11"/>
  </w:num>
  <w:num w:numId="3">
    <w:abstractNumId w:val="5"/>
  </w:num>
  <w:num w:numId="4">
    <w:abstractNumId w:val="1"/>
  </w:num>
  <w:num w:numId="5">
    <w:abstractNumId w:val="42"/>
  </w:num>
  <w:num w:numId="6">
    <w:abstractNumId w:val="55"/>
  </w:num>
  <w:num w:numId="7">
    <w:abstractNumId w:val="0"/>
  </w:num>
  <w:num w:numId="8">
    <w:abstractNumId w:val="56"/>
  </w:num>
  <w:num w:numId="9">
    <w:abstractNumId w:val="23"/>
  </w:num>
  <w:num w:numId="10">
    <w:abstractNumId w:val="36"/>
  </w:num>
  <w:num w:numId="11">
    <w:abstractNumId w:val="17"/>
  </w:num>
  <w:num w:numId="12">
    <w:abstractNumId w:val="19"/>
  </w:num>
  <w:num w:numId="13">
    <w:abstractNumId w:val="28"/>
  </w:num>
  <w:num w:numId="14">
    <w:abstractNumId w:val="22"/>
  </w:num>
  <w:num w:numId="15">
    <w:abstractNumId w:val="13"/>
  </w:num>
  <w:num w:numId="16">
    <w:abstractNumId w:val="33"/>
  </w:num>
  <w:num w:numId="17">
    <w:abstractNumId w:val="50"/>
  </w:num>
  <w:num w:numId="18">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35"/>
  </w:num>
  <w:num w:numId="21">
    <w:abstractNumId w:val="37"/>
  </w:num>
  <w:num w:numId="22">
    <w:abstractNumId w:val="46"/>
  </w:num>
  <w:num w:numId="23">
    <w:abstractNumId w:val="58"/>
  </w:num>
  <w:num w:numId="24">
    <w:abstractNumId w:val="3"/>
  </w:num>
  <w:num w:numId="25">
    <w:abstractNumId w:val="43"/>
  </w:num>
  <w:num w:numId="26">
    <w:abstractNumId w:val="26"/>
  </w:num>
  <w:num w:numId="27">
    <w:abstractNumId w:val="32"/>
  </w:num>
  <w:num w:numId="28">
    <w:abstractNumId w:val="53"/>
  </w:num>
  <w:num w:numId="29">
    <w:abstractNumId w:val="6"/>
  </w:num>
  <w:num w:numId="30">
    <w:abstractNumId w:val="51"/>
  </w:num>
  <w:num w:numId="31">
    <w:abstractNumId w:val="59"/>
  </w:num>
  <w:num w:numId="32">
    <w:abstractNumId w:val="8"/>
  </w:num>
  <w:num w:numId="33">
    <w:abstractNumId w:val="2"/>
  </w:num>
  <w:num w:numId="34">
    <w:abstractNumId w:val="54"/>
  </w:num>
  <w:num w:numId="35">
    <w:abstractNumId w:val="47"/>
  </w:num>
  <w:num w:numId="36">
    <w:abstractNumId w:val="31"/>
  </w:num>
  <w:num w:numId="37">
    <w:abstractNumId w:val="62"/>
  </w:num>
  <w:num w:numId="38">
    <w:abstractNumId w:val="29"/>
  </w:num>
  <w:num w:numId="39">
    <w:abstractNumId w:val="39"/>
  </w:num>
  <w:num w:numId="40">
    <w:abstractNumId w:val="48"/>
  </w:num>
  <w:num w:numId="41">
    <w:abstractNumId w:val="45"/>
  </w:num>
  <w:num w:numId="42">
    <w:abstractNumId w:val="14"/>
  </w:num>
  <w:num w:numId="43">
    <w:abstractNumId w:val="7"/>
  </w:num>
  <w:num w:numId="44">
    <w:abstractNumId w:val="30"/>
  </w:num>
  <w:num w:numId="45">
    <w:abstractNumId w:val="20"/>
  </w:num>
  <w:num w:numId="46">
    <w:abstractNumId w:val="27"/>
  </w:num>
  <w:num w:numId="47">
    <w:abstractNumId w:val="41"/>
  </w:num>
  <w:num w:numId="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61"/>
  </w:num>
  <w:num w:numId="50">
    <w:abstractNumId w:val="25"/>
  </w:num>
  <w:num w:numId="51">
    <w:abstractNumId w:val="24"/>
  </w:num>
  <w:num w:numId="52">
    <w:abstractNumId w:val="52"/>
  </w:num>
  <w:num w:numId="53">
    <w:abstractNumId w:val="9"/>
  </w:num>
  <w:num w:numId="54">
    <w:abstractNumId w:val="38"/>
  </w:num>
  <w:num w:numId="55">
    <w:abstractNumId w:val="49"/>
  </w:num>
  <w:num w:numId="56">
    <w:abstractNumId w:val="40"/>
  </w:num>
  <w:num w:numId="57">
    <w:abstractNumId w:val="10"/>
  </w:num>
  <w:num w:numId="58">
    <w:abstractNumId w:val="57"/>
  </w:num>
  <w:num w:numId="59">
    <w:abstractNumId w:val="21"/>
  </w:num>
  <w:num w:numId="60">
    <w:abstractNumId w:val="60"/>
    <w:lvlOverride w:ilvl="0"/>
    <w:lvlOverride w:ilvl="1">
      <w:startOverride w:val="1"/>
    </w:lvlOverride>
    <w:lvlOverride w:ilvl="2"/>
    <w:lvlOverride w:ilvl="3"/>
    <w:lvlOverride w:ilvl="4"/>
    <w:lvlOverride w:ilvl="5"/>
    <w:lvlOverride w:ilvl="6"/>
    <w:lvlOverride w:ilvl="7"/>
    <w:lvlOverride w:ilvl="8"/>
  </w:num>
  <w:num w:numId="61">
    <w:abstractNumId w:val="7"/>
    <w:lvlOverride w:ilvl="0">
      <w:startOverride w:val="1"/>
    </w:lvlOverride>
    <w:lvlOverride w:ilvl="1">
      <w:startOverride w:val="5"/>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2"/>
  </w:num>
  <w:num w:numId="63">
    <w:abstractNumId w:val="18"/>
  </w:num>
  <w:num w:numId="6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hideGrammaticalErrors/>
  <w:activeWritingStyle w:appName="MSWord" w:lang="ru-RU" w:vendorID="1" w:dllVersion="512" w:checkStyle="1"/>
  <w:stylePaneFormatFilter w:val="0004"/>
  <w:documentProtection w:edit="readOnly" w:formatting="1" w:enforcement="0"/>
  <w:defaultTabStop w:val="709"/>
  <w:drawingGridHorizontalSpacing w:val="130"/>
  <w:displayHorizontalDrawingGridEvery w:val="2"/>
  <w:noPunctuationKerning/>
  <w:characterSpacingControl w:val="doNotCompress"/>
  <w:hdrShapeDefaults>
    <o:shapedefaults v:ext="edit" spidmax="9218"/>
    <o:shapelayout v:ext="edit">
      <o:idmap v:ext="edit" data="8"/>
      <o:rules v:ext="edit">
        <o:r id="V:Rule1" type="connector" idref="#AutoShape 8"/>
        <o:r id="V:Rule2" type="connector" idref="#AutoShape 9"/>
      </o:rules>
    </o:shapelayout>
  </w:hdrShapeDefaults>
  <w:footnotePr>
    <w:pos w:val="beneathText"/>
    <w:footnote w:id="-1"/>
    <w:footnote w:id="0"/>
  </w:footnotePr>
  <w:endnotePr>
    <w:endnote w:id="-1"/>
    <w:endnote w:id="0"/>
  </w:endnotePr>
  <w:compat/>
  <w:rsids>
    <w:rsidRoot w:val="00F14F0B"/>
    <w:rsid w:val="00000037"/>
    <w:rsid w:val="0000047A"/>
    <w:rsid w:val="000009C7"/>
    <w:rsid w:val="000011DA"/>
    <w:rsid w:val="000012F4"/>
    <w:rsid w:val="000016CC"/>
    <w:rsid w:val="00001FEE"/>
    <w:rsid w:val="000020D1"/>
    <w:rsid w:val="00002219"/>
    <w:rsid w:val="00002CFF"/>
    <w:rsid w:val="00002E74"/>
    <w:rsid w:val="000031E3"/>
    <w:rsid w:val="000035B9"/>
    <w:rsid w:val="000036F8"/>
    <w:rsid w:val="00004AD3"/>
    <w:rsid w:val="0000525D"/>
    <w:rsid w:val="00005378"/>
    <w:rsid w:val="00005E98"/>
    <w:rsid w:val="00006012"/>
    <w:rsid w:val="0000624B"/>
    <w:rsid w:val="00006438"/>
    <w:rsid w:val="00006477"/>
    <w:rsid w:val="0000657F"/>
    <w:rsid w:val="000069EF"/>
    <w:rsid w:val="00007C0D"/>
    <w:rsid w:val="00007CD0"/>
    <w:rsid w:val="000104F2"/>
    <w:rsid w:val="00010A1D"/>
    <w:rsid w:val="00010C52"/>
    <w:rsid w:val="00011168"/>
    <w:rsid w:val="000111B2"/>
    <w:rsid w:val="00011399"/>
    <w:rsid w:val="000113A1"/>
    <w:rsid w:val="000113B6"/>
    <w:rsid w:val="0001148E"/>
    <w:rsid w:val="0001153F"/>
    <w:rsid w:val="0001240B"/>
    <w:rsid w:val="000128EB"/>
    <w:rsid w:val="00012A82"/>
    <w:rsid w:val="000131FF"/>
    <w:rsid w:val="00013458"/>
    <w:rsid w:val="00013996"/>
    <w:rsid w:val="00013D22"/>
    <w:rsid w:val="00013D5A"/>
    <w:rsid w:val="00013D7D"/>
    <w:rsid w:val="00014AE0"/>
    <w:rsid w:val="00014C35"/>
    <w:rsid w:val="000150C2"/>
    <w:rsid w:val="00015219"/>
    <w:rsid w:val="0001576B"/>
    <w:rsid w:val="0001597D"/>
    <w:rsid w:val="00015C1C"/>
    <w:rsid w:val="00015DC5"/>
    <w:rsid w:val="00015F6A"/>
    <w:rsid w:val="000163CF"/>
    <w:rsid w:val="000163E9"/>
    <w:rsid w:val="0001660E"/>
    <w:rsid w:val="0001689A"/>
    <w:rsid w:val="00016D77"/>
    <w:rsid w:val="00016F89"/>
    <w:rsid w:val="00017A12"/>
    <w:rsid w:val="00017DF7"/>
    <w:rsid w:val="00017E52"/>
    <w:rsid w:val="0002037F"/>
    <w:rsid w:val="000206E3"/>
    <w:rsid w:val="00020E38"/>
    <w:rsid w:val="00020FD8"/>
    <w:rsid w:val="0002110A"/>
    <w:rsid w:val="00021548"/>
    <w:rsid w:val="000219F6"/>
    <w:rsid w:val="00022034"/>
    <w:rsid w:val="00022782"/>
    <w:rsid w:val="00022A4A"/>
    <w:rsid w:val="00023561"/>
    <w:rsid w:val="0002356F"/>
    <w:rsid w:val="0002357B"/>
    <w:rsid w:val="000235DA"/>
    <w:rsid w:val="0002434A"/>
    <w:rsid w:val="00024575"/>
    <w:rsid w:val="000254AC"/>
    <w:rsid w:val="000258CC"/>
    <w:rsid w:val="00025CA8"/>
    <w:rsid w:val="00025E30"/>
    <w:rsid w:val="00026068"/>
    <w:rsid w:val="000261F2"/>
    <w:rsid w:val="000264D7"/>
    <w:rsid w:val="00026507"/>
    <w:rsid w:val="00026613"/>
    <w:rsid w:val="000267D5"/>
    <w:rsid w:val="000267E6"/>
    <w:rsid w:val="00026EE8"/>
    <w:rsid w:val="00026F64"/>
    <w:rsid w:val="00027230"/>
    <w:rsid w:val="00027AA5"/>
    <w:rsid w:val="00027D2A"/>
    <w:rsid w:val="00027E80"/>
    <w:rsid w:val="000307A5"/>
    <w:rsid w:val="000307A6"/>
    <w:rsid w:val="00030845"/>
    <w:rsid w:val="000308E3"/>
    <w:rsid w:val="00030FA8"/>
    <w:rsid w:val="00031003"/>
    <w:rsid w:val="000311B1"/>
    <w:rsid w:val="0003188F"/>
    <w:rsid w:val="00031933"/>
    <w:rsid w:val="00031AD5"/>
    <w:rsid w:val="00031BE7"/>
    <w:rsid w:val="00031E5D"/>
    <w:rsid w:val="000325AF"/>
    <w:rsid w:val="0003277C"/>
    <w:rsid w:val="00032D25"/>
    <w:rsid w:val="00033075"/>
    <w:rsid w:val="00033526"/>
    <w:rsid w:val="00033CD3"/>
    <w:rsid w:val="000344DD"/>
    <w:rsid w:val="0003484F"/>
    <w:rsid w:val="0003598A"/>
    <w:rsid w:val="000364A1"/>
    <w:rsid w:val="000368B4"/>
    <w:rsid w:val="00036EEA"/>
    <w:rsid w:val="00040089"/>
    <w:rsid w:val="00040631"/>
    <w:rsid w:val="000406EF"/>
    <w:rsid w:val="0004081E"/>
    <w:rsid w:val="0004091F"/>
    <w:rsid w:val="00040DEA"/>
    <w:rsid w:val="00041220"/>
    <w:rsid w:val="00042315"/>
    <w:rsid w:val="000423A0"/>
    <w:rsid w:val="0004252C"/>
    <w:rsid w:val="00042F3D"/>
    <w:rsid w:val="00042F7F"/>
    <w:rsid w:val="000431B4"/>
    <w:rsid w:val="00043217"/>
    <w:rsid w:val="000432E2"/>
    <w:rsid w:val="00043ABD"/>
    <w:rsid w:val="00043AE9"/>
    <w:rsid w:val="00043B09"/>
    <w:rsid w:val="00043B20"/>
    <w:rsid w:val="00043BB0"/>
    <w:rsid w:val="00044543"/>
    <w:rsid w:val="000445CF"/>
    <w:rsid w:val="00045AC7"/>
    <w:rsid w:val="00045D0D"/>
    <w:rsid w:val="00046A48"/>
    <w:rsid w:val="00046B4A"/>
    <w:rsid w:val="000473EE"/>
    <w:rsid w:val="00047775"/>
    <w:rsid w:val="000506AE"/>
    <w:rsid w:val="000509FD"/>
    <w:rsid w:val="00050ABB"/>
    <w:rsid w:val="00050D5E"/>
    <w:rsid w:val="00051323"/>
    <w:rsid w:val="00051A96"/>
    <w:rsid w:val="00051AC0"/>
    <w:rsid w:val="00051B43"/>
    <w:rsid w:val="00051BE0"/>
    <w:rsid w:val="00051CEC"/>
    <w:rsid w:val="00051DA2"/>
    <w:rsid w:val="00051E95"/>
    <w:rsid w:val="00052115"/>
    <w:rsid w:val="00052154"/>
    <w:rsid w:val="00052244"/>
    <w:rsid w:val="00052ABE"/>
    <w:rsid w:val="00052CAF"/>
    <w:rsid w:val="00053185"/>
    <w:rsid w:val="0005362C"/>
    <w:rsid w:val="00053819"/>
    <w:rsid w:val="00053FD8"/>
    <w:rsid w:val="00054458"/>
    <w:rsid w:val="00054654"/>
    <w:rsid w:val="0005488B"/>
    <w:rsid w:val="00054B2E"/>
    <w:rsid w:val="00055237"/>
    <w:rsid w:val="00055A94"/>
    <w:rsid w:val="00055BEA"/>
    <w:rsid w:val="00056668"/>
    <w:rsid w:val="00056F19"/>
    <w:rsid w:val="0005730E"/>
    <w:rsid w:val="00057D8F"/>
    <w:rsid w:val="0006002C"/>
    <w:rsid w:val="00060190"/>
    <w:rsid w:val="00060573"/>
    <w:rsid w:val="000608A7"/>
    <w:rsid w:val="00060CB1"/>
    <w:rsid w:val="00060DBF"/>
    <w:rsid w:val="00061197"/>
    <w:rsid w:val="000617F2"/>
    <w:rsid w:val="000618D0"/>
    <w:rsid w:val="00061A43"/>
    <w:rsid w:val="00061CAA"/>
    <w:rsid w:val="0006276A"/>
    <w:rsid w:val="00062886"/>
    <w:rsid w:val="0006309E"/>
    <w:rsid w:val="000634A9"/>
    <w:rsid w:val="00063563"/>
    <w:rsid w:val="00063A05"/>
    <w:rsid w:val="0006422F"/>
    <w:rsid w:val="00064D84"/>
    <w:rsid w:val="00065B87"/>
    <w:rsid w:val="00065BDD"/>
    <w:rsid w:val="00066A42"/>
    <w:rsid w:val="00066B00"/>
    <w:rsid w:val="00066D3D"/>
    <w:rsid w:val="00066E13"/>
    <w:rsid w:val="00066ECD"/>
    <w:rsid w:val="0006737A"/>
    <w:rsid w:val="00070807"/>
    <w:rsid w:val="00070D35"/>
    <w:rsid w:val="0007121D"/>
    <w:rsid w:val="00071369"/>
    <w:rsid w:val="00071A70"/>
    <w:rsid w:val="00071A85"/>
    <w:rsid w:val="00071BB2"/>
    <w:rsid w:val="00071BBA"/>
    <w:rsid w:val="000722AB"/>
    <w:rsid w:val="000728E7"/>
    <w:rsid w:val="00072F03"/>
    <w:rsid w:val="00073337"/>
    <w:rsid w:val="000735D9"/>
    <w:rsid w:val="00073667"/>
    <w:rsid w:val="0007374A"/>
    <w:rsid w:val="000737CC"/>
    <w:rsid w:val="00074028"/>
    <w:rsid w:val="00074051"/>
    <w:rsid w:val="000747B4"/>
    <w:rsid w:val="00074A17"/>
    <w:rsid w:val="00074D24"/>
    <w:rsid w:val="00074EBE"/>
    <w:rsid w:val="00074F89"/>
    <w:rsid w:val="00075455"/>
    <w:rsid w:val="00075704"/>
    <w:rsid w:val="00075B07"/>
    <w:rsid w:val="00075B3C"/>
    <w:rsid w:val="00076521"/>
    <w:rsid w:val="000768B3"/>
    <w:rsid w:val="00076A07"/>
    <w:rsid w:val="00076BE9"/>
    <w:rsid w:val="00076DEB"/>
    <w:rsid w:val="00076E37"/>
    <w:rsid w:val="000779C6"/>
    <w:rsid w:val="00077EF7"/>
    <w:rsid w:val="00080D7C"/>
    <w:rsid w:val="0008103C"/>
    <w:rsid w:val="000811CD"/>
    <w:rsid w:val="000812E8"/>
    <w:rsid w:val="00081598"/>
    <w:rsid w:val="00081618"/>
    <w:rsid w:val="000819F3"/>
    <w:rsid w:val="00081D94"/>
    <w:rsid w:val="00081EB3"/>
    <w:rsid w:val="0008272A"/>
    <w:rsid w:val="00082BD3"/>
    <w:rsid w:val="00083716"/>
    <w:rsid w:val="000839FD"/>
    <w:rsid w:val="00083EBC"/>
    <w:rsid w:val="000848F2"/>
    <w:rsid w:val="00084A91"/>
    <w:rsid w:val="0008501E"/>
    <w:rsid w:val="00085042"/>
    <w:rsid w:val="000855E4"/>
    <w:rsid w:val="00085C7D"/>
    <w:rsid w:val="00086050"/>
    <w:rsid w:val="000863B0"/>
    <w:rsid w:val="000868EA"/>
    <w:rsid w:val="00086C1A"/>
    <w:rsid w:val="0008764B"/>
    <w:rsid w:val="000877E7"/>
    <w:rsid w:val="00087AA7"/>
    <w:rsid w:val="00087BAC"/>
    <w:rsid w:val="00087EF2"/>
    <w:rsid w:val="00090453"/>
    <w:rsid w:val="0009076E"/>
    <w:rsid w:val="00091010"/>
    <w:rsid w:val="00091675"/>
    <w:rsid w:val="000916A9"/>
    <w:rsid w:val="000916BE"/>
    <w:rsid w:val="00091BA5"/>
    <w:rsid w:val="00091E62"/>
    <w:rsid w:val="00091F19"/>
    <w:rsid w:val="00092A99"/>
    <w:rsid w:val="00093667"/>
    <w:rsid w:val="0009368C"/>
    <w:rsid w:val="0009377B"/>
    <w:rsid w:val="00093858"/>
    <w:rsid w:val="00093DF1"/>
    <w:rsid w:val="0009411D"/>
    <w:rsid w:val="00094B50"/>
    <w:rsid w:val="00094F32"/>
    <w:rsid w:val="00095308"/>
    <w:rsid w:val="000953B1"/>
    <w:rsid w:val="000955C8"/>
    <w:rsid w:val="00095E62"/>
    <w:rsid w:val="0009622C"/>
    <w:rsid w:val="00097B47"/>
    <w:rsid w:val="00097C5B"/>
    <w:rsid w:val="00097CA3"/>
    <w:rsid w:val="00097EBD"/>
    <w:rsid w:val="00097F4A"/>
    <w:rsid w:val="000A021F"/>
    <w:rsid w:val="000A034F"/>
    <w:rsid w:val="000A09A0"/>
    <w:rsid w:val="000A0FA1"/>
    <w:rsid w:val="000A1998"/>
    <w:rsid w:val="000A1D6E"/>
    <w:rsid w:val="000A24CB"/>
    <w:rsid w:val="000A27E6"/>
    <w:rsid w:val="000A2923"/>
    <w:rsid w:val="000A295C"/>
    <w:rsid w:val="000A2A12"/>
    <w:rsid w:val="000A2AAA"/>
    <w:rsid w:val="000A2B39"/>
    <w:rsid w:val="000A36D9"/>
    <w:rsid w:val="000A38C0"/>
    <w:rsid w:val="000A3B78"/>
    <w:rsid w:val="000A3C34"/>
    <w:rsid w:val="000A3C3F"/>
    <w:rsid w:val="000A3FD6"/>
    <w:rsid w:val="000A4482"/>
    <w:rsid w:val="000A44A0"/>
    <w:rsid w:val="000A46C3"/>
    <w:rsid w:val="000A48C4"/>
    <w:rsid w:val="000A49FA"/>
    <w:rsid w:val="000A4FCE"/>
    <w:rsid w:val="000A557E"/>
    <w:rsid w:val="000A5629"/>
    <w:rsid w:val="000A593F"/>
    <w:rsid w:val="000A5BD1"/>
    <w:rsid w:val="000A5E52"/>
    <w:rsid w:val="000A65B6"/>
    <w:rsid w:val="000A75E9"/>
    <w:rsid w:val="000A7C74"/>
    <w:rsid w:val="000A7C8B"/>
    <w:rsid w:val="000A7D3A"/>
    <w:rsid w:val="000A7EB2"/>
    <w:rsid w:val="000B0173"/>
    <w:rsid w:val="000B0972"/>
    <w:rsid w:val="000B0B0E"/>
    <w:rsid w:val="000B11AE"/>
    <w:rsid w:val="000B1CBD"/>
    <w:rsid w:val="000B1D3C"/>
    <w:rsid w:val="000B23D4"/>
    <w:rsid w:val="000B266D"/>
    <w:rsid w:val="000B2FB9"/>
    <w:rsid w:val="000B37F6"/>
    <w:rsid w:val="000B3A2F"/>
    <w:rsid w:val="000B429D"/>
    <w:rsid w:val="000B47A0"/>
    <w:rsid w:val="000B4E5B"/>
    <w:rsid w:val="000B5550"/>
    <w:rsid w:val="000B57DE"/>
    <w:rsid w:val="000B59E3"/>
    <w:rsid w:val="000B5BC6"/>
    <w:rsid w:val="000B5E1A"/>
    <w:rsid w:val="000B6023"/>
    <w:rsid w:val="000B6793"/>
    <w:rsid w:val="000B6BEA"/>
    <w:rsid w:val="000B6F11"/>
    <w:rsid w:val="000B70D2"/>
    <w:rsid w:val="000B710C"/>
    <w:rsid w:val="000B7EEB"/>
    <w:rsid w:val="000C00D6"/>
    <w:rsid w:val="000C02AB"/>
    <w:rsid w:val="000C0939"/>
    <w:rsid w:val="000C0AFE"/>
    <w:rsid w:val="000C0E52"/>
    <w:rsid w:val="000C1826"/>
    <w:rsid w:val="000C1CA1"/>
    <w:rsid w:val="000C21C1"/>
    <w:rsid w:val="000C2991"/>
    <w:rsid w:val="000C2B64"/>
    <w:rsid w:val="000C35D4"/>
    <w:rsid w:val="000C3B51"/>
    <w:rsid w:val="000C3B91"/>
    <w:rsid w:val="000C3CAC"/>
    <w:rsid w:val="000C466E"/>
    <w:rsid w:val="000C4939"/>
    <w:rsid w:val="000C4D71"/>
    <w:rsid w:val="000C4FC2"/>
    <w:rsid w:val="000C521A"/>
    <w:rsid w:val="000C57F8"/>
    <w:rsid w:val="000C58C5"/>
    <w:rsid w:val="000C5F1B"/>
    <w:rsid w:val="000C64BF"/>
    <w:rsid w:val="000C6727"/>
    <w:rsid w:val="000C6755"/>
    <w:rsid w:val="000C68BA"/>
    <w:rsid w:val="000C6E5F"/>
    <w:rsid w:val="000C717B"/>
    <w:rsid w:val="000C7E4D"/>
    <w:rsid w:val="000C7F31"/>
    <w:rsid w:val="000D03ED"/>
    <w:rsid w:val="000D0894"/>
    <w:rsid w:val="000D09C1"/>
    <w:rsid w:val="000D0AE6"/>
    <w:rsid w:val="000D0E16"/>
    <w:rsid w:val="000D146C"/>
    <w:rsid w:val="000D16A4"/>
    <w:rsid w:val="000D23B6"/>
    <w:rsid w:val="000D2B65"/>
    <w:rsid w:val="000D2E87"/>
    <w:rsid w:val="000D3132"/>
    <w:rsid w:val="000D33AD"/>
    <w:rsid w:val="000D367B"/>
    <w:rsid w:val="000D4CA2"/>
    <w:rsid w:val="000D55D6"/>
    <w:rsid w:val="000D5DD1"/>
    <w:rsid w:val="000D6B73"/>
    <w:rsid w:val="000D6B9F"/>
    <w:rsid w:val="000E040A"/>
    <w:rsid w:val="000E0834"/>
    <w:rsid w:val="000E08D5"/>
    <w:rsid w:val="000E0D36"/>
    <w:rsid w:val="000E12A1"/>
    <w:rsid w:val="000E136B"/>
    <w:rsid w:val="000E184A"/>
    <w:rsid w:val="000E1AD2"/>
    <w:rsid w:val="000E1E1A"/>
    <w:rsid w:val="000E201F"/>
    <w:rsid w:val="000E2033"/>
    <w:rsid w:val="000E259E"/>
    <w:rsid w:val="000E2A0B"/>
    <w:rsid w:val="000E2D8F"/>
    <w:rsid w:val="000E3218"/>
    <w:rsid w:val="000E3A3B"/>
    <w:rsid w:val="000E3BD8"/>
    <w:rsid w:val="000E3BFB"/>
    <w:rsid w:val="000E51C8"/>
    <w:rsid w:val="000E551C"/>
    <w:rsid w:val="000E5D84"/>
    <w:rsid w:val="000E5D99"/>
    <w:rsid w:val="000E5F29"/>
    <w:rsid w:val="000E6E50"/>
    <w:rsid w:val="000E6F89"/>
    <w:rsid w:val="000E744A"/>
    <w:rsid w:val="000E7A5A"/>
    <w:rsid w:val="000E7C1E"/>
    <w:rsid w:val="000F0117"/>
    <w:rsid w:val="000F01D3"/>
    <w:rsid w:val="000F0875"/>
    <w:rsid w:val="000F0B17"/>
    <w:rsid w:val="000F0F48"/>
    <w:rsid w:val="000F1088"/>
    <w:rsid w:val="000F129A"/>
    <w:rsid w:val="000F1C2F"/>
    <w:rsid w:val="000F24C9"/>
    <w:rsid w:val="000F24F7"/>
    <w:rsid w:val="000F2F19"/>
    <w:rsid w:val="000F3ECD"/>
    <w:rsid w:val="000F3FDD"/>
    <w:rsid w:val="000F40E3"/>
    <w:rsid w:val="000F42CE"/>
    <w:rsid w:val="000F4710"/>
    <w:rsid w:val="000F4C19"/>
    <w:rsid w:val="000F580C"/>
    <w:rsid w:val="000F5FD9"/>
    <w:rsid w:val="000F6046"/>
    <w:rsid w:val="000F604F"/>
    <w:rsid w:val="000F6254"/>
    <w:rsid w:val="000F6569"/>
    <w:rsid w:val="000F66C9"/>
    <w:rsid w:val="000F6A5D"/>
    <w:rsid w:val="000F6B48"/>
    <w:rsid w:val="000F7DA8"/>
    <w:rsid w:val="0010075E"/>
    <w:rsid w:val="00100AE9"/>
    <w:rsid w:val="00100D97"/>
    <w:rsid w:val="00100EB5"/>
    <w:rsid w:val="0010107D"/>
    <w:rsid w:val="001012A7"/>
    <w:rsid w:val="00101B30"/>
    <w:rsid w:val="00101C7F"/>
    <w:rsid w:val="0010202C"/>
    <w:rsid w:val="001022BB"/>
    <w:rsid w:val="001022CA"/>
    <w:rsid w:val="00102458"/>
    <w:rsid w:val="00102E87"/>
    <w:rsid w:val="00102F9C"/>
    <w:rsid w:val="00102FD9"/>
    <w:rsid w:val="00103255"/>
    <w:rsid w:val="00103385"/>
    <w:rsid w:val="001035DD"/>
    <w:rsid w:val="00103D8A"/>
    <w:rsid w:val="001045E1"/>
    <w:rsid w:val="001051AC"/>
    <w:rsid w:val="001052DA"/>
    <w:rsid w:val="00105D71"/>
    <w:rsid w:val="0010619D"/>
    <w:rsid w:val="00106FF2"/>
    <w:rsid w:val="0010772C"/>
    <w:rsid w:val="0010787F"/>
    <w:rsid w:val="0011030C"/>
    <w:rsid w:val="001105C2"/>
    <w:rsid w:val="00110867"/>
    <w:rsid w:val="00110969"/>
    <w:rsid w:val="00110AC5"/>
    <w:rsid w:val="00110AF4"/>
    <w:rsid w:val="00110DC7"/>
    <w:rsid w:val="00111572"/>
    <w:rsid w:val="00111748"/>
    <w:rsid w:val="00111FFE"/>
    <w:rsid w:val="00112272"/>
    <w:rsid w:val="00112318"/>
    <w:rsid w:val="00112704"/>
    <w:rsid w:val="00113348"/>
    <w:rsid w:val="00113586"/>
    <w:rsid w:val="001135A6"/>
    <w:rsid w:val="0011372D"/>
    <w:rsid w:val="001138CE"/>
    <w:rsid w:val="00113B16"/>
    <w:rsid w:val="00113C03"/>
    <w:rsid w:val="00113F8E"/>
    <w:rsid w:val="00115040"/>
    <w:rsid w:val="00115D6B"/>
    <w:rsid w:val="00115E05"/>
    <w:rsid w:val="00115F93"/>
    <w:rsid w:val="0011635F"/>
    <w:rsid w:val="0011637C"/>
    <w:rsid w:val="0011664C"/>
    <w:rsid w:val="00117799"/>
    <w:rsid w:val="00117892"/>
    <w:rsid w:val="00117A95"/>
    <w:rsid w:val="00117AA6"/>
    <w:rsid w:val="00117CFC"/>
    <w:rsid w:val="00120007"/>
    <w:rsid w:val="001203D8"/>
    <w:rsid w:val="00120AAC"/>
    <w:rsid w:val="001214FC"/>
    <w:rsid w:val="00121546"/>
    <w:rsid w:val="001215AC"/>
    <w:rsid w:val="00121867"/>
    <w:rsid w:val="00121C3A"/>
    <w:rsid w:val="00121CF2"/>
    <w:rsid w:val="00122297"/>
    <w:rsid w:val="00122687"/>
    <w:rsid w:val="00122C6B"/>
    <w:rsid w:val="00122F83"/>
    <w:rsid w:val="00123F24"/>
    <w:rsid w:val="00124AA7"/>
    <w:rsid w:val="00124DD5"/>
    <w:rsid w:val="001256CB"/>
    <w:rsid w:val="001258F6"/>
    <w:rsid w:val="00125F74"/>
    <w:rsid w:val="00126180"/>
    <w:rsid w:val="0012621E"/>
    <w:rsid w:val="00126A3A"/>
    <w:rsid w:val="00126D8B"/>
    <w:rsid w:val="00126EF8"/>
    <w:rsid w:val="00127627"/>
    <w:rsid w:val="001279B5"/>
    <w:rsid w:val="00127BEF"/>
    <w:rsid w:val="0013073E"/>
    <w:rsid w:val="001308D7"/>
    <w:rsid w:val="00130E30"/>
    <w:rsid w:val="00130E77"/>
    <w:rsid w:val="00130EC4"/>
    <w:rsid w:val="00131B02"/>
    <w:rsid w:val="00132354"/>
    <w:rsid w:val="0013266B"/>
    <w:rsid w:val="00132A6B"/>
    <w:rsid w:val="00132AC7"/>
    <w:rsid w:val="00132DAD"/>
    <w:rsid w:val="00132E35"/>
    <w:rsid w:val="00132E45"/>
    <w:rsid w:val="00133551"/>
    <w:rsid w:val="00134FBC"/>
    <w:rsid w:val="00135B13"/>
    <w:rsid w:val="00135DBF"/>
    <w:rsid w:val="00135E51"/>
    <w:rsid w:val="00135F16"/>
    <w:rsid w:val="00135FF9"/>
    <w:rsid w:val="001362A1"/>
    <w:rsid w:val="001368C9"/>
    <w:rsid w:val="00136E80"/>
    <w:rsid w:val="00136EAB"/>
    <w:rsid w:val="0013722A"/>
    <w:rsid w:val="00137791"/>
    <w:rsid w:val="00137C7C"/>
    <w:rsid w:val="00137C9B"/>
    <w:rsid w:val="00140B32"/>
    <w:rsid w:val="00140CA6"/>
    <w:rsid w:val="00140F5A"/>
    <w:rsid w:val="00141131"/>
    <w:rsid w:val="0014158A"/>
    <w:rsid w:val="00141674"/>
    <w:rsid w:val="00141AC7"/>
    <w:rsid w:val="00141E36"/>
    <w:rsid w:val="00141F01"/>
    <w:rsid w:val="00142265"/>
    <w:rsid w:val="00142395"/>
    <w:rsid w:val="0014283D"/>
    <w:rsid w:val="001434E4"/>
    <w:rsid w:val="001434FD"/>
    <w:rsid w:val="001437FE"/>
    <w:rsid w:val="001439C6"/>
    <w:rsid w:val="00144079"/>
    <w:rsid w:val="00144503"/>
    <w:rsid w:val="001445FF"/>
    <w:rsid w:val="00144886"/>
    <w:rsid w:val="001449C8"/>
    <w:rsid w:val="00145135"/>
    <w:rsid w:val="001456CD"/>
    <w:rsid w:val="00145B06"/>
    <w:rsid w:val="001460D1"/>
    <w:rsid w:val="00146D76"/>
    <w:rsid w:val="00146FF7"/>
    <w:rsid w:val="0014742C"/>
    <w:rsid w:val="00147CBA"/>
    <w:rsid w:val="00147D3A"/>
    <w:rsid w:val="0015017D"/>
    <w:rsid w:val="001502F3"/>
    <w:rsid w:val="00150712"/>
    <w:rsid w:val="00150AFD"/>
    <w:rsid w:val="00150D28"/>
    <w:rsid w:val="0015101B"/>
    <w:rsid w:val="00151035"/>
    <w:rsid w:val="0015113A"/>
    <w:rsid w:val="00151E67"/>
    <w:rsid w:val="0015220F"/>
    <w:rsid w:val="0015252B"/>
    <w:rsid w:val="00152808"/>
    <w:rsid w:val="00152B19"/>
    <w:rsid w:val="00153221"/>
    <w:rsid w:val="001532CC"/>
    <w:rsid w:val="00153B8D"/>
    <w:rsid w:val="001541AD"/>
    <w:rsid w:val="00154B24"/>
    <w:rsid w:val="00154BCF"/>
    <w:rsid w:val="00155463"/>
    <w:rsid w:val="001556E9"/>
    <w:rsid w:val="00155748"/>
    <w:rsid w:val="00155B21"/>
    <w:rsid w:val="00156078"/>
    <w:rsid w:val="0015678A"/>
    <w:rsid w:val="00156C4A"/>
    <w:rsid w:val="001571B7"/>
    <w:rsid w:val="00157A38"/>
    <w:rsid w:val="00157A9B"/>
    <w:rsid w:val="00160176"/>
    <w:rsid w:val="001602F5"/>
    <w:rsid w:val="00160651"/>
    <w:rsid w:val="001606B5"/>
    <w:rsid w:val="001620E2"/>
    <w:rsid w:val="0016245D"/>
    <w:rsid w:val="00162F88"/>
    <w:rsid w:val="00163335"/>
    <w:rsid w:val="00163361"/>
    <w:rsid w:val="001637A7"/>
    <w:rsid w:val="00163971"/>
    <w:rsid w:val="00163AF1"/>
    <w:rsid w:val="00163F74"/>
    <w:rsid w:val="001640F4"/>
    <w:rsid w:val="001642D6"/>
    <w:rsid w:val="0016464E"/>
    <w:rsid w:val="00164A21"/>
    <w:rsid w:val="00164E3D"/>
    <w:rsid w:val="0016502C"/>
    <w:rsid w:val="00165360"/>
    <w:rsid w:val="001654BC"/>
    <w:rsid w:val="00166A17"/>
    <w:rsid w:val="00167509"/>
    <w:rsid w:val="00167582"/>
    <w:rsid w:val="00167587"/>
    <w:rsid w:val="00167BE4"/>
    <w:rsid w:val="00167E3B"/>
    <w:rsid w:val="0017017F"/>
    <w:rsid w:val="001702DA"/>
    <w:rsid w:val="00170F9E"/>
    <w:rsid w:val="0017105E"/>
    <w:rsid w:val="001710C4"/>
    <w:rsid w:val="001720AA"/>
    <w:rsid w:val="0017216E"/>
    <w:rsid w:val="00172322"/>
    <w:rsid w:val="001723DA"/>
    <w:rsid w:val="001728E2"/>
    <w:rsid w:val="00172904"/>
    <w:rsid w:val="0017345E"/>
    <w:rsid w:val="00173EA9"/>
    <w:rsid w:val="00174F31"/>
    <w:rsid w:val="00175C28"/>
    <w:rsid w:val="001768CF"/>
    <w:rsid w:val="00177476"/>
    <w:rsid w:val="0017756C"/>
    <w:rsid w:val="0017758F"/>
    <w:rsid w:val="00177668"/>
    <w:rsid w:val="00177990"/>
    <w:rsid w:val="00177A72"/>
    <w:rsid w:val="00180769"/>
    <w:rsid w:val="00180F9A"/>
    <w:rsid w:val="001810ED"/>
    <w:rsid w:val="00181522"/>
    <w:rsid w:val="0018177C"/>
    <w:rsid w:val="00181DA7"/>
    <w:rsid w:val="00182144"/>
    <w:rsid w:val="00182784"/>
    <w:rsid w:val="00182AEC"/>
    <w:rsid w:val="00182CFF"/>
    <w:rsid w:val="00183310"/>
    <w:rsid w:val="0018409A"/>
    <w:rsid w:val="00184514"/>
    <w:rsid w:val="00184808"/>
    <w:rsid w:val="00184E20"/>
    <w:rsid w:val="00185120"/>
    <w:rsid w:val="00186DEF"/>
    <w:rsid w:val="00186E58"/>
    <w:rsid w:val="00187310"/>
    <w:rsid w:val="001873C1"/>
    <w:rsid w:val="00187D50"/>
    <w:rsid w:val="00187EFF"/>
    <w:rsid w:val="00190167"/>
    <w:rsid w:val="001902C3"/>
    <w:rsid w:val="001903A8"/>
    <w:rsid w:val="00190E08"/>
    <w:rsid w:val="001917BD"/>
    <w:rsid w:val="00191941"/>
    <w:rsid w:val="00191A56"/>
    <w:rsid w:val="00191AB6"/>
    <w:rsid w:val="00191C2A"/>
    <w:rsid w:val="001922B6"/>
    <w:rsid w:val="001922C4"/>
    <w:rsid w:val="001925F0"/>
    <w:rsid w:val="00192B58"/>
    <w:rsid w:val="00192BE4"/>
    <w:rsid w:val="00193AC9"/>
    <w:rsid w:val="00193C65"/>
    <w:rsid w:val="001943EA"/>
    <w:rsid w:val="00194564"/>
    <w:rsid w:val="00194D55"/>
    <w:rsid w:val="001950A6"/>
    <w:rsid w:val="001954A2"/>
    <w:rsid w:val="00195746"/>
    <w:rsid w:val="00196076"/>
    <w:rsid w:val="0019610E"/>
    <w:rsid w:val="001970DA"/>
    <w:rsid w:val="00197536"/>
    <w:rsid w:val="00197A86"/>
    <w:rsid w:val="00197C26"/>
    <w:rsid w:val="00197F69"/>
    <w:rsid w:val="001A065E"/>
    <w:rsid w:val="001A06D5"/>
    <w:rsid w:val="001A0F99"/>
    <w:rsid w:val="001A171F"/>
    <w:rsid w:val="001A1995"/>
    <w:rsid w:val="001A1BBB"/>
    <w:rsid w:val="001A1FEC"/>
    <w:rsid w:val="001A244B"/>
    <w:rsid w:val="001A26AC"/>
    <w:rsid w:val="001A270A"/>
    <w:rsid w:val="001A2A7D"/>
    <w:rsid w:val="001A2B06"/>
    <w:rsid w:val="001A2CC2"/>
    <w:rsid w:val="001A2DE0"/>
    <w:rsid w:val="001A2F8F"/>
    <w:rsid w:val="001A3269"/>
    <w:rsid w:val="001A34FA"/>
    <w:rsid w:val="001A369E"/>
    <w:rsid w:val="001A3714"/>
    <w:rsid w:val="001A399C"/>
    <w:rsid w:val="001A3E07"/>
    <w:rsid w:val="001A49DD"/>
    <w:rsid w:val="001A4AAE"/>
    <w:rsid w:val="001A53F9"/>
    <w:rsid w:val="001A541A"/>
    <w:rsid w:val="001A5844"/>
    <w:rsid w:val="001A5FC2"/>
    <w:rsid w:val="001A60E2"/>
    <w:rsid w:val="001A68E1"/>
    <w:rsid w:val="001A6FF7"/>
    <w:rsid w:val="001A721F"/>
    <w:rsid w:val="001A72B6"/>
    <w:rsid w:val="001A7B16"/>
    <w:rsid w:val="001A7B37"/>
    <w:rsid w:val="001A7E07"/>
    <w:rsid w:val="001B0120"/>
    <w:rsid w:val="001B0B53"/>
    <w:rsid w:val="001B0B75"/>
    <w:rsid w:val="001B0D64"/>
    <w:rsid w:val="001B0D76"/>
    <w:rsid w:val="001B0DF3"/>
    <w:rsid w:val="001B120F"/>
    <w:rsid w:val="001B121D"/>
    <w:rsid w:val="001B185A"/>
    <w:rsid w:val="001B1D8D"/>
    <w:rsid w:val="001B1FC2"/>
    <w:rsid w:val="001B22D5"/>
    <w:rsid w:val="001B2BAA"/>
    <w:rsid w:val="001B3027"/>
    <w:rsid w:val="001B3810"/>
    <w:rsid w:val="001B38EB"/>
    <w:rsid w:val="001B3968"/>
    <w:rsid w:val="001B4041"/>
    <w:rsid w:val="001B42B0"/>
    <w:rsid w:val="001B4771"/>
    <w:rsid w:val="001B4AD7"/>
    <w:rsid w:val="001B4D74"/>
    <w:rsid w:val="001B4FA4"/>
    <w:rsid w:val="001B5B88"/>
    <w:rsid w:val="001B5E99"/>
    <w:rsid w:val="001B5FF6"/>
    <w:rsid w:val="001B6648"/>
    <w:rsid w:val="001B754B"/>
    <w:rsid w:val="001C003E"/>
    <w:rsid w:val="001C010A"/>
    <w:rsid w:val="001C050A"/>
    <w:rsid w:val="001C0CBE"/>
    <w:rsid w:val="001C108B"/>
    <w:rsid w:val="001C10D8"/>
    <w:rsid w:val="001C13E2"/>
    <w:rsid w:val="001C1402"/>
    <w:rsid w:val="001C1699"/>
    <w:rsid w:val="001C1E86"/>
    <w:rsid w:val="001C21CE"/>
    <w:rsid w:val="001C2A60"/>
    <w:rsid w:val="001C2A82"/>
    <w:rsid w:val="001C30C7"/>
    <w:rsid w:val="001C37B0"/>
    <w:rsid w:val="001C3B8C"/>
    <w:rsid w:val="001C3CCE"/>
    <w:rsid w:val="001C4117"/>
    <w:rsid w:val="001C4287"/>
    <w:rsid w:val="001C4571"/>
    <w:rsid w:val="001C5033"/>
    <w:rsid w:val="001C57CB"/>
    <w:rsid w:val="001C58AE"/>
    <w:rsid w:val="001C5931"/>
    <w:rsid w:val="001C5DE7"/>
    <w:rsid w:val="001C5E6A"/>
    <w:rsid w:val="001C5EB5"/>
    <w:rsid w:val="001C600F"/>
    <w:rsid w:val="001C609E"/>
    <w:rsid w:val="001C655C"/>
    <w:rsid w:val="001C65EC"/>
    <w:rsid w:val="001C66A6"/>
    <w:rsid w:val="001C6C23"/>
    <w:rsid w:val="001C7116"/>
    <w:rsid w:val="001C7611"/>
    <w:rsid w:val="001C7F64"/>
    <w:rsid w:val="001D044F"/>
    <w:rsid w:val="001D0538"/>
    <w:rsid w:val="001D0D08"/>
    <w:rsid w:val="001D0F7E"/>
    <w:rsid w:val="001D1547"/>
    <w:rsid w:val="001D15C1"/>
    <w:rsid w:val="001D2215"/>
    <w:rsid w:val="001D28F7"/>
    <w:rsid w:val="001D2970"/>
    <w:rsid w:val="001D30C4"/>
    <w:rsid w:val="001D3469"/>
    <w:rsid w:val="001D34E9"/>
    <w:rsid w:val="001D3D6F"/>
    <w:rsid w:val="001D5017"/>
    <w:rsid w:val="001D5216"/>
    <w:rsid w:val="001D5502"/>
    <w:rsid w:val="001D6269"/>
    <w:rsid w:val="001D6300"/>
    <w:rsid w:val="001D637E"/>
    <w:rsid w:val="001D6AE6"/>
    <w:rsid w:val="001D7AAA"/>
    <w:rsid w:val="001E0666"/>
    <w:rsid w:val="001E0E6F"/>
    <w:rsid w:val="001E1E0D"/>
    <w:rsid w:val="001E1F7C"/>
    <w:rsid w:val="001E20E7"/>
    <w:rsid w:val="001E2769"/>
    <w:rsid w:val="001E32FA"/>
    <w:rsid w:val="001E37A6"/>
    <w:rsid w:val="001E3B8C"/>
    <w:rsid w:val="001E40F0"/>
    <w:rsid w:val="001E4193"/>
    <w:rsid w:val="001E4609"/>
    <w:rsid w:val="001E4753"/>
    <w:rsid w:val="001E4A08"/>
    <w:rsid w:val="001E4CBD"/>
    <w:rsid w:val="001E4DD5"/>
    <w:rsid w:val="001E5D52"/>
    <w:rsid w:val="001E61F3"/>
    <w:rsid w:val="001E6687"/>
    <w:rsid w:val="001E6D04"/>
    <w:rsid w:val="001E71D2"/>
    <w:rsid w:val="001E7246"/>
    <w:rsid w:val="001E74A3"/>
    <w:rsid w:val="001E7B11"/>
    <w:rsid w:val="001F06E7"/>
    <w:rsid w:val="001F09B4"/>
    <w:rsid w:val="001F1145"/>
    <w:rsid w:val="001F12F0"/>
    <w:rsid w:val="001F13F7"/>
    <w:rsid w:val="001F17CB"/>
    <w:rsid w:val="001F1C02"/>
    <w:rsid w:val="001F3AA8"/>
    <w:rsid w:val="001F3AF5"/>
    <w:rsid w:val="001F45ED"/>
    <w:rsid w:val="001F52AA"/>
    <w:rsid w:val="001F5BB0"/>
    <w:rsid w:val="001F63D8"/>
    <w:rsid w:val="001F6EFB"/>
    <w:rsid w:val="001F736E"/>
    <w:rsid w:val="001F7F43"/>
    <w:rsid w:val="00200678"/>
    <w:rsid w:val="00200970"/>
    <w:rsid w:val="00200C31"/>
    <w:rsid w:val="00200DEA"/>
    <w:rsid w:val="0020158E"/>
    <w:rsid w:val="00201E7D"/>
    <w:rsid w:val="00201EC8"/>
    <w:rsid w:val="0020253A"/>
    <w:rsid w:val="00202E57"/>
    <w:rsid w:val="00202F9E"/>
    <w:rsid w:val="00203720"/>
    <w:rsid w:val="00203BC7"/>
    <w:rsid w:val="0020402E"/>
    <w:rsid w:val="00204B8C"/>
    <w:rsid w:val="00205041"/>
    <w:rsid w:val="00205DBA"/>
    <w:rsid w:val="00206E64"/>
    <w:rsid w:val="0020767B"/>
    <w:rsid w:val="002076FD"/>
    <w:rsid w:val="002077B7"/>
    <w:rsid w:val="00207AB8"/>
    <w:rsid w:val="00207B66"/>
    <w:rsid w:val="00207C0B"/>
    <w:rsid w:val="00207CF9"/>
    <w:rsid w:val="00210331"/>
    <w:rsid w:val="002109CB"/>
    <w:rsid w:val="00210C9B"/>
    <w:rsid w:val="0021145D"/>
    <w:rsid w:val="00211797"/>
    <w:rsid w:val="002119A6"/>
    <w:rsid w:val="00211CA9"/>
    <w:rsid w:val="0021213D"/>
    <w:rsid w:val="0021264D"/>
    <w:rsid w:val="00212908"/>
    <w:rsid w:val="00212C3C"/>
    <w:rsid w:val="0021387B"/>
    <w:rsid w:val="00213BCC"/>
    <w:rsid w:val="00214AEE"/>
    <w:rsid w:val="00214D8B"/>
    <w:rsid w:val="00215350"/>
    <w:rsid w:val="002153C1"/>
    <w:rsid w:val="00215C92"/>
    <w:rsid w:val="0021628D"/>
    <w:rsid w:val="00216CFD"/>
    <w:rsid w:val="0021784F"/>
    <w:rsid w:val="00217F5A"/>
    <w:rsid w:val="002200B5"/>
    <w:rsid w:val="002204A1"/>
    <w:rsid w:val="002205A4"/>
    <w:rsid w:val="00220859"/>
    <w:rsid w:val="00220B7B"/>
    <w:rsid w:val="00221494"/>
    <w:rsid w:val="002214AF"/>
    <w:rsid w:val="00221C5E"/>
    <w:rsid w:val="00222200"/>
    <w:rsid w:val="002223E9"/>
    <w:rsid w:val="00222DE9"/>
    <w:rsid w:val="00223223"/>
    <w:rsid w:val="0022340B"/>
    <w:rsid w:val="002236E2"/>
    <w:rsid w:val="00223D8C"/>
    <w:rsid w:val="00223EB4"/>
    <w:rsid w:val="002245A8"/>
    <w:rsid w:val="00224724"/>
    <w:rsid w:val="00226363"/>
    <w:rsid w:val="00227241"/>
    <w:rsid w:val="002272D6"/>
    <w:rsid w:val="00227635"/>
    <w:rsid w:val="00227B4A"/>
    <w:rsid w:val="00227E79"/>
    <w:rsid w:val="002302D5"/>
    <w:rsid w:val="00230631"/>
    <w:rsid w:val="00230864"/>
    <w:rsid w:val="00230F93"/>
    <w:rsid w:val="0023123C"/>
    <w:rsid w:val="002315DA"/>
    <w:rsid w:val="00231E72"/>
    <w:rsid w:val="00231E9E"/>
    <w:rsid w:val="002322FA"/>
    <w:rsid w:val="00232368"/>
    <w:rsid w:val="00232419"/>
    <w:rsid w:val="00232DFD"/>
    <w:rsid w:val="00232E7C"/>
    <w:rsid w:val="002335E0"/>
    <w:rsid w:val="00233CAC"/>
    <w:rsid w:val="002340CA"/>
    <w:rsid w:val="002341D4"/>
    <w:rsid w:val="00234453"/>
    <w:rsid w:val="002344E9"/>
    <w:rsid w:val="002357CD"/>
    <w:rsid w:val="00235C98"/>
    <w:rsid w:val="00236007"/>
    <w:rsid w:val="002361A0"/>
    <w:rsid w:val="00237C3B"/>
    <w:rsid w:val="00237C80"/>
    <w:rsid w:val="00237FAC"/>
    <w:rsid w:val="00240014"/>
    <w:rsid w:val="00240674"/>
    <w:rsid w:val="00240758"/>
    <w:rsid w:val="00240DDE"/>
    <w:rsid w:val="002413A3"/>
    <w:rsid w:val="00241BA5"/>
    <w:rsid w:val="00241D67"/>
    <w:rsid w:val="0024254B"/>
    <w:rsid w:val="0024276F"/>
    <w:rsid w:val="002427D1"/>
    <w:rsid w:val="00242A00"/>
    <w:rsid w:val="00243469"/>
    <w:rsid w:val="002434BE"/>
    <w:rsid w:val="002452C5"/>
    <w:rsid w:val="0024557B"/>
    <w:rsid w:val="00245588"/>
    <w:rsid w:val="00245889"/>
    <w:rsid w:val="00245985"/>
    <w:rsid w:val="00245CDF"/>
    <w:rsid w:val="00245EA7"/>
    <w:rsid w:val="00246138"/>
    <w:rsid w:val="00246459"/>
    <w:rsid w:val="00247584"/>
    <w:rsid w:val="002476C5"/>
    <w:rsid w:val="00247952"/>
    <w:rsid w:val="00247A15"/>
    <w:rsid w:val="00250D21"/>
    <w:rsid w:val="00250E16"/>
    <w:rsid w:val="0025132F"/>
    <w:rsid w:val="00251540"/>
    <w:rsid w:val="0025197C"/>
    <w:rsid w:val="00252902"/>
    <w:rsid w:val="00252BDE"/>
    <w:rsid w:val="00253297"/>
    <w:rsid w:val="002537C3"/>
    <w:rsid w:val="00253A77"/>
    <w:rsid w:val="00253F25"/>
    <w:rsid w:val="00254BED"/>
    <w:rsid w:val="00254E3D"/>
    <w:rsid w:val="00255487"/>
    <w:rsid w:val="00255D9F"/>
    <w:rsid w:val="00255DD5"/>
    <w:rsid w:val="002566F2"/>
    <w:rsid w:val="00256C4F"/>
    <w:rsid w:val="00257681"/>
    <w:rsid w:val="00257753"/>
    <w:rsid w:val="0025799D"/>
    <w:rsid w:val="00257ACA"/>
    <w:rsid w:val="00257B15"/>
    <w:rsid w:val="002603FB"/>
    <w:rsid w:val="00260B17"/>
    <w:rsid w:val="002610A9"/>
    <w:rsid w:val="00261B01"/>
    <w:rsid w:val="00261EA4"/>
    <w:rsid w:val="00262009"/>
    <w:rsid w:val="0026250E"/>
    <w:rsid w:val="00262750"/>
    <w:rsid w:val="002638F6"/>
    <w:rsid w:val="00263993"/>
    <w:rsid w:val="00263A13"/>
    <w:rsid w:val="00263B46"/>
    <w:rsid w:val="00263CE2"/>
    <w:rsid w:val="00263E6E"/>
    <w:rsid w:val="002648DC"/>
    <w:rsid w:val="00264BAC"/>
    <w:rsid w:val="00265372"/>
    <w:rsid w:val="00265E0A"/>
    <w:rsid w:val="002668AE"/>
    <w:rsid w:val="002669E7"/>
    <w:rsid w:val="00266CA2"/>
    <w:rsid w:val="00266E90"/>
    <w:rsid w:val="00266EBC"/>
    <w:rsid w:val="00266F6C"/>
    <w:rsid w:val="00267784"/>
    <w:rsid w:val="002678BE"/>
    <w:rsid w:val="00267DFB"/>
    <w:rsid w:val="0027013E"/>
    <w:rsid w:val="00270643"/>
    <w:rsid w:val="00270D63"/>
    <w:rsid w:val="00271576"/>
    <w:rsid w:val="0027173F"/>
    <w:rsid w:val="00271769"/>
    <w:rsid w:val="00271A1B"/>
    <w:rsid w:val="00271EAA"/>
    <w:rsid w:val="00273295"/>
    <w:rsid w:val="00273918"/>
    <w:rsid w:val="00273AA8"/>
    <w:rsid w:val="002740B7"/>
    <w:rsid w:val="00274F72"/>
    <w:rsid w:val="00275026"/>
    <w:rsid w:val="002751EC"/>
    <w:rsid w:val="00275D59"/>
    <w:rsid w:val="00276019"/>
    <w:rsid w:val="0027618D"/>
    <w:rsid w:val="00276919"/>
    <w:rsid w:val="002769E7"/>
    <w:rsid w:val="0027722E"/>
    <w:rsid w:val="002774A5"/>
    <w:rsid w:val="00280499"/>
    <w:rsid w:val="0028057C"/>
    <w:rsid w:val="00280B21"/>
    <w:rsid w:val="00281016"/>
    <w:rsid w:val="00281CB9"/>
    <w:rsid w:val="00281D6B"/>
    <w:rsid w:val="00281DCD"/>
    <w:rsid w:val="002820A7"/>
    <w:rsid w:val="00282259"/>
    <w:rsid w:val="00282399"/>
    <w:rsid w:val="002828E1"/>
    <w:rsid w:val="002828F2"/>
    <w:rsid w:val="00283999"/>
    <w:rsid w:val="00283C55"/>
    <w:rsid w:val="00283D7E"/>
    <w:rsid w:val="002842FF"/>
    <w:rsid w:val="00284ACB"/>
    <w:rsid w:val="00284EBD"/>
    <w:rsid w:val="00284F54"/>
    <w:rsid w:val="002850AC"/>
    <w:rsid w:val="002851E8"/>
    <w:rsid w:val="002858D6"/>
    <w:rsid w:val="00285A39"/>
    <w:rsid w:val="00285C28"/>
    <w:rsid w:val="00285F00"/>
    <w:rsid w:val="00285F51"/>
    <w:rsid w:val="002861D0"/>
    <w:rsid w:val="002861F6"/>
    <w:rsid w:val="0028648D"/>
    <w:rsid w:val="00286943"/>
    <w:rsid w:val="002869C9"/>
    <w:rsid w:val="00287CAE"/>
    <w:rsid w:val="00287E57"/>
    <w:rsid w:val="00287F13"/>
    <w:rsid w:val="00290C0A"/>
    <w:rsid w:val="002910A8"/>
    <w:rsid w:val="0029114A"/>
    <w:rsid w:val="002915E3"/>
    <w:rsid w:val="00291A18"/>
    <w:rsid w:val="00291ACA"/>
    <w:rsid w:val="00291B79"/>
    <w:rsid w:val="00291BD3"/>
    <w:rsid w:val="00291E74"/>
    <w:rsid w:val="002926A3"/>
    <w:rsid w:val="002927A5"/>
    <w:rsid w:val="002927C7"/>
    <w:rsid w:val="0029291D"/>
    <w:rsid w:val="002929C1"/>
    <w:rsid w:val="00292A6D"/>
    <w:rsid w:val="00292DAC"/>
    <w:rsid w:val="00292EA7"/>
    <w:rsid w:val="002930EB"/>
    <w:rsid w:val="002937F2"/>
    <w:rsid w:val="002938D1"/>
    <w:rsid w:val="00293A70"/>
    <w:rsid w:val="00293D86"/>
    <w:rsid w:val="00294141"/>
    <w:rsid w:val="002943F7"/>
    <w:rsid w:val="00294EDE"/>
    <w:rsid w:val="00295BD9"/>
    <w:rsid w:val="00295E04"/>
    <w:rsid w:val="00296507"/>
    <w:rsid w:val="00296536"/>
    <w:rsid w:val="00296594"/>
    <w:rsid w:val="00296AEA"/>
    <w:rsid w:val="00296D76"/>
    <w:rsid w:val="002971D3"/>
    <w:rsid w:val="002A05BF"/>
    <w:rsid w:val="002A0856"/>
    <w:rsid w:val="002A09F7"/>
    <w:rsid w:val="002A0D89"/>
    <w:rsid w:val="002A1315"/>
    <w:rsid w:val="002A1809"/>
    <w:rsid w:val="002A230E"/>
    <w:rsid w:val="002A240D"/>
    <w:rsid w:val="002A27BB"/>
    <w:rsid w:val="002A2E02"/>
    <w:rsid w:val="002A379E"/>
    <w:rsid w:val="002A431B"/>
    <w:rsid w:val="002A4B35"/>
    <w:rsid w:val="002A4C4B"/>
    <w:rsid w:val="002A4F02"/>
    <w:rsid w:val="002A5367"/>
    <w:rsid w:val="002A5933"/>
    <w:rsid w:val="002A6936"/>
    <w:rsid w:val="002A6B26"/>
    <w:rsid w:val="002A6BC8"/>
    <w:rsid w:val="002A7706"/>
    <w:rsid w:val="002A7AF6"/>
    <w:rsid w:val="002B07CC"/>
    <w:rsid w:val="002B1023"/>
    <w:rsid w:val="002B1258"/>
    <w:rsid w:val="002B1C0B"/>
    <w:rsid w:val="002B1DB7"/>
    <w:rsid w:val="002B1F08"/>
    <w:rsid w:val="002B2A75"/>
    <w:rsid w:val="002B2FED"/>
    <w:rsid w:val="002B3136"/>
    <w:rsid w:val="002B3591"/>
    <w:rsid w:val="002B3E50"/>
    <w:rsid w:val="002B50EE"/>
    <w:rsid w:val="002B5D9C"/>
    <w:rsid w:val="002B6490"/>
    <w:rsid w:val="002B6633"/>
    <w:rsid w:val="002B6678"/>
    <w:rsid w:val="002B6AFE"/>
    <w:rsid w:val="002B6F65"/>
    <w:rsid w:val="002B6FD9"/>
    <w:rsid w:val="002B7642"/>
    <w:rsid w:val="002B7737"/>
    <w:rsid w:val="002B773A"/>
    <w:rsid w:val="002B7B9A"/>
    <w:rsid w:val="002B7F96"/>
    <w:rsid w:val="002C00F0"/>
    <w:rsid w:val="002C04CC"/>
    <w:rsid w:val="002C0BA7"/>
    <w:rsid w:val="002C1605"/>
    <w:rsid w:val="002C1674"/>
    <w:rsid w:val="002C1888"/>
    <w:rsid w:val="002C1B06"/>
    <w:rsid w:val="002C1C6A"/>
    <w:rsid w:val="002C1D0F"/>
    <w:rsid w:val="002C2284"/>
    <w:rsid w:val="002C2423"/>
    <w:rsid w:val="002C2628"/>
    <w:rsid w:val="002C2830"/>
    <w:rsid w:val="002C2CF0"/>
    <w:rsid w:val="002C2D22"/>
    <w:rsid w:val="002C2E9C"/>
    <w:rsid w:val="002C2F09"/>
    <w:rsid w:val="002C30EA"/>
    <w:rsid w:val="002C3892"/>
    <w:rsid w:val="002C3B4F"/>
    <w:rsid w:val="002C3DB7"/>
    <w:rsid w:val="002C47BC"/>
    <w:rsid w:val="002C4F0E"/>
    <w:rsid w:val="002C5893"/>
    <w:rsid w:val="002C5BF2"/>
    <w:rsid w:val="002C5D09"/>
    <w:rsid w:val="002C6078"/>
    <w:rsid w:val="002C6271"/>
    <w:rsid w:val="002C73DF"/>
    <w:rsid w:val="002C77F7"/>
    <w:rsid w:val="002C7816"/>
    <w:rsid w:val="002C7EB8"/>
    <w:rsid w:val="002D016B"/>
    <w:rsid w:val="002D05FA"/>
    <w:rsid w:val="002D1293"/>
    <w:rsid w:val="002D140F"/>
    <w:rsid w:val="002D1573"/>
    <w:rsid w:val="002D1A34"/>
    <w:rsid w:val="002D1DED"/>
    <w:rsid w:val="002D2413"/>
    <w:rsid w:val="002D249B"/>
    <w:rsid w:val="002D26CF"/>
    <w:rsid w:val="002D278F"/>
    <w:rsid w:val="002D29D1"/>
    <w:rsid w:val="002D2BB9"/>
    <w:rsid w:val="002D2D26"/>
    <w:rsid w:val="002D3679"/>
    <w:rsid w:val="002D3D0B"/>
    <w:rsid w:val="002D3D30"/>
    <w:rsid w:val="002D3DDC"/>
    <w:rsid w:val="002D4268"/>
    <w:rsid w:val="002D4318"/>
    <w:rsid w:val="002D4568"/>
    <w:rsid w:val="002D46F3"/>
    <w:rsid w:val="002D4BC3"/>
    <w:rsid w:val="002D52E3"/>
    <w:rsid w:val="002D5A99"/>
    <w:rsid w:val="002D5D76"/>
    <w:rsid w:val="002D60C0"/>
    <w:rsid w:val="002D66E7"/>
    <w:rsid w:val="002D703A"/>
    <w:rsid w:val="002D716B"/>
    <w:rsid w:val="002D7705"/>
    <w:rsid w:val="002D7A2D"/>
    <w:rsid w:val="002D7CC7"/>
    <w:rsid w:val="002D7DB5"/>
    <w:rsid w:val="002D7F7F"/>
    <w:rsid w:val="002E02AC"/>
    <w:rsid w:val="002E0ABF"/>
    <w:rsid w:val="002E10E2"/>
    <w:rsid w:val="002E1544"/>
    <w:rsid w:val="002E1C8A"/>
    <w:rsid w:val="002E1F4E"/>
    <w:rsid w:val="002E21C2"/>
    <w:rsid w:val="002E2783"/>
    <w:rsid w:val="002E2801"/>
    <w:rsid w:val="002E2CFC"/>
    <w:rsid w:val="002E2E16"/>
    <w:rsid w:val="002E3589"/>
    <w:rsid w:val="002E37BD"/>
    <w:rsid w:val="002E38E4"/>
    <w:rsid w:val="002E3F7C"/>
    <w:rsid w:val="002E4144"/>
    <w:rsid w:val="002E4BCE"/>
    <w:rsid w:val="002E5619"/>
    <w:rsid w:val="002E5633"/>
    <w:rsid w:val="002E5A2E"/>
    <w:rsid w:val="002E5BC9"/>
    <w:rsid w:val="002E5BF3"/>
    <w:rsid w:val="002E6560"/>
    <w:rsid w:val="002E6790"/>
    <w:rsid w:val="002E6816"/>
    <w:rsid w:val="002E6BBC"/>
    <w:rsid w:val="002E6EE2"/>
    <w:rsid w:val="002E6EFB"/>
    <w:rsid w:val="002E7092"/>
    <w:rsid w:val="002E7472"/>
    <w:rsid w:val="002E779C"/>
    <w:rsid w:val="002E7C65"/>
    <w:rsid w:val="002E7F05"/>
    <w:rsid w:val="002F0499"/>
    <w:rsid w:val="002F06D5"/>
    <w:rsid w:val="002F0AAA"/>
    <w:rsid w:val="002F0FD3"/>
    <w:rsid w:val="002F10AD"/>
    <w:rsid w:val="002F12DF"/>
    <w:rsid w:val="002F15A4"/>
    <w:rsid w:val="002F19D8"/>
    <w:rsid w:val="002F1BEF"/>
    <w:rsid w:val="002F1C4F"/>
    <w:rsid w:val="002F1C7E"/>
    <w:rsid w:val="002F1DF6"/>
    <w:rsid w:val="002F2127"/>
    <w:rsid w:val="002F21C9"/>
    <w:rsid w:val="002F32B0"/>
    <w:rsid w:val="002F390E"/>
    <w:rsid w:val="002F3FC0"/>
    <w:rsid w:val="002F46AA"/>
    <w:rsid w:val="002F4D72"/>
    <w:rsid w:val="002F511D"/>
    <w:rsid w:val="002F522B"/>
    <w:rsid w:val="002F58A1"/>
    <w:rsid w:val="002F59E3"/>
    <w:rsid w:val="002F61EF"/>
    <w:rsid w:val="002F6310"/>
    <w:rsid w:val="002F6CB6"/>
    <w:rsid w:val="002F6E61"/>
    <w:rsid w:val="002F6EAB"/>
    <w:rsid w:val="002F70ED"/>
    <w:rsid w:val="002F76AA"/>
    <w:rsid w:val="00300294"/>
    <w:rsid w:val="00300A39"/>
    <w:rsid w:val="00300AC3"/>
    <w:rsid w:val="00300B82"/>
    <w:rsid w:val="00300C1D"/>
    <w:rsid w:val="00300E68"/>
    <w:rsid w:val="00301416"/>
    <w:rsid w:val="0030162B"/>
    <w:rsid w:val="00301C2D"/>
    <w:rsid w:val="00302563"/>
    <w:rsid w:val="003025B8"/>
    <w:rsid w:val="00302ACB"/>
    <w:rsid w:val="00302C52"/>
    <w:rsid w:val="00302D39"/>
    <w:rsid w:val="0030325D"/>
    <w:rsid w:val="00303355"/>
    <w:rsid w:val="003035A1"/>
    <w:rsid w:val="00303A0B"/>
    <w:rsid w:val="00303AB5"/>
    <w:rsid w:val="00303E37"/>
    <w:rsid w:val="00304983"/>
    <w:rsid w:val="00305209"/>
    <w:rsid w:val="0030535B"/>
    <w:rsid w:val="00305403"/>
    <w:rsid w:val="00305932"/>
    <w:rsid w:val="00305BED"/>
    <w:rsid w:val="00305C5A"/>
    <w:rsid w:val="00305FE9"/>
    <w:rsid w:val="003074CA"/>
    <w:rsid w:val="0030796E"/>
    <w:rsid w:val="00307B58"/>
    <w:rsid w:val="00307BB0"/>
    <w:rsid w:val="00310022"/>
    <w:rsid w:val="003100C0"/>
    <w:rsid w:val="0031019F"/>
    <w:rsid w:val="003101E1"/>
    <w:rsid w:val="00310247"/>
    <w:rsid w:val="00310267"/>
    <w:rsid w:val="00310301"/>
    <w:rsid w:val="0031089E"/>
    <w:rsid w:val="00310970"/>
    <w:rsid w:val="00310CE6"/>
    <w:rsid w:val="00310D3A"/>
    <w:rsid w:val="00310D88"/>
    <w:rsid w:val="00310DF1"/>
    <w:rsid w:val="00311455"/>
    <w:rsid w:val="00311933"/>
    <w:rsid w:val="00312489"/>
    <w:rsid w:val="003125F4"/>
    <w:rsid w:val="00312D5C"/>
    <w:rsid w:val="00312E6B"/>
    <w:rsid w:val="003137CA"/>
    <w:rsid w:val="00313872"/>
    <w:rsid w:val="00314063"/>
    <w:rsid w:val="0031442D"/>
    <w:rsid w:val="003145AF"/>
    <w:rsid w:val="00314809"/>
    <w:rsid w:val="00316B41"/>
    <w:rsid w:val="00316EE3"/>
    <w:rsid w:val="00317027"/>
    <w:rsid w:val="00317187"/>
    <w:rsid w:val="00317547"/>
    <w:rsid w:val="00317B7A"/>
    <w:rsid w:val="003202B2"/>
    <w:rsid w:val="0032031F"/>
    <w:rsid w:val="00320671"/>
    <w:rsid w:val="00320AB7"/>
    <w:rsid w:val="003212F6"/>
    <w:rsid w:val="00321557"/>
    <w:rsid w:val="00321784"/>
    <w:rsid w:val="00321AC5"/>
    <w:rsid w:val="00321D81"/>
    <w:rsid w:val="003220C2"/>
    <w:rsid w:val="0032287A"/>
    <w:rsid w:val="00322928"/>
    <w:rsid w:val="00323046"/>
    <w:rsid w:val="0032328F"/>
    <w:rsid w:val="0032342C"/>
    <w:rsid w:val="00323983"/>
    <w:rsid w:val="003239DC"/>
    <w:rsid w:val="00323A3F"/>
    <w:rsid w:val="00323FA2"/>
    <w:rsid w:val="00323FC4"/>
    <w:rsid w:val="00324346"/>
    <w:rsid w:val="003249D5"/>
    <w:rsid w:val="00324A21"/>
    <w:rsid w:val="00324A5A"/>
    <w:rsid w:val="00324D2F"/>
    <w:rsid w:val="0032513B"/>
    <w:rsid w:val="0032597F"/>
    <w:rsid w:val="003260E3"/>
    <w:rsid w:val="00326350"/>
    <w:rsid w:val="00326614"/>
    <w:rsid w:val="003267E6"/>
    <w:rsid w:val="00327890"/>
    <w:rsid w:val="0033043C"/>
    <w:rsid w:val="00330540"/>
    <w:rsid w:val="0033095B"/>
    <w:rsid w:val="00330D15"/>
    <w:rsid w:val="003310FC"/>
    <w:rsid w:val="003313D4"/>
    <w:rsid w:val="00331455"/>
    <w:rsid w:val="00331676"/>
    <w:rsid w:val="00331AF5"/>
    <w:rsid w:val="00331D7D"/>
    <w:rsid w:val="00331E12"/>
    <w:rsid w:val="003324AF"/>
    <w:rsid w:val="003325F6"/>
    <w:rsid w:val="00332C27"/>
    <w:rsid w:val="00332C6E"/>
    <w:rsid w:val="00332F6E"/>
    <w:rsid w:val="00332FBF"/>
    <w:rsid w:val="00333D4C"/>
    <w:rsid w:val="00334269"/>
    <w:rsid w:val="00334348"/>
    <w:rsid w:val="00334738"/>
    <w:rsid w:val="00334814"/>
    <w:rsid w:val="00334944"/>
    <w:rsid w:val="00334F65"/>
    <w:rsid w:val="00335489"/>
    <w:rsid w:val="00335877"/>
    <w:rsid w:val="00335880"/>
    <w:rsid w:val="003360B4"/>
    <w:rsid w:val="0033679E"/>
    <w:rsid w:val="003369D4"/>
    <w:rsid w:val="00336C3F"/>
    <w:rsid w:val="003370BB"/>
    <w:rsid w:val="00337E40"/>
    <w:rsid w:val="00340376"/>
    <w:rsid w:val="00340694"/>
    <w:rsid w:val="003408B0"/>
    <w:rsid w:val="00340AE4"/>
    <w:rsid w:val="00340D2E"/>
    <w:rsid w:val="003411F8"/>
    <w:rsid w:val="003415A8"/>
    <w:rsid w:val="00341762"/>
    <w:rsid w:val="00341E7E"/>
    <w:rsid w:val="003426F3"/>
    <w:rsid w:val="00342D22"/>
    <w:rsid w:val="00342F0C"/>
    <w:rsid w:val="00342FA2"/>
    <w:rsid w:val="003438DB"/>
    <w:rsid w:val="00343A0B"/>
    <w:rsid w:val="00343FFC"/>
    <w:rsid w:val="00344D4D"/>
    <w:rsid w:val="003453CE"/>
    <w:rsid w:val="0034554A"/>
    <w:rsid w:val="00345804"/>
    <w:rsid w:val="00345E93"/>
    <w:rsid w:val="00345F4B"/>
    <w:rsid w:val="00345F69"/>
    <w:rsid w:val="00346062"/>
    <w:rsid w:val="003460FD"/>
    <w:rsid w:val="0034618E"/>
    <w:rsid w:val="00346287"/>
    <w:rsid w:val="00346289"/>
    <w:rsid w:val="0034681B"/>
    <w:rsid w:val="0034687D"/>
    <w:rsid w:val="00346FBE"/>
    <w:rsid w:val="00347A1A"/>
    <w:rsid w:val="00347FD7"/>
    <w:rsid w:val="00350018"/>
    <w:rsid w:val="00350107"/>
    <w:rsid w:val="00351099"/>
    <w:rsid w:val="0035149F"/>
    <w:rsid w:val="00351A26"/>
    <w:rsid w:val="00352A3F"/>
    <w:rsid w:val="00352AF3"/>
    <w:rsid w:val="0035318B"/>
    <w:rsid w:val="003531F1"/>
    <w:rsid w:val="003536BC"/>
    <w:rsid w:val="0035391D"/>
    <w:rsid w:val="00353D80"/>
    <w:rsid w:val="00353E0C"/>
    <w:rsid w:val="00353EAF"/>
    <w:rsid w:val="003541A4"/>
    <w:rsid w:val="00354880"/>
    <w:rsid w:val="00354B03"/>
    <w:rsid w:val="0035517B"/>
    <w:rsid w:val="00355533"/>
    <w:rsid w:val="00355D40"/>
    <w:rsid w:val="00355E81"/>
    <w:rsid w:val="0035632C"/>
    <w:rsid w:val="0035667D"/>
    <w:rsid w:val="003569AD"/>
    <w:rsid w:val="00356D6C"/>
    <w:rsid w:val="00356DA5"/>
    <w:rsid w:val="0035733F"/>
    <w:rsid w:val="003573BD"/>
    <w:rsid w:val="003573C1"/>
    <w:rsid w:val="0035760D"/>
    <w:rsid w:val="00357805"/>
    <w:rsid w:val="00357EC1"/>
    <w:rsid w:val="0036024F"/>
    <w:rsid w:val="003607B5"/>
    <w:rsid w:val="003612DB"/>
    <w:rsid w:val="00361356"/>
    <w:rsid w:val="003614D5"/>
    <w:rsid w:val="0036178B"/>
    <w:rsid w:val="00361938"/>
    <w:rsid w:val="00361B76"/>
    <w:rsid w:val="00362927"/>
    <w:rsid w:val="00362946"/>
    <w:rsid w:val="00362C76"/>
    <w:rsid w:val="00363B52"/>
    <w:rsid w:val="003641F2"/>
    <w:rsid w:val="00364928"/>
    <w:rsid w:val="00364A29"/>
    <w:rsid w:val="00364B48"/>
    <w:rsid w:val="00364D0F"/>
    <w:rsid w:val="00364EE3"/>
    <w:rsid w:val="003651AC"/>
    <w:rsid w:val="003653DC"/>
    <w:rsid w:val="0036551F"/>
    <w:rsid w:val="00365521"/>
    <w:rsid w:val="00365926"/>
    <w:rsid w:val="00365979"/>
    <w:rsid w:val="00366527"/>
    <w:rsid w:val="0036661E"/>
    <w:rsid w:val="00366BB8"/>
    <w:rsid w:val="00366FC5"/>
    <w:rsid w:val="00367B7C"/>
    <w:rsid w:val="003702DB"/>
    <w:rsid w:val="0037030A"/>
    <w:rsid w:val="00370395"/>
    <w:rsid w:val="00370B40"/>
    <w:rsid w:val="00370CD6"/>
    <w:rsid w:val="00371271"/>
    <w:rsid w:val="00371A02"/>
    <w:rsid w:val="00372680"/>
    <w:rsid w:val="0037272F"/>
    <w:rsid w:val="00372DBA"/>
    <w:rsid w:val="00372EA5"/>
    <w:rsid w:val="003738F2"/>
    <w:rsid w:val="00373991"/>
    <w:rsid w:val="00374151"/>
    <w:rsid w:val="003744AA"/>
    <w:rsid w:val="00374DE5"/>
    <w:rsid w:val="0037504E"/>
    <w:rsid w:val="003752B2"/>
    <w:rsid w:val="00375779"/>
    <w:rsid w:val="00375EFC"/>
    <w:rsid w:val="003764C4"/>
    <w:rsid w:val="003766E6"/>
    <w:rsid w:val="003767F8"/>
    <w:rsid w:val="00376E38"/>
    <w:rsid w:val="00377BD1"/>
    <w:rsid w:val="00377DAF"/>
    <w:rsid w:val="00377E40"/>
    <w:rsid w:val="003803B1"/>
    <w:rsid w:val="00380996"/>
    <w:rsid w:val="00380B7D"/>
    <w:rsid w:val="00380BAF"/>
    <w:rsid w:val="00380C84"/>
    <w:rsid w:val="00380CAE"/>
    <w:rsid w:val="00381042"/>
    <w:rsid w:val="003812DE"/>
    <w:rsid w:val="00382277"/>
    <w:rsid w:val="003824FE"/>
    <w:rsid w:val="00382716"/>
    <w:rsid w:val="00382BEC"/>
    <w:rsid w:val="00382D1E"/>
    <w:rsid w:val="00382DF1"/>
    <w:rsid w:val="00383DAB"/>
    <w:rsid w:val="00383E12"/>
    <w:rsid w:val="0038433C"/>
    <w:rsid w:val="00384490"/>
    <w:rsid w:val="00384A46"/>
    <w:rsid w:val="00384E18"/>
    <w:rsid w:val="003850B3"/>
    <w:rsid w:val="00385A30"/>
    <w:rsid w:val="00385DE4"/>
    <w:rsid w:val="00386099"/>
    <w:rsid w:val="003867DB"/>
    <w:rsid w:val="00386B09"/>
    <w:rsid w:val="00386BDF"/>
    <w:rsid w:val="00386F5C"/>
    <w:rsid w:val="00387453"/>
    <w:rsid w:val="0038769E"/>
    <w:rsid w:val="003879AB"/>
    <w:rsid w:val="00387B18"/>
    <w:rsid w:val="00390639"/>
    <w:rsid w:val="00390688"/>
    <w:rsid w:val="00390FE9"/>
    <w:rsid w:val="00391023"/>
    <w:rsid w:val="0039140D"/>
    <w:rsid w:val="00391945"/>
    <w:rsid w:val="00392234"/>
    <w:rsid w:val="0039231E"/>
    <w:rsid w:val="00392336"/>
    <w:rsid w:val="0039245B"/>
    <w:rsid w:val="00392517"/>
    <w:rsid w:val="00392C78"/>
    <w:rsid w:val="00392D02"/>
    <w:rsid w:val="00393105"/>
    <w:rsid w:val="0039334A"/>
    <w:rsid w:val="00393790"/>
    <w:rsid w:val="0039387C"/>
    <w:rsid w:val="0039389F"/>
    <w:rsid w:val="00393A14"/>
    <w:rsid w:val="00393C8E"/>
    <w:rsid w:val="003942AE"/>
    <w:rsid w:val="00394772"/>
    <w:rsid w:val="003949B7"/>
    <w:rsid w:val="00395908"/>
    <w:rsid w:val="00395BFD"/>
    <w:rsid w:val="00395C6B"/>
    <w:rsid w:val="0039616B"/>
    <w:rsid w:val="00396267"/>
    <w:rsid w:val="00396351"/>
    <w:rsid w:val="0039665E"/>
    <w:rsid w:val="00397152"/>
    <w:rsid w:val="0039728C"/>
    <w:rsid w:val="003975E6"/>
    <w:rsid w:val="00397942"/>
    <w:rsid w:val="00397D7B"/>
    <w:rsid w:val="003A0561"/>
    <w:rsid w:val="003A1296"/>
    <w:rsid w:val="003A18EF"/>
    <w:rsid w:val="003A1AD3"/>
    <w:rsid w:val="003A27BC"/>
    <w:rsid w:val="003A291E"/>
    <w:rsid w:val="003A2BF2"/>
    <w:rsid w:val="003A2C25"/>
    <w:rsid w:val="003A3B72"/>
    <w:rsid w:val="003A404B"/>
    <w:rsid w:val="003A4765"/>
    <w:rsid w:val="003A4884"/>
    <w:rsid w:val="003A4EAA"/>
    <w:rsid w:val="003A4FF2"/>
    <w:rsid w:val="003A5298"/>
    <w:rsid w:val="003A52D8"/>
    <w:rsid w:val="003A6719"/>
    <w:rsid w:val="003A685D"/>
    <w:rsid w:val="003A68A8"/>
    <w:rsid w:val="003A698C"/>
    <w:rsid w:val="003A69B9"/>
    <w:rsid w:val="003A7426"/>
    <w:rsid w:val="003A74AB"/>
    <w:rsid w:val="003A76B1"/>
    <w:rsid w:val="003A7991"/>
    <w:rsid w:val="003B000D"/>
    <w:rsid w:val="003B0280"/>
    <w:rsid w:val="003B0286"/>
    <w:rsid w:val="003B0411"/>
    <w:rsid w:val="003B0433"/>
    <w:rsid w:val="003B048D"/>
    <w:rsid w:val="003B0645"/>
    <w:rsid w:val="003B06EC"/>
    <w:rsid w:val="003B08E8"/>
    <w:rsid w:val="003B1070"/>
    <w:rsid w:val="003B1327"/>
    <w:rsid w:val="003B1A01"/>
    <w:rsid w:val="003B1DCB"/>
    <w:rsid w:val="003B20F7"/>
    <w:rsid w:val="003B260A"/>
    <w:rsid w:val="003B2B19"/>
    <w:rsid w:val="003B2B6E"/>
    <w:rsid w:val="003B322E"/>
    <w:rsid w:val="003B35D1"/>
    <w:rsid w:val="003B3AE6"/>
    <w:rsid w:val="003B412D"/>
    <w:rsid w:val="003B4857"/>
    <w:rsid w:val="003B4A6A"/>
    <w:rsid w:val="003B4CAF"/>
    <w:rsid w:val="003B547A"/>
    <w:rsid w:val="003B59E1"/>
    <w:rsid w:val="003B5D0D"/>
    <w:rsid w:val="003B6642"/>
    <w:rsid w:val="003B6B1C"/>
    <w:rsid w:val="003B6BB9"/>
    <w:rsid w:val="003B6D92"/>
    <w:rsid w:val="003B71D2"/>
    <w:rsid w:val="003B71FB"/>
    <w:rsid w:val="003B731F"/>
    <w:rsid w:val="003B758E"/>
    <w:rsid w:val="003B75BC"/>
    <w:rsid w:val="003B79F1"/>
    <w:rsid w:val="003B7F3C"/>
    <w:rsid w:val="003C02B3"/>
    <w:rsid w:val="003C0343"/>
    <w:rsid w:val="003C052B"/>
    <w:rsid w:val="003C0B4A"/>
    <w:rsid w:val="003C0BE4"/>
    <w:rsid w:val="003C1E91"/>
    <w:rsid w:val="003C262A"/>
    <w:rsid w:val="003C2BC8"/>
    <w:rsid w:val="003C2BD6"/>
    <w:rsid w:val="003C32E4"/>
    <w:rsid w:val="003C3D3E"/>
    <w:rsid w:val="003C4521"/>
    <w:rsid w:val="003C4D01"/>
    <w:rsid w:val="003C5726"/>
    <w:rsid w:val="003C6285"/>
    <w:rsid w:val="003C6723"/>
    <w:rsid w:val="003C724F"/>
    <w:rsid w:val="003C7734"/>
    <w:rsid w:val="003C7E93"/>
    <w:rsid w:val="003D01E7"/>
    <w:rsid w:val="003D0783"/>
    <w:rsid w:val="003D07B0"/>
    <w:rsid w:val="003D07EA"/>
    <w:rsid w:val="003D1051"/>
    <w:rsid w:val="003D11D3"/>
    <w:rsid w:val="003D17A6"/>
    <w:rsid w:val="003D2331"/>
    <w:rsid w:val="003D295B"/>
    <w:rsid w:val="003D2D09"/>
    <w:rsid w:val="003D346F"/>
    <w:rsid w:val="003D3916"/>
    <w:rsid w:val="003D3965"/>
    <w:rsid w:val="003D4050"/>
    <w:rsid w:val="003D40E2"/>
    <w:rsid w:val="003D4147"/>
    <w:rsid w:val="003D436F"/>
    <w:rsid w:val="003D4646"/>
    <w:rsid w:val="003D47C4"/>
    <w:rsid w:val="003D4F0B"/>
    <w:rsid w:val="003D535A"/>
    <w:rsid w:val="003D58C3"/>
    <w:rsid w:val="003D5C6A"/>
    <w:rsid w:val="003D71E8"/>
    <w:rsid w:val="003D75EF"/>
    <w:rsid w:val="003D7651"/>
    <w:rsid w:val="003D7696"/>
    <w:rsid w:val="003E0486"/>
    <w:rsid w:val="003E0767"/>
    <w:rsid w:val="003E0A62"/>
    <w:rsid w:val="003E135E"/>
    <w:rsid w:val="003E13D5"/>
    <w:rsid w:val="003E155C"/>
    <w:rsid w:val="003E15D6"/>
    <w:rsid w:val="003E1654"/>
    <w:rsid w:val="003E1671"/>
    <w:rsid w:val="003E1A65"/>
    <w:rsid w:val="003E204D"/>
    <w:rsid w:val="003E229B"/>
    <w:rsid w:val="003E259D"/>
    <w:rsid w:val="003E2A83"/>
    <w:rsid w:val="003E2D72"/>
    <w:rsid w:val="003E2D95"/>
    <w:rsid w:val="003E2FFE"/>
    <w:rsid w:val="003E3339"/>
    <w:rsid w:val="003E341A"/>
    <w:rsid w:val="003E352A"/>
    <w:rsid w:val="003E3CAD"/>
    <w:rsid w:val="003E3D9B"/>
    <w:rsid w:val="003E3E8F"/>
    <w:rsid w:val="003E42FC"/>
    <w:rsid w:val="003E46B0"/>
    <w:rsid w:val="003E47C8"/>
    <w:rsid w:val="003E4960"/>
    <w:rsid w:val="003E4ABD"/>
    <w:rsid w:val="003E4C41"/>
    <w:rsid w:val="003E536B"/>
    <w:rsid w:val="003E5AA2"/>
    <w:rsid w:val="003E6701"/>
    <w:rsid w:val="003E6DE8"/>
    <w:rsid w:val="003E7C24"/>
    <w:rsid w:val="003E7C28"/>
    <w:rsid w:val="003F019E"/>
    <w:rsid w:val="003F0757"/>
    <w:rsid w:val="003F0EDB"/>
    <w:rsid w:val="003F11A2"/>
    <w:rsid w:val="003F1E1C"/>
    <w:rsid w:val="003F2250"/>
    <w:rsid w:val="003F23EB"/>
    <w:rsid w:val="003F2915"/>
    <w:rsid w:val="003F2ED2"/>
    <w:rsid w:val="003F3850"/>
    <w:rsid w:val="003F3CA6"/>
    <w:rsid w:val="003F3DA7"/>
    <w:rsid w:val="003F429D"/>
    <w:rsid w:val="003F4A4C"/>
    <w:rsid w:val="003F4B54"/>
    <w:rsid w:val="003F56F0"/>
    <w:rsid w:val="003F5B25"/>
    <w:rsid w:val="003F5FC5"/>
    <w:rsid w:val="003F6B03"/>
    <w:rsid w:val="003F71B4"/>
    <w:rsid w:val="003F745A"/>
    <w:rsid w:val="003F76D5"/>
    <w:rsid w:val="00400423"/>
    <w:rsid w:val="00400AE4"/>
    <w:rsid w:val="0040114E"/>
    <w:rsid w:val="00401469"/>
    <w:rsid w:val="0040191F"/>
    <w:rsid w:val="00401A94"/>
    <w:rsid w:val="00401DB1"/>
    <w:rsid w:val="00401E3D"/>
    <w:rsid w:val="004021BA"/>
    <w:rsid w:val="004024BC"/>
    <w:rsid w:val="00402B46"/>
    <w:rsid w:val="00402FF0"/>
    <w:rsid w:val="0040319A"/>
    <w:rsid w:val="004035B8"/>
    <w:rsid w:val="00404600"/>
    <w:rsid w:val="00404C97"/>
    <w:rsid w:val="00404E19"/>
    <w:rsid w:val="00404FC6"/>
    <w:rsid w:val="0040523E"/>
    <w:rsid w:val="00405C1B"/>
    <w:rsid w:val="00405C62"/>
    <w:rsid w:val="00405E79"/>
    <w:rsid w:val="00406331"/>
    <w:rsid w:val="0040634A"/>
    <w:rsid w:val="00406577"/>
    <w:rsid w:val="00406870"/>
    <w:rsid w:val="0040694F"/>
    <w:rsid w:val="004069BD"/>
    <w:rsid w:val="00406CB2"/>
    <w:rsid w:val="00406D8E"/>
    <w:rsid w:val="00406E03"/>
    <w:rsid w:val="004071A0"/>
    <w:rsid w:val="00410306"/>
    <w:rsid w:val="0041076F"/>
    <w:rsid w:val="00411584"/>
    <w:rsid w:val="0041217C"/>
    <w:rsid w:val="004128A2"/>
    <w:rsid w:val="00413151"/>
    <w:rsid w:val="0041353D"/>
    <w:rsid w:val="00413623"/>
    <w:rsid w:val="00413765"/>
    <w:rsid w:val="00413CB8"/>
    <w:rsid w:val="00413F32"/>
    <w:rsid w:val="004142D2"/>
    <w:rsid w:val="00414570"/>
    <w:rsid w:val="00415019"/>
    <w:rsid w:val="0041511A"/>
    <w:rsid w:val="00415219"/>
    <w:rsid w:val="00415363"/>
    <w:rsid w:val="00415583"/>
    <w:rsid w:val="0041573F"/>
    <w:rsid w:val="00415744"/>
    <w:rsid w:val="00416221"/>
    <w:rsid w:val="004163B9"/>
    <w:rsid w:val="004166BD"/>
    <w:rsid w:val="0041690E"/>
    <w:rsid w:val="00416BB7"/>
    <w:rsid w:val="00416E91"/>
    <w:rsid w:val="0041725E"/>
    <w:rsid w:val="004177BB"/>
    <w:rsid w:val="0042084C"/>
    <w:rsid w:val="004211EA"/>
    <w:rsid w:val="0042164E"/>
    <w:rsid w:val="0042167F"/>
    <w:rsid w:val="00421AB4"/>
    <w:rsid w:val="004222FC"/>
    <w:rsid w:val="00422356"/>
    <w:rsid w:val="004227DB"/>
    <w:rsid w:val="00423093"/>
    <w:rsid w:val="004237FC"/>
    <w:rsid w:val="00423B7B"/>
    <w:rsid w:val="00423FFB"/>
    <w:rsid w:val="00424598"/>
    <w:rsid w:val="00424774"/>
    <w:rsid w:val="004247BE"/>
    <w:rsid w:val="00424E1B"/>
    <w:rsid w:val="00425440"/>
    <w:rsid w:val="00425757"/>
    <w:rsid w:val="00425A5C"/>
    <w:rsid w:val="00425DCF"/>
    <w:rsid w:val="00425E00"/>
    <w:rsid w:val="00425EB7"/>
    <w:rsid w:val="00425FA7"/>
    <w:rsid w:val="004264D9"/>
    <w:rsid w:val="00426733"/>
    <w:rsid w:val="00426892"/>
    <w:rsid w:val="004269F4"/>
    <w:rsid w:val="00426A26"/>
    <w:rsid w:val="00427154"/>
    <w:rsid w:val="004278BE"/>
    <w:rsid w:val="00427DD1"/>
    <w:rsid w:val="004303DF"/>
    <w:rsid w:val="0043042E"/>
    <w:rsid w:val="0043059C"/>
    <w:rsid w:val="004311BA"/>
    <w:rsid w:val="00431A0B"/>
    <w:rsid w:val="00431A76"/>
    <w:rsid w:val="00431CC5"/>
    <w:rsid w:val="0043231C"/>
    <w:rsid w:val="00432E0F"/>
    <w:rsid w:val="004338AD"/>
    <w:rsid w:val="004339CC"/>
    <w:rsid w:val="00433AEF"/>
    <w:rsid w:val="00433B39"/>
    <w:rsid w:val="004347A2"/>
    <w:rsid w:val="004347F6"/>
    <w:rsid w:val="00434B45"/>
    <w:rsid w:val="00434F34"/>
    <w:rsid w:val="00435F37"/>
    <w:rsid w:val="00435F40"/>
    <w:rsid w:val="00436228"/>
    <w:rsid w:val="00436439"/>
    <w:rsid w:val="004365C1"/>
    <w:rsid w:val="0043666D"/>
    <w:rsid w:val="004368FF"/>
    <w:rsid w:val="00436ABC"/>
    <w:rsid w:val="00437F77"/>
    <w:rsid w:val="004402A9"/>
    <w:rsid w:val="004403AC"/>
    <w:rsid w:val="00440644"/>
    <w:rsid w:val="0044065E"/>
    <w:rsid w:val="0044095E"/>
    <w:rsid w:val="00440A05"/>
    <w:rsid w:val="00440B5F"/>
    <w:rsid w:val="00440B61"/>
    <w:rsid w:val="00440FCF"/>
    <w:rsid w:val="00441A04"/>
    <w:rsid w:val="00441F13"/>
    <w:rsid w:val="004428A6"/>
    <w:rsid w:val="00442913"/>
    <w:rsid w:val="00442A61"/>
    <w:rsid w:val="00442D18"/>
    <w:rsid w:val="00442D6B"/>
    <w:rsid w:val="004430AE"/>
    <w:rsid w:val="00443251"/>
    <w:rsid w:val="004433EF"/>
    <w:rsid w:val="004435FD"/>
    <w:rsid w:val="00444028"/>
    <w:rsid w:val="0044424D"/>
    <w:rsid w:val="00444751"/>
    <w:rsid w:val="0044479E"/>
    <w:rsid w:val="0044502E"/>
    <w:rsid w:val="00445464"/>
    <w:rsid w:val="004455FA"/>
    <w:rsid w:val="00445939"/>
    <w:rsid w:val="0044682C"/>
    <w:rsid w:val="00446B4E"/>
    <w:rsid w:val="00446D72"/>
    <w:rsid w:val="00447004"/>
    <w:rsid w:val="004472B2"/>
    <w:rsid w:val="00447577"/>
    <w:rsid w:val="00447E81"/>
    <w:rsid w:val="0045023F"/>
    <w:rsid w:val="004505E8"/>
    <w:rsid w:val="004509F0"/>
    <w:rsid w:val="00450F20"/>
    <w:rsid w:val="0045109D"/>
    <w:rsid w:val="004514BC"/>
    <w:rsid w:val="00451697"/>
    <w:rsid w:val="00451858"/>
    <w:rsid w:val="00451AD3"/>
    <w:rsid w:val="00451DDC"/>
    <w:rsid w:val="00451E38"/>
    <w:rsid w:val="0045236E"/>
    <w:rsid w:val="004523D8"/>
    <w:rsid w:val="0045275B"/>
    <w:rsid w:val="00452819"/>
    <w:rsid w:val="004529D3"/>
    <w:rsid w:val="004529E6"/>
    <w:rsid w:val="00452CF4"/>
    <w:rsid w:val="00452E0C"/>
    <w:rsid w:val="004533E8"/>
    <w:rsid w:val="0045387D"/>
    <w:rsid w:val="00453AB8"/>
    <w:rsid w:val="00453B8A"/>
    <w:rsid w:val="00454830"/>
    <w:rsid w:val="004553F0"/>
    <w:rsid w:val="00455692"/>
    <w:rsid w:val="00455C2E"/>
    <w:rsid w:val="00455C5C"/>
    <w:rsid w:val="00457411"/>
    <w:rsid w:val="004575E0"/>
    <w:rsid w:val="00457BFD"/>
    <w:rsid w:val="00457E12"/>
    <w:rsid w:val="00457FAD"/>
    <w:rsid w:val="004600C6"/>
    <w:rsid w:val="004604E3"/>
    <w:rsid w:val="0046069E"/>
    <w:rsid w:val="004611C8"/>
    <w:rsid w:val="004612BB"/>
    <w:rsid w:val="00461749"/>
    <w:rsid w:val="00461869"/>
    <w:rsid w:val="00461C48"/>
    <w:rsid w:val="00461D9B"/>
    <w:rsid w:val="00461FEB"/>
    <w:rsid w:val="004625F3"/>
    <w:rsid w:val="00462841"/>
    <w:rsid w:val="00462B3B"/>
    <w:rsid w:val="00462C37"/>
    <w:rsid w:val="00462D87"/>
    <w:rsid w:val="00463785"/>
    <w:rsid w:val="00463A16"/>
    <w:rsid w:val="00463E3F"/>
    <w:rsid w:val="00464C2D"/>
    <w:rsid w:val="00465065"/>
    <w:rsid w:val="0046513F"/>
    <w:rsid w:val="00465916"/>
    <w:rsid w:val="00466013"/>
    <w:rsid w:val="00466222"/>
    <w:rsid w:val="004663F5"/>
    <w:rsid w:val="0046643C"/>
    <w:rsid w:val="00466575"/>
    <w:rsid w:val="00466FC7"/>
    <w:rsid w:val="004673AE"/>
    <w:rsid w:val="00467865"/>
    <w:rsid w:val="00467895"/>
    <w:rsid w:val="00467D69"/>
    <w:rsid w:val="00467E11"/>
    <w:rsid w:val="00467E6E"/>
    <w:rsid w:val="00470222"/>
    <w:rsid w:val="00470242"/>
    <w:rsid w:val="004704C5"/>
    <w:rsid w:val="004708C4"/>
    <w:rsid w:val="004709C7"/>
    <w:rsid w:val="00470CCF"/>
    <w:rsid w:val="00470D01"/>
    <w:rsid w:val="00470E24"/>
    <w:rsid w:val="00470E88"/>
    <w:rsid w:val="004714E3"/>
    <w:rsid w:val="0047168A"/>
    <w:rsid w:val="0047255A"/>
    <w:rsid w:val="00472C67"/>
    <w:rsid w:val="00472CEC"/>
    <w:rsid w:val="0047330A"/>
    <w:rsid w:val="00473362"/>
    <w:rsid w:val="0047392F"/>
    <w:rsid w:val="00473954"/>
    <w:rsid w:val="00473A28"/>
    <w:rsid w:val="00473B24"/>
    <w:rsid w:val="00473DFC"/>
    <w:rsid w:val="00474276"/>
    <w:rsid w:val="004747FA"/>
    <w:rsid w:val="00474893"/>
    <w:rsid w:val="00474A01"/>
    <w:rsid w:val="004752AC"/>
    <w:rsid w:val="004754F4"/>
    <w:rsid w:val="00476684"/>
    <w:rsid w:val="004771C6"/>
    <w:rsid w:val="0047734F"/>
    <w:rsid w:val="00477D16"/>
    <w:rsid w:val="00480574"/>
    <w:rsid w:val="00480DB5"/>
    <w:rsid w:val="00480E62"/>
    <w:rsid w:val="004811F2"/>
    <w:rsid w:val="004817FC"/>
    <w:rsid w:val="0048186A"/>
    <w:rsid w:val="00481BC4"/>
    <w:rsid w:val="00482932"/>
    <w:rsid w:val="00482B03"/>
    <w:rsid w:val="00482B2E"/>
    <w:rsid w:val="00482F4A"/>
    <w:rsid w:val="00483754"/>
    <w:rsid w:val="00483789"/>
    <w:rsid w:val="00483AF6"/>
    <w:rsid w:val="00484047"/>
    <w:rsid w:val="0048423E"/>
    <w:rsid w:val="00484668"/>
    <w:rsid w:val="00484D14"/>
    <w:rsid w:val="00485C9F"/>
    <w:rsid w:val="00485E88"/>
    <w:rsid w:val="0048622D"/>
    <w:rsid w:val="00486531"/>
    <w:rsid w:val="004865BD"/>
    <w:rsid w:val="0048683C"/>
    <w:rsid w:val="00486896"/>
    <w:rsid w:val="00486FB7"/>
    <w:rsid w:val="00487382"/>
    <w:rsid w:val="004879E9"/>
    <w:rsid w:val="00487C06"/>
    <w:rsid w:val="00487E5B"/>
    <w:rsid w:val="00487FD1"/>
    <w:rsid w:val="0049040B"/>
    <w:rsid w:val="004907E4"/>
    <w:rsid w:val="00490A50"/>
    <w:rsid w:val="00490A76"/>
    <w:rsid w:val="00491204"/>
    <w:rsid w:val="004915E6"/>
    <w:rsid w:val="00491BE6"/>
    <w:rsid w:val="00491E0C"/>
    <w:rsid w:val="00491F4F"/>
    <w:rsid w:val="00492022"/>
    <w:rsid w:val="00492A2D"/>
    <w:rsid w:val="00492AD7"/>
    <w:rsid w:val="004932A3"/>
    <w:rsid w:val="00493516"/>
    <w:rsid w:val="004938FD"/>
    <w:rsid w:val="00493945"/>
    <w:rsid w:val="00493BA1"/>
    <w:rsid w:val="00493D94"/>
    <w:rsid w:val="00493F03"/>
    <w:rsid w:val="00494044"/>
    <w:rsid w:val="0049435A"/>
    <w:rsid w:val="0049466F"/>
    <w:rsid w:val="0049514C"/>
    <w:rsid w:val="004952DA"/>
    <w:rsid w:val="00495854"/>
    <w:rsid w:val="004958E4"/>
    <w:rsid w:val="00496565"/>
    <w:rsid w:val="0049692D"/>
    <w:rsid w:val="00496CDC"/>
    <w:rsid w:val="00496D2A"/>
    <w:rsid w:val="0049704D"/>
    <w:rsid w:val="004972C6"/>
    <w:rsid w:val="004972F5"/>
    <w:rsid w:val="004974FF"/>
    <w:rsid w:val="004A01BA"/>
    <w:rsid w:val="004A0310"/>
    <w:rsid w:val="004A0A66"/>
    <w:rsid w:val="004A0D6F"/>
    <w:rsid w:val="004A14E3"/>
    <w:rsid w:val="004A1547"/>
    <w:rsid w:val="004A1959"/>
    <w:rsid w:val="004A1D1B"/>
    <w:rsid w:val="004A1E09"/>
    <w:rsid w:val="004A234D"/>
    <w:rsid w:val="004A24C1"/>
    <w:rsid w:val="004A271B"/>
    <w:rsid w:val="004A2B7F"/>
    <w:rsid w:val="004A2BA1"/>
    <w:rsid w:val="004A3174"/>
    <w:rsid w:val="004A31BE"/>
    <w:rsid w:val="004A32D9"/>
    <w:rsid w:val="004A359B"/>
    <w:rsid w:val="004A37D9"/>
    <w:rsid w:val="004A3D48"/>
    <w:rsid w:val="004A3DA9"/>
    <w:rsid w:val="004A3E61"/>
    <w:rsid w:val="004A423C"/>
    <w:rsid w:val="004A49DB"/>
    <w:rsid w:val="004A50C6"/>
    <w:rsid w:val="004A53BF"/>
    <w:rsid w:val="004A5A82"/>
    <w:rsid w:val="004A6935"/>
    <w:rsid w:val="004A6A5C"/>
    <w:rsid w:val="004A6B77"/>
    <w:rsid w:val="004A6CA9"/>
    <w:rsid w:val="004A7734"/>
    <w:rsid w:val="004B02E5"/>
    <w:rsid w:val="004B0450"/>
    <w:rsid w:val="004B0BE0"/>
    <w:rsid w:val="004B1482"/>
    <w:rsid w:val="004B1572"/>
    <w:rsid w:val="004B1694"/>
    <w:rsid w:val="004B169C"/>
    <w:rsid w:val="004B197E"/>
    <w:rsid w:val="004B1988"/>
    <w:rsid w:val="004B2237"/>
    <w:rsid w:val="004B261E"/>
    <w:rsid w:val="004B2C2E"/>
    <w:rsid w:val="004B2DA3"/>
    <w:rsid w:val="004B3D69"/>
    <w:rsid w:val="004B5287"/>
    <w:rsid w:val="004B5637"/>
    <w:rsid w:val="004B6044"/>
    <w:rsid w:val="004B64CC"/>
    <w:rsid w:val="004B6815"/>
    <w:rsid w:val="004B6CA6"/>
    <w:rsid w:val="004B7A77"/>
    <w:rsid w:val="004B7B9D"/>
    <w:rsid w:val="004C10D1"/>
    <w:rsid w:val="004C1164"/>
    <w:rsid w:val="004C1F18"/>
    <w:rsid w:val="004C23F7"/>
    <w:rsid w:val="004C2462"/>
    <w:rsid w:val="004C2594"/>
    <w:rsid w:val="004C3985"/>
    <w:rsid w:val="004C3C4D"/>
    <w:rsid w:val="004C416D"/>
    <w:rsid w:val="004C4617"/>
    <w:rsid w:val="004C4A09"/>
    <w:rsid w:val="004C4CD8"/>
    <w:rsid w:val="004C62FE"/>
    <w:rsid w:val="004C6B03"/>
    <w:rsid w:val="004C722B"/>
    <w:rsid w:val="004C7615"/>
    <w:rsid w:val="004C7808"/>
    <w:rsid w:val="004C79AE"/>
    <w:rsid w:val="004D0270"/>
    <w:rsid w:val="004D0AF2"/>
    <w:rsid w:val="004D0C07"/>
    <w:rsid w:val="004D128C"/>
    <w:rsid w:val="004D13FE"/>
    <w:rsid w:val="004D15C9"/>
    <w:rsid w:val="004D16FD"/>
    <w:rsid w:val="004D1995"/>
    <w:rsid w:val="004D24CA"/>
    <w:rsid w:val="004D2AB5"/>
    <w:rsid w:val="004D3305"/>
    <w:rsid w:val="004D3394"/>
    <w:rsid w:val="004D3B9B"/>
    <w:rsid w:val="004D3FBA"/>
    <w:rsid w:val="004D4665"/>
    <w:rsid w:val="004D48C6"/>
    <w:rsid w:val="004D4A6A"/>
    <w:rsid w:val="004D4A93"/>
    <w:rsid w:val="004D4D9C"/>
    <w:rsid w:val="004D5307"/>
    <w:rsid w:val="004D5368"/>
    <w:rsid w:val="004D5F1D"/>
    <w:rsid w:val="004D677B"/>
    <w:rsid w:val="004D6B9F"/>
    <w:rsid w:val="004D6CEA"/>
    <w:rsid w:val="004D6DDC"/>
    <w:rsid w:val="004E082F"/>
    <w:rsid w:val="004E1357"/>
    <w:rsid w:val="004E1439"/>
    <w:rsid w:val="004E1661"/>
    <w:rsid w:val="004E1ABE"/>
    <w:rsid w:val="004E1F59"/>
    <w:rsid w:val="004E225B"/>
    <w:rsid w:val="004E24C7"/>
    <w:rsid w:val="004E2B05"/>
    <w:rsid w:val="004E3179"/>
    <w:rsid w:val="004E342B"/>
    <w:rsid w:val="004E376F"/>
    <w:rsid w:val="004E37EA"/>
    <w:rsid w:val="004E37F0"/>
    <w:rsid w:val="004E3A51"/>
    <w:rsid w:val="004E4DB1"/>
    <w:rsid w:val="004E4E5E"/>
    <w:rsid w:val="004E4F7B"/>
    <w:rsid w:val="004E5804"/>
    <w:rsid w:val="004E65A9"/>
    <w:rsid w:val="004E6718"/>
    <w:rsid w:val="004E67EC"/>
    <w:rsid w:val="004E73E0"/>
    <w:rsid w:val="004E747E"/>
    <w:rsid w:val="004E780C"/>
    <w:rsid w:val="004F017E"/>
    <w:rsid w:val="004F08B0"/>
    <w:rsid w:val="004F0C08"/>
    <w:rsid w:val="004F0C84"/>
    <w:rsid w:val="004F1971"/>
    <w:rsid w:val="004F1994"/>
    <w:rsid w:val="004F1F3A"/>
    <w:rsid w:val="004F21F4"/>
    <w:rsid w:val="004F2462"/>
    <w:rsid w:val="004F25D1"/>
    <w:rsid w:val="004F2D02"/>
    <w:rsid w:val="004F2E91"/>
    <w:rsid w:val="004F3485"/>
    <w:rsid w:val="004F39CE"/>
    <w:rsid w:val="004F3AE4"/>
    <w:rsid w:val="004F3E02"/>
    <w:rsid w:val="004F5101"/>
    <w:rsid w:val="004F5779"/>
    <w:rsid w:val="004F57B6"/>
    <w:rsid w:val="004F6047"/>
    <w:rsid w:val="004F6A60"/>
    <w:rsid w:val="004F7427"/>
    <w:rsid w:val="004F753F"/>
    <w:rsid w:val="004F77DD"/>
    <w:rsid w:val="004F7D55"/>
    <w:rsid w:val="004F7DB3"/>
    <w:rsid w:val="004F7F82"/>
    <w:rsid w:val="005005AE"/>
    <w:rsid w:val="005016E9"/>
    <w:rsid w:val="00501987"/>
    <w:rsid w:val="00502511"/>
    <w:rsid w:val="005027B2"/>
    <w:rsid w:val="005029EC"/>
    <w:rsid w:val="00502FD2"/>
    <w:rsid w:val="00503B01"/>
    <w:rsid w:val="00503E33"/>
    <w:rsid w:val="00505528"/>
    <w:rsid w:val="00505F9F"/>
    <w:rsid w:val="005066C2"/>
    <w:rsid w:val="0050694F"/>
    <w:rsid w:val="005072C6"/>
    <w:rsid w:val="005073E6"/>
    <w:rsid w:val="00507684"/>
    <w:rsid w:val="0050796F"/>
    <w:rsid w:val="00507EB7"/>
    <w:rsid w:val="005108A9"/>
    <w:rsid w:val="00510910"/>
    <w:rsid w:val="00510AB1"/>
    <w:rsid w:val="00511164"/>
    <w:rsid w:val="00511184"/>
    <w:rsid w:val="00511217"/>
    <w:rsid w:val="00511263"/>
    <w:rsid w:val="00511296"/>
    <w:rsid w:val="005118B3"/>
    <w:rsid w:val="00511C40"/>
    <w:rsid w:val="00511C48"/>
    <w:rsid w:val="00511C52"/>
    <w:rsid w:val="00512173"/>
    <w:rsid w:val="005121B8"/>
    <w:rsid w:val="0051247C"/>
    <w:rsid w:val="00512EB4"/>
    <w:rsid w:val="005132F7"/>
    <w:rsid w:val="00514009"/>
    <w:rsid w:val="0051403D"/>
    <w:rsid w:val="00514B07"/>
    <w:rsid w:val="00514B1A"/>
    <w:rsid w:val="00514BFC"/>
    <w:rsid w:val="00514CF7"/>
    <w:rsid w:val="00514DC5"/>
    <w:rsid w:val="005155BB"/>
    <w:rsid w:val="005155DB"/>
    <w:rsid w:val="00515BEB"/>
    <w:rsid w:val="00515ED5"/>
    <w:rsid w:val="005160AB"/>
    <w:rsid w:val="00516121"/>
    <w:rsid w:val="00516196"/>
    <w:rsid w:val="005162BA"/>
    <w:rsid w:val="00516AB7"/>
    <w:rsid w:val="00516B16"/>
    <w:rsid w:val="00516F36"/>
    <w:rsid w:val="00517569"/>
    <w:rsid w:val="00517B13"/>
    <w:rsid w:val="00517F24"/>
    <w:rsid w:val="00517F62"/>
    <w:rsid w:val="00520EAB"/>
    <w:rsid w:val="00520EB5"/>
    <w:rsid w:val="00521364"/>
    <w:rsid w:val="005215CF"/>
    <w:rsid w:val="005216D1"/>
    <w:rsid w:val="005224BE"/>
    <w:rsid w:val="005229C0"/>
    <w:rsid w:val="00522D1C"/>
    <w:rsid w:val="00522EC2"/>
    <w:rsid w:val="00522EDC"/>
    <w:rsid w:val="00523D1B"/>
    <w:rsid w:val="005248E9"/>
    <w:rsid w:val="00524916"/>
    <w:rsid w:val="00525022"/>
    <w:rsid w:val="005253D6"/>
    <w:rsid w:val="00525D08"/>
    <w:rsid w:val="00526062"/>
    <w:rsid w:val="00526408"/>
    <w:rsid w:val="005267E6"/>
    <w:rsid w:val="00526C57"/>
    <w:rsid w:val="00526C97"/>
    <w:rsid w:val="00526F21"/>
    <w:rsid w:val="00527C11"/>
    <w:rsid w:val="00530F11"/>
    <w:rsid w:val="00532308"/>
    <w:rsid w:val="005323BF"/>
    <w:rsid w:val="0053259D"/>
    <w:rsid w:val="005327C8"/>
    <w:rsid w:val="00533609"/>
    <w:rsid w:val="00533EEB"/>
    <w:rsid w:val="0053411D"/>
    <w:rsid w:val="00534977"/>
    <w:rsid w:val="005349FF"/>
    <w:rsid w:val="00534B45"/>
    <w:rsid w:val="00534D26"/>
    <w:rsid w:val="00535386"/>
    <w:rsid w:val="0053541D"/>
    <w:rsid w:val="005356A1"/>
    <w:rsid w:val="00536771"/>
    <w:rsid w:val="00536934"/>
    <w:rsid w:val="00536CD5"/>
    <w:rsid w:val="00536F43"/>
    <w:rsid w:val="005370E3"/>
    <w:rsid w:val="0053721F"/>
    <w:rsid w:val="00537E05"/>
    <w:rsid w:val="00540151"/>
    <w:rsid w:val="00540830"/>
    <w:rsid w:val="00540BC3"/>
    <w:rsid w:val="00540D25"/>
    <w:rsid w:val="005417FC"/>
    <w:rsid w:val="00542BD9"/>
    <w:rsid w:val="00542D55"/>
    <w:rsid w:val="005433CE"/>
    <w:rsid w:val="00543B56"/>
    <w:rsid w:val="00543D2E"/>
    <w:rsid w:val="005440DE"/>
    <w:rsid w:val="0054470B"/>
    <w:rsid w:val="00544C45"/>
    <w:rsid w:val="00544E0C"/>
    <w:rsid w:val="005453A9"/>
    <w:rsid w:val="005457D7"/>
    <w:rsid w:val="00545AD9"/>
    <w:rsid w:val="00546857"/>
    <w:rsid w:val="00546990"/>
    <w:rsid w:val="00546CF3"/>
    <w:rsid w:val="00547E6A"/>
    <w:rsid w:val="00550AA2"/>
    <w:rsid w:val="005515ED"/>
    <w:rsid w:val="00551B53"/>
    <w:rsid w:val="00551C3F"/>
    <w:rsid w:val="00551F82"/>
    <w:rsid w:val="00552085"/>
    <w:rsid w:val="00552E4F"/>
    <w:rsid w:val="00552F9D"/>
    <w:rsid w:val="00553293"/>
    <w:rsid w:val="005541CD"/>
    <w:rsid w:val="005544DC"/>
    <w:rsid w:val="00555148"/>
    <w:rsid w:val="00555174"/>
    <w:rsid w:val="0055583A"/>
    <w:rsid w:val="00555A22"/>
    <w:rsid w:val="00555AE9"/>
    <w:rsid w:val="00555E1B"/>
    <w:rsid w:val="0055635A"/>
    <w:rsid w:val="0055681E"/>
    <w:rsid w:val="00556D93"/>
    <w:rsid w:val="0055752F"/>
    <w:rsid w:val="005575F4"/>
    <w:rsid w:val="0056007F"/>
    <w:rsid w:val="00560460"/>
    <w:rsid w:val="005609E5"/>
    <w:rsid w:val="00560F3B"/>
    <w:rsid w:val="00561E82"/>
    <w:rsid w:val="00561F63"/>
    <w:rsid w:val="005620A6"/>
    <w:rsid w:val="005622AD"/>
    <w:rsid w:val="005628B8"/>
    <w:rsid w:val="00562AAD"/>
    <w:rsid w:val="00562F94"/>
    <w:rsid w:val="00563373"/>
    <w:rsid w:val="005637E9"/>
    <w:rsid w:val="0056394F"/>
    <w:rsid w:val="00563B22"/>
    <w:rsid w:val="00563F37"/>
    <w:rsid w:val="005646DF"/>
    <w:rsid w:val="00564797"/>
    <w:rsid w:val="00564B0D"/>
    <w:rsid w:val="00564D4D"/>
    <w:rsid w:val="00564E2D"/>
    <w:rsid w:val="0056512D"/>
    <w:rsid w:val="00565356"/>
    <w:rsid w:val="0056549E"/>
    <w:rsid w:val="00565525"/>
    <w:rsid w:val="00565591"/>
    <w:rsid w:val="0056565A"/>
    <w:rsid w:val="00565829"/>
    <w:rsid w:val="00565E74"/>
    <w:rsid w:val="00566811"/>
    <w:rsid w:val="00566E48"/>
    <w:rsid w:val="0056751D"/>
    <w:rsid w:val="005677B7"/>
    <w:rsid w:val="00567D11"/>
    <w:rsid w:val="00567F3B"/>
    <w:rsid w:val="00567F3F"/>
    <w:rsid w:val="0057002B"/>
    <w:rsid w:val="00570BD2"/>
    <w:rsid w:val="00571630"/>
    <w:rsid w:val="00571723"/>
    <w:rsid w:val="005717E2"/>
    <w:rsid w:val="00571F72"/>
    <w:rsid w:val="00572B8D"/>
    <w:rsid w:val="005737FE"/>
    <w:rsid w:val="00573CB0"/>
    <w:rsid w:val="005746E2"/>
    <w:rsid w:val="00574A89"/>
    <w:rsid w:val="00574E18"/>
    <w:rsid w:val="00575092"/>
    <w:rsid w:val="005759F0"/>
    <w:rsid w:val="00575A21"/>
    <w:rsid w:val="00575B8A"/>
    <w:rsid w:val="00575E29"/>
    <w:rsid w:val="00576369"/>
    <w:rsid w:val="00576A68"/>
    <w:rsid w:val="00577735"/>
    <w:rsid w:val="00577C3D"/>
    <w:rsid w:val="00577C7F"/>
    <w:rsid w:val="00580095"/>
    <w:rsid w:val="005802D7"/>
    <w:rsid w:val="00580756"/>
    <w:rsid w:val="00580888"/>
    <w:rsid w:val="0058145A"/>
    <w:rsid w:val="0058234A"/>
    <w:rsid w:val="00582471"/>
    <w:rsid w:val="005824B1"/>
    <w:rsid w:val="00583120"/>
    <w:rsid w:val="0058344B"/>
    <w:rsid w:val="005834D4"/>
    <w:rsid w:val="0058357F"/>
    <w:rsid w:val="00583683"/>
    <w:rsid w:val="005836AF"/>
    <w:rsid w:val="005839AC"/>
    <w:rsid w:val="005839D7"/>
    <w:rsid w:val="00583F62"/>
    <w:rsid w:val="00584993"/>
    <w:rsid w:val="00584B13"/>
    <w:rsid w:val="005856ED"/>
    <w:rsid w:val="0058586A"/>
    <w:rsid w:val="00585A7D"/>
    <w:rsid w:val="00586071"/>
    <w:rsid w:val="005863DD"/>
    <w:rsid w:val="005865FD"/>
    <w:rsid w:val="00586831"/>
    <w:rsid w:val="005868C2"/>
    <w:rsid w:val="0058709E"/>
    <w:rsid w:val="0058775F"/>
    <w:rsid w:val="00587B36"/>
    <w:rsid w:val="00587F14"/>
    <w:rsid w:val="00590192"/>
    <w:rsid w:val="00590619"/>
    <w:rsid w:val="005909B1"/>
    <w:rsid w:val="00590DFE"/>
    <w:rsid w:val="00590E23"/>
    <w:rsid w:val="005912C5"/>
    <w:rsid w:val="00591E97"/>
    <w:rsid w:val="00591EC5"/>
    <w:rsid w:val="0059230D"/>
    <w:rsid w:val="005925F6"/>
    <w:rsid w:val="00592911"/>
    <w:rsid w:val="005929DA"/>
    <w:rsid w:val="005939C6"/>
    <w:rsid w:val="00593E62"/>
    <w:rsid w:val="00593E72"/>
    <w:rsid w:val="0059436C"/>
    <w:rsid w:val="005944C4"/>
    <w:rsid w:val="005945A9"/>
    <w:rsid w:val="00594D96"/>
    <w:rsid w:val="005954B2"/>
    <w:rsid w:val="0059568A"/>
    <w:rsid w:val="005958EF"/>
    <w:rsid w:val="00595BA8"/>
    <w:rsid w:val="005960B9"/>
    <w:rsid w:val="00596AC0"/>
    <w:rsid w:val="00596E2A"/>
    <w:rsid w:val="0059701A"/>
    <w:rsid w:val="00597A8D"/>
    <w:rsid w:val="00597BE7"/>
    <w:rsid w:val="00597C1E"/>
    <w:rsid w:val="00597DFB"/>
    <w:rsid w:val="005A0089"/>
    <w:rsid w:val="005A017D"/>
    <w:rsid w:val="005A01FD"/>
    <w:rsid w:val="005A0BDC"/>
    <w:rsid w:val="005A0E88"/>
    <w:rsid w:val="005A1548"/>
    <w:rsid w:val="005A1895"/>
    <w:rsid w:val="005A1921"/>
    <w:rsid w:val="005A1C13"/>
    <w:rsid w:val="005A23AF"/>
    <w:rsid w:val="005A25C6"/>
    <w:rsid w:val="005A2C05"/>
    <w:rsid w:val="005A3716"/>
    <w:rsid w:val="005A3740"/>
    <w:rsid w:val="005A37CC"/>
    <w:rsid w:val="005A3C61"/>
    <w:rsid w:val="005A4540"/>
    <w:rsid w:val="005A4E05"/>
    <w:rsid w:val="005A61EC"/>
    <w:rsid w:val="005A6354"/>
    <w:rsid w:val="005A6BE5"/>
    <w:rsid w:val="005A7603"/>
    <w:rsid w:val="005A7698"/>
    <w:rsid w:val="005A794C"/>
    <w:rsid w:val="005A7A58"/>
    <w:rsid w:val="005A7F6E"/>
    <w:rsid w:val="005B02BB"/>
    <w:rsid w:val="005B065D"/>
    <w:rsid w:val="005B07A2"/>
    <w:rsid w:val="005B13D3"/>
    <w:rsid w:val="005B1507"/>
    <w:rsid w:val="005B18A1"/>
    <w:rsid w:val="005B1B9D"/>
    <w:rsid w:val="005B2972"/>
    <w:rsid w:val="005B2CC1"/>
    <w:rsid w:val="005B31F5"/>
    <w:rsid w:val="005B3423"/>
    <w:rsid w:val="005B3DE3"/>
    <w:rsid w:val="005B3E3F"/>
    <w:rsid w:val="005B4F3A"/>
    <w:rsid w:val="005B5556"/>
    <w:rsid w:val="005B582F"/>
    <w:rsid w:val="005B5A54"/>
    <w:rsid w:val="005B6038"/>
    <w:rsid w:val="005B6BE4"/>
    <w:rsid w:val="005B6EA7"/>
    <w:rsid w:val="005B6F24"/>
    <w:rsid w:val="005B702D"/>
    <w:rsid w:val="005B75A5"/>
    <w:rsid w:val="005B7807"/>
    <w:rsid w:val="005B783B"/>
    <w:rsid w:val="005C052C"/>
    <w:rsid w:val="005C06E4"/>
    <w:rsid w:val="005C0E34"/>
    <w:rsid w:val="005C11BA"/>
    <w:rsid w:val="005C131A"/>
    <w:rsid w:val="005C17D1"/>
    <w:rsid w:val="005C1A46"/>
    <w:rsid w:val="005C2DFC"/>
    <w:rsid w:val="005C3468"/>
    <w:rsid w:val="005C4442"/>
    <w:rsid w:val="005C4673"/>
    <w:rsid w:val="005C49BF"/>
    <w:rsid w:val="005C4B3B"/>
    <w:rsid w:val="005C4C7D"/>
    <w:rsid w:val="005C508B"/>
    <w:rsid w:val="005C5C28"/>
    <w:rsid w:val="005C65F6"/>
    <w:rsid w:val="005C68EF"/>
    <w:rsid w:val="005C6FCC"/>
    <w:rsid w:val="005C7668"/>
    <w:rsid w:val="005C7753"/>
    <w:rsid w:val="005D030F"/>
    <w:rsid w:val="005D0767"/>
    <w:rsid w:val="005D0816"/>
    <w:rsid w:val="005D0CF9"/>
    <w:rsid w:val="005D0F80"/>
    <w:rsid w:val="005D2641"/>
    <w:rsid w:val="005D298D"/>
    <w:rsid w:val="005D2BDC"/>
    <w:rsid w:val="005D2D5C"/>
    <w:rsid w:val="005D37E1"/>
    <w:rsid w:val="005D3839"/>
    <w:rsid w:val="005D3E48"/>
    <w:rsid w:val="005D3ED5"/>
    <w:rsid w:val="005D4870"/>
    <w:rsid w:val="005D48D3"/>
    <w:rsid w:val="005D4B32"/>
    <w:rsid w:val="005D4CE3"/>
    <w:rsid w:val="005D4F1B"/>
    <w:rsid w:val="005D5C20"/>
    <w:rsid w:val="005D5F4E"/>
    <w:rsid w:val="005D6B39"/>
    <w:rsid w:val="005D6C6D"/>
    <w:rsid w:val="005D6D78"/>
    <w:rsid w:val="005D726A"/>
    <w:rsid w:val="005D7609"/>
    <w:rsid w:val="005D7C21"/>
    <w:rsid w:val="005D7D5B"/>
    <w:rsid w:val="005D7EBC"/>
    <w:rsid w:val="005E009D"/>
    <w:rsid w:val="005E0506"/>
    <w:rsid w:val="005E064B"/>
    <w:rsid w:val="005E0D12"/>
    <w:rsid w:val="005E0FDE"/>
    <w:rsid w:val="005E1081"/>
    <w:rsid w:val="005E170F"/>
    <w:rsid w:val="005E1821"/>
    <w:rsid w:val="005E1970"/>
    <w:rsid w:val="005E2315"/>
    <w:rsid w:val="005E2C2E"/>
    <w:rsid w:val="005E2E0F"/>
    <w:rsid w:val="005E3E63"/>
    <w:rsid w:val="005E4671"/>
    <w:rsid w:val="005E4A7F"/>
    <w:rsid w:val="005E5421"/>
    <w:rsid w:val="005E5F4E"/>
    <w:rsid w:val="005E600C"/>
    <w:rsid w:val="005E6189"/>
    <w:rsid w:val="005E62BC"/>
    <w:rsid w:val="005E6498"/>
    <w:rsid w:val="005E670E"/>
    <w:rsid w:val="005E6C84"/>
    <w:rsid w:val="005E6E60"/>
    <w:rsid w:val="005F02A7"/>
    <w:rsid w:val="005F1946"/>
    <w:rsid w:val="005F1C31"/>
    <w:rsid w:val="005F1DF6"/>
    <w:rsid w:val="005F1F42"/>
    <w:rsid w:val="005F250C"/>
    <w:rsid w:val="005F2667"/>
    <w:rsid w:val="005F32B3"/>
    <w:rsid w:val="005F3781"/>
    <w:rsid w:val="005F38D0"/>
    <w:rsid w:val="005F3EB1"/>
    <w:rsid w:val="005F40B2"/>
    <w:rsid w:val="005F4CA4"/>
    <w:rsid w:val="005F5288"/>
    <w:rsid w:val="005F52EA"/>
    <w:rsid w:val="005F544E"/>
    <w:rsid w:val="005F5917"/>
    <w:rsid w:val="005F601A"/>
    <w:rsid w:val="005F61DC"/>
    <w:rsid w:val="005F6553"/>
    <w:rsid w:val="005F6657"/>
    <w:rsid w:val="005F67E8"/>
    <w:rsid w:val="005F6A69"/>
    <w:rsid w:val="005F6B20"/>
    <w:rsid w:val="005F6E22"/>
    <w:rsid w:val="005F771A"/>
    <w:rsid w:val="005F7CB7"/>
    <w:rsid w:val="005F7D20"/>
    <w:rsid w:val="00600202"/>
    <w:rsid w:val="00600350"/>
    <w:rsid w:val="00600775"/>
    <w:rsid w:val="00600AF8"/>
    <w:rsid w:val="00600BCE"/>
    <w:rsid w:val="00600CFF"/>
    <w:rsid w:val="00600EBF"/>
    <w:rsid w:val="006013AB"/>
    <w:rsid w:val="00602914"/>
    <w:rsid w:val="00602B23"/>
    <w:rsid w:val="00602F4B"/>
    <w:rsid w:val="00603300"/>
    <w:rsid w:val="00604CAF"/>
    <w:rsid w:val="00604EE1"/>
    <w:rsid w:val="006057DD"/>
    <w:rsid w:val="00605AC8"/>
    <w:rsid w:val="00605B3A"/>
    <w:rsid w:val="00605D1E"/>
    <w:rsid w:val="0060677E"/>
    <w:rsid w:val="00606892"/>
    <w:rsid w:val="00606BC9"/>
    <w:rsid w:val="0061082A"/>
    <w:rsid w:val="00610B43"/>
    <w:rsid w:val="00610BB5"/>
    <w:rsid w:val="00610EC4"/>
    <w:rsid w:val="00610F13"/>
    <w:rsid w:val="00611A5D"/>
    <w:rsid w:val="00611BBE"/>
    <w:rsid w:val="0061216A"/>
    <w:rsid w:val="0061221A"/>
    <w:rsid w:val="00612393"/>
    <w:rsid w:val="00612543"/>
    <w:rsid w:val="0061297A"/>
    <w:rsid w:val="00612A70"/>
    <w:rsid w:val="00612C84"/>
    <w:rsid w:val="006131A4"/>
    <w:rsid w:val="00613F3F"/>
    <w:rsid w:val="006141C4"/>
    <w:rsid w:val="00614A6E"/>
    <w:rsid w:val="00614B09"/>
    <w:rsid w:val="0061539D"/>
    <w:rsid w:val="00615FB4"/>
    <w:rsid w:val="0061649E"/>
    <w:rsid w:val="00617103"/>
    <w:rsid w:val="00617144"/>
    <w:rsid w:val="0061740D"/>
    <w:rsid w:val="00617533"/>
    <w:rsid w:val="0061790B"/>
    <w:rsid w:val="00617A6C"/>
    <w:rsid w:val="00617BE1"/>
    <w:rsid w:val="00620083"/>
    <w:rsid w:val="00620E76"/>
    <w:rsid w:val="00620F08"/>
    <w:rsid w:val="00621009"/>
    <w:rsid w:val="0062164A"/>
    <w:rsid w:val="00621B8E"/>
    <w:rsid w:val="00621F42"/>
    <w:rsid w:val="006223B9"/>
    <w:rsid w:val="00622501"/>
    <w:rsid w:val="00622EE8"/>
    <w:rsid w:val="006230BD"/>
    <w:rsid w:val="006230E3"/>
    <w:rsid w:val="006233E9"/>
    <w:rsid w:val="006238B4"/>
    <w:rsid w:val="00623AD9"/>
    <w:rsid w:val="00623C0D"/>
    <w:rsid w:val="00623C71"/>
    <w:rsid w:val="006240A3"/>
    <w:rsid w:val="006243BF"/>
    <w:rsid w:val="00624C11"/>
    <w:rsid w:val="00625002"/>
    <w:rsid w:val="00625093"/>
    <w:rsid w:val="006250C8"/>
    <w:rsid w:val="006251E0"/>
    <w:rsid w:val="006256FB"/>
    <w:rsid w:val="006257C6"/>
    <w:rsid w:val="006259AD"/>
    <w:rsid w:val="0062632C"/>
    <w:rsid w:val="0062656A"/>
    <w:rsid w:val="00626689"/>
    <w:rsid w:val="0062684A"/>
    <w:rsid w:val="00626D4B"/>
    <w:rsid w:val="00626F98"/>
    <w:rsid w:val="00627841"/>
    <w:rsid w:val="006278DE"/>
    <w:rsid w:val="00630243"/>
    <w:rsid w:val="006305CC"/>
    <w:rsid w:val="006305E1"/>
    <w:rsid w:val="00631027"/>
    <w:rsid w:val="006323FC"/>
    <w:rsid w:val="0063250D"/>
    <w:rsid w:val="00632586"/>
    <w:rsid w:val="006329DB"/>
    <w:rsid w:val="00632F73"/>
    <w:rsid w:val="00632F83"/>
    <w:rsid w:val="006337A3"/>
    <w:rsid w:val="00633BB5"/>
    <w:rsid w:val="00633FA5"/>
    <w:rsid w:val="006341BB"/>
    <w:rsid w:val="0063472D"/>
    <w:rsid w:val="00634E99"/>
    <w:rsid w:val="00634EC2"/>
    <w:rsid w:val="00634F3D"/>
    <w:rsid w:val="006354F4"/>
    <w:rsid w:val="00635600"/>
    <w:rsid w:val="006357B3"/>
    <w:rsid w:val="0063729C"/>
    <w:rsid w:val="00637A1D"/>
    <w:rsid w:val="00637DFB"/>
    <w:rsid w:val="0064054F"/>
    <w:rsid w:val="006407FA"/>
    <w:rsid w:val="00640908"/>
    <w:rsid w:val="00641175"/>
    <w:rsid w:val="00641451"/>
    <w:rsid w:val="0064146D"/>
    <w:rsid w:val="006417A8"/>
    <w:rsid w:val="00641995"/>
    <w:rsid w:val="006419DE"/>
    <w:rsid w:val="00641A23"/>
    <w:rsid w:val="00641D92"/>
    <w:rsid w:val="00641DC2"/>
    <w:rsid w:val="00642590"/>
    <w:rsid w:val="006428B3"/>
    <w:rsid w:val="00642A5E"/>
    <w:rsid w:val="00642FC3"/>
    <w:rsid w:val="00643909"/>
    <w:rsid w:val="00643CFE"/>
    <w:rsid w:val="0064422B"/>
    <w:rsid w:val="0064457A"/>
    <w:rsid w:val="00644B89"/>
    <w:rsid w:val="00645653"/>
    <w:rsid w:val="006459F4"/>
    <w:rsid w:val="0064607F"/>
    <w:rsid w:val="00646434"/>
    <w:rsid w:val="00646498"/>
    <w:rsid w:val="00646518"/>
    <w:rsid w:val="0064688A"/>
    <w:rsid w:val="00646A3B"/>
    <w:rsid w:val="00647BE5"/>
    <w:rsid w:val="00647F44"/>
    <w:rsid w:val="00650094"/>
    <w:rsid w:val="00650AEB"/>
    <w:rsid w:val="00650C83"/>
    <w:rsid w:val="00650D3B"/>
    <w:rsid w:val="00650D80"/>
    <w:rsid w:val="00650F05"/>
    <w:rsid w:val="006510E1"/>
    <w:rsid w:val="006514C4"/>
    <w:rsid w:val="00651610"/>
    <w:rsid w:val="0065175E"/>
    <w:rsid w:val="00651BD2"/>
    <w:rsid w:val="006523CB"/>
    <w:rsid w:val="006524A6"/>
    <w:rsid w:val="006529A1"/>
    <w:rsid w:val="00652E94"/>
    <w:rsid w:val="00652EBA"/>
    <w:rsid w:val="006531E6"/>
    <w:rsid w:val="006533EA"/>
    <w:rsid w:val="00653531"/>
    <w:rsid w:val="00653710"/>
    <w:rsid w:val="00653FA6"/>
    <w:rsid w:val="00654213"/>
    <w:rsid w:val="00654521"/>
    <w:rsid w:val="006548EB"/>
    <w:rsid w:val="00654C02"/>
    <w:rsid w:val="00655080"/>
    <w:rsid w:val="0065540B"/>
    <w:rsid w:val="006554A2"/>
    <w:rsid w:val="006562FB"/>
    <w:rsid w:val="006565CD"/>
    <w:rsid w:val="006568BA"/>
    <w:rsid w:val="006569E8"/>
    <w:rsid w:val="00656BE7"/>
    <w:rsid w:val="00657524"/>
    <w:rsid w:val="00657599"/>
    <w:rsid w:val="006576C2"/>
    <w:rsid w:val="006578E4"/>
    <w:rsid w:val="00657C61"/>
    <w:rsid w:val="00657FBB"/>
    <w:rsid w:val="0066008F"/>
    <w:rsid w:val="00660A6C"/>
    <w:rsid w:val="00660DA2"/>
    <w:rsid w:val="00660DAE"/>
    <w:rsid w:val="00660F44"/>
    <w:rsid w:val="00661AAD"/>
    <w:rsid w:val="00661E2B"/>
    <w:rsid w:val="0066219F"/>
    <w:rsid w:val="00662508"/>
    <w:rsid w:val="00662947"/>
    <w:rsid w:val="006629ED"/>
    <w:rsid w:val="00662FF2"/>
    <w:rsid w:val="0066308F"/>
    <w:rsid w:val="006631BF"/>
    <w:rsid w:val="0066349F"/>
    <w:rsid w:val="00663C6E"/>
    <w:rsid w:val="006645A8"/>
    <w:rsid w:val="0066496C"/>
    <w:rsid w:val="00664BCA"/>
    <w:rsid w:val="00664D57"/>
    <w:rsid w:val="00664DFA"/>
    <w:rsid w:val="00665314"/>
    <w:rsid w:val="006654FB"/>
    <w:rsid w:val="00665636"/>
    <w:rsid w:val="00665809"/>
    <w:rsid w:val="00666FC7"/>
    <w:rsid w:val="006670B5"/>
    <w:rsid w:val="0066723D"/>
    <w:rsid w:val="006674DB"/>
    <w:rsid w:val="00667897"/>
    <w:rsid w:val="00667C3A"/>
    <w:rsid w:val="00670447"/>
    <w:rsid w:val="00670641"/>
    <w:rsid w:val="0067070B"/>
    <w:rsid w:val="00670965"/>
    <w:rsid w:val="00670FD6"/>
    <w:rsid w:val="0067110A"/>
    <w:rsid w:val="006713F0"/>
    <w:rsid w:val="0067162D"/>
    <w:rsid w:val="00671843"/>
    <w:rsid w:val="006725C1"/>
    <w:rsid w:val="00672659"/>
    <w:rsid w:val="00672940"/>
    <w:rsid w:val="00672C54"/>
    <w:rsid w:val="00672FF9"/>
    <w:rsid w:val="006741C4"/>
    <w:rsid w:val="006743DB"/>
    <w:rsid w:val="00674B78"/>
    <w:rsid w:val="00675F48"/>
    <w:rsid w:val="00675FF1"/>
    <w:rsid w:val="006763D6"/>
    <w:rsid w:val="006763D7"/>
    <w:rsid w:val="00676A63"/>
    <w:rsid w:val="00676EC7"/>
    <w:rsid w:val="00677320"/>
    <w:rsid w:val="00677479"/>
    <w:rsid w:val="00680A0C"/>
    <w:rsid w:val="00680A3F"/>
    <w:rsid w:val="00680D8B"/>
    <w:rsid w:val="00681F6F"/>
    <w:rsid w:val="006825C0"/>
    <w:rsid w:val="00682E3E"/>
    <w:rsid w:val="00682E93"/>
    <w:rsid w:val="00683763"/>
    <w:rsid w:val="00683B2E"/>
    <w:rsid w:val="0068479F"/>
    <w:rsid w:val="006847A7"/>
    <w:rsid w:val="0068516C"/>
    <w:rsid w:val="006856C1"/>
    <w:rsid w:val="006856E8"/>
    <w:rsid w:val="00685727"/>
    <w:rsid w:val="00686084"/>
    <w:rsid w:val="00686446"/>
    <w:rsid w:val="00686C6A"/>
    <w:rsid w:val="00686DBF"/>
    <w:rsid w:val="00686F1C"/>
    <w:rsid w:val="0068729A"/>
    <w:rsid w:val="006872C3"/>
    <w:rsid w:val="006875A6"/>
    <w:rsid w:val="006878E3"/>
    <w:rsid w:val="00687B95"/>
    <w:rsid w:val="00687FAD"/>
    <w:rsid w:val="00690E17"/>
    <w:rsid w:val="0069105D"/>
    <w:rsid w:val="00691202"/>
    <w:rsid w:val="00691251"/>
    <w:rsid w:val="0069141A"/>
    <w:rsid w:val="00691854"/>
    <w:rsid w:val="00691EA7"/>
    <w:rsid w:val="006921EE"/>
    <w:rsid w:val="00692208"/>
    <w:rsid w:val="0069296B"/>
    <w:rsid w:val="0069308B"/>
    <w:rsid w:val="006936DD"/>
    <w:rsid w:val="006939F5"/>
    <w:rsid w:val="00693A48"/>
    <w:rsid w:val="00693F64"/>
    <w:rsid w:val="00694204"/>
    <w:rsid w:val="0069461E"/>
    <w:rsid w:val="0069499F"/>
    <w:rsid w:val="00694A5C"/>
    <w:rsid w:val="00695204"/>
    <w:rsid w:val="006956FC"/>
    <w:rsid w:val="006957D7"/>
    <w:rsid w:val="006962D2"/>
    <w:rsid w:val="006967E3"/>
    <w:rsid w:val="00696B54"/>
    <w:rsid w:val="0069752C"/>
    <w:rsid w:val="006A0BBB"/>
    <w:rsid w:val="006A107F"/>
    <w:rsid w:val="006A1759"/>
    <w:rsid w:val="006A199E"/>
    <w:rsid w:val="006A1AD5"/>
    <w:rsid w:val="006A208C"/>
    <w:rsid w:val="006A2361"/>
    <w:rsid w:val="006A305E"/>
    <w:rsid w:val="006A3A24"/>
    <w:rsid w:val="006A3CFF"/>
    <w:rsid w:val="006A454B"/>
    <w:rsid w:val="006A46D3"/>
    <w:rsid w:val="006A480F"/>
    <w:rsid w:val="006A4946"/>
    <w:rsid w:val="006A4CAD"/>
    <w:rsid w:val="006A4F22"/>
    <w:rsid w:val="006A5323"/>
    <w:rsid w:val="006A548A"/>
    <w:rsid w:val="006A5FB2"/>
    <w:rsid w:val="006A6707"/>
    <w:rsid w:val="006A6998"/>
    <w:rsid w:val="006A706B"/>
    <w:rsid w:val="006A70EC"/>
    <w:rsid w:val="006A7313"/>
    <w:rsid w:val="006A746A"/>
    <w:rsid w:val="006A7B43"/>
    <w:rsid w:val="006B0529"/>
    <w:rsid w:val="006B07CC"/>
    <w:rsid w:val="006B10C6"/>
    <w:rsid w:val="006B17A3"/>
    <w:rsid w:val="006B1CEE"/>
    <w:rsid w:val="006B22CC"/>
    <w:rsid w:val="006B2430"/>
    <w:rsid w:val="006B2864"/>
    <w:rsid w:val="006B2A6A"/>
    <w:rsid w:val="006B2D35"/>
    <w:rsid w:val="006B2E41"/>
    <w:rsid w:val="006B3300"/>
    <w:rsid w:val="006B3BF1"/>
    <w:rsid w:val="006B4349"/>
    <w:rsid w:val="006B4507"/>
    <w:rsid w:val="006B4CC9"/>
    <w:rsid w:val="006B5CE5"/>
    <w:rsid w:val="006B5FA0"/>
    <w:rsid w:val="006B6CAF"/>
    <w:rsid w:val="006B6F69"/>
    <w:rsid w:val="006B6FD3"/>
    <w:rsid w:val="006B74CB"/>
    <w:rsid w:val="006B784B"/>
    <w:rsid w:val="006C00EB"/>
    <w:rsid w:val="006C0298"/>
    <w:rsid w:val="006C02C0"/>
    <w:rsid w:val="006C0654"/>
    <w:rsid w:val="006C08E2"/>
    <w:rsid w:val="006C123C"/>
    <w:rsid w:val="006C136F"/>
    <w:rsid w:val="006C1698"/>
    <w:rsid w:val="006C1962"/>
    <w:rsid w:val="006C1C6F"/>
    <w:rsid w:val="006C2101"/>
    <w:rsid w:val="006C2178"/>
    <w:rsid w:val="006C22EA"/>
    <w:rsid w:val="006C2416"/>
    <w:rsid w:val="006C3196"/>
    <w:rsid w:val="006C3EFD"/>
    <w:rsid w:val="006C43DF"/>
    <w:rsid w:val="006C4C87"/>
    <w:rsid w:val="006C4CCF"/>
    <w:rsid w:val="006C4D02"/>
    <w:rsid w:val="006C541E"/>
    <w:rsid w:val="006C5710"/>
    <w:rsid w:val="006C5A1A"/>
    <w:rsid w:val="006C5EF4"/>
    <w:rsid w:val="006C619A"/>
    <w:rsid w:val="006C6598"/>
    <w:rsid w:val="006C69B9"/>
    <w:rsid w:val="006C6CC5"/>
    <w:rsid w:val="006C6EDE"/>
    <w:rsid w:val="006C7651"/>
    <w:rsid w:val="006C7970"/>
    <w:rsid w:val="006C7FEE"/>
    <w:rsid w:val="006D0238"/>
    <w:rsid w:val="006D0794"/>
    <w:rsid w:val="006D0B2B"/>
    <w:rsid w:val="006D0DA8"/>
    <w:rsid w:val="006D10A6"/>
    <w:rsid w:val="006D11C3"/>
    <w:rsid w:val="006D1D85"/>
    <w:rsid w:val="006D1EFB"/>
    <w:rsid w:val="006D1FB6"/>
    <w:rsid w:val="006D228A"/>
    <w:rsid w:val="006D256A"/>
    <w:rsid w:val="006D2977"/>
    <w:rsid w:val="006D3170"/>
    <w:rsid w:val="006D3307"/>
    <w:rsid w:val="006D3E5A"/>
    <w:rsid w:val="006D4088"/>
    <w:rsid w:val="006D456E"/>
    <w:rsid w:val="006D48D8"/>
    <w:rsid w:val="006D4A44"/>
    <w:rsid w:val="006D4C93"/>
    <w:rsid w:val="006D4E74"/>
    <w:rsid w:val="006D51AD"/>
    <w:rsid w:val="006D5C69"/>
    <w:rsid w:val="006D72C0"/>
    <w:rsid w:val="006D753F"/>
    <w:rsid w:val="006D79C2"/>
    <w:rsid w:val="006D7ED5"/>
    <w:rsid w:val="006E035D"/>
    <w:rsid w:val="006E0CD2"/>
    <w:rsid w:val="006E0E4D"/>
    <w:rsid w:val="006E0FB8"/>
    <w:rsid w:val="006E1430"/>
    <w:rsid w:val="006E1437"/>
    <w:rsid w:val="006E2681"/>
    <w:rsid w:val="006E2690"/>
    <w:rsid w:val="006E274F"/>
    <w:rsid w:val="006E29E9"/>
    <w:rsid w:val="006E2D3C"/>
    <w:rsid w:val="006E3821"/>
    <w:rsid w:val="006E4337"/>
    <w:rsid w:val="006E4938"/>
    <w:rsid w:val="006E4954"/>
    <w:rsid w:val="006E4F7E"/>
    <w:rsid w:val="006E62D3"/>
    <w:rsid w:val="006E64E2"/>
    <w:rsid w:val="006E69D9"/>
    <w:rsid w:val="006E6F68"/>
    <w:rsid w:val="006E73D1"/>
    <w:rsid w:val="006E743F"/>
    <w:rsid w:val="006E7CA9"/>
    <w:rsid w:val="006F0537"/>
    <w:rsid w:val="006F0598"/>
    <w:rsid w:val="006F065C"/>
    <w:rsid w:val="006F1616"/>
    <w:rsid w:val="006F294B"/>
    <w:rsid w:val="006F2CAB"/>
    <w:rsid w:val="006F2D3E"/>
    <w:rsid w:val="006F2DD0"/>
    <w:rsid w:val="006F2EB7"/>
    <w:rsid w:val="006F30F2"/>
    <w:rsid w:val="006F3236"/>
    <w:rsid w:val="006F36E7"/>
    <w:rsid w:val="006F3AB4"/>
    <w:rsid w:val="006F3F88"/>
    <w:rsid w:val="006F4111"/>
    <w:rsid w:val="006F4A16"/>
    <w:rsid w:val="006F4CDC"/>
    <w:rsid w:val="006F4E8A"/>
    <w:rsid w:val="006F5051"/>
    <w:rsid w:val="006F58BD"/>
    <w:rsid w:val="006F5EAE"/>
    <w:rsid w:val="006F64F9"/>
    <w:rsid w:val="006F6F10"/>
    <w:rsid w:val="006F78FE"/>
    <w:rsid w:val="006F7A17"/>
    <w:rsid w:val="006F7F44"/>
    <w:rsid w:val="007000B2"/>
    <w:rsid w:val="007002B5"/>
    <w:rsid w:val="007005E9"/>
    <w:rsid w:val="0070113F"/>
    <w:rsid w:val="007021F5"/>
    <w:rsid w:val="00702A86"/>
    <w:rsid w:val="00703805"/>
    <w:rsid w:val="00703B75"/>
    <w:rsid w:val="00703E5D"/>
    <w:rsid w:val="00704057"/>
    <w:rsid w:val="007047DB"/>
    <w:rsid w:val="007048D5"/>
    <w:rsid w:val="007049F3"/>
    <w:rsid w:val="007057C2"/>
    <w:rsid w:val="00706153"/>
    <w:rsid w:val="0070618C"/>
    <w:rsid w:val="007064A6"/>
    <w:rsid w:val="007064EB"/>
    <w:rsid w:val="00706CE6"/>
    <w:rsid w:val="00706F39"/>
    <w:rsid w:val="0070712C"/>
    <w:rsid w:val="00707323"/>
    <w:rsid w:val="007079B0"/>
    <w:rsid w:val="007079C5"/>
    <w:rsid w:val="007079D3"/>
    <w:rsid w:val="00707A87"/>
    <w:rsid w:val="00707BA2"/>
    <w:rsid w:val="00707BE4"/>
    <w:rsid w:val="007103A1"/>
    <w:rsid w:val="00710811"/>
    <w:rsid w:val="007108BD"/>
    <w:rsid w:val="007109DE"/>
    <w:rsid w:val="00710BB2"/>
    <w:rsid w:val="00711717"/>
    <w:rsid w:val="0071190F"/>
    <w:rsid w:val="00712247"/>
    <w:rsid w:val="0071227C"/>
    <w:rsid w:val="007122FC"/>
    <w:rsid w:val="00712AAB"/>
    <w:rsid w:val="00712B1F"/>
    <w:rsid w:val="00712E23"/>
    <w:rsid w:val="00712EC2"/>
    <w:rsid w:val="00712EEE"/>
    <w:rsid w:val="007131F3"/>
    <w:rsid w:val="0071383B"/>
    <w:rsid w:val="00713B99"/>
    <w:rsid w:val="00713E23"/>
    <w:rsid w:val="007141D3"/>
    <w:rsid w:val="00714718"/>
    <w:rsid w:val="0071556A"/>
    <w:rsid w:val="00715892"/>
    <w:rsid w:val="00715B13"/>
    <w:rsid w:val="00715C8C"/>
    <w:rsid w:val="00715DD6"/>
    <w:rsid w:val="0071622D"/>
    <w:rsid w:val="0071649F"/>
    <w:rsid w:val="00716671"/>
    <w:rsid w:val="0071678D"/>
    <w:rsid w:val="00716A83"/>
    <w:rsid w:val="00716B5B"/>
    <w:rsid w:val="007173CC"/>
    <w:rsid w:val="00717883"/>
    <w:rsid w:val="00717A7C"/>
    <w:rsid w:val="00717AFA"/>
    <w:rsid w:val="0072006A"/>
    <w:rsid w:val="007201B4"/>
    <w:rsid w:val="0072023E"/>
    <w:rsid w:val="007204A1"/>
    <w:rsid w:val="00721929"/>
    <w:rsid w:val="00721E78"/>
    <w:rsid w:val="00721E92"/>
    <w:rsid w:val="00722010"/>
    <w:rsid w:val="00722202"/>
    <w:rsid w:val="00722768"/>
    <w:rsid w:val="007227CA"/>
    <w:rsid w:val="00722937"/>
    <w:rsid w:val="00722B2F"/>
    <w:rsid w:val="00722DEB"/>
    <w:rsid w:val="00722FA9"/>
    <w:rsid w:val="00723318"/>
    <w:rsid w:val="007238CA"/>
    <w:rsid w:val="00723C80"/>
    <w:rsid w:val="007240BC"/>
    <w:rsid w:val="007247CE"/>
    <w:rsid w:val="00724FA4"/>
    <w:rsid w:val="00724FB4"/>
    <w:rsid w:val="00725804"/>
    <w:rsid w:val="007259A8"/>
    <w:rsid w:val="00725A2E"/>
    <w:rsid w:val="00725ADE"/>
    <w:rsid w:val="00726408"/>
    <w:rsid w:val="007266B1"/>
    <w:rsid w:val="0072709F"/>
    <w:rsid w:val="00727B12"/>
    <w:rsid w:val="00727E98"/>
    <w:rsid w:val="007311FE"/>
    <w:rsid w:val="00731369"/>
    <w:rsid w:val="00731AA1"/>
    <w:rsid w:val="00731CF9"/>
    <w:rsid w:val="00732AF8"/>
    <w:rsid w:val="00732B9E"/>
    <w:rsid w:val="00732BC2"/>
    <w:rsid w:val="0073324B"/>
    <w:rsid w:val="0073342D"/>
    <w:rsid w:val="007336C7"/>
    <w:rsid w:val="00733840"/>
    <w:rsid w:val="00733A8F"/>
    <w:rsid w:val="00733BFA"/>
    <w:rsid w:val="00733E7A"/>
    <w:rsid w:val="00733FFB"/>
    <w:rsid w:val="007342E0"/>
    <w:rsid w:val="00734842"/>
    <w:rsid w:val="00734D6A"/>
    <w:rsid w:val="0073524E"/>
    <w:rsid w:val="00735432"/>
    <w:rsid w:val="0073548E"/>
    <w:rsid w:val="007364CD"/>
    <w:rsid w:val="007369C2"/>
    <w:rsid w:val="00736CE4"/>
    <w:rsid w:val="0073752C"/>
    <w:rsid w:val="00737625"/>
    <w:rsid w:val="00737759"/>
    <w:rsid w:val="00737DB8"/>
    <w:rsid w:val="00740878"/>
    <w:rsid w:val="007409D3"/>
    <w:rsid w:val="00740BD7"/>
    <w:rsid w:val="00740DB6"/>
    <w:rsid w:val="00741683"/>
    <w:rsid w:val="0074193C"/>
    <w:rsid w:val="00741ECC"/>
    <w:rsid w:val="0074262E"/>
    <w:rsid w:val="00742654"/>
    <w:rsid w:val="007428D3"/>
    <w:rsid w:val="007436E4"/>
    <w:rsid w:val="007437C9"/>
    <w:rsid w:val="00744183"/>
    <w:rsid w:val="0074420E"/>
    <w:rsid w:val="00744589"/>
    <w:rsid w:val="00744B54"/>
    <w:rsid w:val="00744B98"/>
    <w:rsid w:val="00744E2A"/>
    <w:rsid w:val="00745204"/>
    <w:rsid w:val="0074561C"/>
    <w:rsid w:val="007459E4"/>
    <w:rsid w:val="0074646B"/>
    <w:rsid w:val="0074681B"/>
    <w:rsid w:val="0074727C"/>
    <w:rsid w:val="00747584"/>
    <w:rsid w:val="007475DD"/>
    <w:rsid w:val="0074771A"/>
    <w:rsid w:val="0074789E"/>
    <w:rsid w:val="00747FE1"/>
    <w:rsid w:val="00750549"/>
    <w:rsid w:val="007506C0"/>
    <w:rsid w:val="007507EE"/>
    <w:rsid w:val="00750E34"/>
    <w:rsid w:val="0075124F"/>
    <w:rsid w:val="00751688"/>
    <w:rsid w:val="007517CA"/>
    <w:rsid w:val="0075265F"/>
    <w:rsid w:val="00752775"/>
    <w:rsid w:val="007527E0"/>
    <w:rsid w:val="007529EB"/>
    <w:rsid w:val="007529FD"/>
    <w:rsid w:val="00752FA6"/>
    <w:rsid w:val="00753605"/>
    <w:rsid w:val="007548F6"/>
    <w:rsid w:val="00754C66"/>
    <w:rsid w:val="00755219"/>
    <w:rsid w:val="00756A5E"/>
    <w:rsid w:val="00756EDE"/>
    <w:rsid w:val="007571A2"/>
    <w:rsid w:val="0075754F"/>
    <w:rsid w:val="00757668"/>
    <w:rsid w:val="00757C27"/>
    <w:rsid w:val="00757C4C"/>
    <w:rsid w:val="007600A7"/>
    <w:rsid w:val="0076048A"/>
    <w:rsid w:val="007604FE"/>
    <w:rsid w:val="00760789"/>
    <w:rsid w:val="0076098C"/>
    <w:rsid w:val="00760CF2"/>
    <w:rsid w:val="00760FC5"/>
    <w:rsid w:val="00761508"/>
    <w:rsid w:val="00761523"/>
    <w:rsid w:val="00761779"/>
    <w:rsid w:val="00761C15"/>
    <w:rsid w:val="00761E04"/>
    <w:rsid w:val="00762081"/>
    <w:rsid w:val="00762882"/>
    <w:rsid w:val="00762B9B"/>
    <w:rsid w:val="00762E09"/>
    <w:rsid w:val="00763863"/>
    <w:rsid w:val="00763BC1"/>
    <w:rsid w:val="00763D28"/>
    <w:rsid w:val="00764729"/>
    <w:rsid w:val="00764798"/>
    <w:rsid w:val="00764BDA"/>
    <w:rsid w:val="00764E56"/>
    <w:rsid w:val="00764F55"/>
    <w:rsid w:val="00765205"/>
    <w:rsid w:val="007653B3"/>
    <w:rsid w:val="00766077"/>
    <w:rsid w:val="0076635B"/>
    <w:rsid w:val="00766401"/>
    <w:rsid w:val="00766613"/>
    <w:rsid w:val="007668DC"/>
    <w:rsid w:val="0076699B"/>
    <w:rsid w:val="007669A5"/>
    <w:rsid w:val="00766A6B"/>
    <w:rsid w:val="00766F6E"/>
    <w:rsid w:val="00767330"/>
    <w:rsid w:val="00767F97"/>
    <w:rsid w:val="00770786"/>
    <w:rsid w:val="00770C24"/>
    <w:rsid w:val="00771416"/>
    <w:rsid w:val="00771625"/>
    <w:rsid w:val="00771A3F"/>
    <w:rsid w:val="00771BB5"/>
    <w:rsid w:val="00771E2F"/>
    <w:rsid w:val="007723DA"/>
    <w:rsid w:val="00772809"/>
    <w:rsid w:val="007728C5"/>
    <w:rsid w:val="00772B39"/>
    <w:rsid w:val="007730A3"/>
    <w:rsid w:val="0077315F"/>
    <w:rsid w:val="00773415"/>
    <w:rsid w:val="00773C7B"/>
    <w:rsid w:val="00773D65"/>
    <w:rsid w:val="007744D1"/>
    <w:rsid w:val="00774C8A"/>
    <w:rsid w:val="00775026"/>
    <w:rsid w:val="00775C40"/>
    <w:rsid w:val="0077685B"/>
    <w:rsid w:val="0077719E"/>
    <w:rsid w:val="00777312"/>
    <w:rsid w:val="00777336"/>
    <w:rsid w:val="0077753D"/>
    <w:rsid w:val="0078189F"/>
    <w:rsid w:val="00781AF9"/>
    <w:rsid w:val="00781D88"/>
    <w:rsid w:val="007825D3"/>
    <w:rsid w:val="00782887"/>
    <w:rsid w:val="00782D04"/>
    <w:rsid w:val="00783188"/>
    <w:rsid w:val="00783565"/>
    <w:rsid w:val="007837FF"/>
    <w:rsid w:val="007839F3"/>
    <w:rsid w:val="00783B90"/>
    <w:rsid w:val="00783BDD"/>
    <w:rsid w:val="00784B53"/>
    <w:rsid w:val="00784B9F"/>
    <w:rsid w:val="00784E32"/>
    <w:rsid w:val="0078505D"/>
    <w:rsid w:val="00785301"/>
    <w:rsid w:val="00785F88"/>
    <w:rsid w:val="007860DC"/>
    <w:rsid w:val="0078669D"/>
    <w:rsid w:val="00786C65"/>
    <w:rsid w:val="007871B4"/>
    <w:rsid w:val="0078731C"/>
    <w:rsid w:val="0078734D"/>
    <w:rsid w:val="00787C70"/>
    <w:rsid w:val="00787F8C"/>
    <w:rsid w:val="00790D9A"/>
    <w:rsid w:val="00791236"/>
    <w:rsid w:val="007916F6"/>
    <w:rsid w:val="00791B68"/>
    <w:rsid w:val="0079252E"/>
    <w:rsid w:val="0079262A"/>
    <w:rsid w:val="00792CEE"/>
    <w:rsid w:val="00792E9E"/>
    <w:rsid w:val="00793419"/>
    <w:rsid w:val="00793614"/>
    <w:rsid w:val="00793871"/>
    <w:rsid w:val="00793C77"/>
    <w:rsid w:val="0079409D"/>
    <w:rsid w:val="007945A1"/>
    <w:rsid w:val="00794623"/>
    <w:rsid w:val="00794A41"/>
    <w:rsid w:val="00794AEA"/>
    <w:rsid w:val="00794D77"/>
    <w:rsid w:val="00794D98"/>
    <w:rsid w:val="00794F5C"/>
    <w:rsid w:val="0079505E"/>
    <w:rsid w:val="0079520E"/>
    <w:rsid w:val="00795520"/>
    <w:rsid w:val="007960E6"/>
    <w:rsid w:val="007961BA"/>
    <w:rsid w:val="007961DB"/>
    <w:rsid w:val="007964A7"/>
    <w:rsid w:val="007969A5"/>
    <w:rsid w:val="00796DC6"/>
    <w:rsid w:val="00797026"/>
    <w:rsid w:val="007975AF"/>
    <w:rsid w:val="0079784D"/>
    <w:rsid w:val="00797F77"/>
    <w:rsid w:val="007A06C6"/>
    <w:rsid w:val="007A0C9C"/>
    <w:rsid w:val="007A0E36"/>
    <w:rsid w:val="007A11DA"/>
    <w:rsid w:val="007A16B8"/>
    <w:rsid w:val="007A19AC"/>
    <w:rsid w:val="007A1D72"/>
    <w:rsid w:val="007A1F41"/>
    <w:rsid w:val="007A22C3"/>
    <w:rsid w:val="007A244C"/>
    <w:rsid w:val="007A27FB"/>
    <w:rsid w:val="007A2DF4"/>
    <w:rsid w:val="007A3075"/>
    <w:rsid w:val="007A35CC"/>
    <w:rsid w:val="007A3C8C"/>
    <w:rsid w:val="007A3DDC"/>
    <w:rsid w:val="007A48F5"/>
    <w:rsid w:val="007A4B08"/>
    <w:rsid w:val="007A4E83"/>
    <w:rsid w:val="007A567C"/>
    <w:rsid w:val="007A5AFE"/>
    <w:rsid w:val="007A6314"/>
    <w:rsid w:val="007A6960"/>
    <w:rsid w:val="007A71CE"/>
    <w:rsid w:val="007A7355"/>
    <w:rsid w:val="007A73FD"/>
    <w:rsid w:val="007A7B4D"/>
    <w:rsid w:val="007A7CA4"/>
    <w:rsid w:val="007B00EA"/>
    <w:rsid w:val="007B156C"/>
    <w:rsid w:val="007B1630"/>
    <w:rsid w:val="007B16A5"/>
    <w:rsid w:val="007B1844"/>
    <w:rsid w:val="007B1D27"/>
    <w:rsid w:val="007B2172"/>
    <w:rsid w:val="007B22C1"/>
    <w:rsid w:val="007B33E4"/>
    <w:rsid w:val="007B3529"/>
    <w:rsid w:val="007B375D"/>
    <w:rsid w:val="007B3E92"/>
    <w:rsid w:val="007B3F38"/>
    <w:rsid w:val="007B480C"/>
    <w:rsid w:val="007B5367"/>
    <w:rsid w:val="007B571C"/>
    <w:rsid w:val="007B5C52"/>
    <w:rsid w:val="007B63ED"/>
    <w:rsid w:val="007B6435"/>
    <w:rsid w:val="007B6471"/>
    <w:rsid w:val="007B7104"/>
    <w:rsid w:val="007C0172"/>
    <w:rsid w:val="007C0BB3"/>
    <w:rsid w:val="007C0CDF"/>
    <w:rsid w:val="007C0E3C"/>
    <w:rsid w:val="007C12FB"/>
    <w:rsid w:val="007C1414"/>
    <w:rsid w:val="007C149A"/>
    <w:rsid w:val="007C1F7C"/>
    <w:rsid w:val="007C246A"/>
    <w:rsid w:val="007C268E"/>
    <w:rsid w:val="007C3CB7"/>
    <w:rsid w:val="007C3E26"/>
    <w:rsid w:val="007C4622"/>
    <w:rsid w:val="007C496F"/>
    <w:rsid w:val="007C4B66"/>
    <w:rsid w:val="007C4FB6"/>
    <w:rsid w:val="007C501F"/>
    <w:rsid w:val="007C57A6"/>
    <w:rsid w:val="007C5A8A"/>
    <w:rsid w:val="007C5B69"/>
    <w:rsid w:val="007C5BA4"/>
    <w:rsid w:val="007C5C4D"/>
    <w:rsid w:val="007C5CF4"/>
    <w:rsid w:val="007C5CFA"/>
    <w:rsid w:val="007C64E6"/>
    <w:rsid w:val="007C694A"/>
    <w:rsid w:val="007C76D7"/>
    <w:rsid w:val="007D0270"/>
    <w:rsid w:val="007D08FC"/>
    <w:rsid w:val="007D0A44"/>
    <w:rsid w:val="007D0C0A"/>
    <w:rsid w:val="007D0DC4"/>
    <w:rsid w:val="007D1B95"/>
    <w:rsid w:val="007D1E88"/>
    <w:rsid w:val="007D28E2"/>
    <w:rsid w:val="007D2B06"/>
    <w:rsid w:val="007D3428"/>
    <w:rsid w:val="007D4145"/>
    <w:rsid w:val="007D4306"/>
    <w:rsid w:val="007D47CD"/>
    <w:rsid w:val="007D4B80"/>
    <w:rsid w:val="007D4CAE"/>
    <w:rsid w:val="007D56D8"/>
    <w:rsid w:val="007D5759"/>
    <w:rsid w:val="007D59C9"/>
    <w:rsid w:val="007D5A2D"/>
    <w:rsid w:val="007D6081"/>
    <w:rsid w:val="007D608C"/>
    <w:rsid w:val="007D60DE"/>
    <w:rsid w:val="007D62F1"/>
    <w:rsid w:val="007D63F1"/>
    <w:rsid w:val="007D684E"/>
    <w:rsid w:val="007D6BC6"/>
    <w:rsid w:val="007D737F"/>
    <w:rsid w:val="007D7804"/>
    <w:rsid w:val="007D7930"/>
    <w:rsid w:val="007E021C"/>
    <w:rsid w:val="007E0460"/>
    <w:rsid w:val="007E083B"/>
    <w:rsid w:val="007E10C4"/>
    <w:rsid w:val="007E11AB"/>
    <w:rsid w:val="007E1231"/>
    <w:rsid w:val="007E127C"/>
    <w:rsid w:val="007E1BCC"/>
    <w:rsid w:val="007E1F8A"/>
    <w:rsid w:val="007E26AE"/>
    <w:rsid w:val="007E3393"/>
    <w:rsid w:val="007E3BB1"/>
    <w:rsid w:val="007E46AB"/>
    <w:rsid w:val="007E484B"/>
    <w:rsid w:val="007E525C"/>
    <w:rsid w:val="007E530D"/>
    <w:rsid w:val="007E5983"/>
    <w:rsid w:val="007E5A0B"/>
    <w:rsid w:val="007E6445"/>
    <w:rsid w:val="007E6C8E"/>
    <w:rsid w:val="007E7264"/>
    <w:rsid w:val="007E75D6"/>
    <w:rsid w:val="007E7998"/>
    <w:rsid w:val="007E7C08"/>
    <w:rsid w:val="007F00FC"/>
    <w:rsid w:val="007F0468"/>
    <w:rsid w:val="007F0553"/>
    <w:rsid w:val="007F091E"/>
    <w:rsid w:val="007F0A70"/>
    <w:rsid w:val="007F0E74"/>
    <w:rsid w:val="007F1377"/>
    <w:rsid w:val="007F19BE"/>
    <w:rsid w:val="007F29F7"/>
    <w:rsid w:val="007F2C68"/>
    <w:rsid w:val="007F2D4F"/>
    <w:rsid w:val="007F31DC"/>
    <w:rsid w:val="007F3333"/>
    <w:rsid w:val="007F3660"/>
    <w:rsid w:val="007F52A8"/>
    <w:rsid w:val="007F5347"/>
    <w:rsid w:val="007F5349"/>
    <w:rsid w:val="007F5437"/>
    <w:rsid w:val="007F54A8"/>
    <w:rsid w:val="007F5630"/>
    <w:rsid w:val="007F56FA"/>
    <w:rsid w:val="007F5F69"/>
    <w:rsid w:val="007F64DD"/>
    <w:rsid w:val="007F66BA"/>
    <w:rsid w:val="007F6E26"/>
    <w:rsid w:val="007F725A"/>
    <w:rsid w:val="007F7419"/>
    <w:rsid w:val="007F7720"/>
    <w:rsid w:val="007F7AFD"/>
    <w:rsid w:val="007F7D23"/>
    <w:rsid w:val="008006D0"/>
    <w:rsid w:val="00801C50"/>
    <w:rsid w:val="00801CDB"/>
    <w:rsid w:val="00801D76"/>
    <w:rsid w:val="00801F0B"/>
    <w:rsid w:val="008020B4"/>
    <w:rsid w:val="00802BC0"/>
    <w:rsid w:val="00802D35"/>
    <w:rsid w:val="00802D3B"/>
    <w:rsid w:val="00802E04"/>
    <w:rsid w:val="0080375D"/>
    <w:rsid w:val="00803FB7"/>
    <w:rsid w:val="00804BDB"/>
    <w:rsid w:val="00804F69"/>
    <w:rsid w:val="008051C9"/>
    <w:rsid w:val="0080558C"/>
    <w:rsid w:val="00805834"/>
    <w:rsid w:val="00805A23"/>
    <w:rsid w:val="00805CE0"/>
    <w:rsid w:val="0080690B"/>
    <w:rsid w:val="00806D81"/>
    <w:rsid w:val="00807298"/>
    <w:rsid w:val="00807349"/>
    <w:rsid w:val="00807395"/>
    <w:rsid w:val="0080751F"/>
    <w:rsid w:val="0080779C"/>
    <w:rsid w:val="00807A99"/>
    <w:rsid w:val="00807AAF"/>
    <w:rsid w:val="00810060"/>
    <w:rsid w:val="00810128"/>
    <w:rsid w:val="008102E9"/>
    <w:rsid w:val="008103F9"/>
    <w:rsid w:val="00810510"/>
    <w:rsid w:val="00811326"/>
    <w:rsid w:val="008115E1"/>
    <w:rsid w:val="008115FB"/>
    <w:rsid w:val="00811605"/>
    <w:rsid w:val="00811A56"/>
    <w:rsid w:val="008127DD"/>
    <w:rsid w:val="00812D39"/>
    <w:rsid w:val="00813B28"/>
    <w:rsid w:val="00813DB9"/>
    <w:rsid w:val="00813E90"/>
    <w:rsid w:val="00813E96"/>
    <w:rsid w:val="00813F4F"/>
    <w:rsid w:val="008149F3"/>
    <w:rsid w:val="008156D6"/>
    <w:rsid w:val="00815936"/>
    <w:rsid w:val="00815961"/>
    <w:rsid w:val="00815AB1"/>
    <w:rsid w:val="00815BA6"/>
    <w:rsid w:val="00815CDE"/>
    <w:rsid w:val="00816307"/>
    <w:rsid w:val="0081678D"/>
    <w:rsid w:val="00816CAC"/>
    <w:rsid w:val="00816FFA"/>
    <w:rsid w:val="008170E6"/>
    <w:rsid w:val="0081712D"/>
    <w:rsid w:val="0081765D"/>
    <w:rsid w:val="008179D1"/>
    <w:rsid w:val="00817F9D"/>
    <w:rsid w:val="008207C3"/>
    <w:rsid w:val="00820969"/>
    <w:rsid w:val="008211D9"/>
    <w:rsid w:val="008211E7"/>
    <w:rsid w:val="008212F5"/>
    <w:rsid w:val="00821412"/>
    <w:rsid w:val="00821AFB"/>
    <w:rsid w:val="00821B65"/>
    <w:rsid w:val="00821EF9"/>
    <w:rsid w:val="00822F39"/>
    <w:rsid w:val="008237D1"/>
    <w:rsid w:val="00823BF8"/>
    <w:rsid w:val="00823EB1"/>
    <w:rsid w:val="00824249"/>
    <w:rsid w:val="0082427E"/>
    <w:rsid w:val="0082490F"/>
    <w:rsid w:val="00824971"/>
    <w:rsid w:val="00824C3F"/>
    <w:rsid w:val="008269EF"/>
    <w:rsid w:val="00826A15"/>
    <w:rsid w:val="00826D6F"/>
    <w:rsid w:val="00826E96"/>
    <w:rsid w:val="00826FFB"/>
    <w:rsid w:val="00827064"/>
    <w:rsid w:val="00827355"/>
    <w:rsid w:val="00827539"/>
    <w:rsid w:val="0082788C"/>
    <w:rsid w:val="00827994"/>
    <w:rsid w:val="00827BE1"/>
    <w:rsid w:val="008301C5"/>
    <w:rsid w:val="0083041D"/>
    <w:rsid w:val="00830805"/>
    <w:rsid w:val="008314AA"/>
    <w:rsid w:val="008318B7"/>
    <w:rsid w:val="00832321"/>
    <w:rsid w:val="008325FF"/>
    <w:rsid w:val="00832727"/>
    <w:rsid w:val="0083272A"/>
    <w:rsid w:val="00832947"/>
    <w:rsid w:val="00833129"/>
    <w:rsid w:val="008335AA"/>
    <w:rsid w:val="00833849"/>
    <w:rsid w:val="00834087"/>
    <w:rsid w:val="00834141"/>
    <w:rsid w:val="00834F4A"/>
    <w:rsid w:val="0083566B"/>
    <w:rsid w:val="00835E03"/>
    <w:rsid w:val="0083603F"/>
    <w:rsid w:val="00836148"/>
    <w:rsid w:val="0083618A"/>
    <w:rsid w:val="0083631C"/>
    <w:rsid w:val="00836422"/>
    <w:rsid w:val="008364EE"/>
    <w:rsid w:val="008378B7"/>
    <w:rsid w:val="00837965"/>
    <w:rsid w:val="0083799C"/>
    <w:rsid w:val="00837D6F"/>
    <w:rsid w:val="0084001A"/>
    <w:rsid w:val="00840061"/>
    <w:rsid w:val="00840306"/>
    <w:rsid w:val="00840978"/>
    <w:rsid w:val="008409D1"/>
    <w:rsid w:val="00840BB8"/>
    <w:rsid w:val="008410EA"/>
    <w:rsid w:val="008412B2"/>
    <w:rsid w:val="00842BDB"/>
    <w:rsid w:val="008431A9"/>
    <w:rsid w:val="008435CB"/>
    <w:rsid w:val="00843D6E"/>
    <w:rsid w:val="0084411C"/>
    <w:rsid w:val="00844D40"/>
    <w:rsid w:val="00844E71"/>
    <w:rsid w:val="00845A5D"/>
    <w:rsid w:val="0084663C"/>
    <w:rsid w:val="008469CD"/>
    <w:rsid w:val="00846D52"/>
    <w:rsid w:val="00846FD6"/>
    <w:rsid w:val="008474E1"/>
    <w:rsid w:val="008477DC"/>
    <w:rsid w:val="00850E9A"/>
    <w:rsid w:val="00851477"/>
    <w:rsid w:val="00851504"/>
    <w:rsid w:val="00851984"/>
    <w:rsid w:val="008519CF"/>
    <w:rsid w:val="00851D33"/>
    <w:rsid w:val="00851DA4"/>
    <w:rsid w:val="00851F67"/>
    <w:rsid w:val="008526D3"/>
    <w:rsid w:val="00852E7E"/>
    <w:rsid w:val="008533AC"/>
    <w:rsid w:val="008539C9"/>
    <w:rsid w:val="00853F3F"/>
    <w:rsid w:val="0085446E"/>
    <w:rsid w:val="00854648"/>
    <w:rsid w:val="008548FF"/>
    <w:rsid w:val="008549B9"/>
    <w:rsid w:val="00854D42"/>
    <w:rsid w:val="0085543C"/>
    <w:rsid w:val="00855848"/>
    <w:rsid w:val="008560C4"/>
    <w:rsid w:val="00856225"/>
    <w:rsid w:val="0085652A"/>
    <w:rsid w:val="00856575"/>
    <w:rsid w:val="00856716"/>
    <w:rsid w:val="0085775E"/>
    <w:rsid w:val="00857763"/>
    <w:rsid w:val="00857B2D"/>
    <w:rsid w:val="00857BB8"/>
    <w:rsid w:val="00860302"/>
    <w:rsid w:val="0086057A"/>
    <w:rsid w:val="00860719"/>
    <w:rsid w:val="008613C7"/>
    <w:rsid w:val="0086141C"/>
    <w:rsid w:val="008614AE"/>
    <w:rsid w:val="008617F0"/>
    <w:rsid w:val="00861DDA"/>
    <w:rsid w:val="0086292E"/>
    <w:rsid w:val="00862A86"/>
    <w:rsid w:val="00863278"/>
    <w:rsid w:val="00863FEF"/>
    <w:rsid w:val="008640D3"/>
    <w:rsid w:val="0086425D"/>
    <w:rsid w:val="008645B8"/>
    <w:rsid w:val="0086462E"/>
    <w:rsid w:val="00864782"/>
    <w:rsid w:val="00864806"/>
    <w:rsid w:val="00864947"/>
    <w:rsid w:val="00864B5D"/>
    <w:rsid w:val="00865524"/>
    <w:rsid w:val="00865945"/>
    <w:rsid w:val="008668CE"/>
    <w:rsid w:val="0086756F"/>
    <w:rsid w:val="00867BEA"/>
    <w:rsid w:val="00867F13"/>
    <w:rsid w:val="0087021F"/>
    <w:rsid w:val="008711B2"/>
    <w:rsid w:val="008718FD"/>
    <w:rsid w:val="00871D28"/>
    <w:rsid w:val="00872443"/>
    <w:rsid w:val="00872613"/>
    <w:rsid w:val="00872643"/>
    <w:rsid w:val="00873867"/>
    <w:rsid w:val="008744DE"/>
    <w:rsid w:val="00874BE8"/>
    <w:rsid w:val="00874F52"/>
    <w:rsid w:val="008754AB"/>
    <w:rsid w:val="00875AF9"/>
    <w:rsid w:val="00875BEB"/>
    <w:rsid w:val="00875F1D"/>
    <w:rsid w:val="0087671D"/>
    <w:rsid w:val="00876BB9"/>
    <w:rsid w:val="00876BBD"/>
    <w:rsid w:val="00876C97"/>
    <w:rsid w:val="008770A5"/>
    <w:rsid w:val="00877596"/>
    <w:rsid w:val="0087771B"/>
    <w:rsid w:val="008777E6"/>
    <w:rsid w:val="00877B9F"/>
    <w:rsid w:val="00877BE2"/>
    <w:rsid w:val="00880187"/>
    <w:rsid w:val="008806DF"/>
    <w:rsid w:val="00881A07"/>
    <w:rsid w:val="00881BCA"/>
    <w:rsid w:val="00881E76"/>
    <w:rsid w:val="00882717"/>
    <w:rsid w:val="00882D2A"/>
    <w:rsid w:val="00883595"/>
    <w:rsid w:val="00883720"/>
    <w:rsid w:val="00884318"/>
    <w:rsid w:val="0088467D"/>
    <w:rsid w:val="0088489D"/>
    <w:rsid w:val="00884EC1"/>
    <w:rsid w:val="00885526"/>
    <w:rsid w:val="00885529"/>
    <w:rsid w:val="0088570A"/>
    <w:rsid w:val="00885813"/>
    <w:rsid w:val="00885861"/>
    <w:rsid w:val="00886055"/>
    <w:rsid w:val="00886A98"/>
    <w:rsid w:val="00886B1F"/>
    <w:rsid w:val="0088710C"/>
    <w:rsid w:val="0088782D"/>
    <w:rsid w:val="00887943"/>
    <w:rsid w:val="00887AEA"/>
    <w:rsid w:val="00887E5A"/>
    <w:rsid w:val="00890164"/>
    <w:rsid w:val="008908B8"/>
    <w:rsid w:val="00890A1F"/>
    <w:rsid w:val="00890B52"/>
    <w:rsid w:val="00890B8C"/>
    <w:rsid w:val="008910BD"/>
    <w:rsid w:val="00891918"/>
    <w:rsid w:val="00891A5D"/>
    <w:rsid w:val="00891AEF"/>
    <w:rsid w:val="008924F2"/>
    <w:rsid w:val="008927C7"/>
    <w:rsid w:val="008928C3"/>
    <w:rsid w:val="008929F3"/>
    <w:rsid w:val="00892D52"/>
    <w:rsid w:val="00893EA9"/>
    <w:rsid w:val="008940AC"/>
    <w:rsid w:val="008945E5"/>
    <w:rsid w:val="00894603"/>
    <w:rsid w:val="00894CDF"/>
    <w:rsid w:val="0089519A"/>
    <w:rsid w:val="0089581A"/>
    <w:rsid w:val="0089586A"/>
    <w:rsid w:val="00895A73"/>
    <w:rsid w:val="00896524"/>
    <w:rsid w:val="00896794"/>
    <w:rsid w:val="008970BE"/>
    <w:rsid w:val="0089723D"/>
    <w:rsid w:val="008972CD"/>
    <w:rsid w:val="008972FF"/>
    <w:rsid w:val="00897397"/>
    <w:rsid w:val="008977A7"/>
    <w:rsid w:val="00897D5C"/>
    <w:rsid w:val="00897FA4"/>
    <w:rsid w:val="008A07D6"/>
    <w:rsid w:val="008A0873"/>
    <w:rsid w:val="008A08B0"/>
    <w:rsid w:val="008A098B"/>
    <w:rsid w:val="008A0C2D"/>
    <w:rsid w:val="008A0E4A"/>
    <w:rsid w:val="008A114D"/>
    <w:rsid w:val="008A1220"/>
    <w:rsid w:val="008A16C8"/>
    <w:rsid w:val="008A19FB"/>
    <w:rsid w:val="008A1D64"/>
    <w:rsid w:val="008A1D7C"/>
    <w:rsid w:val="008A25FF"/>
    <w:rsid w:val="008A2639"/>
    <w:rsid w:val="008A26A6"/>
    <w:rsid w:val="008A28B1"/>
    <w:rsid w:val="008A32D0"/>
    <w:rsid w:val="008A365B"/>
    <w:rsid w:val="008A3A21"/>
    <w:rsid w:val="008A3BAD"/>
    <w:rsid w:val="008A412E"/>
    <w:rsid w:val="008A44E7"/>
    <w:rsid w:val="008A4502"/>
    <w:rsid w:val="008A4660"/>
    <w:rsid w:val="008A4C53"/>
    <w:rsid w:val="008A4CC5"/>
    <w:rsid w:val="008A4D98"/>
    <w:rsid w:val="008A4DCE"/>
    <w:rsid w:val="008A500B"/>
    <w:rsid w:val="008A51C1"/>
    <w:rsid w:val="008A53E0"/>
    <w:rsid w:val="008A63A6"/>
    <w:rsid w:val="008A6467"/>
    <w:rsid w:val="008A6B60"/>
    <w:rsid w:val="008B027E"/>
    <w:rsid w:val="008B05C8"/>
    <w:rsid w:val="008B0968"/>
    <w:rsid w:val="008B0D80"/>
    <w:rsid w:val="008B1484"/>
    <w:rsid w:val="008B1A56"/>
    <w:rsid w:val="008B2175"/>
    <w:rsid w:val="008B2361"/>
    <w:rsid w:val="008B2600"/>
    <w:rsid w:val="008B27B3"/>
    <w:rsid w:val="008B27DB"/>
    <w:rsid w:val="008B3325"/>
    <w:rsid w:val="008B35B0"/>
    <w:rsid w:val="008B3BD7"/>
    <w:rsid w:val="008B3CE4"/>
    <w:rsid w:val="008B3D84"/>
    <w:rsid w:val="008B3F44"/>
    <w:rsid w:val="008B3F7E"/>
    <w:rsid w:val="008B423C"/>
    <w:rsid w:val="008B45C8"/>
    <w:rsid w:val="008B4B88"/>
    <w:rsid w:val="008B5228"/>
    <w:rsid w:val="008B6BBE"/>
    <w:rsid w:val="008B711B"/>
    <w:rsid w:val="008B7793"/>
    <w:rsid w:val="008B7C35"/>
    <w:rsid w:val="008B7D75"/>
    <w:rsid w:val="008B7FE5"/>
    <w:rsid w:val="008C0390"/>
    <w:rsid w:val="008C0EB3"/>
    <w:rsid w:val="008C14FC"/>
    <w:rsid w:val="008C1752"/>
    <w:rsid w:val="008C1E49"/>
    <w:rsid w:val="008C24BD"/>
    <w:rsid w:val="008C24EF"/>
    <w:rsid w:val="008C2C61"/>
    <w:rsid w:val="008C37BB"/>
    <w:rsid w:val="008C4235"/>
    <w:rsid w:val="008C43D8"/>
    <w:rsid w:val="008C463D"/>
    <w:rsid w:val="008C4760"/>
    <w:rsid w:val="008C490E"/>
    <w:rsid w:val="008C4A2D"/>
    <w:rsid w:val="008C51E5"/>
    <w:rsid w:val="008C5AA0"/>
    <w:rsid w:val="008C5F69"/>
    <w:rsid w:val="008C6599"/>
    <w:rsid w:val="008C6F85"/>
    <w:rsid w:val="008C7117"/>
    <w:rsid w:val="008C7366"/>
    <w:rsid w:val="008C7BFB"/>
    <w:rsid w:val="008D0191"/>
    <w:rsid w:val="008D0946"/>
    <w:rsid w:val="008D0CD3"/>
    <w:rsid w:val="008D0F07"/>
    <w:rsid w:val="008D1A8D"/>
    <w:rsid w:val="008D2528"/>
    <w:rsid w:val="008D25E1"/>
    <w:rsid w:val="008D3414"/>
    <w:rsid w:val="008D38E8"/>
    <w:rsid w:val="008D3F36"/>
    <w:rsid w:val="008D414F"/>
    <w:rsid w:val="008D42AE"/>
    <w:rsid w:val="008D49D4"/>
    <w:rsid w:val="008D574B"/>
    <w:rsid w:val="008D5E0E"/>
    <w:rsid w:val="008D5E1D"/>
    <w:rsid w:val="008D6125"/>
    <w:rsid w:val="008D6ECF"/>
    <w:rsid w:val="008D6F23"/>
    <w:rsid w:val="008E01E0"/>
    <w:rsid w:val="008E0588"/>
    <w:rsid w:val="008E08BA"/>
    <w:rsid w:val="008E0D95"/>
    <w:rsid w:val="008E0EB0"/>
    <w:rsid w:val="008E10EF"/>
    <w:rsid w:val="008E12E7"/>
    <w:rsid w:val="008E1812"/>
    <w:rsid w:val="008E1E2E"/>
    <w:rsid w:val="008E1FBC"/>
    <w:rsid w:val="008E1FCC"/>
    <w:rsid w:val="008E210A"/>
    <w:rsid w:val="008E2235"/>
    <w:rsid w:val="008E2317"/>
    <w:rsid w:val="008E2682"/>
    <w:rsid w:val="008E2DA8"/>
    <w:rsid w:val="008E3774"/>
    <w:rsid w:val="008E37F4"/>
    <w:rsid w:val="008E4325"/>
    <w:rsid w:val="008E4483"/>
    <w:rsid w:val="008E4575"/>
    <w:rsid w:val="008E45D4"/>
    <w:rsid w:val="008E4ACA"/>
    <w:rsid w:val="008E4F5A"/>
    <w:rsid w:val="008E5317"/>
    <w:rsid w:val="008E652C"/>
    <w:rsid w:val="008E6F8F"/>
    <w:rsid w:val="008E73C8"/>
    <w:rsid w:val="008E753A"/>
    <w:rsid w:val="008E7564"/>
    <w:rsid w:val="008E77CF"/>
    <w:rsid w:val="008E7EF1"/>
    <w:rsid w:val="008F003E"/>
    <w:rsid w:val="008F07A2"/>
    <w:rsid w:val="008F09DB"/>
    <w:rsid w:val="008F0B95"/>
    <w:rsid w:val="008F14A3"/>
    <w:rsid w:val="008F24F6"/>
    <w:rsid w:val="008F26B6"/>
    <w:rsid w:val="008F2739"/>
    <w:rsid w:val="008F284D"/>
    <w:rsid w:val="008F2CAC"/>
    <w:rsid w:val="008F30C7"/>
    <w:rsid w:val="008F3634"/>
    <w:rsid w:val="008F398C"/>
    <w:rsid w:val="008F3B9D"/>
    <w:rsid w:val="008F3F3F"/>
    <w:rsid w:val="008F423C"/>
    <w:rsid w:val="008F46F0"/>
    <w:rsid w:val="008F4C8C"/>
    <w:rsid w:val="008F4DD9"/>
    <w:rsid w:val="008F515D"/>
    <w:rsid w:val="008F544B"/>
    <w:rsid w:val="008F54A3"/>
    <w:rsid w:val="008F57B0"/>
    <w:rsid w:val="008F5D9E"/>
    <w:rsid w:val="008F5EB2"/>
    <w:rsid w:val="008F6101"/>
    <w:rsid w:val="008F611C"/>
    <w:rsid w:val="008F6457"/>
    <w:rsid w:val="008F64DC"/>
    <w:rsid w:val="008F6646"/>
    <w:rsid w:val="008F67F6"/>
    <w:rsid w:val="008F6B12"/>
    <w:rsid w:val="008F74AD"/>
    <w:rsid w:val="008F7883"/>
    <w:rsid w:val="008F78D4"/>
    <w:rsid w:val="008F78E6"/>
    <w:rsid w:val="008F7C7D"/>
    <w:rsid w:val="009000D5"/>
    <w:rsid w:val="00900767"/>
    <w:rsid w:val="009009DC"/>
    <w:rsid w:val="00900C42"/>
    <w:rsid w:val="00900F1B"/>
    <w:rsid w:val="00901402"/>
    <w:rsid w:val="009016D0"/>
    <w:rsid w:val="00901980"/>
    <w:rsid w:val="00901DF8"/>
    <w:rsid w:val="00902471"/>
    <w:rsid w:val="009027FB"/>
    <w:rsid w:val="009029E3"/>
    <w:rsid w:val="009038A4"/>
    <w:rsid w:val="00903C6B"/>
    <w:rsid w:val="00903FE9"/>
    <w:rsid w:val="0090454F"/>
    <w:rsid w:val="009049C9"/>
    <w:rsid w:val="00904CC7"/>
    <w:rsid w:val="00905132"/>
    <w:rsid w:val="00905278"/>
    <w:rsid w:val="00906281"/>
    <w:rsid w:val="00906D94"/>
    <w:rsid w:val="0090783E"/>
    <w:rsid w:val="00910424"/>
    <w:rsid w:val="009108F4"/>
    <w:rsid w:val="00910A31"/>
    <w:rsid w:val="00910AF8"/>
    <w:rsid w:val="009110FD"/>
    <w:rsid w:val="00911D1E"/>
    <w:rsid w:val="00911D7F"/>
    <w:rsid w:val="009122DD"/>
    <w:rsid w:val="009130BB"/>
    <w:rsid w:val="00913108"/>
    <w:rsid w:val="0091329D"/>
    <w:rsid w:val="00913466"/>
    <w:rsid w:val="00913576"/>
    <w:rsid w:val="009139C2"/>
    <w:rsid w:val="009139CE"/>
    <w:rsid w:val="009142A1"/>
    <w:rsid w:val="00914392"/>
    <w:rsid w:val="0091451E"/>
    <w:rsid w:val="00914949"/>
    <w:rsid w:val="00914A60"/>
    <w:rsid w:val="00914C83"/>
    <w:rsid w:val="00915278"/>
    <w:rsid w:val="009152A4"/>
    <w:rsid w:val="00915B4B"/>
    <w:rsid w:val="00915DE7"/>
    <w:rsid w:val="00916023"/>
    <w:rsid w:val="00916512"/>
    <w:rsid w:val="00916AC3"/>
    <w:rsid w:val="00916F27"/>
    <w:rsid w:val="0091739C"/>
    <w:rsid w:val="00917E61"/>
    <w:rsid w:val="009201BC"/>
    <w:rsid w:val="00920853"/>
    <w:rsid w:val="00920907"/>
    <w:rsid w:val="00920A9C"/>
    <w:rsid w:val="00921BA4"/>
    <w:rsid w:val="00922173"/>
    <w:rsid w:val="009229F7"/>
    <w:rsid w:val="00922BF7"/>
    <w:rsid w:val="00922CA8"/>
    <w:rsid w:val="009233FF"/>
    <w:rsid w:val="009236B4"/>
    <w:rsid w:val="00923AEA"/>
    <w:rsid w:val="00923B1A"/>
    <w:rsid w:val="00923C81"/>
    <w:rsid w:val="00923CCC"/>
    <w:rsid w:val="009240E6"/>
    <w:rsid w:val="009244E2"/>
    <w:rsid w:val="009249A7"/>
    <w:rsid w:val="00924A49"/>
    <w:rsid w:val="00924D7A"/>
    <w:rsid w:val="009252A0"/>
    <w:rsid w:val="0092566E"/>
    <w:rsid w:val="00925680"/>
    <w:rsid w:val="009259EB"/>
    <w:rsid w:val="00925B6F"/>
    <w:rsid w:val="0092647B"/>
    <w:rsid w:val="00926FC9"/>
    <w:rsid w:val="009270FC"/>
    <w:rsid w:val="00927200"/>
    <w:rsid w:val="0092762A"/>
    <w:rsid w:val="00927A74"/>
    <w:rsid w:val="00930213"/>
    <w:rsid w:val="00930498"/>
    <w:rsid w:val="00930575"/>
    <w:rsid w:val="009309DD"/>
    <w:rsid w:val="00931C05"/>
    <w:rsid w:val="00932304"/>
    <w:rsid w:val="0093230C"/>
    <w:rsid w:val="00932499"/>
    <w:rsid w:val="0093249F"/>
    <w:rsid w:val="009326A0"/>
    <w:rsid w:val="0093304D"/>
    <w:rsid w:val="0093315C"/>
    <w:rsid w:val="009338D3"/>
    <w:rsid w:val="00933D87"/>
    <w:rsid w:val="00933E9F"/>
    <w:rsid w:val="00933EFD"/>
    <w:rsid w:val="00934303"/>
    <w:rsid w:val="00934ABC"/>
    <w:rsid w:val="00934DD8"/>
    <w:rsid w:val="00935059"/>
    <w:rsid w:val="0093589A"/>
    <w:rsid w:val="009358B3"/>
    <w:rsid w:val="00935F16"/>
    <w:rsid w:val="009362A7"/>
    <w:rsid w:val="0093634D"/>
    <w:rsid w:val="00937989"/>
    <w:rsid w:val="00937AD3"/>
    <w:rsid w:val="00940996"/>
    <w:rsid w:val="009409D5"/>
    <w:rsid w:val="0094151C"/>
    <w:rsid w:val="0094185B"/>
    <w:rsid w:val="009425B0"/>
    <w:rsid w:val="00942C0C"/>
    <w:rsid w:val="00942F2A"/>
    <w:rsid w:val="009431E2"/>
    <w:rsid w:val="009434DA"/>
    <w:rsid w:val="009435B4"/>
    <w:rsid w:val="009436F0"/>
    <w:rsid w:val="00943A5D"/>
    <w:rsid w:val="009441B8"/>
    <w:rsid w:val="0094432E"/>
    <w:rsid w:val="00944412"/>
    <w:rsid w:val="00944AE0"/>
    <w:rsid w:val="009457E9"/>
    <w:rsid w:val="00945AAF"/>
    <w:rsid w:val="00945B23"/>
    <w:rsid w:val="009461A5"/>
    <w:rsid w:val="00946727"/>
    <w:rsid w:val="00946766"/>
    <w:rsid w:val="009467C8"/>
    <w:rsid w:val="009468CA"/>
    <w:rsid w:val="00946C24"/>
    <w:rsid w:val="00946E17"/>
    <w:rsid w:val="00946E48"/>
    <w:rsid w:val="00946E97"/>
    <w:rsid w:val="00946FAB"/>
    <w:rsid w:val="00947626"/>
    <w:rsid w:val="009477C6"/>
    <w:rsid w:val="009477DB"/>
    <w:rsid w:val="00947D8C"/>
    <w:rsid w:val="00950318"/>
    <w:rsid w:val="00950B24"/>
    <w:rsid w:val="00950F98"/>
    <w:rsid w:val="009510D3"/>
    <w:rsid w:val="0095221A"/>
    <w:rsid w:val="009525C9"/>
    <w:rsid w:val="009529AA"/>
    <w:rsid w:val="00952CE9"/>
    <w:rsid w:val="00952F72"/>
    <w:rsid w:val="00954434"/>
    <w:rsid w:val="009544DD"/>
    <w:rsid w:val="00954720"/>
    <w:rsid w:val="009548A0"/>
    <w:rsid w:val="009549CB"/>
    <w:rsid w:val="00954C52"/>
    <w:rsid w:val="0095587C"/>
    <w:rsid w:val="009561D1"/>
    <w:rsid w:val="00956CDE"/>
    <w:rsid w:val="00956DC1"/>
    <w:rsid w:val="00956DC4"/>
    <w:rsid w:val="00956F1F"/>
    <w:rsid w:val="00956F7E"/>
    <w:rsid w:val="00956F91"/>
    <w:rsid w:val="0095713D"/>
    <w:rsid w:val="00957694"/>
    <w:rsid w:val="009578EC"/>
    <w:rsid w:val="00957D4B"/>
    <w:rsid w:val="00957DC2"/>
    <w:rsid w:val="00960159"/>
    <w:rsid w:val="00960C4C"/>
    <w:rsid w:val="00960D17"/>
    <w:rsid w:val="00960FB6"/>
    <w:rsid w:val="00960FD1"/>
    <w:rsid w:val="0096111D"/>
    <w:rsid w:val="00961564"/>
    <w:rsid w:val="00961E0A"/>
    <w:rsid w:val="00961E0D"/>
    <w:rsid w:val="00961F45"/>
    <w:rsid w:val="009622C9"/>
    <w:rsid w:val="009622CB"/>
    <w:rsid w:val="0096298A"/>
    <w:rsid w:val="00962C20"/>
    <w:rsid w:val="00962C80"/>
    <w:rsid w:val="00962DE3"/>
    <w:rsid w:val="00963BCE"/>
    <w:rsid w:val="00963E99"/>
    <w:rsid w:val="009641A6"/>
    <w:rsid w:val="00964228"/>
    <w:rsid w:val="00964B28"/>
    <w:rsid w:val="00964D35"/>
    <w:rsid w:val="0096524F"/>
    <w:rsid w:val="0096692A"/>
    <w:rsid w:val="009671C0"/>
    <w:rsid w:val="009674A6"/>
    <w:rsid w:val="00967C8A"/>
    <w:rsid w:val="00967DBE"/>
    <w:rsid w:val="00967E0C"/>
    <w:rsid w:val="00967F08"/>
    <w:rsid w:val="0097009F"/>
    <w:rsid w:val="00970260"/>
    <w:rsid w:val="00970406"/>
    <w:rsid w:val="009707E7"/>
    <w:rsid w:val="0097141F"/>
    <w:rsid w:val="009728AB"/>
    <w:rsid w:val="00972F1B"/>
    <w:rsid w:val="00972FDC"/>
    <w:rsid w:val="00973B27"/>
    <w:rsid w:val="0097485F"/>
    <w:rsid w:val="00974A04"/>
    <w:rsid w:val="00974AF5"/>
    <w:rsid w:val="00974E6D"/>
    <w:rsid w:val="00975266"/>
    <w:rsid w:val="009756B4"/>
    <w:rsid w:val="00975AAE"/>
    <w:rsid w:val="00975E82"/>
    <w:rsid w:val="00975F90"/>
    <w:rsid w:val="009760DE"/>
    <w:rsid w:val="00976D5A"/>
    <w:rsid w:val="00977070"/>
    <w:rsid w:val="00977201"/>
    <w:rsid w:val="00977313"/>
    <w:rsid w:val="0097733D"/>
    <w:rsid w:val="00977C67"/>
    <w:rsid w:val="00977E27"/>
    <w:rsid w:val="00980064"/>
    <w:rsid w:val="0098094F"/>
    <w:rsid w:val="00980C3E"/>
    <w:rsid w:val="00980F18"/>
    <w:rsid w:val="00981324"/>
    <w:rsid w:val="00981970"/>
    <w:rsid w:val="00982235"/>
    <w:rsid w:val="00982845"/>
    <w:rsid w:val="00982955"/>
    <w:rsid w:val="00982B02"/>
    <w:rsid w:val="0098326E"/>
    <w:rsid w:val="009833E5"/>
    <w:rsid w:val="00983459"/>
    <w:rsid w:val="00983534"/>
    <w:rsid w:val="009836FC"/>
    <w:rsid w:val="00984DA2"/>
    <w:rsid w:val="009852E4"/>
    <w:rsid w:val="00985D43"/>
    <w:rsid w:val="00985E10"/>
    <w:rsid w:val="00986052"/>
    <w:rsid w:val="009861D6"/>
    <w:rsid w:val="00986700"/>
    <w:rsid w:val="00986993"/>
    <w:rsid w:val="009877AF"/>
    <w:rsid w:val="009903BE"/>
    <w:rsid w:val="009911F9"/>
    <w:rsid w:val="009914D9"/>
    <w:rsid w:val="00991CF8"/>
    <w:rsid w:val="0099285F"/>
    <w:rsid w:val="00992996"/>
    <w:rsid w:val="009930DB"/>
    <w:rsid w:val="0099330D"/>
    <w:rsid w:val="009940E6"/>
    <w:rsid w:val="00994341"/>
    <w:rsid w:val="0099483D"/>
    <w:rsid w:val="009948B1"/>
    <w:rsid w:val="00994CD9"/>
    <w:rsid w:val="009951F7"/>
    <w:rsid w:val="00995949"/>
    <w:rsid w:val="00995BC5"/>
    <w:rsid w:val="009967DD"/>
    <w:rsid w:val="00996B32"/>
    <w:rsid w:val="00996DB8"/>
    <w:rsid w:val="00996DFF"/>
    <w:rsid w:val="0099705C"/>
    <w:rsid w:val="009974A2"/>
    <w:rsid w:val="009978EF"/>
    <w:rsid w:val="009A03D7"/>
    <w:rsid w:val="009A0A2A"/>
    <w:rsid w:val="009A0D3B"/>
    <w:rsid w:val="009A1322"/>
    <w:rsid w:val="009A1EC4"/>
    <w:rsid w:val="009A235E"/>
    <w:rsid w:val="009A2550"/>
    <w:rsid w:val="009A2DDC"/>
    <w:rsid w:val="009A3304"/>
    <w:rsid w:val="009A3747"/>
    <w:rsid w:val="009A3955"/>
    <w:rsid w:val="009A3AC4"/>
    <w:rsid w:val="009A41B9"/>
    <w:rsid w:val="009A4893"/>
    <w:rsid w:val="009A4F58"/>
    <w:rsid w:val="009A51E2"/>
    <w:rsid w:val="009A52ED"/>
    <w:rsid w:val="009A54C0"/>
    <w:rsid w:val="009A5535"/>
    <w:rsid w:val="009A6539"/>
    <w:rsid w:val="009A6739"/>
    <w:rsid w:val="009A6A63"/>
    <w:rsid w:val="009A70AF"/>
    <w:rsid w:val="009A71CA"/>
    <w:rsid w:val="009A7279"/>
    <w:rsid w:val="009A76A7"/>
    <w:rsid w:val="009A7793"/>
    <w:rsid w:val="009A779D"/>
    <w:rsid w:val="009A77F4"/>
    <w:rsid w:val="009A79A5"/>
    <w:rsid w:val="009A7FCA"/>
    <w:rsid w:val="009B0296"/>
    <w:rsid w:val="009B046E"/>
    <w:rsid w:val="009B0489"/>
    <w:rsid w:val="009B141A"/>
    <w:rsid w:val="009B14E2"/>
    <w:rsid w:val="009B1914"/>
    <w:rsid w:val="009B1F90"/>
    <w:rsid w:val="009B2156"/>
    <w:rsid w:val="009B2380"/>
    <w:rsid w:val="009B2A89"/>
    <w:rsid w:val="009B3B54"/>
    <w:rsid w:val="009B3EFD"/>
    <w:rsid w:val="009B4051"/>
    <w:rsid w:val="009B4142"/>
    <w:rsid w:val="009B4A5C"/>
    <w:rsid w:val="009B529A"/>
    <w:rsid w:val="009B5542"/>
    <w:rsid w:val="009B5701"/>
    <w:rsid w:val="009B5A21"/>
    <w:rsid w:val="009B5B61"/>
    <w:rsid w:val="009B6CE2"/>
    <w:rsid w:val="009B774A"/>
    <w:rsid w:val="009B7A7E"/>
    <w:rsid w:val="009B7E57"/>
    <w:rsid w:val="009C0B9A"/>
    <w:rsid w:val="009C0BB1"/>
    <w:rsid w:val="009C0BEB"/>
    <w:rsid w:val="009C0FA5"/>
    <w:rsid w:val="009C10A7"/>
    <w:rsid w:val="009C10DC"/>
    <w:rsid w:val="009C11D5"/>
    <w:rsid w:val="009C19BD"/>
    <w:rsid w:val="009C1E8A"/>
    <w:rsid w:val="009C1FF3"/>
    <w:rsid w:val="009C2AFA"/>
    <w:rsid w:val="009C3046"/>
    <w:rsid w:val="009C31F0"/>
    <w:rsid w:val="009C359C"/>
    <w:rsid w:val="009C37BE"/>
    <w:rsid w:val="009C3908"/>
    <w:rsid w:val="009C3B01"/>
    <w:rsid w:val="009C3E4C"/>
    <w:rsid w:val="009C42A0"/>
    <w:rsid w:val="009C4341"/>
    <w:rsid w:val="009C44EC"/>
    <w:rsid w:val="009C46B0"/>
    <w:rsid w:val="009C481A"/>
    <w:rsid w:val="009C49AD"/>
    <w:rsid w:val="009C4CE1"/>
    <w:rsid w:val="009C4EC8"/>
    <w:rsid w:val="009C5AAB"/>
    <w:rsid w:val="009C617C"/>
    <w:rsid w:val="009C6688"/>
    <w:rsid w:val="009C719A"/>
    <w:rsid w:val="009C7513"/>
    <w:rsid w:val="009C78E5"/>
    <w:rsid w:val="009C7D1B"/>
    <w:rsid w:val="009C7F39"/>
    <w:rsid w:val="009D02C6"/>
    <w:rsid w:val="009D1C0F"/>
    <w:rsid w:val="009D2082"/>
    <w:rsid w:val="009D2247"/>
    <w:rsid w:val="009D22C5"/>
    <w:rsid w:val="009D249C"/>
    <w:rsid w:val="009D4808"/>
    <w:rsid w:val="009D4C92"/>
    <w:rsid w:val="009D4DAB"/>
    <w:rsid w:val="009D4FF5"/>
    <w:rsid w:val="009D502C"/>
    <w:rsid w:val="009D543D"/>
    <w:rsid w:val="009D571B"/>
    <w:rsid w:val="009D5876"/>
    <w:rsid w:val="009D5905"/>
    <w:rsid w:val="009D5955"/>
    <w:rsid w:val="009D5C41"/>
    <w:rsid w:val="009D5C7A"/>
    <w:rsid w:val="009D5F07"/>
    <w:rsid w:val="009D615E"/>
    <w:rsid w:val="009D6190"/>
    <w:rsid w:val="009D61F6"/>
    <w:rsid w:val="009D620F"/>
    <w:rsid w:val="009D6504"/>
    <w:rsid w:val="009D6687"/>
    <w:rsid w:val="009D66F8"/>
    <w:rsid w:val="009D676E"/>
    <w:rsid w:val="009D67EE"/>
    <w:rsid w:val="009D6A42"/>
    <w:rsid w:val="009D75F6"/>
    <w:rsid w:val="009D7624"/>
    <w:rsid w:val="009D7743"/>
    <w:rsid w:val="009D7A59"/>
    <w:rsid w:val="009D7FBE"/>
    <w:rsid w:val="009E0199"/>
    <w:rsid w:val="009E0345"/>
    <w:rsid w:val="009E07DF"/>
    <w:rsid w:val="009E0943"/>
    <w:rsid w:val="009E0C39"/>
    <w:rsid w:val="009E0D79"/>
    <w:rsid w:val="009E0E9A"/>
    <w:rsid w:val="009E18ED"/>
    <w:rsid w:val="009E1C70"/>
    <w:rsid w:val="009E1C8F"/>
    <w:rsid w:val="009E1CF9"/>
    <w:rsid w:val="009E1F0E"/>
    <w:rsid w:val="009E24DE"/>
    <w:rsid w:val="009E2DBB"/>
    <w:rsid w:val="009E30E1"/>
    <w:rsid w:val="009E3207"/>
    <w:rsid w:val="009E33BE"/>
    <w:rsid w:val="009E36E4"/>
    <w:rsid w:val="009E3909"/>
    <w:rsid w:val="009E3956"/>
    <w:rsid w:val="009E3BDE"/>
    <w:rsid w:val="009E4113"/>
    <w:rsid w:val="009E4220"/>
    <w:rsid w:val="009E432D"/>
    <w:rsid w:val="009E4645"/>
    <w:rsid w:val="009E5123"/>
    <w:rsid w:val="009E524D"/>
    <w:rsid w:val="009E52CB"/>
    <w:rsid w:val="009E5369"/>
    <w:rsid w:val="009E5808"/>
    <w:rsid w:val="009E59E2"/>
    <w:rsid w:val="009E5A07"/>
    <w:rsid w:val="009E606A"/>
    <w:rsid w:val="009E625B"/>
    <w:rsid w:val="009E69B2"/>
    <w:rsid w:val="009E69D9"/>
    <w:rsid w:val="009E74EF"/>
    <w:rsid w:val="009E7AE2"/>
    <w:rsid w:val="009F0314"/>
    <w:rsid w:val="009F0EBC"/>
    <w:rsid w:val="009F1383"/>
    <w:rsid w:val="009F173C"/>
    <w:rsid w:val="009F1A29"/>
    <w:rsid w:val="009F1DAC"/>
    <w:rsid w:val="009F2984"/>
    <w:rsid w:val="009F2DF7"/>
    <w:rsid w:val="009F2E42"/>
    <w:rsid w:val="009F2F13"/>
    <w:rsid w:val="009F3861"/>
    <w:rsid w:val="009F3EC3"/>
    <w:rsid w:val="009F3FE4"/>
    <w:rsid w:val="009F4427"/>
    <w:rsid w:val="009F4519"/>
    <w:rsid w:val="009F455F"/>
    <w:rsid w:val="009F47C3"/>
    <w:rsid w:val="009F4900"/>
    <w:rsid w:val="009F4E81"/>
    <w:rsid w:val="009F513C"/>
    <w:rsid w:val="009F524A"/>
    <w:rsid w:val="009F5300"/>
    <w:rsid w:val="009F60FE"/>
    <w:rsid w:val="009F6D31"/>
    <w:rsid w:val="00A0001E"/>
    <w:rsid w:val="00A00772"/>
    <w:rsid w:val="00A009A7"/>
    <w:rsid w:val="00A01215"/>
    <w:rsid w:val="00A013D2"/>
    <w:rsid w:val="00A013D6"/>
    <w:rsid w:val="00A018EB"/>
    <w:rsid w:val="00A019E0"/>
    <w:rsid w:val="00A01A92"/>
    <w:rsid w:val="00A01C74"/>
    <w:rsid w:val="00A01E27"/>
    <w:rsid w:val="00A02252"/>
    <w:rsid w:val="00A0296E"/>
    <w:rsid w:val="00A029A6"/>
    <w:rsid w:val="00A0311F"/>
    <w:rsid w:val="00A037A3"/>
    <w:rsid w:val="00A03F5A"/>
    <w:rsid w:val="00A04CE5"/>
    <w:rsid w:val="00A04F0C"/>
    <w:rsid w:val="00A050C0"/>
    <w:rsid w:val="00A0526E"/>
    <w:rsid w:val="00A05290"/>
    <w:rsid w:val="00A0584F"/>
    <w:rsid w:val="00A058A5"/>
    <w:rsid w:val="00A05958"/>
    <w:rsid w:val="00A05CF3"/>
    <w:rsid w:val="00A05DEC"/>
    <w:rsid w:val="00A05EB9"/>
    <w:rsid w:val="00A064AB"/>
    <w:rsid w:val="00A064D4"/>
    <w:rsid w:val="00A06826"/>
    <w:rsid w:val="00A0696A"/>
    <w:rsid w:val="00A069D7"/>
    <w:rsid w:val="00A06A73"/>
    <w:rsid w:val="00A06DD3"/>
    <w:rsid w:val="00A06DDE"/>
    <w:rsid w:val="00A076DA"/>
    <w:rsid w:val="00A077B6"/>
    <w:rsid w:val="00A077C5"/>
    <w:rsid w:val="00A07920"/>
    <w:rsid w:val="00A07B80"/>
    <w:rsid w:val="00A106D8"/>
    <w:rsid w:val="00A109B2"/>
    <w:rsid w:val="00A11675"/>
    <w:rsid w:val="00A117D7"/>
    <w:rsid w:val="00A117F9"/>
    <w:rsid w:val="00A11811"/>
    <w:rsid w:val="00A11AAD"/>
    <w:rsid w:val="00A11F80"/>
    <w:rsid w:val="00A125B7"/>
    <w:rsid w:val="00A1267F"/>
    <w:rsid w:val="00A12707"/>
    <w:rsid w:val="00A12933"/>
    <w:rsid w:val="00A12CC0"/>
    <w:rsid w:val="00A12D62"/>
    <w:rsid w:val="00A139CD"/>
    <w:rsid w:val="00A13F00"/>
    <w:rsid w:val="00A149E9"/>
    <w:rsid w:val="00A15206"/>
    <w:rsid w:val="00A15C50"/>
    <w:rsid w:val="00A15CAA"/>
    <w:rsid w:val="00A15DDD"/>
    <w:rsid w:val="00A17181"/>
    <w:rsid w:val="00A179DB"/>
    <w:rsid w:val="00A17EEC"/>
    <w:rsid w:val="00A20003"/>
    <w:rsid w:val="00A207DE"/>
    <w:rsid w:val="00A21503"/>
    <w:rsid w:val="00A21E6E"/>
    <w:rsid w:val="00A222FE"/>
    <w:rsid w:val="00A226E0"/>
    <w:rsid w:val="00A227B0"/>
    <w:rsid w:val="00A2323E"/>
    <w:rsid w:val="00A23BAE"/>
    <w:rsid w:val="00A24931"/>
    <w:rsid w:val="00A24C66"/>
    <w:rsid w:val="00A24D64"/>
    <w:rsid w:val="00A255C7"/>
    <w:rsid w:val="00A25841"/>
    <w:rsid w:val="00A2591D"/>
    <w:rsid w:val="00A2598D"/>
    <w:rsid w:val="00A2610D"/>
    <w:rsid w:val="00A261B7"/>
    <w:rsid w:val="00A2629C"/>
    <w:rsid w:val="00A2669F"/>
    <w:rsid w:val="00A26928"/>
    <w:rsid w:val="00A26AD8"/>
    <w:rsid w:val="00A26CA9"/>
    <w:rsid w:val="00A276AF"/>
    <w:rsid w:val="00A27B2C"/>
    <w:rsid w:val="00A27E3C"/>
    <w:rsid w:val="00A30789"/>
    <w:rsid w:val="00A30982"/>
    <w:rsid w:val="00A309E3"/>
    <w:rsid w:val="00A30A7D"/>
    <w:rsid w:val="00A30C88"/>
    <w:rsid w:val="00A30DF2"/>
    <w:rsid w:val="00A311D7"/>
    <w:rsid w:val="00A314CB"/>
    <w:rsid w:val="00A314F3"/>
    <w:rsid w:val="00A31AD6"/>
    <w:rsid w:val="00A325BF"/>
    <w:rsid w:val="00A335D4"/>
    <w:rsid w:val="00A3378A"/>
    <w:rsid w:val="00A347BC"/>
    <w:rsid w:val="00A34F61"/>
    <w:rsid w:val="00A36269"/>
    <w:rsid w:val="00A3631C"/>
    <w:rsid w:val="00A36485"/>
    <w:rsid w:val="00A36616"/>
    <w:rsid w:val="00A366B5"/>
    <w:rsid w:val="00A36700"/>
    <w:rsid w:val="00A36939"/>
    <w:rsid w:val="00A36941"/>
    <w:rsid w:val="00A36C69"/>
    <w:rsid w:val="00A37027"/>
    <w:rsid w:val="00A37087"/>
    <w:rsid w:val="00A371AE"/>
    <w:rsid w:val="00A3734A"/>
    <w:rsid w:val="00A37CD6"/>
    <w:rsid w:val="00A37E57"/>
    <w:rsid w:val="00A404EC"/>
    <w:rsid w:val="00A4095F"/>
    <w:rsid w:val="00A40B97"/>
    <w:rsid w:val="00A40EEF"/>
    <w:rsid w:val="00A4123A"/>
    <w:rsid w:val="00A41301"/>
    <w:rsid w:val="00A424F2"/>
    <w:rsid w:val="00A42614"/>
    <w:rsid w:val="00A427CB"/>
    <w:rsid w:val="00A42851"/>
    <w:rsid w:val="00A42CD8"/>
    <w:rsid w:val="00A42E46"/>
    <w:rsid w:val="00A42EB3"/>
    <w:rsid w:val="00A43AA3"/>
    <w:rsid w:val="00A4434F"/>
    <w:rsid w:val="00A44674"/>
    <w:rsid w:val="00A448BD"/>
    <w:rsid w:val="00A44E83"/>
    <w:rsid w:val="00A454CF"/>
    <w:rsid w:val="00A45CF7"/>
    <w:rsid w:val="00A467DA"/>
    <w:rsid w:val="00A46CE3"/>
    <w:rsid w:val="00A4792E"/>
    <w:rsid w:val="00A47A8E"/>
    <w:rsid w:val="00A47C62"/>
    <w:rsid w:val="00A51232"/>
    <w:rsid w:val="00A51A09"/>
    <w:rsid w:val="00A5237A"/>
    <w:rsid w:val="00A528FD"/>
    <w:rsid w:val="00A53470"/>
    <w:rsid w:val="00A53734"/>
    <w:rsid w:val="00A53D21"/>
    <w:rsid w:val="00A54052"/>
    <w:rsid w:val="00A5408F"/>
    <w:rsid w:val="00A54716"/>
    <w:rsid w:val="00A54750"/>
    <w:rsid w:val="00A549F2"/>
    <w:rsid w:val="00A54B57"/>
    <w:rsid w:val="00A54DD8"/>
    <w:rsid w:val="00A5518B"/>
    <w:rsid w:val="00A551B1"/>
    <w:rsid w:val="00A55843"/>
    <w:rsid w:val="00A5615C"/>
    <w:rsid w:val="00A56394"/>
    <w:rsid w:val="00A56DAE"/>
    <w:rsid w:val="00A57056"/>
    <w:rsid w:val="00A60B9D"/>
    <w:rsid w:val="00A611DF"/>
    <w:rsid w:val="00A62440"/>
    <w:rsid w:val="00A624F6"/>
    <w:rsid w:val="00A62A3E"/>
    <w:rsid w:val="00A62D6A"/>
    <w:rsid w:val="00A62E43"/>
    <w:rsid w:val="00A63165"/>
    <w:rsid w:val="00A6340D"/>
    <w:rsid w:val="00A63716"/>
    <w:rsid w:val="00A63A81"/>
    <w:rsid w:val="00A63B07"/>
    <w:rsid w:val="00A64312"/>
    <w:rsid w:val="00A6433D"/>
    <w:rsid w:val="00A643C5"/>
    <w:rsid w:val="00A644B9"/>
    <w:rsid w:val="00A645AD"/>
    <w:rsid w:val="00A64D3E"/>
    <w:rsid w:val="00A64FC1"/>
    <w:rsid w:val="00A6504E"/>
    <w:rsid w:val="00A65211"/>
    <w:rsid w:val="00A6541F"/>
    <w:rsid w:val="00A655C1"/>
    <w:rsid w:val="00A665F1"/>
    <w:rsid w:val="00A6661F"/>
    <w:rsid w:val="00A66D65"/>
    <w:rsid w:val="00A67310"/>
    <w:rsid w:val="00A674D9"/>
    <w:rsid w:val="00A6764B"/>
    <w:rsid w:val="00A67FA4"/>
    <w:rsid w:val="00A7058B"/>
    <w:rsid w:val="00A706D4"/>
    <w:rsid w:val="00A70D95"/>
    <w:rsid w:val="00A71250"/>
    <w:rsid w:val="00A7143E"/>
    <w:rsid w:val="00A715EE"/>
    <w:rsid w:val="00A717F3"/>
    <w:rsid w:val="00A71CF1"/>
    <w:rsid w:val="00A71D74"/>
    <w:rsid w:val="00A72BF6"/>
    <w:rsid w:val="00A7343D"/>
    <w:rsid w:val="00A73BCF"/>
    <w:rsid w:val="00A74216"/>
    <w:rsid w:val="00A7582A"/>
    <w:rsid w:val="00A75A4F"/>
    <w:rsid w:val="00A761E2"/>
    <w:rsid w:val="00A762EF"/>
    <w:rsid w:val="00A769D4"/>
    <w:rsid w:val="00A76C48"/>
    <w:rsid w:val="00A76E02"/>
    <w:rsid w:val="00A76E54"/>
    <w:rsid w:val="00A77289"/>
    <w:rsid w:val="00A77451"/>
    <w:rsid w:val="00A7751E"/>
    <w:rsid w:val="00A775BA"/>
    <w:rsid w:val="00A77CC3"/>
    <w:rsid w:val="00A8014B"/>
    <w:rsid w:val="00A80376"/>
    <w:rsid w:val="00A80A3E"/>
    <w:rsid w:val="00A80DCC"/>
    <w:rsid w:val="00A81515"/>
    <w:rsid w:val="00A81692"/>
    <w:rsid w:val="00A81BC4"/>
    <w:rsid w:val="00A8265E"/>
    <w:rsid w:val="00A82E8E"/>
    <w:rsid w:val="00A836B7"/>
    <w:rsid w:val="00A83944"/>
    <w:rsid w:val="00A83A0B"/>
    <w:rsid w:val="00A83AE0"/>
    <w:rsid w:val="00A83C08"/>
    <w:rsid w:val="00A83CB0"/>
    <w:rsid w:val="00A83D6B"/>
    <w:rsid w:val="00A83E56"/>
    <w:rsid w:val="00A83F5A"/>
    <w:rsid w:val="00A83FAB"/>
    <w:rsid w:val="00A8410D"/>
    <w:rsid w:val="00A84271"/>
    <w:rsid w:val="00A84889"/>
    <w:rsid w:val="00A84BCD"/>
    <w:rsid w:val="00A85586"/>
    <w:rsid w:val="00A858FF"/>
    <w:rsid w:val="00A85CB8"/>
    <w:rsid w:val="00A85D03"/>
    <w:rsid w:val="00A8611D"/>
    <w:rsid w:val="00A86493"/>
    <w:rsid w:val="00A86816"/>
    <w:rsid w:val="00A8709D"/>
    <w:rsid w:val="00A9001B"/>
    <w:rsid w:val="00A9010F"/>
    <w:rsid w:val="00A902C3"/>
    <w:rsid w:val="00A90350"/>
    <w:rsid w:val="00A9133F"/>
    <w:rsid w:val="00A916D7"/>
    <w:rsid w:val="00A91C32"/>
    <w:rsid w:val="00A91E34"/>
    <w:rsid w:val="00A92462"/>
    <w:rsid w:val="00A926E8"/>
    <w:rsid w:val="00A92964"/>
    <w:rsid w:val="00A92D65"/>
    <w:rsid w:val="00A9315A"/>
    <w:rsid w:val="00A931FD"/>
    <w:rsid w:val="00A9323E"/>
    <w:rsid w:val="00A9343A"/>
    <w:rsid w:val="00A936A5"/>
    <w:rsid w:val="00A93B98"/>
    <w:rsid w:val="00A93E48"/>
    <w:rsid w:val="00A93F0D"/>
    <w:rsid w:val="00A94B3E"/>
    <w:rsid w:val="00A95246"/>
    <w:rsid w:val="00A95A2B"/>
    <w:rsid w:val="00A95AC6"/>
    <w:rsid w:val="00A95B59"/>
    <w:rsid w:val="00A95C18"/>
    <w:rsid w:val="00A95C56"/>
    <w:rsid w:val="00A95D73"/>
    <w:rsid w:val="00A95FF9"/>
    <w:rsid w:val="00A961B8"/>
    <w:rsid w:val="00A962C2"/>
    <w:rsid w:val="00A968E1"/>
    <w:rsid w:val="00A968F7"/>
    <w:rsid w:val="00A96C99"/>
    <w:rsid w:val="00A96FA1"/>
    <w:rsid w:val="00A97AE3"/>
    <w:rsid w:val="00A97B04"/>
    <w:rsid w:val="00A97BA5"/>
    <w:rsid w:val="00AA0317"/>
    <w:rsid w:val="00AA0336"/>
    <w:rsid w:val="00AA0874"/>
    <w:rsid w:val="00AA0A06"/>
    <w:rsid w:val="00AA10A3"/>
    <w:rsid w:val="00AA19A4"/>
    <w:rsid w:val="00AA1E18"/>
    <w:rsid w:val="00AA230B"/>
    <w:rsid w:val="00AA2384"/>
    <w:rsid w:val="00AA2668"/>
    <w:rsid w:val="00AA2C1A"/>
    <w:rsid w:val="00AA2D36"/>
    <w:rsid w:val="00AA2FDD"/>
    <w:rsid w:val="00AA3096"/>
    <w:rsid w:val="00AA30F6"/>
    <w:rsid w:val="00AA331E"/>
    <w:rsid w:val="00AA3B75"/>
    <w:rsid w:val="00AA4A8A"/>
    <w:rsid w:val="00AA51E2"/>
    <w:rsid w:val="00AA52BF"/>
    <w:rsid w:val="00AA5859"/>
    <w:rsid w:val="00AA5AE4"/>
    <w:rsid w:val="00AA5E89"/>
    <w:rsid w:val="00AA61B9"/>
    <w:rsid w:val="00AA6409"/>
    <w:rsid w:val="00AA6470"/>
    <w:rsid w:val="00AA6AEA"/>
    <w:rsid w:val="00AA7E12"/>
    <w:rsid w:val="00AB0DB1"/>
    <w:rsid w:val="00AB17F8"/>
    <w:rsid w:val="00AB183E"/>
    <w:rsid w:val="00AB1AEC"/>
    <w:rsid w:val="00AB1FB9"/>
    <w:rsid w:val="00AB29CB"/>
    <w:rsid w:val="00AB30F0"/>
    <w:rsid w:val="00AB312D"/>
    <w:rsid w:val="00AB31BE"/>
    <w:rsid w:val="00AB3B1C"/>
    <w:rsid w:val="00AB3F3F"/>
    <w:rsid w:val="00AB44BE"/>
    <w:rsid w:val="00AB4863"/>
    <w:rsid w:val="00AB4BB2"/>
    <w:rsid w:val="00AB5541"/>
    <w:rsid w:val="00AB5974"/>
    <w:rsid w:val="00AB5C42"/>
    <w:rsid w:val="00AB66BA"/>
    <w:rsid w:val="00AB77F2"/>
    <w:rsid w:val="00AB7BF2"/>
    <w:rsid w:val="00AB7D4A"/>
    <w:rsid w:val="00AC01E9"/>
    <w:rsid w:val="00AC0AD8"/>
    <w:rsid w:val="00AC16E0"/>
    <w:rsid w:val="00AC1BF4"/>
    <w:rsid w:val="00AC2309"/>
    <w:rsid w:val="00AC23DE"/>
    <w:rsid w:val="00AC242A"/>
    <w:rsid w:val="00AC31CB"/>
    <w:rsid w:val="00AC3257"/>
    <w:rsid w:val="00AC3540"/>
    <w:rsid w:val="00AC4058"/>
    <w:rsid w:val="00AC434A"/>
    <w:rsid w:val="00AC590A"/>
    <w:rsid w:val="00AC5B0F"/>
    <w:rsid w:val="00AC6126"/>
    <w:rsid w:val="00AC6192"/>
    <w:rsid w:val="00AC6A72"/>
    <w:rsid w:val="00AC6C8E"/>
    <w:rsid w:val="00AC6CFB"/>
    <w:rsid w:val="00AC7052"/>
    <w:rsid w:val="00AC72C1"/>
    <w:rsid w:val="00AC7846"/>
    <w:rsid w:val="00AD0272"/>
    <w:rsid w:val="00AD05A8"/>
    <w:rsid w:val="00AD0681"/>
    <w:rsid w:val="00AD078F"/>
    <w:rsid w:val="00AD100F"/>
    <w:rsid w:val="00AD140E"/>
    <w:rsid w:val="00AD1592"/>
    <w:rsid w:val="00AD15FC"/>
    <w:rsid w:val="00AD1B5D"/>
    <w:rsid w:val="00AD1E9E"/>
    <w:rsid w:val="00AD289D"/>
    <w:rsid w:val="00AD33D6"/>
    <w:rsid w:val="00AD346D"/>
    <w:rsid w:val="00AD3609"/>
    <w:rsid w:val="00AD37E3"/>
    <w:rsid w:val="00AD3A44"/>
    <w:rsid w:val="00AD3BEA"/>
    <w:rsid w:val="00AD41CF"/>
    <w:rsid w:val="00AD5D8C"/>
    <w:rsid w:val="00AD6415"/>
    <w:rsid w:val="00AD6A47"/>
    <w:rsid w:val="00AD6A60"/>
    <w:rsid w:val="00AD7138"/>
    <w:rsid w:val="00AD76DF"/>
    <w:rsid w:val="00AD7781"/>
    <w:rsid w:val="00AE0277"/>
    <w:rsid w:val="00AE07D1"/>
    <w:rsid w:val="00AE0C6F"/>
    <w:rsid w:val="00AE0F83"/>
    <w:rsid w:val="00AE1F45"/>
    <w:rsid w:val="00AE1FBD"/>
    <w:rsid w:val="00AE2263"/>
    <w:rsid w:val="00AE2595"/>
    <w:rsid w:val="00AE284A"/>
    <w:rsid w:val="00AE2861"/>
    <w:rsid w:val="00AE29CF"/>
    <w:rsid w:val="00AE2D6C"/>
    <w:rsid w:val="00AE33FD"/>
    <w:rsid w:val="00AE3595"/>
    <w:rsid w:val="00AE3B74"/>
    <w:rsid w:val="00AE3C62"/>
    <w:rsid w:val="00AE3F2E"/>
    <w:rsid w:val="00AE5474"/>
    <w:rsid w:val="00AE5D2E"/>
    <w:rsid w:val="00AE6496"/>
    <w:rsid w:val="00AE688A"/>
    <w:rsid w:val="00AE6958"/>
    <w:rsid w:val="00AE6A29"/>
    <w:rsid w:val="00AE778F"/>
    <w:rsid w:val="00AE78C9"/>
    <w:rsid w:val="00AF03A6"/>
    <w:rsid w:val="00AF08C4"/>
    <w:rsid w:val="00AF0E8C"/>
    <w:rsid w:val="00AF1106"/>
    <w:rsid w:val="00AF1232"/>
    <w:rsid w:val="00AF146E"/>
    <w:rsid w:val="00AF15EC"/>
    <w:rsid w:val="00AF16B0"/>
    <w:rsid w:val="00AF18A9"/>
    <w:rsid w:val="00AF1C12"/>
    <w:rsid w:val="00AF275D"/>
    <w:rsid w:val="00AF2C9D"/>
    <w:rsid w:val="00AF2FAD"/>
    <w:rsid w:val="00AF3A99"/>
    <w:rsid w:val="00AF4027"/>
    <w:rsid w:val="00AF48DB"/>
    <w:rsid w:val="00AF4E41"/>
    <w:rsid w:val="00AF54E4"/>
    <w:rsid w:val="00AF5D2A"/>
    <w:rsid w:val="00AF5DE2"/>
    <w:rsid w:val="00AF5FB1"/>
    <w:rsid w:val="00AF6295"/>
    <w:rsid w:val="00AF63A6"/>
    <w:rsid w:val="00AF66BD"/>
    <w:rsid w:val="00AF6A05"/>
    <w:rsid w:val="00AF7D0F"/>
    <w:rsid w:val="00AF7E14"/>
    <w:rsid w:val="00B00070"/>
    <w:rsid w:val="00B00140"/>
    <w:rsid w:val="00B001B1"/>
    <w:rsid w:val="00B0059F"/>
    <w:rsid w:val="00B00896"/>
    <w:rsid w:val="00B00C7A"/>
    <w:rsid w:val="00B00DA5"/>
    <w:rsid w:val="00B00F14"/>
    <w:rsid w:val="00B01DE5"/>
    <w:rsid w:val="00B03719"/>
    <w:rsid w:val="00B03EA3"/>
    <w:rsid w:val="00B03FE7"/>
    <w:rsid w:val="00B04673"/>
    <w:rsid w:val="00B04B52"/>
    <w:rsid w:val="00B04F7B"/>
    <w:rsid w:val="00B0514E"/>
    <w:rsid w:val="00B05333"/>
    <w:rsid w:val="00B05573"/>
    <w:rsid w:val="00B055DE"/>
    <w:rsid w:val="00B05F65"/>
    <w:rsid w:val="00B06237"/>
    <w:rsid w:val="00B067D1"/>
    <w:rsid w:val="00B0683E"/>
    <w:rsid w:val="00B06884"/>
    <w:rsid w:val="00B0698F"/>
    <w:rsid w:val="00B06A3F"/>
    <w:rsid w:val="00B06DE1"/>
    <w:rsid w:val="00B06E39"/>
    <w:rsid w:val="00B0710A"/>
    <w:rsid w:val="00B0716C"/>
    <w:rsid w:val="00B07309"/>
    <w:rsid w:val="00B0748E"/>
    <w:rsid w:val="00B10264"/>
    <w:rsid w:val="00B104B1"/>
    <w:rsid w:val="00B10C1F"/>
    <w:rsid w:val="00B10E03"/>
    <w:rsid w:val="00B11760"/>
    <w:rsid w:val="00B11875"/>
    <w:rsid w:val="00B11DE3"/>
    <w:rsid w:val="00B1201F"/>
    <w:rsid w:val="00B124B9"/>
    <w:rsid w:val="00B12755"/>
    <w:rsid w:val="00B12988"/>
    <w:rsid w:val="00B129CB"/>
    <w:rsid w:val="00B13509"/>
    <w:rsid w:val="00B13701"/>
    <w:rsid w:val="00B13E09"/>
    <w:rsid w:val="00B14A5C"/>
    <w:rsid w:val="00B14E3D"/>
    <w:rsid w:val="00B15C0D"/>
    <w:rsid w:val="00B1650C"/>
    <w:rsid w:val="00B1657F"/>
    <w:rsid w:val="00B17249"/>
    <w:rsid w:val="00B20BB6"/>
    <w:rsid w:val="00B21788"/>
    <w:rsid w:val="00B21B79"/>
    <w:rsid w:val="00B22AF5"/>
    <w:rsid w:val="00B22DA6"/>
    <w:rsid w:val="00B23942"/>
    <w:rsid w:val="00B23F1E"/>
    <w:rsid w:val="00B246D4"/>
    <w:rsid w:val="00B26373"/>
    <w:rsid w:val="00B268A7"/>
    <w:rsid w:val="00B26A1B"/>
    <w:rsid w:val="00B26C03"/>
    <w:rsid w:val="00B2723A"/>
    <w:rsid w:val="00B2758C"/>
    <w:rsid w:val="00B275B6"/>
    <w:rsid w:val="00B2793D"/>
    <w:rsid w:val="00B3076F"/>
    <w:rsid w:val="00B30C8E"/>
    <w:rsid w:val="00B30F51"/>
    <w:rsid w:val="00B30FA5"/>
    <w:rsid w:val="00B31001"/>
    <w:rsid w:val="00B31097"/>
    <w:rsid w:val="00B315B7"/>
    <w:rsid w:val="00B31680"/>
    <w:rsid w:val="00B31958"/>
    <w:rsid w:val="00B31DBF"/>
    <w:rsid w:val="00B328F5"/>
    <w:rsid w:val="00B32CD9"/>
    <w:rsid w:val="00B32EB8"/>
    <w:rsid w:val="00B32FC8"/>
    <w:rsid w:val="00B333AF"/>
    <w:rsid w:val="00B33423"/>
    <w:rsid w:val="00B339B1"/>
    <w:rsid w:val="00B33B31"/>
    <w:rsid w:val="00B348AA"/>
    <w:rsid w:val="00B348E4"/>
    <w:rsid w:val="00B34D7F"/>
    <w:rsid w:val="00B35043"/>
    <w:rsid w:val="00B3561E"/>
    <w:rsid w:val="00B35840"/>
    <w:rsid w:val="00B35B1B"/>
    <w:rsid w:val="00B35C8F"/>
    <w:rsid w:val="00B35ED7"/>
    <w:rsid w:val="00B36097"/>
    <w:rsid w:val="00B3619E"/>
    <w:rsid w:val="00B362AD"/>
    <w:rsid w:val="00B3665F"/>
    <w:rsid w:val="00B370F7"/>
    <w:rsid w:val="00B37292"/>
    <w:rsid w:val="00B372D5"/>
    <w:rsid w:val="00B37B70"/>
    <w:rsid w:val="00B37F10"/>
    <w:rsid w:val="00B400A9"/>
    <w:rsid w:val="00B405C0"/>
    <w:rsid w:val="00B4093D"/>
    <w:rsid w:val="00B409D3"/>
    <w:rsid w:val="00B40CFD"/>
    <w:rsid w:val="00B41F0C"/>
    <w:rsid w:val="00B42526"/>
    <w:rsid w:val="00B4253A"/>
    <w:rsid w:val="00B42846"/>
    <w:rsid w:val="00B42E6C"/>
    <w:rsid w:val="00B42EF7"/>
    <w:rsid w:val="00B430E5"/>
    <w:rsid w:val="00B43E12"/>
    <w:rsid w:val="00B4409D"/>
    <w:rsid w:val="00B44261"/>
    <w:rsid w:val="00B446E4"/>
    <w:rsid w:val="00B44BB7"/>
    <w:rsid w:val="00B45098"/>
    <w:rsid w:val="00B452F3"/>
    <w:rsid w:val="00B45411"/>
    <w:rsid w:val="00B45A8A"/>
    <w:rsid w:val="00B4613D"/>
    <w:rsid w:val="00B46271"/>
    <w:rsid w:val="00B46390"/>
    <w:rsid w:val="00B46547"/>
    <w:rsid w:val="00B46696"/>
    <w:rsid w:val="00B46764"/>
    <w:rsid w:val="00B46929"/>
    <w:rsid w:val="00B46AF4"/>
    <w:rsid w:val="00B471CC"/>
    <w:rsid w:val="00B47E3C"/>
    <w:rsid w:val="00B50890"/>
    <w:rsid w:val="00B508B1"/>
    <w:rsid w:val="00B50953"/>
    <w:rsid w:val="00B50A03"/>
    <w:rsid w:val="00B50A3B"/>
    <w:rsid w:val="00B50B21"/>
    <w:rsid w:val="00B50F33"/>
    <w:rsid w:val="00B51266"/>
    <w:rsid w:val="00B513AC"/>
    <w:rsid w:val="00B51BBE"/>
    <w:rsid w:val="00B51D24"/>
    <w:rsid w:val="00B52B78"/>
    <w:rsid w:val="00B534BC"/>
    <w:rsid w:val="00B53B4C"/>
    <w:rsid w:val="00B53BCE"/>
    <w:rsid w:val="00B53DFD"/>
    <w:rsid w:val="00B54229"/>
    <w:rsid w:val="00B54341"/>
    <w:rsid w:val="00B545CF"/>
    <w:rsid w:val="00B54FB5"/>
    <w:rsid w:val="00B554F8"/>
    <w:rsid w:val="00B557C0"/>
    <w:rsid w:val="00B55EA4"/>
    <w:rsid w:val="00B565E5"/>
    <w:rsid w:val="00B566EA"/>
    <w:rsid w:val="00B570AF"/>
    <w:rsid w:val="00B578B0"/>
    <w:rsid w:val="00B60141"/>
    <w:rsid w:val="00B61694"/>
    <w:rsid w:val="00B61C5D"/>
    <w:rsid w:val="00B62150"/>
    <w:rsid w:val="00B624AC"/>
    <w:rsid w:val="00B6259A"/>
    <w:rsid w:val="00B625F0"/>
    <w:rsid w:val="00B6279F"/>
    <w:rsid w:val="00B63319"/>
    <w:rsid w:val="00B63ADF"/>
    <w:rsid w:val="00B64235"/>
    <w:rsid w:val="00B6429F"/>
    <w:rsid w:val="00B643D9"/>
    <w:rsid w:val="00B64610"/>
    <w:rsid w:val="00B648B5"/>
    <w:rsid w:val="00B650C8"/>
    <w:rsid w:val="00B650F4"/>
    <w:rsid w:val="00B65DF0"/>
    <w:rsid w:val="00B66410"/>
    <w:rsid w:val="00B664AD"/>
    <w:rsid w:val="00B670BF"/>
    <w:rsid w:val="00B6717D"/>
    <w:rsid w:val="00B6737B"/>
    <w:rsid w:val="00B67535"/>
    <w:rsid w:val="00B67B5E"/>
    <w:rsid w:val="00B702D2"/>
    <w:rsid w:val="00B71404"/>
    <w:rsid w:val="00B71FE5"/>
    <w:rsid w:val="00B72408"/>
    <w:rsid w:val="00B72609"/>
    <w:rsid w:val="00B7293E"/>
    <w:rsid w:val="00B729CC"/>
    <w:rsid w:val="00B745D2"/>
    <w:rsid w:val="00B74694"/>
    <w:rsid w:val="00B74B29"/>
    <w:rsid w:val="00B74DDF"/>
    <w:rsid w:val="00B75847"/>
    <w:rsid w:val="00B75A9A"/>
    <w:rsid w:val="00B7637D"/>
    <w:rsid w:val="00B763EF"/>
    <w:rsid w:val="00B76506"/>
    <w:rsid w:val="00B800F1"/>
    <w:rsid w:val="00B80190"/>
    <w:rsid w:val="00B802DB"/>
    <w:rsid w:val="00B81216"/>
    <w:rsid w:val="00B81E27"/>
    <w:rsid w:val="00B81F22"/>
    <w:rsid w:val="00B8259F"/>
    <w:rsid w:val="00B82878"/>
    <w:rsid w:val="00B82AFE"/>
    <w:rsid w:val="00B82DB2"/>
    <w:rsid w:val="00B83635"/>
    <w:rsid w:val="00B83CA1"/>
    <w:rsid w:val="00B83DF4"/>
    <w:rsid w:val="00B83E01"/>
    <w:rsid w:val="00B84229"/>
    <w:rsid w:val="00B84B00"/>
    <w:rsid w:val="00B84D3C"/>
    <w:rsid w:val="00B85176"/>
    <w:rsid w:val="00B85295"/>
    <w:rsid w:val="00B852F1"/>
    <w:rsid w:val="00B85405"/>
    <w:rsid w:val="00B856D6"/>
    <w:rsid w:val="00B863DC"/>
    <w:rsid w:val="00B86796"/>
    <w:rsid w:val="00B8693E"/>
    <w:rsid w:val="00B86D02"/>
    <w:rsid w:val="00B86D63"/>
    <w:rsid w:val="00B9021F"/>
    <w:rsid w:val="00B908F4"/>
    <w:rsid w:val="00B909FA"/>
    <w:rsid w:val="00B91227"/>
    <w:rsid w:val="00B9138B"/>
    <w:rsid w:val="00B915C1"/>
    <w:rsid w:val="00B917B7"/>
    <w:rsid w:val="00B918D7"/>
    <w:rsid w:val="00B91B26"/>
    <w:rsid w:val="00B930B1"/>
    <w:rsid w:val="00B93B25"/>
    <w:rsid w:val="00B93C3A"/>
    <w:rsid w:val="00B93EBD"/>
    <w:rsid w:val="00B94140"/>
    <w:rsid w:val="00B947AD"/>
    <w:rsid w:val="00B94843"/>
    <w:rsid w:val="00B948F3"/>
    <w:rsid w:val="00B94A96"/>
    <w:rsid w:val="00B94B13"/>
    <w:rsid w:val="00B94DDE"/>
    <w:rsid w:val="00B9542C"/>
    <w:rsid w:val="00B955A0"/>
    <w:rsid w:val="00B959BD"/>
    <w:rsid w:val="00B961D8"/>
    <w:rsid w:val="00B9646A"/>
    <w:rsid w:val="00B964A7"/>
    <w:rsid w:val="00B96A91"/>
    <w:rsid w:val="00B96FB4"/>
    <w:rsid w:val="00B97249"/>
    <w:rsid w:val="00B9787A"/>
    <w:rsid w:val="00B97C1D"/>
    <w:rsid w:val="00B97DFD"/>
    <w:rsid w:val="00BA02A5"/>
    <w:rsid w:val="00BA0571"/>
    <w:rsid w:val="00BA1659"/>
    <w:rsid w:val="00BA1909"/>
    <w:rsid w:val="00BA1CC6"/>
    <w:rsid w:val="00BA1F99"/>
    <w:rsid w:val="00BA3D35"/>
    <w:rsid w:val="00BA3D57"/>
    <w:rsid w:val="00BA3EBC"/>
    <w:rsid w:val="00BA4482"/>
    <w:rsid w:val="00BA44C4"/>
    <w:rsid w:val="00BA49DA"/>
    <w:rsid w:val="00BA566D"/>
    <w:rsid w:val="00BA5C66"/>
    <w:rsid w:val="00BA68AD"/>
    <w:rsid w:val="00BA6B79"/>
    <w:rsid w:val="00BA753B"/>
    <w:rsid w:val="00BA774E"/>
    <w:rsid w:val="00BB0527"/>
    <w:rsid w:val="00BB054C"/>
    <w:rsid w:val="00BB07CE"/>
    <w:rsid w:val="00BB092D"/>
    <w:rsid w:val="00BB0976"/>
    <w:rsid w:val="00BB0D57"/>
    <w:rsid w:val="00BB1387"/>
    <w:rsid w:val="00BB233B"/>
    <w:rsid w:val="00BB298F"/>
    <w:rsid w:val="00BB303E"/>
    <w:rsid w:val="00BB324C"/>
    <w:rsid w:val="00BB36C6"/>
    <w:rsid w:val="00BB3B61"/>
    <w:rsid w:val="00BB3BE5"/>
    <w:rsid w:val="00BB3E8E"/>
    <w:rsid w:val="00BB444B"/>
    <w:rsid w:val="00BB4524"/>
    <w:rsid w:val="00BB4E57"/>
    <w:rsid w:val="00BB51A9"/>
    <w:rsid w:val="00BB5537"/>
    <w:rsid w:val="00BB568E"/>
    <w:rsid w:val="00BB5C59"/>
    <w:rsid w:val="00BB5D95"/>
    <w:rsid w:val="00BB6065"/>
    <w:rsid w:val="00BB6250"/>
    <w:rsid w:val="00BB68EA"/>
    <w:rsid w:val="00BB69CD"/>
    <w:rsid w:val="00BB6DF4"/>
    <w:rsid w:val="00BB711C"/>
    <w:rsid w:val="00BB751E"/>
    <w:rsid w:val="00BB76F5"/>
    <w:rsid w:val="00BB7D9B"/>
    <w:rsid w:val="00BC07EE"/>
    <w:rsid w:val="00BC0899"/>
    <w:rsid w:val="00BC08D2"/>
    <w:rsid w:val="00BC0A4B"/>
    <w:rsid w:val="00BC0F03"/>
    <w:rsid w:val="00BC10D0"/>
    <w:rsid w:val="00BC1206"/>
    <w:rsid w:val="00BC17E1"/>
    <w:rsid w:val="00BC1F08"/>
    <w:rsid w:val="00BC21F0"/>
    <w:rsid w:val="00BC25F6"/>
    <w:rsid w:val="00BC33B3"/>
    <w:rsid w:val="00BC38E2"/>
    <w:rsid w:val="00BC3D46"/>
    <w:rsid w:val="00BC413A"/>
    <w:rsid w:val="00BC4174"/>
    <w:rsid w:val="00BC46C5"/>
    <w:rsid w:val="00BC4BD2"/>
    <w:rsid w:val="00BC54D1"/>
    <w:rsid w:val="00BC56D3"/>
    <w:rsid w:val="00BC6186"/>
    <w:rsid w:val="00BC6891"/>
    <w:rsid w:val="00BC7223"/>
    <w:rsid w:val="00BC7D71"/>
    <w:rsid w:val="00BC7FE2"/>
    <w:rsid w:val="00BD0673"/>
    <w:rsid w:val="00BD12EF"/>
    <w:rsid w:val="00BD15FB"/>
    <w:rsid w:val="00BD1889"/>
    <w:rsid w:val="00BD1F4F"/>
    <w:rsid w:val="00BD2339"/>
    <w:rsid w:val="00BD2606"/>
    <w:rsid w:val="00BD2CD9"/>
    <w:rsid w:val="00BD30A9"/>
    <w:rsid w:val="00BD32C8"/>
    <w:rsid w:val="00BD39DF"/>
    <w:rsid w:val="00BD3A6C"/>
    <w:rsid w:val="00BD3D2E"/>
    <w:rsid w:val="00BD3D80"/>
    <w:rsid w:val="00BD403A"/>
    <w:rsid w:val="00BD4377"/>
    <w:rsid w:val="00BD49FD"/>
    <w:rsid w:val="00BD4BC4"/>
    <w:rsid w:val="00BD5075"/>
    <w:rsid w:val="00BD64A3"/>
    <w:rsid w:val="00BD6FB2"/>
    <w:rsid w:val="00BD780E"/>
    <w:rsid w:val="00BE0644"/>
    <w:rsid w:val="00BE09D0"/>
    <w:rsid w:val="00BE09D7"/>
    <w:rsid w:val="00BE0CBB"/>
    <w:rsid w:val="00BE0E6F"/>
    <w:rsid w:val="00BE0F19"/>
    <w:rsid w:val="00BE1743"/>
    <w:rsid w:val="00BE1797"/>
    <w:rsid w:val="00BE29D1"/>
    <w:rsid w:val="00BE2B42"/>
    <w:rsid w:val="00BE49F4"/>
    <w:rsid w:val="00BE5611"/>
    <w:rsid w:val="00BE57F5"/>
    <w:rsid w:val="00BE6191"/>
    <w:rsid w:val="00BE71EE"/>
    <w:rsid w:val="00BE7427"/>
    <w:rsid w:val="00BE7521"/>
    <w:rsid w:val="00BE7896"/>
    <w:rsid w:val="00BE7D68"/>
    <w:rsid w:val="00BE7E6E"/>
    <w:rsid w:val="00BE7E83"/>
    <w:rsid w:val="00BE7F6A"/>
    <w:rsid w:val="00BF0121"/>
    <w:rsid w:val="00BF027C"/>
    <w:rsid w:val="00BF0626"/>
    <w:rsid w:val="00BF086B"/>
    <w:rsid w:val="00BF08ED"/>
    <w:rsid w:val="00BF0939"/>
    <w:rsid w:val="00BF0CC6"/>
    <w:rsid w:val="00BF0D5C"/>
    <w:rsid w:val="00BF0DE9"/>
    <w:rsid w:val="00BF1194"/>
    <w:rsid w:val="00BF158D"/>
    <w:rsid w:val="00BF1BB5"/>
    <w:rsid w:val="00BF1E2D"/>
    <w:rsid w:val="00BF325B"/>
    <w:rsid w:val="00BF340B"/>
    <w:rsid w:val="00BF37B5"/>
    <w:rsid w:val="00BF3E60"/>
    <w:rsid w:val="00BF4207"/>
    <w:rsid w:val="00BF43BF"/>
    <w:rsid w:val="00BF4410"/>
    <w:rsid w:val="00BF4C22"/>
    <w:rsid w:val="00BF52F4"/>
    <w:rsid w:val="00BF5381"/>
    <w:rsid w:val="00BF53A3"/>
    <w:rsid w:val="00BF553E"/>
    <w:rsid w:val="00BF5E6C"/>
    <w:rsid w:val="00BF61F9"/>
    <w:rsid w:val="00BF692F"/>
    <w:rsid w:val="00BF78AD"/>
    <w:rsid w:val="00BF7B39"/>
    <w:rsid w:val="00BF7DF6"/>
    <w:rsid w:val="00C01555"/>
    <w:rsid w:val="00C019CD"/>
    <w:rsid w:val="00C01C84"/>
    <w:rsid w:val="00C01E5A"/>
    <w:rsid w:val="00C02A35"/>
    <w:rsid w:val="00C02CBD"/>
    <w:rsid w:val="00C0370C"/>
    <w:rsid w:val="00C03806"/>
    <w:rsid w:val="00C03E2C"/>
    <w:rsid w:val="00C042A4"/>
    <w:rsid w:val="00C04892"/>
    <w:rsid w:val="00C04C8F"/>
    <w:rsid w:val="00C04DD6"/>
    <w:rsid w:val="00C0511F"/>
    <w:rsid w:val="00C057D1"/>
    <w:rsid w:val="00C05E4D"/>
    <w:rsid w:val="00C0615B"/>
    <w:rsid w:val="00C062B0"/>
    <w:rsid w:val="00C06563"/>
    <w:rsid w:val="00C065E2"/>
    <w:rsid w:val="00C065E8"/>
    <w:rsid w:val="00C068C9"/>
    <w:rsid w:val="00C06B63"/>
    <w:rsid w:val="00C06BAF"/>
    <w:rsid w:val="00C06CC1"/>
    <w:rsid w:val="00C06F4D"/>
    <w:rsid w:val="00C07214"/>
    <w:rsid w:val="00C07992"/>
    <w:rsid w:val="00C079D1"/>
    <w:rsid w:val="00C07C75"/>
    <w:rsid w:val="00C07FF6"/>
    <w:rsid w:val="00C103B1"/>
    <w:rsid w:val="00C10461"/>
    <w:rsid w:val="00C109F6"/>
    <w:rsid w:val="00C11516"/>
    <w:rsid w:val="00C1180C"/>
    <w:rsid w:val="00C118D9"/>
    <w:rsid w:val="00C11BA4"/>
    <w:rsid w:val="00C12465"/>
    <w:rsid w:val="00C12562"/>
    <w:rsid w:val="00C12634"/>
    <w:rsid w:val="00C12B7E"/>
    <w:rsid w:val="00C12CB7"/>
    <w:rsid w:val="00C12DAD"/>
    <w:rsid w:val="00C12FD1"/>
    <w:rsid w:val="00C14729"/>
    <w:rsid w:val="00C14ADF"/>
    <w:rsid w:val="00C14C98"/>
    <w:rsid w:val="00C14CB0"/>
    <w:rsid w:val="00C14EB5"/>
    <w:rsid w:val="00C153B7"/>
    <w:rsid w:val="00C15512"/>
    <w:rsid w:val="00C16086"/>
    <w:rsid w:val="00C161C9"/>
    <w:rsid w:val="00C164BC"/>
    <w:rsid w:val="00C167D5"/>
    <w:rsid w:val="00C16844"/>
    <w:rsid w:val="00C16D87"/>
    <w:rsid w:val="00C16DFE"/>
    <w:rsid w:val="00C16F31"/>
    <w:rsid w:val="00C171A0"/>
    <w:rsid w:val="00C1778F"/>
    <w:rsid w:val="00C17977"/>
    <w:rsid w:val="00C17B34"/>
    <w:rsid w:val="00C204F1"/>
    <w:rsid w:val="00C2069D"/>
    <w:rsid w:val="00C206F1"/>
    <w:rsid w:val="00C20927"/>
    <w:rsid w:val="00C20DF5"/>
    <w:rsid w:val="00C21A90"/>
    <w:rsid w:val="00C2254C"/>
    <w:rsid w:val="00C23335"/>
    <w:rsid w:val="00C2342A"/>
    <w:rsid w:val="00C234E0"/>
    <w:rsid w:val="00C23A48"/>
    <w:rsid w:val="00C23ABC"/>
    <w:rsid w:val="00C23B86"/>
    <w:rsid w:val="00C23D85"/>
    <w:rsid w:val="00C23F95"/>
    <w:rsid w:val="00C24335"/>
    <w:rsid w:val="00C2463D"/>
    <w:rsid w:val="00C24A8B"/>
    <w:rsid w:val="00C24AD8"/>
    <w:rsid w:val="00C24BA1"/>
    <w:rsid w:val="00C2545E"/>
    <w:rsid w:val="00C25A8B"/>
    <w:rsid w:val="00C25AD8"/>
    <w:rsid w:val="00C25DFD"/>
    <w:rsid w:val="00C25E26"/>
    <w:rsid w:val="00C264D1"/>
    <w:rsid w:val="00C26751"/>
    <w:rsid w:val="00C269A3"/>
    <w:rsid w:val="00C26A8A"/>
    <w:rsid w:val="00C26CD0"/>
    <w:rsid w:val="00C270C4"/>
    <w:rsid w:val="00C27215"/>
    <w:rsid w:val="00C27F80"/>
    <w:rsid w:val="00C3029D"/>
    <w:rsid w:val="00C3041C"/>
    <w:rsid w:val="00C30659"/>
    <w:rsid w:val="00C306E7"/>
    <w:rsid w:val="00C308EC"/>
    <w:rsid w:val="00C30BD4"/>
    <w:rsid w:val="00C30C70"/>
    <w:rsid w:val="00C30DA5"/>
    <w:rsid w:val="00C315A6"/>
    <w:rsid w:val="00C32064"/>
    <w:rsid w:val="00C326D7"/>
    <w:rsid w:val="00C3279D"/>
    <w:rsid w:val="00C329C9"/>
    <w:rsid w:val="00C32BDB"/>
    <w:rsid w:val="00C33977"/>
    <w:rsid w:val="00C33B02"/>
    <w:rsid w:val="00C34253"/>
    <w:rsid w:val="00C3443F"/>
    <w:rsid w:val="00C35139"/>
    <w:rsid w:val="00C35449"/>
    <w:rsid w:val="00C35980"/>
    <w:rsid w:val="00C35D86"/>
    <w:rsid w:val="00C36C86"/>
    <w:rsid w:val="00C36E27"/>
    <w:rsid w:val="00C36FB3"/>
    <w:rsid w:val="00C374AB"/>
    <w:rsid w:val="00C3789A"/>
    <w:rsid w:val="00C37AA5"/>
    <w:rsid w:val="00C37C03"/>
    <w:rsid w:val="00C40376"/>
    <w:rsid w:val="00C4085E"/>
    <w:rsid w:val="00C40B74"/>
    <w:rsid w:val="00C40EB1"/>
    <w:rsid w:val="00C41183"/>
    <w:rsid w:val="00C41191"/>
    <w:rsid w:val="00C425A6"/>
    <w:rsid w:val="00C42640"/>
    <w:rsid w:val="00C429C1"/>
    <w:rsid w:val="00C42EE1"/>
    <w:rsid w:val="00C436D5"/>
    <w:rsid w:val="00C437DC"/>
    <w:rsid w:val="00C43C73"/>
    <w:rsid w:val="00C43CA8"/>
    <w:rsid w:val="00C43D1E"/>
    <w:rsid w:val="00C43F80"/>
    <w:rsid w:val="00C44364"/>
    <w:rsid w:val="00C448C3"/>
    <w:rsid w:val="00C44907"/>
    <w:rsid w:val="00C44A78"/>
    <w:rsid w:val="00C45131"/>
    <w:rsid w:val="00C459F3"/>
    <w:rsid w:val="00C45E27"/>
    <w:rsid w:val="00C466B0"/>
    <w:rsid w:val="00C4714F"/>
    <w:rsid w:val="00C4756E"/>
    <w:rsid w:val="00C47956"/>
    <w:rsid w:val="00C47B59"/>
    <w:rsid w:val="00C47CEF"/>
    <w:rsid w:val="00C47D4B"/>
    <w:rsid w:val="00C47F19"/>
    <w:rsid w:val="00C50DDA"/>
    <w:rsid w:val="00C50EFA"/>
    <w:rsid w:val="00C50F13"/>
    <w:rsid w:val="00C510EC"/>
    <w:rsid w:val="00C512DF"/>
    <w:rsid w:val="00C513EC"/>
    <w:rsid w:val="00C5172C"/>
    <w:rsid w:val="00C5204B"/>
    <w:rsid w:val="00C52278"/>
    <w:rsid w:val="00C52323"/>
    <w:rsid w:val="00C5234A"/>
    <w:rsid w:val="00C536CA"/>
    <w:rsid w:val="00C539BF"/>
    <w:rsid w:val="00C53B84"/>
    <w:rsid w:val="00C54766"/>
    <w:rsid w:val="00C54963"/>
    <w:rsid w:val="00C54C9C"/>
    <w:rsid w:val="00C5514D"/>
    <w:rsid w:val="00C55F3B"/>
    <w:rsid w:val="00C5602F"/>
    <w:rsid w:val="00C56051"/>
    <w:rsid w:val="00C56604"/>
    <w:rsid w:val="00C567FB"/>
    <w:rsid w:val="00C56BEA"/>
    <w:rsid w:val="00C573EB"/>
    <w:rsid w:val="00C5761F"/>
    <w:rsid w:val="00C57C3C"/>
    <w:rsid w:val="00C6048C"/>
    <w:rsid w:val="00C604ED"/>
    <w:rsid w:val="00C606BD"/>
    <w:rsid w:val="00C609E0"/>
    <w:rsid w:val="00C60B05"/>
    <w:rsid w:val="00C61021"/>
    <w:rsid w:val="00C613CC"/>
    <w:rsid w:val="00C61514"/>
    <w:rsid w:val="00C61CC6"/>
    <w:rsid w:val="00C62168"/>
    <w:rsid w:val="00C623E2"/>
    <w:rsid w:val="00C62B25"/>
    <w:rsid w:val="00C62BB9"/>
    <w:rsid w:val="00C62C4F"/>
    <w:rsid w:val="00C630AC"/>
    <w:rsid w:val="00C63523"/>
    <w:rsid w:val="00C638CB"/>
    <w:rsid w:val="00C638D0"/>
    <w:rsid w:val="00C63EDB"/>
    <w:rsid w:val="00C64165"/>
    <w:rsid w:val="00C64248"/>
    <w:rsid w:val="00C64500"/>
    <w:rsid w:val="00C6483A"/>
    <w:rsid w:val="00C64D9B"/>
    <w:rsid w:val="00C655E6"/>
    <w:rsid w:val="00C65738"/>
    <w:rsid w:val="00C65823"/>
    <w:rsid w:val="00C660BD"/>
    <w:rsid w:val="00C66118"/>
    <w:rsid w:val="00C66307"/>
    <w:rsid w:val="00C66814"/>
    <w:rsid w:val="00C66852"/>
    <w:rsid w:val="00C67814"/>
    <w:rsid w:val="00C67B1F"/>
    <w:rsid w:val="00C704ED"/>
    <w:rsid w:val="00C709E1"/>
    <w:rsid w:val="00C7102F"/>
    <w:rsid w:val="00C7115D"/>
    <w:rsid w:val="00C7192B"/>
    <w:rsid w:val="00C71D6E"/>
    <w:rsid w:val="00C726F4"/>
    <w:rsid w:val="00C72709"/>
    <w:rsid w:val="00C72E77"/>
    <w:rsid w:val="00C72F73"/>
    <w:rsid w:val="00C733E2"/>
    <w:rsid w:val="00C736C2"/>
    <w:rsid w:val="00C7416B"/>
    <w:rsid w:val="00C742A4"/>
    <w:rsid w:val="00C748E6"/>
    <w:rsid w:val="00C7546E"/>
    <w:rsid w:val="00C76142"/>
    <w:rsid w:val="00C7641F"/>
    <w:rsid w:val="00C766BF"/>
    <w:rsid w:val="00C768DA"/>
    <w:rsid w:val="00C777A4"/>
    <w:rsid w:val="00C77CD4"/>
    <w:rsid w:val="00C8011C"/>
    <w:rsid w:val="00C8022B"/>
    <w:rsid w:val="00C805DF"/>
    <w:rsid w:val="00C8069F"/>
    <w:rsid w:val="00C80B35"/>
    <w:rsid w:val="00C80DD4"/>
    <w:rsid w:val="00C8134F"/>
    <w:rsid w:val="00C814B8"/>
    <w:rsid w:val="00C814D8"/>
    <w:rsid w:val="00C81681"/>
    <w:rsid w:val="00C819BE"/>
    <w:rsid w:val="00C82277"/>
    <w:rsid w:val="00C8230B"/>
    <w:rsid w:val="00C82611"/>
    <w:rsid w:val="00C8284A"/>
    <w:rsid w:val="00C82BA2"/>
    <w:rsid w:val="00C834FF"/>
    <w:rsid w:val="00C835FC"/>
    <w:rsid w:val="00C8374B"/>
    <w:rsid w:val="00C845F4"/>
    <w:rsid w:val="00C846EA"/>
    <w:rsid w:val="00C84A72"/>
    <w:rsid w:val="00C852BD"/>
    <w:rsid w:val="00C85C99"/>
    <w:rsid w:val="00C85DAB"/>
    <w:rsid w:val="00C86421"/>
    <w:rsid w:val="00C865A0"/>
    <w:rsid w:val="00C87248"/>
    <w:rsid w:val="00C90366"/>
    <w:rsid w:val="00C9074E"/>
    <w:rsid w:val="00C91684"/>
    <w:rsid w:val="00C916F8"/>
    <w:rsid w:val="00C9184A"/>
    <w:rsid w:val="00C91C4A"/>
    <w:rsid w:val="00C9359E"/>
    <w:rsid w:val="00C9396E"/>
    <w:rsid w:val="00C94160"/>
    <w:rsid w:val="00C945C4"/>
    <w:rsid w:val="00C9481C"/>
    <w:rsid w:val="00C9495B"/>
    <w:rsid w:val="00C94E34"/>
    <w:rsid w:val="00C94F6F"/>
    <w:rsid w:val="00C951CD"/>
    <w:rsid w:val="00C95538"/>
    <w:rsid w:val="00C95AC3"/>
    <w:rsid w:val="00C95F3C"/>
    <w:rsid w:val="00C9606C"/>
    <w:rsid w:val="00C967DA"/>
    <w:rsid w:val="00C969E3"/>
    <w:rsid w:val="00C970DC"/>
    <w:rsid w:val="00C97388"/>
    <w:rsid w:val="00C975F9"/>
    <w:rsid w:val="00C9779B"/>
    <w:rsid w:val="00C97AD1"/>
    <w:rsid w:val="00C97D7F"/>
    <w:rsid w:val="00C97E21"/>
    <w:rsid w:val="00C97F00"/>
    <w:rsid w:val="00CA0415"/>
    <w:rsid w:val="00CA049D"/>
    <w:rsid w:val="00CA126C"/>
    <w:rsid w:val="00CA1317"/>
    <w:rsid w:val="00CA1415"/>
    <w:rsid w:val="00CA15AC"/>
    <w:rsid w:val="00CA18B6"/>
    <w:rsid w:val="00CA19EC"/>
    <w:rsid w:val="00CA28B6"/>
    <w:rsid w:val="00CA2988"/>
    <w:rsid w:val="00CA300A"/>
    <w:rsid w:val="00CA3119"/>
    <w:rsid w:val="00CA37FF"/>
    <w:rsid w:val="00CA39D4"/>
    <w:rsid w:val="00CA426D"/>
    <w:rsid w:val="00CA4688"/>
    <w:rsid w:val="00CA48D4"/>
    <w:rsid w:val="00CA4CBB"/>
    <w:rsid w:val="00CA5033"/>
    <w:rsid w:val="00CA50DD"/>
    <w:rsid w:val="00CA5B23"/>
    <w:rsid w:val="00CA64E2"/>
    <w:rsid w:val="00CA65E7"/>
    <w:rsid w:val="00CA67C3"/>
    <w:rsid w:val="00CA7E6D"/>
    <w:rsid w:val="00CB0064"/>
    <w:rsid w:val="00CB027F"/>
    <w:rsid w:val="00CB0280"/>
    <w:rsid w:val="00CB13A9"/>
    <w:rsid w:val="00CB168E"/>
    <w:rsid w:val="00CB1740"/>
    <w:rsid w:val="00CB17E2"/>
    <w:rsid w:val="00CB1B17"/>
    <w:rsid w:val="00CB1EC9"/>
    <w:rsid w:val="00CB215A"/>
    <w:rsid w:val="00CB254A"/>
    <w:rsid w:val="00CB2551"/>
    <w:rsid w:val="00CB2628"/>
    <w:rsid w:val="00CB2C00"/>
    <w:rsid w:val="00CB2DAD"/>
    <w:rsid w:val="00CB30FF"/>
    <w:rsid w:val="00CB365E"/>
    <w:rsid w:val="00CB36B3"/>
    <w:rsid w:val="00CB3B2A"/>
    <w:rsid w:val="00CB407E"/>
    <w:rsid w:val="00CB422C"/>
    <w:rsid w:val="00CB4738"/>
    <w:rsid w:val="00CB51F9"/>
    <w:rsid w:val="00CB5263"/>
    <w:rsid w:val="00CB53BA"/>
    <w:rsid w:val="00CB55D5"/>
    <w:rsid w:val="00CB56EC"/>
    <w:rsid w:val="00CB5734"/>
    <w:rsid w:val="00CB58A6"/>
    <w:rsid w:val="00CB5D43"/>
    <w:rsid w:val="00CB6270"/>
    <w:rsid w:val="00CB6DA7"/>
    <w:rsid w:val="00CB7692"/>
    <w:rsid w:val="00CB76AE"/>
    <w:rsid w:val="00CB773B"/>
    <w:rsid w:val="00CB78EB"/>
    <w:rsid w:val="00CB7EDF"/>
    <w:rsid w:val="00CC01A2"/>
    <w:rsid w:val="00CC0482"/>
    <w:rsid w:val="00CC0D2B"/>
    <w:rsid w:val="00CC0E7D"/>
    <w:rsid w:val="00CC1566"/>
    <w:rsid w:val="00CC19E0"/>
    <w:rsid w:val="00CC1B3D"/>
    <w:rsid w:val="00CC1B56"/>
    <w:rsid w:val="00CC24DA"/>
    <w:rsid w:val="00CC2574"/>
    <w:rsid w:val="00CC2BFF"/>
    <w:rsid w:val="00CC2DE8"/>
    <w:rsid w:val="00CC2E3C"/>
    <w:rsid w:val="00CC2EB7"/>
    <w:rsid w:val="00CC2FCB"/>
    <w:rsid w:val="00CC316A"/>
    <w:rsid w:val="00CC320C"/>
    <w:rsid w:val="00CC328C"/>
    <w:rsid w:val="00CC3468"/>
    <w:rsid w:val="00CC3C61"/>
    <w:rsid w:val="00CC4594"/>
    <w:rsid w:val="00CC4A8D"/>
    <w:rsid w:val="00CC4B63"/>
    <w:rsid w:val="00CC4F82"/>
    <w:rsid w:val="00CC502C"/>
    <w:rsid w:val="00CC60F4"/>
    <w:rsid w:val="00CC65FB"/>
    <w:rsid w:val="00CC6CE6"/>
    <w:rsid w:val="00CC785F"/>
    <w:rsid w:val="00CC7F0F"/>
    <w:rsid w:val="00CD029E"/>
    <w:rsid w:val="00CD0545"/>
    <w:rsid w:val="00CD0A7C"/>
    <w:rsid w:val="00CD0BD1"/>
    <w:rsid w:val="00CD0F4F"/>
    <w:rsid w:val="00CD188B"/>
    <w:rsid w:val="00CD2F46"/>
    <w:rsid w:val="00CD34F7"/>
    <w:rsid w:val="00CD35AC"/>
    <w:rsid w:val="00CD39A2"/>
    <w:rsid w:val="00CD3A4A"/>
    <w:rsid w:val="00CD3EC5"/>
    <w:rsid w:val="00CD4611"/>
    <w:rsid w:val="00CD4914"/>
    <w:rsid w:val="00CD4ADE"/>
    <w:rsid w:val="00CD4B71"/>
    <w:rsid w:val="00CD4EE9"/>
    <w:rsid w:val="00CD5183"/>
    <w:rsid w:val="00CD5A35"/>
    <w:rsid w:val="00CD6166"/>
    <w:rsid w:val="00CD6366"/>
    <w:rsid w:val="00CD66CC"/>
    <w:rsid w:val="00CD6D7B"/>
    <w:rsid w:val="00CD7791"/>
    <w:rsid w:val="00CD779A"/>
    <w:rsid w:val="00CD77A5"/>
    <w:rsid w:val="00CD7AB3"/>
    <w:rsid w:val="00CE027D"/>
    <w:rsid w:val="00CE09A3"/>
    <w:rsid w:val="00CE09D6"/>
    <w:rsid w:val="00CE0A8A"/>
    <w:rsid w:val="00CE0BDE"/>
    <w:rsid w:val="00CE138A"/>
    <w:rsid w:val="00CE17F5"/>
    <w:rsid w:val="00CE1887"/>
    <w:rsid w:val="00CE1A03"/>
    <w:rsid w:val="00CE21C2"/>
    <w:rsid w:val="00CE2208"/>
    <w:rsid w:val="00CE22DF"/>
    <w:rsid w:val="00CE2335"/>
    <w:rsid w:val="00CE267A"/>
    <w:rsid w:val="00CE268B"/>
    <w:rsid w:val="00CE2B29"/>
    <w:rsid w:val="00CE2FED"/>
    <w:rsid w:val="00CE36FC"/>
    <w:rsid w:val="00CE371D"/>
    <w:rsid w:val="00CE4284"/>
    <w:rsid w:val="00CE48A8"/>
    <w:rsid w:val="00CE54D4"/>
    <w:rsid w:val="00CE5929"/>
    <w:rsid w:val="00CE5FCA"/>
    <w:rsid w:val="00CE6018"/>
    <w:rsid w:val="00CE6032"/>
    <w:rsid w:val="00CE6109"/>
    <w:rsid w:val="00CE6602"/>
    <w:rsid w:val="00CE6837"/>
    <w:rsid w:val="00CE6962"/>
    <w:rsid w:val="00CE7A22"/>
    <w:rsid w:val="00CE7C1C"/>
    <w:rsid w:val="00CF077B"/>
    <w:rsid w:val="00CF084F"/>
    <w:rsid w:val="00CF0C91"/>
    <w:rsid w:val="00CF0F9A"/>
    <w:rsid w:val="00CF1156"/>
    <w:rsid w:val="00CF1178"/>
    <w:rsid w:val="00CF1601"/>
    <w:rsid w:val="00CF1AF8"/>
    <w:rsid w:val="00CF226C"/>
    <w:rsid w:val="00CF386F"/>
    <w:rsid w:val="00CF3C9F"/>
    <w:rsid w:val="00CF3CD6"/>
    <w:rsid w:val="00CF47DA"/>
    <w:rsid w:val="00CF4A23"/>
    <w:rsid w:val="00CF4DF3"/>
    <w:rsid w:val="00CF509F"/>
    <w:rsid w:val="00CF537E"/>
    <w:rsid w:val="00CF5BD2"/>
    <w:rsid w:val="00CF6080"/>
    <w:rsid w:val="00CF62D0"/>
    <w:rsid w:val="00CF6BCD"/>
    <w:rsid w:val="00CF6C61"/>
    <w:rsid w:val="00CF6CF2"/>
    <w:rsid w:val="00CF7012"/>
    <w:rsid w:val="00CF7624"/>
    <w:rsid w:val="00CF772A"/>
    <w:rsid w:val="00CF781B"/>
    <w:rsid w:val="00D0016E"/>
    <w:rsid w:val="00D001DF"/>
    <w:rsid w:val="00D00727"/>
    <w:rsid w:val="00D00740"/>
    <w:rsid w:val="00D0076E"/>
    <w:rsid w:val="00D0089D"/>
    <w:rsid w:val="00D00F32"/>
    <w:rsid w:val="00D01130"/>
    <w:rsid w:val="00D01518"/>
    <w:rsid w:val="00D0214E"/>
    <w:rsid w:val="00D02355"/>
    <w:rsid w:val="00D029AE"/>
    <w:rsid w:val="00D03526"/>
    <w:rsid w:val="00D03A74"/>
    <w:rsid w:val="00D03D10"/>
    <w:rsid w:val="00D040A1"/>
    <w:rsid w:val="00D04300"/>
    <w:rsid w:val="00D04741"/>
    <w:rsid w:val="00D04A32"/>
    <w:rsid w:val="00D04B40"/>
    <w:rsid w:val="00D04B4A"/>
    <w:rsid w:val="00D04DEA"/>
    <w:rsid w:val="00D050F2"/>
    <w:rsid w:val="00D0538F"/>
    <w:rsid w:val="00D05672"/>
    <w:rsid w:val="00D056F6"/>
    <w:rsid w:val="00D0622B"/>
    <w:rsid w:val="00D06247"/>
    <w:rsid w:val="00D06593"/>
    <w:rsid w:val="00D068AC"/>
    <w:rsid w:val="00D068E3"/>
    <w:rsid w:val="00D069A5"/>
    <w:rsid w:val="00D06E34"/>
    <w:rsid w:val="00D07734"/>
    <w:rsid w:val="00D07969"/>
    <w:rsid w:val="00D07F13"/>
    <w:rsid w:val="00D1001D"/>
    <w:rsid w:val="00D10618"/>
    <w:rsid w:val="00D117A7"/>
    <w:rsid w:val="00D1182B"/>
    <w:rsid w:val="00D11B9C"/>
    <w:rsid w:val="00D11BA9"/>
    <w:rsid w:val="00D11F6B"/>
    <w:rsid w:val="00D124E8"/>
    <w:rsid w:val="00D130A5"/>
    <w:rsid w:val="00D1336B"/>
    <w:rsid w:val="00D137E8"/>
    <w:rsid w:val="00D13BFE"/>
    <w:rsid w:val="00D141D8"/>
    <w:rsid w:val="00D15011"/>
    <w:rsid w:val="00D154C6"/>
    <w:rsid w:val="00D156C9"/>
    <w:rsid w:val="00D16176"/>
    <w:rsid w:val="00D162FE"/>
    <w:rsid w:val="00D17DE1"/>
    <w:rsid w:val="00D20193"/>
    <w:rsid w:val="00D201AF"/>
    <w:rsid w:val="00D203AD"/>
    <w:rsid w:val="00D207D2"/>
    <w:rsid w:val="00D21E22"/>
    <w:rsid w:val="00D22023"/>
    <w:rsid w:val="00D2208E"/>
    <w:rsid w:val="00D22321"/>
    <w:rsid w:val="00D2322D"/>
    <w:rsid w:val="00D23727"/>
    <w:rsid w:val="00D23C5A"/>
    <w:rsid w:val="00D23EEF"/>
    <w:rsid w:val="00D23F3E"/>
    <w:rsid w:val="00D24068"/>
    <w:rsid w:val="00D24DAF"/>
    <w:rsid w:val="00D254EE"/>
    <w:rsid w:val="00D25819"/>
    <w:rsid w:val="00D259E6"/>
    <w:rsid w:val="00D26367"/>
    <w:rsid w:val="00D268FA"/>
    <w:rsid w:val="00D26A8A"/>
    <w:rsid w:val="00D26B4B"/>
    <w:rsid w:val="00D26D70"/>
    <w:rsid w:val="00D27139"/>
    <w:rsid w:val="00D27319"/>
    <w:rsid w:val="00D27908"/>
    <w:rsid w:val="00D27DB5"/>
    <w:rsid w:val="00D27EA0"/>
    <w:rsid w:val="00D300CD"/>
    <w:rsid w:val="00D3054B"/>
    <w:rsid w:val="00D30956"/>
    <w:rsid w:val="00D30A06"/>
    <w:rsid w:val="00D31020"/>
    <w:rsid w:val="00D312EA"/>
    <w:rsid w:val="00D3138E"/>
    <w:rsid w:val="00D31624"/>
    <w:rsid w:val="00D319A6"/>
    <w:rsid w:val="00D31AC0"/>
    <w:rsid w:val="00D31AC9"/>
    <w:rsid w:val="00D31CB8"/>
    <w:rsid w:val="00D32375"/>
    <w:rsid w:val="00D32CC6"/>
    <w:rsid w:val="00D32E41"/>
    <w:rsid w:val="00D33B4D"/>
    <w:rsid w:val="00D33D38"/>
    <w:rsid w:val="00D3405B"/>
    <w:rsid w:val="00D34290"/>
    <w:rsid w:val="00D355F6"/>
    <w:rsid w:val="00D35A5D"/>
    <w:rsid w:val="00D35BD0"/>
    <w:rsid w:val="00D35E28"/>
    <w:rsid w:val="00D35E97"/>
    <w:rsid w:val="00D36104"/>
    <w:rsid w:val="00D36430"/>
    <w:rsid w:val="00D377E3"/>
    <w:rsid w:val="00D37879"/>
    <w:rsid w:val="00D37972"/>
    <w:rsid w:val="00D379C5"/>
    <w:rsid w:val="00D37A6E"/>
    <w:rsid w:val="00D37DE9"/>
    <w:rsid w:val="00D4008D"/>
    <w:rsid w:val="00D40650"/>
    <w:rsid w:val="00D40CDD"/>
    <w:rsid w:val="00D41692"/>
    <w:rsid w:val="00D41C3E"/>
    <w:rsid w:val="00D41D15"/>
    <w:rsid w:val="00D421C7"/>
    <w:rsid w:val="00D42337"/>
    <w:rsid w:val="00D426C6"/>
    <w:rsid w:val="00D42ECB"/>
    <w:rsid w:val="00D430E6"/>
    <w:rsid w:val="00D43327"/>
    <w:rsid w:val="00D434FC"/>
    <w:rsid w:val="00D439FB"/>
    <w:rsid w:val="00D43A78"/>
    <w:rsid w:val="00D43E3E"/>
    <w:rsid w:val="00D4401C"/>
    <w:rsid w:val="00D44F13"/>
    <w:rsid w:val="00D44F91"/>
    <w:rsid w:val="00D4518D"/>
    <w:rsid w:val="00D45234"/>
    <w:rsid w:val="00D455EA"/>
    <w:rsid w:val="00D4588B"/>
    <w:rsid w:val="00D46580"/>
    <w:rsid w:val="00D4697E"/>
    <w:rsid w:val="00D470A4"/>
    <w:rsid w:val="00D478C8"/>
    <w:rsid w:val="00D503D2"/>
    <w:rsid w:val="00D50787"/>
    <w:rsid w:val="00D509A6"/>
    <w:rsid w:val="00D50B2C"/>
    <w:rsid w:val="00D50FE8"/>
    <w:rsid w:val="00D513CF"/>
    <w:rsid w:val="00D51872"/>
    <w:rsid w:val="00D51873"/>
    <w:rsid w:val="00D51D01"/>
    <w:rsid w:val="00D52A61"/>
    <w:rsid w:val="00D52D52"/>
    <w:rsid w:val="00D531D3"/>
    <w:rsid w:val="00D535A3"/>
    <w:rsid w:val="00D53E0E"/>
    <w:rsid w:val="00D53F67"/>
    <w:rsid w:val="00D5434A"/>
    <w:rsid w:val="00D54417"/>
    <w:rsid w:val="00D54705"/>
    <w:rsid w:val="00D54874"/>
    <w:rsid w:val="00D5499E"/>
    <w:rsid w:val="00D5516D"/>
    <w:rsid w:val="00D556C9"/>
    <w:rsid w:val="00D56262"/>
    <w:rsid w:val="00D5674D"/>
    <w:rsid w:val="00D56A09"/>
    <w:rsid w:val="00D56C65"/>
    <w:rsid w:val="00D576A6"/>
    <w:rsid w:val="00D5776A"/>
    <w:rsid w:val="00D60503"/>
    <w:rsid w:val="00D60534"/>
    <w:rsid w:val="00D6083C"/>
    <w:rsid w:val="00D60B93"/>
    <w:rsid w:val="00D610D9"/>
    <w:rsid w:val="00D61830"/>
    <w:rsid w:val="00D61A40"/>
    <w:rsid w:val="00D62EEF"/>
    <w:rsid w:val="00D62F61"/>
    <w:rsid w:val="00D6304D"/>
    <w:rsid w:val="00D631A5"/>
    <w:rsid w:val="00D632F3"/>
    <w:rsid w:val="00D633A6"/>
    <w:rsid w:val="00D6388B"/>
    <w:rsid w:val="00D63C8C"/>
    <w:rsid w:val="00D64083"/>
    <w:rsid w:val="00D643FD"/>
    <w:rsid w:val="00D649CB"/>
    <w:rsid w:val="00D64E02"/>
    <w:rsid w:val="00D64FB3"/>
    <w:rsid w:val="00D650E5"/>
    <w:rsid w:val="00D6512F"/>
    <w:rsid w:val="00D652AC"/>
    <w:rsid w:val="00D65423"/>
    <w:rsid w:val="00D658F2"/>
    <w:rsid w:val="00D65AFA"/>
    <w:rsid w:val="00D6611E"/>
    <w:rsid w:val="00D661D7"/>
    <w:rsid w:val="00D663AB"/>
    <w:rsid w:val="00D6696D"/>
    <w:rsid w:val="00D70013"/>
    <w:rsid w:val="00D70166"/>
    <w:rsid w:val="00D703A8"/>
    <w:rsid w:val="00D707D4"/>
    <w:rsid w:val="00D70966"/>
    <w:rsid w:val="00D70B02"/>
    <w:rsid w:val="00D70F4E"/>
    <w:rsid w:val="00D712DE"/>
    <w:rsid w:val="00D719E1"/>
    <w:rsid w:val="00D72CC0"/>
    <w:rsid w:val="00D736F3"/>
    <w:rsid w:val="00D73C72"/>
    <w:rsid w:val="00D74771"/>
    <w:rsid w:val="00D74781"/>
    <w:rsid w:val="00D74801"/>
    <w:rsid w:val="00D75A7C"/>
    <w:rsid w:val="00D75D6B"/>
    <w:rsid w:val="00D75E22"/>
    <w:rsid w:val="00D75EC0"/>
    <w:rsid w:val="00D76222"/>
    <w:rsid w:val="00D76416"/>
    <w:rsid w:val="00D773CE"/>
    <w:rsid w:val="00D810AC"/>
    <w:rsid w:val="00D811A3"/>
    <w:rsid w:val="00D815CC"/>
    <w:rsid w:val="00D81880"/>
    <w:rsid w:val="00D822BD"/>
    <w:rsid w:val="00D82AA9"/>
    <w:rsid w:val="00D83237"/>
    <w:rsid w:val="00D83412"/>
    <w:rsid w:val="00D84110"/>
    <w:rsid w:val="00D84377"/>
    <w:rsid w:val="00D843AF"/>
    <w:rsid w:val="00D845B7"/>
    <w:rsid w:val="00D84C5E"/>
    <w:rsid w:val="00D85947"/>
    <w:rsid w:val="00D8594A"/>
    <w:rsid w:val="00D868E2"/>
    <w:rsid w:val="00D86FEB"/>
    <w:rsid w:val="00D871E1"/>
    <w:rsid w:val="00D875F4"/>
    <w:rsid w:val="00D8769E"/>
    <w:rsid w:val="00D87987"/>
    <w:rsid w:val="00D87D4D"/>
    <w:rsid w:val="00D901BC"/>
    <w:rsid w:val="00D90348"/>
    <w:rsid w:val="00D90685"/>
    <w:rsid w:val="00D91201"/>
    <w:rsid w:val="00D913FC"/>
    <w:rsid w:val="00D9159E"/>
    <w:rsid w:val="00D91BA1"/>
    <w:rsid w:val="00D91EDC"/>
    <w:rsid w:val="00D92144"/>
    <w:rsid w:val="00D92653"/>
    <w:rsid w:val="00D92836"/>
    <w:rsid w:val="00D92A34"/>
    <w:rsid w:val="00D92CA2"/>
    <w:rsid w:val="00D9300C"/>
    <w:rsid w:val="00D9318E"/>
    <w:rsid w:val="00D932FA"/>
    <w:rsid w:val="00D93C2A"/>
    <w:rsid w:val="00D93CA9"/>
    <w:rsid w:val="00D93DC5"/>
    <w:rsid w:val="00D9463B"/>
    <w:rsid w:val="00D946C4"/>
    <w:rsid w:val="00D958DA"/>
    <w:rsid w:val="00D95926"/>
    <w:rsid w:val="00D9608D"/>
    <w:rsid w:val="00D96635"/>
    <w:rsid w:val="00D96ED6"/>
    <w:rsid w:val="00D971A7"/>
    <w:rsid w:val="00D97284"/>
    <w:rsid w:val="00D97287"/>
    <w:rsid w:val="00D9747D"/>
    <w:rsid w:val="00D97820"/>
    <w:rsid w:val="00DA065B"/>
    <w:rsid w:val="00DA088E"/>
    <w:rsid w:val="00DA096B"/>
    <w:rsid w:val="00DA108D"/>
    <w:rsid w:val="00DA1271"/>
    <w:rsid w:val="00DA1564"/>
    <w:rsid w:val="00DA2C7C"/>
    <w:rsid w:val="00DA2ED2"/>
    <w:rsid w:val="00DA3056"/>
    <w:rsid w:val="00DA38ED"/>
    <w:rsid w:val="00DA4055"/>
    <w:rsid w:val="00DA4827"/>
    <w:rsid w:val="00DA4C89"/>
    <w:rsid w:val="00DA5227"/>
    <w:rsid w:val="00DA558A"/>
    <w:rsid w:val="00DA55FB"/>
    <w:rsid w:val="00DA5F2D"/>
    <w:rsid w:val="00DA611B"/>
    <w:rsid w:val="00DA634E"/>
    <w:rsid w:val="00DA675C"/>
    <w:rsid w:val="00DA676D"/>
    <w:rsid w:val="00DA6AF9"/>
    <w:rsid w:val="00DA6E4A"/>
    <w:rsid w:val="00DA70A9"/>
    <w:rsid w:val="00DA7669"/>
    <w:rsid w:val="00DA7816"/>
    <w:rsid w:val="00DB032A"/>
    <w:rsid w:val="00DB0485"/>
    <w:rsid w:val="00DB0AEE"/>
    <w:rsid w:val="00DB0E6C"/>
    <w:rsid w:val="00DB1C64"/>
    <w:rsid w:val="00DB2374"/>
    <w:rsid w:val="00DB27F8"/>
    <w:rsid w:val="00DB28B2"/>
    <w:rsid w:val="00DB2D3D"/>
    <w:rsid w:val="00DB3234"/>
    <w:rsid w:val="00DB4352"/>
    <w:rsid w:val="00DB450A"/>
    <w:rsid w:val="00DB485F"/>
    <w:rsid w:val="00DB4CAA"/>
    <w:rsid w:val="00DB5203"/>
    <w:rsid w:val="00DB5352"/>
    <w:rsid w:val="00DB53C5"/>
    <w:rsid w:val="00DB57E1"/>
    <w:rsid w:val="00DB5C94"/>
    <w:rsid w:val="00DB7334"/>
    <w:rsid w:val="00DB773B"/>
    <w:rsid w:val="00DB7D36"/>
    <w:rsid w:val="00DC0149"/>
    <w:rsid w:val="00DC03E5"/>
    <w:rsid w:val="00DC099C"/>
    <w:rsid w:val="00DC0CB9"/>
    <w:rsid w:val="00DC0E3D"/>
    <w:rsid w:val="00DC140E"/>
    <w:rsid w:val="00DC1432"/>
    <w:rsid w:val="00DC17C2"/>
    <w:rsid w:val="00DC1DB1"/>
    <w:rsid w:val="00DC2305"/>
    <w:rsid w:val="00DC3430"/>
    <w:rsid w:val="00DC365B"/>
    <w:rsid w:val="00DC3801"/>
    <w:rsid w:val="00DC3AD1"/>
    <w:rsid w:val="00DC420C"/>
    <w:rsid w:val="00DC434B"/>
    <w:rsid w:val="00DC45E0"/>
    <w:rsid w:val="00DC49EA"/>
    <w:rsid w:val="00DC4C4A"/>
    <w:rsid w:val="00DC4C63"/>
    <w:rsid w:val="00DC5598"/>
    <w:rsid w:val="00DC5828"/>
    <w:rsid w:val="00DC584E"/>
    <w:rsid w:val="00DC5B11"/>
    <w:rsid w:val="00DC680D"/>
    <w:rsid w:val="00DC6873"/>
    <w:rsid w:val="00DC6F18"/>
    <w:rsid w:val="00DC7193"/>
    <w:rsid w:val="00DC7A60"/>
    <w:rsid w:val="00DD07CF"/>
    <w:rsid w:val="00DD0807"/>
    <w:rsid w:val="00DD0BF8"/>
    <w:rsid w:val="00DD1ED3"/>
    <w:rsid w:val="00DD2516"/>
    <w:rsid w:val="00DD2BFF"/>
    <w:rsid w:val="00DD2D9A"/>
    <w:rsid w:val="00DD2E97"/>
    <w:rsid w:val="00DD2F90"/>
    <w:rsid w:val="00DD33E8"/>
    <w:rsid w:val="00DD3446"/>
    <w:rsid w:val="00DD3DF4"/>
    <w:rsid w:val="00DD43E3"/>
    <w:rsid w:val="00DD446C"/>
    <w:rsid w:val="00DD4F71"/>
    <w:rsid w:val="00DD5365"/>
    <w:rsid w:val="00DD5C15"/>
    <w:rsid w:val="00DD6686"/>
    <w:rsid w:val="00DD6791"/>
    <w:rsid w:val="00DD6AC5"/>
    <w:rsid w:val="00DD6F18"/>
    <w:rsid w:val="00DD74C5"/>
    <w:rsid w:val="00DD783B"/>
    <w:rsid w:val="00DD7C62"/>
    <w:rsid w:val="00DE0263"/>
    <w:rsid w:val="00DE03D6"/>
    <w:rsid w:val="00DE0822"/>
    <w:rsid w:val="00DE0AE7"/>
    <w:rsid w:val="00DE180A"/>
    <w:rsid w:val="00DE1BE8"/>
    <w:rsid w:val="00DE1F48"/>
    <w:rsid w:val="00DE2D82"/>
    <w:rsid w:val="00DE334D"/>
    <w:rsid w:val="00DE354F"/>
    <w:rsid w:val="00DE35DC"/>
    <w:rsid w:val="00DE3A40"/>
    <w:rsid w:val="00DE3EB1"/>
    <w:rsid w:val="00DE3F19"/>
    <w:rsid w:val="00DE3F22"/>
    <w:rsid w:val="00DE4234"/>
    <w:rsid w:val="00DE47F5"/>
    <w:rsid w:val="00DE4BF8"/>
    <w:rsid w:val="00DE4C52"/>
    <w:rsid w:val="00DE4C9B"/>
    <w:rsid w:val="00DE61C6"/>
    <w:rsid w:val="00DE6BB6"/>
    <w:rsid w:val="00DE6DBA"/>
    <w:rsid w:val="00DE7394"/>
    <w:rsid w:val="00DE739A"/>
    <w:rsid w:val="00DE73D3"/>
    <w:rsid w:val="00DE7557"/>
    <w:rsid w:val="00DE7747"/>
    <w:rsid w:val="00DE7888"/>
    <w:rsid w:val="00DE78BB"/>
    <w:rsid w:val="00DF0267"/>
    <w:rsid w:val="00DF0AC7"/>
    <w:rsid w:val="00DF0C68"/>
    <w:rsid w:val="00DF0FF9"/>
    <w:rsid w:val="00DF11B4"/>
    <w:rsid w:val="00DF168B"/>
    <w:rsid w:val="00DF169B"/>
    <w:rsid w:val="00DF17AB"/>
    <w:rsid w:val="00DF1A69"/>
    <w:rsid w:val="00DF1C1A"/>
    <w:rsid w:val="00DF2465"/>
    <w:rsid w:val="00DF256E"/>
    <w:rsid w:val="00DF27DC"/>
    <w:rsid w:val="00DF2C27"/>
    <w:rsid w:val="00DF2CD0"/>
    <w:rsid w:val="00DF3658"/>
    <w:rsid w:val="00DF3F34"/>
    <w:rsid w:val="00DF475B"/>
    <w:rsid w:val="00DF492B"/>
    <w:rsid w:val="00DF5C46"/>
    <w:rsid w:val="00DF6C21"/>
    <w:rsid w:val="00DF6D51"/>
    <w:rsid w:val="00DF76B8"/>
    <w:rsid w:val="00DF7B91"/>
    <w:rsid w:val="00E004AB"/>
    <w:rsid w:val="00E005D0"/>
    <w:rsid w:val="00E005D7"/>
    <w:rsid w:val="00E0070C"/>
    <w:rsid w:val="00E01AB9"/>
    <w:rsid w:val="00E01E48"/>
    <w:rsid w:val="00E0263B"/>
    <w:rsid w:val="00E02677"/>
    <w:rsid w:val="00E02748"/>
    <w:rsid w:val="00E028CE"/>
    <w:rsid w:val="00E02D94"/>
    <w:rsid w:val="00E02E47"/>
    <w:rsid w:val="00E02ECE"/>
    <w:rsid w:val="00E03117"/>
    <w:rsid w:val="00E03185"/>
    <w:rsid w:val="00E031DE"/>
    <w:rsid w:val="00E03228"/>
    <w:rsid w:val="00E03A0A"/>
    <w:rsid w:val="00E03F5E"/>
    <w:rsid w:val="00E03F7C"/>
    <w:rsid w:val="00E05C20"/>
    <w:rsid w:val="00E05F4D"/>
    <w:rsid w:val="00E0616C"/>
    <w:rsid w:val="00E061E2"/>
    <w:rsid w:val="00E06CAB"/>
    <w:rsid w:val="00E06D46"/>
    <w:rsid w:val="00E07183"/>
    <w:rsid w:val="00E0752D"/>
    <w:rsid w:val="00E07704"/>
    <w:rsid w:val="00E1075C"/>
    <w:rsid w:val="00E10BC4"/>
    <w:rsid w:val="00E1104F"/>
    <w:rsid w:val="00E1112C"/>
    <w:rsid w:val="00E11526"/>
    <w:rsid w:val="00E11753"/>
    <w:rsid w:val="00E11998"/>
    <w:rsid w:val="00E11C5B"/>
    <w:rsid w:val="00E12204"/>
    <w:rsid w:val="00E12365"/>
    <w:rsid w:val="00E1274D"/>
    <w:rsid w:val="00E129D2"/>
    <w:rsid w:val="00E13179"/>
    <w:rsid w:val="00E13471"/>
    <w:rsid w:val="00E1353B"/>
    <w:rsid w:val="00E139E2"/>
    <w:rsid w:val="00E13A00"/>
    <w:rsid w:val="00E1460E"/>
    <w:rsid w:val="00E1506B"/>
    <w:rsid w:val="00E152B3"/>
    <w:rsid w:val="00E15587"/>
    <w:rsid w:val="00E15A4D"/>
    <w:rsid w:val="00E15B69"/>
    <w:rsid w:val="00E15D70"/>
    <w:rsid w:val="00E15DB2"/>
    <w:rsid w:val="00E160D0"/>
    <w:rsid w:val="00E16411"/>
    <w:rsid w:val="00E1669A"/>
    <w:rsid w:val="00E16939"/>
    <w:rsid w:val="00E169BC"/>
    <w:rsid w:val="00E16C26"/>
    <w:rsid w:val="00E17063"/>
    <w:rsid w:val="00E170F1"/>
    <w:rsid w:val="00E17189"/>
    <w:rsid w:val="00E17720"/>
    <w:rsid w:val="00E201CE"/>
    <w:rsid w:val="00E2032D"/>
    <w:rsid w:val="00E2060F"/>
    <w:rsid w:val="00E20660"/>
    <w:rsid w:val="00E20BA1"/>
    <w:rsid w:val="00E20CF0"/>
    <w:rsid w:val="00E211AE"/>
    <w:rsid w:val="00E211C9"/>
    <w:rsid w:val="00E2146B"/>
    <w:rsid w:val="00E21ADE"/>
    <w:rsid w:val="00E2254B"/>
    <w:rsid w:val="00E227B3"/>
    <w:rsid w:val="00E23080"/>
    <w:rsid w:val="00E23BB5"/>
    <w:rsid w:val="00E24854"/>
    <w:rsid w:val="00E24ACF"/>
    <w:rsid w:val="00E24D93"/>
    <w:rsid w:val="00E250C2"/>
    <w:rsid w:val="00E25187"/>
    <w:rsid w:val="00E253BC"/>
    <w:rsid w:val="00E255D2"/>
    <w:rsid w:val="00E25CF0"/>
    <w:rsid w:val="00E27183"/>
    <w:rsid w:val="00E271C8"/>
    <w:rsid w:val="00E2741C"/>
    <w:rsid w:val="00E27F93"/>
    <w:rsid w:val="00E30A3D"/>
    <w:rsid w:val="00E30CC5"/>
    <w:rsid w:val="00E30F64"/>
    <w:rsid w:val="00E3109D"/>
    <w:rsid w:val="00E31357"/>
    <w:rsid w:val="00E31846"/>
    <w:rsid w:val="00E31EEA"/>
    <w:rsid w:val="00E31F0F"/>
    <w:rsid w:val="00E32040"/>
    <w:rsid w:val="00E323A9"/>
    <w:rsid w:val="00E32575"/>
    <w:rsid w:val="00E3265E"/>
    <w:rsid w:val="00E33015"/>
    <w:rsid w:val="00E33362"/>
    <w:rsid w:val="00E33456"/>
    <w:rsid w:val="00E335D7"/>
    <w:rsid w:val="00E33720"/>
    <w:rsid w:val="00E338EF"/>
    <w:rsid w:val="00E33A09"/>
    <w:rsid w:val="00E344E5"/>
    <w:rsid w:val="00E3458A"/>
    <w:rsid w:val="00E3495C"/>
    <w:rsid w:val="00E34988"/>
    <w:rsid w:val="00E34B55"/>
    <w:rsid w:val="00E34CB4"/>
    <w:rsid w:val="00E34F77"/>
    <w:rsid w:val="00E356D2"/>
    <w:rsid w:val="00E35CA8"/>
    <w:rsid w:val="00E35CB5"/>
    <w:rsid w:val="00E35EBC"/>
    <w:rsid w:val="00E360CC"/>
    <w:rsid w:val="00E361E4"/>
    <w:rsid w:val="00E365AF"/>
    <w:rsid w:val="00E3664E"/>
    <w:rsid w:val="00E36C2D"/>
    <w:rsid w:val="00E37042"/>
    <w:rsid w:val="00E373C6"/>
    <w:rsid w:val="00E375E8"/>
    <w:rsid w:val="00E37D57"/>
    <w:rsid w:val="00E4068E"/>
    <w:rsid w:val="00E406B8"/>
    <w:rsid w:val="00E409D5"/>
    <w:rsid w:val="00E41355"/>
    <w:rsid w:val="00E4158B"/>
    <w:rsid w:val="00E417B3"/>
    <w:rsid w:val="00E4209D"/>
    <w:rsid w:val="00E42373"/>
    <w:rsid w:val="00E4237A"/>
    <w:rsid w:val="00E42401"/>
    <w:rsid w:val="00E42628"/>
    <w:rsid w:val="00E42654"/>
    <w:rsid w:val="00E4279A"/>
    <w:rsid w:val="00E4287D"/>
    <w:rsid w:val="00E428FE"/>
    <w:rsid w:val="00E42FCA"/>
    <w:rsid w:val="00E43667"/>
    <w:rsid w:val="00E4392B"/>
    <w:rsid w:val="00E43D96"/>
    <w:rsid w:val="00E43DAD"/>
    <w:rsid w:val="00E44465"/>
    <w:rsid w:val="00E44860"/>
    <w:rsid w:val="00E4498F"/>
    <w:rsid w:val="00E44F7E"/>
    <w:rsid w:val="00E44FED"/>
    <w:rsid w:val="00E4512C"/>
    <w:rsid w:val="00E451A5"/>
    <w:rsid w:val="00E458D8"/>
    <w:rsid w:val="00E45D96"/>
    <w:rsid w:val="00E463B2"/>
    <w:rsid w:val="00E47160"/>
    <w:rsid w:val="00E47628"/>
    <w:rsid w:val="00E47856"/>
    <w:rsid w:val="00E5060D"/>
    <w:rsid w:val="00E51063"/>
    <w:rsid w:val="00E51FA9"/>
    <w:rsid w:val="00E52569"/>
    <w:rsid w:val="00E52634"/>
    <w:rsid w:val="00E52AAB"/>
    <w:rsid w:val="00E530A4"/>
    <w:rsid w:val="00E53198"/>
    <w:rsid w:val="00E5321B"/>
    <w:rsid w:val="00E53450"/>
    <w:rsid w:val="00E53646"/>
    <w:rsid w:val="00E53C2A"/>
    <w:rsid w:val="00E53E3F"/>
    <w:rsid w:val="00E542AB"/>
    <w:rsid w:val="00E54806"/>
    <w:rsid w:val="00E54D47"/>
    <w:rsid w:val="00E55716"/>
    <w:rsid w:val="00E558B5"/>
    <w:rsid w:val="00E5623A"/>
    <w:rsid w:val="00E562FE"/>
    <w:rsid w:val="00E56684"/>
    <w:rsid w:val="00E56A67"/>
    <w:rsid w:val="00E57602"/>
    <w:rsid w:val="00E57968"/>
    <w:rsid w:val="00E60299"/>
    <w:rsid w:val="00E60C2B"/>
    <w:rsid w:val="00E61001"/>
    <w:rsid w:val="00E61645"/>
    <w:rsid w:val="00E6185F"/>
    <w:rsid w:val="00E621C8"/>
    <w:rsid w:val="00E6236C"/>
    <w:rsid w:val="00E6278E"/>
    <w:rsid w:val="00E62A2D"/>
    <w:rsid w:val="00E62BDB"/>
    <w:rsid w:val="00E62CD9"/>
    <w:rsid w:val="00E62E56"/>
    <w:rsid w:val="00E635C7"/>
    <w:rsid w:val="00E637B5"/>
    <w:rsid w:val="00E638B8"/>
    <w:rsid w:val="00E63C41"/>
    <w:rsid w:val="00E63C7E"/>
    <w:rsid w:val="00E63CF6"/>
    <w:rsid w:val="00E63CFD"/>
    <w:rsid w:val="00E63F4F"/>
    <w:rsid w:val="00E640F9"/>
    <w:rsid w:val="00E6411F"/>
    <w:rsid w:val="00E64D34"/>
    <w:rsid w:val="00E64D96"/>
    <w:rsid w:val="00E6540D"/>
    <w:rsid w:val="00E66345"/>
    <w:rsid w:val="00E6657B"/>
    <w:rsid w:val="00E66A5D"/>
    <w:rsid w:val="00E66AD1"/>
    <w:rsid w:val="00E66C5F"/>
    <w:rsid w:val="00E66F83"/>
    <w:rsid w:val="00E7031D"/>
    <w:rsid w:val="00E70E1A"/>
    <w:rsid w:val="00E712C8"/>
    <w:rsid w:val="00E714FF"/>
    <w:rsid w:val="00E7167E"/>
    <w:rsid w:val="00E720CF"/>
    <w:rsid w:val="00E7235A"/>
    <w:rsid w:val="00E72440"/>
    <w:rsid w:val="00E724C8"/>
    <w:rsid w:val="00E7270E"/>
    <w:rsid w:val="00E735E7"/>
    <w:rsid w:val="00E746DF"/>
    <w:rsid w:val="00E7560A"/>
    <w:rsid w:val="00E75C7A"/>
    <w:rsid w:val="00E767F0"/>
    <w:rsid w:val="00E7680B"/>
    <w:rsid w:val="00E770A1"/>
    <w:rsid w:val="00E77394"/>
    <w:rsid w:val="00E775FE"/>
    <w:rsid w:val="00E7784A"/>
    <w:rsid w:val="00E77874"/>
    <w:rsid w:val="00E77A0D"/>
    <w:rsid w:val="00E77D0F"/>
    <w:rsid w:val="00E80348"/>
    <w:rsid w:val="00E80488"/>
    <w:rsid w:val="00E80AE6"/>
    <w:rsid w:val="00E80BDB"/>
    <w:rsid w:val="00E80E8D"/>
    <w:rsid w:val="00E81291"/>
    <w:rsid w:val="00E8131F"/>
    <w:rsid w:val="00E817ED"/>
    <w:rsid w:val="00E81B6F"/>
    <w:rsid w:val="00E81E01"/>
    <w:rsid w:val="00E822AF"/>
    <w:rsid w:val="00E82A40"/>
    <w:rsid w:val="00E82CBE"/>
    <w:rsid w:val="00E82E50"/>
    <w:rsid w:val="00E836EA"/>
    <w:rsid w:val="00E83CAD"/>
    <w:rsid w:val="00E83E33"/>
    <w:rsid w:val="00E8506C"/>
    <w:rsid w:val="00E851E5"/>
    <w:rsid w:val="00E85266"/>
    <w:rsid w:val="00E852C6"/>
    <w:rsid w:val="00E85BD1"/>
    <w:rsid w:val="00E85C14"/>
    <w:rsid w:val="00E85C79"/>
    <w:rsid w:val="00E8673B"/>
    <w:rsid w:val="00E86EC0"/>
    <w:rsid w:val="00E86F21"/>
    <w:rsid w:val="00E86FFB"/>
    <w:rsid w:val="00E8712D"/>
    <w:rsid w:val="00E8727D"/>
    <w:rsid w:val="00E87912"/>
    <w:rsid w:val="00E87BBF"/>
    <w:rsid w:val="00E90595"/>
    <w:rsid w:val="00E90A01"/>
    <w:rsid w:val="00E90C8B"/>
    <w:rsid w:val="00E90F95"/>
    <w:rsid w:val="00E91A50"/>
    <w:rsid w:val="00E9281E"/>
    <w:rsid w:val="00E928A2"/>
    <w:rsid w:val="00E93169"/>
    <w:rsid w:val="00E93F77"/>
    <w:rsid w:val="00E946AA"/>
    <w:rsid w:val="00E94A96"/>
    <w:rsid w:val="00E94B06"/>
    <w:rsid w:val="00E94BC5"/>
    <w:rsid w:val="00E94FDF"/>
    <w:rsid w:val="00E95109"/>
    <w:rsid w:val="00E95191"/>
    <w:rsid w:val="00E9632D"/>
    <w:rsid w:val="00E963CD"/>
    <w:rsid w:val="00E964D5"/>
    <w:rsid w:val="00E964E5"/>
    <w:rsid w:val="00E9710E"/>
    <w:rsid w:val="00E97197"/>
    <w:rsid w:val="00E97400"/>
    <w:rsid w:val="00E97937"/>
    <w:rsid w:val="00E97D25"/>
    <w:rsid w:val="00EA0494"/>
    <w:rsid w:val="00EA0817"/>
    <w:rsid w:val="00EA0889"/>
    <w:rsid w:val="00EA1030"/>
    <w:rsid w:val="00EA1E6E"/>
    <w:rsid w:val="00EA2790"/>
    <w:rsid w:val="00EA2A76"/>
    <w:rsid w:val="00EA2BAC"/>
    <w:rsid w:val="00EA3895"/>
    <w:rsid w:val="00EA3C75"/>
    <w:rsid w:val="00EA4333"/>
    <w:rsid w:val="00EA43B1"/>
    <w:rsid w:val="00EA46E6"/>
    <w:rsid w:val="00EA4A45"/>
    <w:rsid w:val="00EA4FE5"/>
    <w:rsid w:val="00EA500B"/>
    <w:rsid w:val="00EA531C"/>
    <w:rsid w:val="00EA5C05"/>
    <w:rsid w:val="00EA633C"/>
    <w:rsid w:val="00EA6515"/>
    <w:rsid w:val="00EA6645"/>
    <w:rsid w:val="00EA6D86"/>
    <w:rsid w:val="00EA6ECA"/>
    <w:rsid w:val="00EA72B3"/>
    <w:rsid w:val="00EA75D9"/>
    <w:rsid w:val="00EB041B"/>
    <w:rsid w:val="00EB07A6"/>
    <w:rsid w:val="00EB0B91"/>
    <w:rsid w:val="00EB0C74"/>
    <w:rsid w:val="00EB10CB"/>
    <w:rsid w:val="00EB1B71"/>
    <w:rsid w:val="00EB1B99"/>
    <w:rsid w:val="00EB1E57"/>
    <w:rsid w:val="00EB1E72"/>
    <w:rsid w:val="00EB208D"/>
    <w:rsid w:val="00EB209C"/>
    <w:rsid w:val="00EB2241"/>
    <w:rsid w:val="00EB225D"/>
    <w:rsid w:val="00EB27EB"/>
    <w:rsid w:val="00EB2BAD"/>
    <w:rsid w:val="00EB2E5E"/>
    <w:rsid w:val="00EB2FFA"/>
    <w:rsid w:val="00EB3264"/>
    <w:rsid w:val="00EB33EC"/>
    <w:rsid w:val="00EB3A54"/>
    <w:rsid w:val="00EB3C80"/>
    <w:rsid w:val="00EB3F78"/>
    <w:rsid w:val="00EB4984"/>
    <w:rsid w:val="00EB4B0B"/>
    <w:rsid w:val="00EB4C4B"/>
    <w:rsid w:val="00EB4FB5"/>
    <w:rsid w:val="00EB5146"/>
    <w:rsid w:val="00EB53D9"/>
    <w:rsid w:val="00EB59C4"/>
    <w:rsid w:val="00EB5B54"/>
    <w:rsid w:val="00EB6155"/>
    <w:rsid w:val="00EB64EC"/>
    <w:rsid w:val="00EB6FC6"/>
    <w:rsid w:val="00EB70A6"/>
    <w:rsid w:val="00EB7590"/>
    <w:rsid w:val="00EB7D85"/>
    <w:rsid w:val="00EB7E64"/>
    <w:rsid w:val="00EC031D"/>
    <w:rsid w:val="00EC0EFB"/>
    <w:rsid w:val="00EC182C"/>
    <w:rsid w:val="00EC199A"/>
    <w:rsid w:val="00EC349D"/>
    <w:rsid w:val="00EC3AC9"/>
    <w:rsid w:val="00EC3E4D"/>
    <w:rsid w:val="00EC459D"/>
    <w:rsid w:val="00EC4639"/>
    <w:rsid w:val="00EC4701"/>
    <w:rsid w:val="00EC54A3"/>
    <w:rsid w:val="00EC5B49"/>
    <w:rsid w:val="00EC612C"/>
    <w:rsid w:val="00EC6459"/>
    <w:rsid w:val="00EC65DE"/>
    <w:rsid w:val="00EC7402"/>
    <w:rsid w:val="00EC748C"/>
    <w:rsid w:val="00ED050D"/>
    <w:rsid w:val="00ED061B"/>
    <w:rsid w:val="00ED07DF"/>
    <w:rsid w:val="00ED09E1"/>
    <w:rsid w:val="00ED0A03"/>
    <w:rsid w:val="00ED0CD3"/>
    <w:rsid w:val="00ED0EAC"/>
    <w:rsid w:val="00ED0F53"/>
    <w:rsid w:val="00ED1646"/>
    <w:rsid w:val="00ED1ADD"/>
    <w:rsid w:val="00ED1ED2"/>
    <w:rsid w:val="00ED2471"/>
    <w:rsid w:val="00ED29AD"/>
    <w:rsid w:val="00ED29CA"/>
    <w:rsid w:val="00ED2B82"/>
    <w:rsid w:val="00ED2FEF"/>
    <w:rsid w:val="00ED314B"/>
    <w:rsid w:val="00ED3500"/>
    <w:rsid w:val="00ED355E"/>
    <w:rsid w:val="00ED3778"/>
    <w:rsid w:val="00ED39A0"/>
    <w:rsid w:val="00ED40F0"/>
    <w:rsid w:val="00ED44E0"/>
    <w:rsid w:val="00ED4788"/>
    <w:rsid w:val="00ED4B47"/>
    <w:rsid w:val="00ED55BA"/>
    <w:rsid w:val="00ED600A"/>
    <w:rsid w:val="00ED6544"/>
    <w:rsid w:val="00ED6827"/>
    <w:rsid w:val="00ED688F"/>
    <w:rsid w:val="00ED6D36"/>
    <w:rsid w:val="00ED732E"/>
    <w:rsid w:val="00ED7669"/>
    <w:rsid w:val="00ED775D"/>
    <w:rsid w:val="00ED78B8"/>
    <w:rsid w:val="00EE00D3"/>
    <w:rsid w:val="00EE0297"/>
    <w:rsid w:val="00EE073A"/>
    <w:rsid w:val="00EE0AF0"/>
    <w:rsid w:val="00EE1039"/>
    <w:rsid w:val="00EE1933"/>
    <w:rsid w:val="00EE1A35"/>
    <w:rsid w:val="00EE24AF"/>
    <w:rsid w:val="00EE2B27"/>
    <w:rsid w:val="00EE2B53"/>
    <w:rsid w:val="00EE2BB4"/>
    <w:rsid w:val="00EE2FD9"/>
    <w:rsid w:val="00EE2FFB"/>
    <w:rsid w:val="00EE32E1"/>
    <w:rsid w:val="00EE35F2"/>
    <w:rsid w:val="00EE36BF"/>
    <w:rsid w:val="00EE3968"/>
    <w:rsid w:val="00EE3EEB"/>
    <w:rsid w:val="00EE43AF"/>
    <w:rsid w:val="00EE46AB"/>
    <w:rsid w:val="00EE47E1"/>
    <w:rsid w:val="00EE4ADB"/>
    <w:rsid w:val="00EE5051"/>
    <w:rsid w:val="00EE516A"/>
    <w:rsid w:val="00EE5306"/>
    <w:rsid w:val="00EE5BE6"/>
    <w:rsid w:val="00EE5DAF"/>
    <w:rsid w:val="00EE64B1"/>
    <w:rsid w:val="00EE68AD"/>
    <w:rsid w:val="00EE68BE"/>
    <w:rsid w:val="00EE6CEF"/>
    <w:rsid w:val="00EE720E"/>
    <w:rsid w:val="00EE799D"/>
    <w:rsid w:val="00EE7CC9"/>
    <w:rsid w:val="00EF0006"/>
    <w:rsid w:val="00EF016D"/>
    <w:rsid w:val="00EF0A13"/>
    <w:rsid w:val="00EF145D"/>
    <w:rsid w:val="00EF159D"/>
    <w:rsid w:val="00EF2473"/>
    <w:rsid w:val="00EF258F"/>
    <w:rsid w:val="00EF2C90"/>
    <w:rsid w:val="00EF2F9E"/>
    <w:rsid w:val="00EF319C"/>
    <w:rsid w:val="00EF3E78"/>
    <w:rsid w:val="00EF418B"/>
    <w:rsid w:val="00EF42A2"/>
    <w:rsid w:val="00EF4752"/>
    <w:rsid w:val="00EF486B"/>
    <w:rsid w:val="00EF50F1"/>
    <w:rsid w:val="00EF6304"/>
    <w:rsid w:val="00EF63D7"/>
    <w:rsid w:val="00EF6A23"/>
    <w:rsid w:val="00EF6FA4"/>
    <w:rsid w:val="00EF7178"/>
    <w:rsid w:val="00EF721D"/>
    <w:rsid w:val="00EF768F"/>
    <w:rsid w:val="00F0006E"/>
    <w:rsid w:val="00F0008A"/>
    <w:rsid w:val="00F0057F"/>
    <w:rsid w:val="00F009BE"/>
    <w:rsid w:val="00F00CA3"/>
    <w:rsid w:val="00F01206"/>
    <w:rsid w:val="00F019A9"/>
    <w:rsid w:val="00F01AC8"/>
    <w:rsid w:val="00F01AF3"/>
    <w:rsid w:val="00F02510"/>
    <w:rsid w:val="00F028A3"/>
    <w:rsid w:val="00F02CD9"/>
    <w:rsid w:val="00F02D9E"/>
    <w:rsid w:val="00F02E1B"/>
    <w:rsid w:val="00F03148"/>
    <w:rsid w:val="00F0324D"/>
    <w:rsid w:val="00F0380E"/>
    <w:rsid w:val="00F039EA"/>
    <w:rsid w:val="00F03A1F"/>
    <w:rsid w:val="00F04887"/>
    <w:rsid w:val="00F04DE2"/>
    <w:rsid w:val="00F0537B"/>
    <w:rsid w:val="00F053A5"/>
    <w:rsid w:val="00F05455"/>
    <w:rsid w:val="00F05507"/>
    <w:rsid w:val="00F0552E"/>
    <w:rsid w:val="00F05729"/>
    <w:rsid w:val="00F05849"/>
    <w:rsid w:val="00F0591D"/>
    <w:rsid w:val="00F05D5B"/>
    <w:rsid w:val="00F061ED"/>
    <w:rsid w:val="00F064DD"/>
    <w:rsid w:val="00F06D1D"/>
    <w:rsid w:val="00F0749F"/>
    <w:rsid w:val="00F07D9B"/>
    <w:rsid w:val="00F07F37"/>
    <w:rsid w:val="00F10034"/>
    <w:rsid w:val="00F105F1"/>
    <w:rsid w:val="00F10705"/>
    <w:rsid w:val="00F10734"/>
    <w:rsid w:val="00F10D27"/>
    <w:rsid w:val="00F10D71"/>
    <w:rsid w:val="00F11733"/>
    <w:rsid w:val="00F122DF"/>
    <w:rsid w:val="00F12B7D"/>
    <w:rsid w:val="00F12F10"/>
    <w:rsid w:val="00F12F98"/>
    <w:rsid w:val="00F13085"/>
    <w:rsid w:val="00F132A5"/>
    <w:rsid w:val="00F14DF9"/>
    <w:rsid w:val="00F14F0B"/>
    <w:rsid w:val="00F15DD1"/>
    <w:rsid w:val="00F1627E"/>
    <w:rsid w:val="00F16A4B"/>
    <w:rsid w:val="00F1741A"/>
    <w:rsid w:val="00F1743F"/>
    <w:rsid w:val="00F174D2"/>
    <w:rsid w:val="00F176F9"/>
    <w:rsid w:val="00F17ED8"/>
    <w:rsid w:val="00F20017"/>
    <w:rsid w:val="00F20102"/>
    <w:rsid w:val="00F218F5"/>
    <w:rsid w:val="00F2196A"/>
    <w:rsid w:val="00F2205A"/>
    <w:rsid w:val="00F2253B"/>
    <w:rsid w:val="00F2259C"/>
    <w:rsid w:val="00F230B5"/>
    <w:rsid w:val="00F2375C"/>
    <w:rsid w:val="00F23ACA"/>
    <w:rsid w:val="00F23E99"/>
    <w:rsid w:val="00F2409B"/>
    <w:rsid w:val="00F24691"/>
    <w:rsid w:val="00F246E8"/>
    <w:rsid w:val="00F25627"/>
    <w:rsid w:val="00F25726"/>
    <w:rsid w:val="00F25ABC"/>
    <w:rsid w:val="00F27191"/>
    <w:rsid w:val="00F272FD"/>
    <w:rsid w:val="00F27DD3"/>
    <w:rsid w:val="00F30136"/>
    <w:rsid w:val="00F30410"/>
    <w:rsid w:val="00F30A5A"/>
    <w:rsid w:val="00F30CE8"/>
    <w:rsid w:val="00F30EB4"/>
    <w:rsid w:val="00F30EFD"/>
    <w:rsid w:val="00F3110C"/>
    <w:rsid w:val="00F31358"/>
    <w:rsid w:val="00F31938"/>
    <w:rsid w:val="00F319AC"/>
    <w:rsid w:val="00F3238C"/>
    <w:rsid w:val="00F3243A"/>
    <w:rsid w:val="00F32470"/>
    <w:rsid w:val="00F32807"/>
    <w:rsid w:val="00F328C7"/>
    <w:rsid w:val="00F32A3C"/>
    <w:rsid w:val="00F334A2"/>
    <w:rsid w:val="00F33538"/>
    <w:rsid w:val="00F33AB5"/>
    <w:rsid w:val="00F33AEC"/>
    <w:rsid w:val="00F3407E"/>
    <w:rsid w:val="00F34187"/>
    <w:rsid w:val="00F3456C"/>
    <w:rsid w:val="00F34866"/>
    <w:rsid w:val="00F34E21"/>
    <w:rsid w:val="00F35289"/>
    <w:rsid w:val="00F35AFB"/>
    <w:rsid w:val="00F3643B"/>
    <w:rsid w:val="00F36694"/>
    <w:rsid w:val="00F366BA"/>
    <w:rsid w:val="00F36A52"/>
    <w:rsid w:val="00F37071"/>
    <w:rsid w:val="00F373C1"/>
    <w:rsid w:val="00F37593"/>
    <w:rsid w:val="00F37779"/>
    <w:rsid w:val="00F37794"/>
    <w:rsid w:val="00F37CB8"/>
    <w:rsid w:val="00F37D18"/>
    <w:rsid w:val="00F400E8"/>
    <w:rsid w:val="00F407F9"/>
    <w:rsid w:val="00F40DD2"/>
    <w:rsid w:val="00F411BC"/>
    <w:rsid w:val="00F41813"/>
    <w:rsid w:val="00F4188F"/>
    <w:rsid w:val="00F41F35"/>
    <w:rsid w:val="00F41FA7"/>
    <w:rsid w:val="00F4223F"/>
    <w:rsid w:val="00F42816"/>
    <w:rsid w:val="00F42C22"/>
    <w:rsid w:val="00F4327C"/>
    <w:rsid w:val="00F43346"/>
    <w:rsid w:val="00F4378D"/>
    <w:rsid w:val="00F44695"/>
    <w:rsid w:val="00F44C59"/>
    <w:rsid w:val="00F44DE4"/>
    <w:rsid w:val="00F45125"/>
    <w:rsid w:val="00F4516A"/>
    <w:rsid w:val="00F45425"/>
    <w:rsid w:val="00F45989"/>
    <w:rsid w:val="00F45AF8"/>
    <w:rsid w:val="00F45B1A"/>
    <w:rsid w:val="00F4747B"/>
    <w:rsid w:val="00F474F8"/>
    <w:rsid w:val="00F475CB"/>
    <w:rsid w:val="00F47635"/>
    <w:rsid w:val="00F47B52"/>
    <w:rsid w:val="00F47DC1"/>
    <w:rsid w:val="00F5000D"/>
    <w:rsid w:val="00F50010"/>
    <w:rsid w:val="00F500B9"/>
    <w:rsid w:val="00F5013A"/>
    <w:rsid w:val="00F505B7"/>
    <w:rsid w:val="00F5071C"/>
    <w:rsid w:val="00F51086"/>
    <w:rsid w:val="00F516DE"/>
    <w:rsid w:val="00F5182D"/>
    <w:rsid w:val="00F51AC4"/>
    <w:rsid w:val="00F51C68"/>
    <w:rsid w:val="00F51D42"/>
    <w:rsid w:val="00F51D5D"/>
    <w:rsid w:val="00F529C9"/>
    <w:rsid w:val="00F52A09"/>
    <w:rsid w:val="00F5392F"/>
    <w:rsid w:val="00F53987"/>
    <w:rsid w:val="00F53AC3"/>
    <w:rsid w:val="00F53AE8"/>
    <w:rsid w:val="00F53E46"/>
    <w:rsid w:val="00F54090"/>
    <w:rsid w:val="00F542AB"/>
    <w:rsid w:val="00F544B5"/>
    <w:rsid w:val="00F5483D"/>
    <w:rsid w:val="00F54D69"/>
    <w:rsid w:val="00F55069"/>
    <w:rsid w:val="00F550F3"/>
    <w:rsid w:val="00F55247"/>
    <w:rsid w:val="00F5526B"/>
    <w:rsid w:val="00F5552A"/>
    <w:rsid w:val="00F55C1A"/>
    <w:rsid w:val="00F55CD4"/>
    <w:rsid w:val="00F55F5A"/>
    <w:rsid w:val="00F5613A"/>
    <w:rsid w:val="00F5647A"/>
    <w:rsid w:val="00F56DF4"/>
    <w:rsid w:val="00F57F81"/>
    <w:rsid w:val="00F6041B"/>
    <w:rsid w:val="00F60C49"/>
    <w:rsid w:val="00F61128"/>
    <w:rsid w:val="00F61A8F"/>
    <w:rsid w:val="00F61A91"/>
    <w:rsid w:val="00F61F1B"/>
    <w:rsid w:val="00F626ED"/>
    <w:rsid w:val="00F6270C"/>
    <w:rsid w:val="00F63531"/>
    <w:rsid w:val="00F63701"/>
    <w:rsid w:val="00F63C0F"/>
    <w:rsid w:val="00F63D93"/>
    <w:rsid w:val="00F63DFE"/>
    <w:rsid w:val="00F63E04"/>
    <w:rsid w:val="00F64190"/>
    <w:rsid w:val="00F64237"/>
    <w:rsid w:val="00F643CB"/>
    <w:rsid w:val="00F64584"/>
    <w:rsid w:val="00F64B6B"/>
    <w:rsid w:val="00F64BFE"/>
    <w:rsid w:val="00F65102"/>
    <w:rsid w:val="00F6568C"/>
    <w:rsid w:val="00F657E8"/>
    <w:rsid w:val="00F6647B"/>
    <w:rsid w:val="00F66630"/>
    <w:rsid w:val="00F6676E"/>
    <w:rsid w:val="00F66A6C"/>
    <w:rsid w:val="00F66CA1"/>
    <w:rsid w:val="00F66CB5"/>
    <w:rsid w:val="00F671C7"/>
    <w:rsid w:val="00F67202"/>
    <w:rsid w:val="00F67AFF"/>
    <w:rsid w:val="00F70BC7"/>
    <w:rsid w:val="00F70D79"/>
    <w:rsid w:val="00F70E0F"/>
    <w:rsid w:val="00F70E1F"/>
    <w:rsid w:val="00F70E22"/>
    <w:rsid w:val="00F70EAC"/>
    <w:rsid w:val="00F71403"/>
    <w:rsid w:val="00F717B3"/>
    <w:rsid w:val="00F71C48"/>
    <w:rsid w:val="00F723C2"/>
    <w:rsid w:val="00F72853"/>
    <w:rsid w:val="00F72975"/>
    <w:rsid w:val="00F72B22"/>
    <w:rsid w:val="00F72BCA"/>
    <w:rsid w:val="00F73358"/>
    <w:rsid w:val="00F733EF"/>
    <w:rsid w:val="00F7394E"/>
    <w:rsid w:val="00F73952"/>
    <w:rsid w:val="00F7395D"/>
    <w:rsid w:val="00F73AF2"/>
    <w:rsid w:val="00F7461A"/>
    <w:rsid w:val="00F748A1"/>
    <w:rsid w:val="00F74994"/>
    <w:rsid w:val="00F749C1"/>
    <w:rsid w:val="00F750F6"/>
    <w:rsid w:val="00F763ED"/>
    <w:rsid w:val="00F76AE0"/>
    <w:rsid w:val="00F7752A"/>
    <w:rsid w:val="00F80283"/>
    <w:rsid w:val="00F803EC"/>
    <w:rsid w:val="00F8054D"/>
    <w:rsid w:val="00F80832"/>
    <w:rsid w:val="00F80AB0"/>
    <w:rsid w:val="00F81DC8"/>
    <w:rsid w:val="00F824E7"/>
    <w:rsid w:val="00F82840"/>
    <w:rsid w:val="00F83031"/>
    <w:rsid w:val="00F83E04"/>
    <w:rsid w:val="00F83E31"/>
    <w:rsid w:val="00F848D2"/>
    <w:rsid w:val="00F84AA0"/>
    <w:rsid w:val="00F84DE7"/>
    <w:rsid w:val="00F8526C"/>
    <w:rsid w:val="00F85423"/>
    <w:rsid w:val="00F8543E"/>
    <w:rsid w:val="00F858AB"/>
    <w:rsid w:val="00F86004"/>
    <w:rsid w:val="00F86ADE"/>
    <w:rsid w:val="00F86C82"/>
    <w:rsid w:val="00F876AF"/>
    <w:rsid w:val="00F879C9"/>
    <w:rsid w:val="00F87C61"/>
    <w:rsid w:val="00F90051"/>
    <w:rsid w:val="00F9040B"/>
    <w:rsid w:val="00F90EA4"/>
    <w:rsid w:val="00F9121D"/>
    <w:rsid w:val="00F91774"/>
    <w:rsid w:val="00F9198E"/>
    <w:rsid w:val="00F91E47"/>
    <w:rsid w:val="00F921DF"/>
    <w:rsid w:val="00F92669"/>
    <w:rsid w:val="00F9288E"/>
    <w:rsid w:val="00F92BC6"/>
    <w:rsid w:val="00F92BDC"/>
    <w:rsid w:val="00F9352A"/>
    <w:rsid w:val="00F943A6"/>
    <w:rsid w:val="00F94676"/>
    <w:rsid w:val="00F94A80"/>
    <w:rsid w:val="00F94C1B"/>
    <w:rsid w:val="00F94D4A"/>
    <w:rsid w:val="00F94DCD"/>
    <w:rsid w:val="00F94EEA"/>
    <w:rsid w:val="00F94FF4"/>
    <w:rsid w:val="00F9500D"/>
    <w:rsid w:val="00F955EC"/>
    <w:rsid w:val="00F95843"/>
    <w:rsid w:val="00F958CB"/>
    <w:rsid w:val="00F95B20"/>
    <w:rsid w:val="00F95E7E"/>
    <w:rsid w:val="00F968C3"/>
    <w:rsid w:val="00F97231"/>
    <w:rsid w:val="00FA184D"/>
    <w:rsid w:val="00FA1899"/>
    <w:rsid w:val="00FA1BBE"/>
    <w:rsid w:val="00FA285D"/>
    <w:rsid w:val="00FA29FD"/>
    <w:rsid w:val="00FA2AF4"/>
    <w:rsid w:val="00FA2BF3"/>
    <w:rsid w:val="00FA2D2E"/>
    <w:rsid w:val="00FA311F"/>
    <w:rsid w:val="00FA3461"/>
    <w:rsid w:val="00FA3867"/>
    <w:rsid w:val="00FA4231"/>
    <w:rsid w:val="00FA4321"/>
    <w:rsid w:val="00FA44CA"/>
    <w:rsid w:val="00FA4B70"/>
    <w:rsid w:val="00FA4C67"/>
    <w:rsid w:val="00FA4F16"/>
    <w:rsid w:val="00FA54D8"/>
    <w:rsid w:val="00FA568F"/>
    <w:rsid w:val="00FA5B6B"/>
    <w:rsid w:val="00FA64AF"/>
    <w:rsid w:val="00FA73DD"/>
    <w:rsid w:val="00FA769F"/>
    <w:rsid w:val="00FA7D5C"/>
    <w:rsid w:val="00FB0630"/>
    <w:rsid w:val="00FB0674"/>
    <w:rsid w:val="00FB06EC"/>
    <w:rsid w:val="00FB0B41"/>
    <w:rsid w:val="00FB0E71"/>
    <w:rsid w:val="00FB2301"/>
    <w:rsid w:val="00FB24F6"/>
    <w:rsid w:val="00FB3B75"/>
    <w:rsid w:val="00FB490B"/>
    <w:rsid w:val="00FB568E"/>
    <w:rsid w:val="00FB568F"/>
    <w:rsid w:val="00FB5B3E"/>
    <w:rsid w:val="00FB5BBD"/>
    <w:rsid w:val="00FB6238"/>
    <w:rsid w:val="00FB69C5"/>
    <w:rsid w:val="00FB6A56"/>
    <w:rsid w:val="00FB6E28"/>
    <w:rsid w:val="00FB7186"/>
    <w:rsid w:val="00FB7240"/>
    <w:rsid w:val="00FB7363"/>
    <w:rsid w:val="00FB74F9"/>
    <w:rsid w:val="00FB7E74"/>
    <w:rsid w:val="00FC024D"/>
    <w:rsid w:val="00FC029A"/>
    <w:rsid w:val="00FC08D0"/>
    <w:rsid w:val="00FC0DFE"/>
    <w:rsid w:val="00FC15BD"/>
    <w:rsid w:val="00FC1729"/>
    <w:rsid w:val="00FC2C84"/>
    <w:rsid w:val="00FC300C"/>
    <w:rsid w:val="00FC3105"/>
    <w:rsid w:val="00FC32FE"/>
    <w:rsid w:val="00FC34BE"/>
    <w:rsid w:val="00FC3C8F"/>
    <w:rsid w:val="00FC44E0"/>
    <w:rsid w:val="00FC47FF"/>
    <w:rsid w:val="00FC4850"/>
    <w:rsid w:val="00FC597A"/>
    <w:rsid w:val="00FC5D54"/>
    <w:rsid w:val="00FC5E00"/>
    <w:rsid w:val="00FC60D1"/>
    <w:rsid w:val="00FC645E"/>
    <w:rsid w:val="00FC6E78"/>
    <w:rsid w:val="00FC775C"/>
    <w:rsid w:val="00FC78B4"/>
    <w:rsid w:val="00FC7CDB"/>
    <w:rsid w:val="00FD08A1"/>
    <w:rsid w:val="00FD12CE"/>
    <w:rsid w:val="00FD13D5"/>
    <w:rsid w:val="00FD13DB"/>
    <w:rsid w:val="00FD192C"/>
    <w:rsid w:val="00FD1961"/>
    <w:rsid w:val="00FD1B87"/>
    <w:rsid w:val="00FD2473"/>
    <w:rsid w:val="00FD2A9A"/>
    <w:rsid w:val="00FD2C45"/>
    <w:rsid w:val="00FD3D5E"/>
    <w:rsid w:val="00FD4221"/>
    <w:rsid w:val="00FD550E"/>
    <w:rsid w:val="00FD598B"/>
    <w:rsid w:val="00FD5B5E"/>
    <w:rsid w:val="00FD5CD6"/>
    <w:rsid w:val="00FD5FCC"/>
    <w:rsid w:val="00FD6C03"/>
    <w:rsid w:val="00FD6D9F"/>
    <w:rsid w:val="00FD7308"/>
    <w:rsid w:val="00FD794C"/>
    <w:rsid w:val="00FD79B9"/>
    <w:rsid w:val="00FD7A05"/>
    <w:rsid w:val="00FD7D1D"/>
    <w:rsid w:val="00FD7E3B"/>
    <w:rsid w:val="00FD7F39"/>
    <w:rsid w:val="00FE00F9"/>
    <w:rsid w:val="00FE0115"/>
    <w:rsid w:val="00FE0602"/>
    <w:rsid w:val="00FE0668"/>
    <w:rsid w:val="00FE07F7"/>
    <w:rsid w:val="00FE0C10"/>
    <w:rsid w:val="00FE0F8B"/>
    <w:rsid w:val="00FE13CA"/>
    <w:rsid w:val="00FE18FC"/>
    <w:rsid w:val="00FE1E10"/>
    <w:rsid w:val="00FE2042"/>
    <w:rsid w:val="00FE261E"/>
    <w:rsid w:val="00FE3755"/>
    <w:rsid w:val="00FE3835"/>
    <w:rsid w:val="00FE3955"/>
    <w:rsid w:val="00FE3A72"/>
    <w:rsid w:val="00FE3D12"/>
    <w:rsid w:val="00FE3D58"/>
    <w:rsid w:val="00FE46B1"/>
    <w:rsid w:val="00FE4CCB"/>
    <w:rsid w:val="00FE61F2"/>
    <w:rsid w:val="00FE6C00"/>
    <w:rsid w:val="00FE6D64"/>
    <w:rsid w:val="00FE72BB"/>
    <w:rsid w:val="00FE7569"/>
    <w:rsid w:val="00FE7960"/>
    <w:rsid w:val="00FE7A13"/>
    <w:rsid w:val="00FE7BEA"/>
    <w:rsid w:val="00FE7C51"/>
    <w:rsid w:val="00FE7D29"/>
    <w:rsid w:val="00FE7E12"/>
    <w:rsid w:val="00FF074D"/>
    <w:rsid w:val="00FF0914"/>
    <w:rsid w:val="00FF0A09"/>
    <w:rsid w:val="00FF0B9B"/>
    <w:rsid w:val="00FF0EFA"/>
    <w:rsid w:val="00FF14E2"/>
    <w:rsid w:val="00FF1683"/>
    <w:rsid w:val="00FF196B"/>
    <w:rsid w:val="00FF27C2"/>
    <w:rsid w:val="00FF29BF"/>
    <w:rsid w:val="00FF2CC1"/>
    <w:rsid w:val="00FF2CFA"/>
    <w:rsid w:val="00FF2E0E"/>
    <w:rsid w:val="00FF3BAB"/>
    <w:rsid w:val="00FF4056"/>
    <w:rsid w:val="00FF4066"/>
    <w:rsid w:val="00FF4409"/>
    <w:rsid w:val="00FF514F"/>
    <w:rsid w:val="00FF53F6"/>
    <w:rsid w:val="00FF60F1"/>
    <w:rsid w:val="00FF61E8"/>
    <w:rsid w:val="00FF61EB"/>
    <w:rsid w:val="00FF640F"/>
    <w:rsid w:val="00FF6FAF"/>
    <w:rsid w:val="00FF6FEB"/>
    <w:rsid w:val="00FF76E0"/>
    <w:rsid w:val="00FF7EC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9218"/>
    <o:shapelayout v:ext="edit">
      <o:idmap v:ext="edit" data="1"/>
      <o:rules v:ext="edit">
        <o:r id="V:Rule1" type="connector" idref="#AutoShape 203"/>
        <o:r id="V:Rule2" type="callout" idref="#AutoShape 21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qFormat="1"/>
    <w:lsdException w:name="footnote reference" w:qFormat="1"/>
    <w:lsdException w:name="List 2" w:uiPriority="99"/>
    <w:lsdException w:name="Title" w:qFormat="1"/>
    <w:lsdException w:name="Subtitle" w:uiPriority="11" w:qFormat="1"/>
    <w:lsdException w:name="Hyperlink" w:uiPriority="99"/>
    <w:lsdException w:name="FollowedHyperlink" w:uiPriority="99"/>
    <w:lsdException w:name="Strong" w:uiPriority="22" w:qFormat="1"/>
    <w:lsdException w:name="Emphasis" w:uiPriority="20" w:qFormat="1"/>
    <w:lsdException w:name="Normal (Web)" w:uiPriority="99"/>
    <w:lsdException w:name="HTML Cite"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AF48DB"/>
    <w:rPr>
      <w:sz w:val="26"/>
      <w:szCs w:val="26"/>
    </w:rPr>
  </w:style>
  <w:style w:type="paragraph" w:styleId="1">
    <w:name w:val="heading 1"/>
    <w:basedOn w:val="a0"/>
    <w:next w:val="a0"/>
    <w:link w:val="10"/>
    <w:qFormat/>
    <w:rsid w:val="00EF7178"/>
    <w:pPr>
      <w:keepNext/>
      <w:outlineLvl w:val="0"/>
    </w:pPr>
    <w:rPr>
      <w:b/>
      <w:bCs/>
      <w:sz w:val="24"/>
      <w:szCs w:val="24"/>
    </w:rPr>
  </w:style>
  <w:style w:type="paragraph" w:styleId="2">
    <w:name w:val="heading 2"/>
    <w:basedOn w:val="a0"/>
    <w:next w:val="a0"/>
    <w:link w:val="20"/>
    <w:qFormat/>
    <w:rsid w:val="00EF7178"/>
    <w:pPr>
      <w:keepNext/>
      <w:jc w:val="both"/>
      <w:outlineLvl w:val="1"/>
    </w:pPr>
    <w:rPr>
      <w:sz w:val="24"/>
      <w:szCs w:val="24"/>
    </w:rPr>
  </w:style>
  <w:style w:type="paragraph" w:styleId="3">
    <w:name w:val="heading 3"/>
    <w:basedOn w:val="a0"/>
    <w:next w:val="a0"/>
    <w:link w:val="30"/>
    <w:qFormat/>
    <w:rsid w:val="00EF7178"/>
    <w:pPr>
      <w:keepNext/>
      <w:spacing w:before="120"/>
      <w:jc w:val="both"/>
      <w:outlineLvl w:val="2"/>
    </w:pPr>
    <w:rPr>
      <w:b/>
      <w:bCs/>
      <w:sz w:val="24"/>
      <w:szCs w:val="24"/>
    </w:rPr>
  </w:style>
  <w:style w:type="paragraph" w:styleId="4">
    <w:name w:val="heading 4"/>
    <w:basedOn w:val="a0"/>
    <w:next w:val="a0"/>
    <w:link w:val="40"/>
    <w:qFormat/>
    <w:rsid w:val="00EF7178"/>
    <w:pPr>
      <w:keepNext/>
      <w:spacing w:before="120"/>
      <w:ind w:firstLine="708"/>
      <w:jc w:val="both"/>
      <w:outlineLvl w:val="3"/>
    </w:pPr>
    <w:rPr>
      <w:sz w:val="24"/>
      <w:szCs w:val="24"/>
    </w:rPr>
  </w:style>
  <w:style w:type="paragraph" w:styleId="5">
    <w:name w:val="heading 5"/>
    <w:basedOn w:val="a0"/>
    <w:next w:val="a0"/>
    <w:link w:val="50"/>
    <w:qFormat/>
    <w:rsid w:val="00ED29CA"/>
    <w:pPr>
      <w:spacing w:before="240" w:after="60"/>
      <w:outlineLvl w:val="4"/>
    </w:pPr>
    <w:rPr>
      <w:b/>
      <w:bCs/>
      <w:i/>
      <w:iCs/>
    </w:rPr>
  </w:style>
  <w:style w:type="paragraph" w:styleId="6">
    <w:name w:val="heading 6"/>
    <w:basedOn w:val="a0"/>
    <w:next w:val="a0"/>
    <w:link w:val="60"/>
    <w:qFormat/>
    <w:rsid w:val="00ED29CA"/>
    <w:pPr>
      <w:spacing w:before="240" w:after="60"/>
      <w:outlineLvl w:val="5"/>
    </w:pPr>
    <w:rPr>
      <w:b/>
      <w:bCs/>
      <w:sz w:val="22"/>
      <w:szCs w:val="22"/>
    </w:rPr>
  </w:style>
  <w:style w:type="paragraph" w:styleId="7">
    <w:name w:val="heading 7"/>
    <w:basedOn w:val="a0"/>
    <w:next w:val="a0"/>
    <w:link w:val="70"/>
    <w:qFormat/>
    <w:rsid w:val="00ED29CA"/>
    <w:pPr>
      <w:spacing w:before="240" w:after="60"/>
      <w:outlineLvl w:val="6"/>
    </w:pPr>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7F29F7"/>
    <w:rPr>
      <w:b/>
      <w:bCs/>
      <w:sz w:val="24"/>
      <w:szCs w:val="24"/>
    </w:rPr>
  </w:style>
  <w:style w:type="character" w:customStyle="1" w:styleId="20">
    <w:name w:val="Заголовок 2 Знак"/>
    <w:basedOn w:val="a1"/>
    <w:link w:val="2"/>
    <w:rsid w:val="00C64248"/>
    <w:rPr>
      <w:sz w:val="24"/>
      <w:szCs w:val="24"/>
    </w:rPr>
  </w:style>
  <w:style w:type="character" w:customStyle="1" w:styleId="30">
    <w:name w:val="Заголовок 3 Знак"/>
    <w:basedOn w:val="a1"/>
    <w:link w:val="3"/>
    <w:rsid w:val="006A5323"/>
    <w:rPr>
      <w:b/>
      <w:bCs/>
      <w:sz w:val="24"/>
      <w:szCs w:val="24"/>
    </w:rPr>
  </w:style>
  <w:style w:type="paragraph" w:styleId="a4">
    <w:name w:val="footer"/>
    <w:basedOn w:val="a0"/>
    <w:link w:val="a5"/>
    <w:rsid w:val="00387453"/>
    <w:pPr>
      <w:tabs>
        <w:tab w:val="center" w:pos="4677"/>
        <w:tab w:val="right" w:pos="9355"/>
      </w:tabs>
    </w:pPr>
  </w:style>
  <w:style w:type="character" w:styleId="a6">
    <w:name w:val="page number"/>
    <w:basedOn w:val="a1"/>
    <w:rsid w:val="00387453"/>
  </w:style>
  <w:style w:type="paragraph" w:styleId="a7">
    <w:name w:val="header"/>
    <w:aliases w:val="ВерхКолонтитул Знак,Верхний колонтитул Знак Знак,ВерхКолонтитул"/>
    <w:basedOn w:val="a0"/>
    <w:link w:val="a8"/>
    <w:rsid w:val="00387453"/>
    <w:pPr>
      <w:tabs>
        <w:tab w:val="center" w:pos="4677"/>
        <w:tab w:val="right" w:pos="9355"/>
      </w:tabs>
    </w:pPr>
  </w:style>
  <w:style w:type="character" w:customStyle="1" w:styleId="a8">
    <w:name w:val="Верхний колонтитул Знак"/>
    <w:aliases w:val="ВерхКолонтитул Знак Знак,Верхний колонтитул Знак Знак Знак,ВерхКолонтитул Знак1"/>
    <w:basedOn w:val="a1"/>
    <w:link w:val="a7"/>
    <w:rsid w:val="00490A50"/>
    <w:rPr>
      <w:sz w:val="26"/>
      <w:szCs w:val="26"/>
    </w:rPr>
  </w:style>
  <w:style w:type="table" w:styleId="a9">
    <w:name w:val="Table Grid"/>
    <w:basedOn w:val="a2"/>
    <w:uiPriority w:val="59"/>
    <w:rsid w:val="00166A1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ED3778"/>
    <w:pPr>
      <w:widowControl w:val="0"/>
      <w:autoSpaceDE w:val="0"/>
      <w:autoSpaceDN w:val="0"/>
      <w:adjustRightInd w:val="0"/>
    </w:pPr>
    <w:rPr>
      <w:rFonts w:ascii="Arial" w:hAnsi="Arial" w:cs="Arial"/>
      <w:b/>
      <w:bCs/>
      <w:sz w:val="16"/>
      <w:szCs w:val="16"/>
    </w:rPr>
  </w:style>
  <w:style w:type="character" w:styleId="aa">
    <w:name w:val="Hyperlink"/>
    <w:basedOn w:val="a1"/>
    <w:uiPriority w:val="99"/>
    <w:rsid w:val="00B670BF"/>
    <w:rPr>
      <w:color w:val="0000FF"/>
      <w:u w:val="single"/>
    </w:rPr>
  </w:style>
  <w:style w:type="paragraph" w:customStyle="1" w:styleId="12pt0">
    <w:name w:val="Стиль 12 pt полужирный по центру Междустр.интервал:  множитель 0..."/>
    <w:basedOn w:val="a0"/>
    <w:rsid w:val="00F65102"/>
    <w:pPr>
      <w:spacing w:line="192" w:lineRule="auto"/>
      <w:jc w:val="center"/>
    </w:pPr>
    <w:rPr>
      <w:b/>
      <w:bCs/>
      <w:sz w:val="24"/>
      <w:szCs w:val="20"/>
    </w:rPr>
  </w:style>
  <w:style w:type="paragraph" w:styleId="ab">
    <w:name w:val="Body Text"/>
    <w:basedOn w:val="a0"/>
    <w:link w:val="ac"/>
    <w:rsid w:val="00EF7178"/>
    <w:pPr>
      <w:spacing w:after="120"/>
      <w:jc w:val="both"/>
    </w:pPr>
    <w:rPr>
      <w:sz w:val="24"/>
      <w:szCs w:val="24"/>
    </w:rPr>
  </w:style>
  <w:style w:type="paragraph" w:styleId="ad">
    <w:name w:val="Body Text Indent"/>
    <w:basedOn w:val="a0"/>
    <w:link w:val="ae"/>
    <w:rsid w:val="00EF7178"/>
    <w:pPr>
      <w:spacing w:before="120"/>
      <w:ind w:firstLine="709"/>
      <w:jc w:val="both"/>
    </w:pPr>
    <w:rPr>
      <w:sz w:val="24"/>
      <w:szCs w:val="24"/>
    </w:rPr>
  </w:style>
  <w:style w:type="paragraph" w:styleId="21">
    <w:name w:val="Body Text Indent 2"/>
    <w:basedOn w:val="a0"/>
    <w:link w:val="22"/>
    <w:rsid w:val="00EF7178"/>
    <w:pPr>
      <w:spacing w:before="120"/>
      <w:ind w:firstLine="708"/>
      <w:jc w:val="both"/>
    </w:pPr>
    <w:rPr>
      <w:sz w:val="24"/>
      <w:szCs w:val="24"/>
    </w:rPr>
  </w:style>
  <w:style w:type="paragraph" w:styleId="31">
    <w:name w:val="Body Text Indent 3"/>
    <w:basedOn w:val="a0"/>
    <w:link w:val="32"/>
    <w:rsid w:val="00EF7178"/>
    <w:pPr>
      <w:spacing w:before="120" w:after="120"/>
      <w:ind w:firstLine="708"/>
    </w:pPr>
    <w:rPr>
      <w:sz w:val="24"/>
      <w:szCs w:val="24"/>
    </w:rPr>
  </w:style>
  <w:style w:type="paragraph" w:styleId="af">
    <w:name w:val="caption"/>
    <w:basedOn w:val="a0"/>
    <w:next w:val="a0"/>
    <w:qFormat/>
    <w:rsid w:val="00ED29CA"/>
    <w:pPr>
      <w:spacing w:before="120" w:after="120"/>
      <w:ind w:firstLine="708"/>
      <w:jc w:val="both"/>
    </w:pPr>
    <w:rPr>
      <w:b/>
      <w:bCs/>
      <w:i/>
      <w:iCs/>
      <w:sz w:val="24"/>
      <w:szCs w:val="24"/>
    </w:rPr>
  </w:style>
  <w:style w:type="paragraph" w:styleId="33">
    <w:name w:val="Body Text 3"/>
    <w:basedOn w:val="a0"/>
    <w:link w:val="34"/>
    <w:rsid w:val="00181DA7"/>
    <w:pPr>
      <w:spacing w:after="120"/>
    </w:pPr>
    <w:rPr>
      <w:sz w:val="16"/>
      <w:szCs w:val="16"/>
    </w:rPr>
  </w:style>
  <w:style w:type="paragraph" w:customStyle="1" w:styleId="210">
    <w:name w:val="Îñíîâíîé òåêñò 21"/>
    <w:basedOn w:val="a0"/>
    <w:rsid w:val="00181DA7"/>
    <w:pPr>
      <w:jc w:val="both"/>
    </w:pPr>
    <w:rPr>
      <w:sz w:val="24"/>
      <w:szCs w:val="20"/>
    </w:rPr>
  </w:style>
  <w:style w:type="paragraph" w:styleId="af0">
    <w:name w:val="Normal (Web)"/>
    <w:basedOn w:val="a0"/>
    <w:link w:val="af1"/>
    <w:uiPriority w:val="99"/>
    <w:rsid w:val="00066ECD"/>
    <w:pPr>
      <w:spacing w:before="100" w:beforeAutospacing="1" w:after="100" w:afterAutospacing="1"/>
    </w:pPr>
    <w:rPr>
      <w:color w:val="000000"/>
      <w:sz w:val="24"/>
      <w:szCs w:val="24"/>
    </w:rPr>
  </w:style>
  <w:style w:type="character" w:styleId="af2">
    <w:name w:val="Strong"/>
    <w:basedOn w:val="a1"/>
    <w:uiPriority w:val="22"/>
    <w:qFormat/>
    <w:rsid w:val="00066ECD"/>
    <w:rPr>
      <w:b/>
      <w:bCs/>
    </w:rPr>
  </w:style>
  <w:style w:type="paragraph" w:customStyle="1" w:styleId="ConsNormal">
    <w:name w:val="ConsNormal"/>
    <w:rsid w:val="009E3207"/>
    <w:pPr>
      <w:widowControl w:val="0"/>
      <w:autoSpaceDE w:val="0"/>
      <w:autoSpaceDN w:val="0"/>
      <w:adjustRightInd w:val="0"/>
      <w:ind w:firstLine="720"/>
    </w:pPr>
    <w:rPr>
      <w:rFonts w:ascii="Arial" w:hAnsi="Arial" w:cs="Arial"/>
    </w:rPr>
  </w:style>
  <w:style w:type="paragraph" w:styleId="af3">
    <w:name w:val="Balloon Text"/>
    <w:basedOn w:val="a0"/>
    <w:link w:val="af4"/>
    <w:semiHidden/>
    <w:rsid w:val="00662947"/>
    <w:rPr>
      <w:rFonts w:ascii="Tahoma" w:hAnsi="Tahoma" w:cs="Tahoma"/>
      <w:sz w:val="16"/>
      <w:szCs w:val="16"/>
    </w:rPr>
  </w:style>
  <w:style w:type="paragraph" w:styleId="11">
    <w:name w:val="toc 1"/>
    <w:basedOn w:val="a0"/>
    <w:next w:val="a0"/>
    <w:autoRedefine/>
    <w:uiPriority w:val="39"/>
    <w:rsid w:val="003B79F1"/>
    <w:pPr>
      <w:tabs>
        <w:tab w:val="right" w:leader="dot" w:pos="10490"/>
      </w:tabs>
      <w:spacing w:beforeLines="60" w:afterLines="60"/>
    </w:pPr>
    <w:rPr>
      <w:rFonts w:ascii="Bookman Old Style" w:hAnsi="Bookman Old Style"/>
      <w:noProof/>
      <w:sz w:val="20"/>
      <w:szCs w:val="20"/>
    </w:rPr>
  </w:style>
  <w:style w:type="paragraph" w:styleId="35">
    <w:name w:val="toc 3"/>
    <w:basedOn w:val="a0"/>
    <w:next w:val="a0"/>
    <w:autoRedefine/>
    <w:uiPriority w:val="39"/>
    <w:rsid w:val="007A27FB"/>
    <w:pPr>
      <w:tabs>
        <w:tab w:val="right" w:leader="dot" w:pos="10206"/>
      </w:tabs>
      <w:spacing w:before="80" w:after="80"/>
    </w:pPr>
  </w:style>
  <w:style w:type="paragraph" w:styleId="23">
    <w:name w:val="List 2"/>
    <w:basedOn w:val="a0"/>
    <w:uiPriority w:val="99"/>
    <w:rsid w:val="008D6F23"/>
    <w:pPr>
      <w:ind w:left="566" w:hanging="283"/>
    </w:pPr>
  </w:style>
  <w:style w:type="paragraph" w:styleId="36">
    <w:name w:val="List 3"/>
    <w:basedOn w:val="a0"/>
    <w:rsid w:val="008D6F23"/>
    <w:pPr>
      <w:ind w:left="849" w:hanging="283"/>
    </w:pPr>
  </w:style>
  <w:style w:type="paragraph" w:styleId="af5">
    <w:name w:val="List Bullet"/>
    <w:basedOn w:val="a0"/>
    <w:rsid w:val="008D6F23"/>
    <w:pPr>
      <w:tabs>
        <w:tab w:val="num" w:pos="360"/>
      </w:tabs>
      <w:ind w:left="360" w:hanging="360"/>
    </w:pPr>
  </w:style>
  <w:style w:type="paragraph" w:styleId="24">
    <w:name w:val="List Bullet 2"/>
    <w:basedOn w:val="a0"/>
    <w:rsid w:val="008D6F23"/>
    <w:pPr>
      <w:tabs>
        <w:tab w:val="num" w:pos="643"/>
      </w:tabs>
      <w:ind w:left="643" w:hanging="360"/>
    </w:pPr>
  </w:style>
  <w:style w:type="paragraph" w:styleId="25">
    <w:name w:val="List Continue 2"/>
    <w:basedOn w:val="a0"/>
    <w:rsid w:val="008D6F23"/>
    <w:pPr>
      <w:spacing w:after="120"/>
      <w:ind w:left="566"/>
    </w:pPr>
  </w:style>
  <w:style w:type="paragraph" w:styleId="af6">
    <w:name w:val="Title"/>
    <w:basedOn w:val="a0"/>
    <w:link w:val="af7"/>
    <w:qFormat/>
    <w:rsid w:val="008D6F23"/>
    <w:pPr>
      <w:spacing w:before="240" w:after="60"/>
      <w:jc w:val="center"/>
      <w:outlineLvl w:val="0"/>
    </w:pPr>
    <w:rPr>
      <w:rFonts w:ascii="Arial" w:hAnsi="Arial" w:cs="Arial"/>
      <w:b/>
      <w:bCs/>
      <w:kern w:val="28"/>
      <w:sz w:val="32"/>
      <w:szCs w:val="32"/>
    </w:rPr>
  </w:style>
  <w:style w:type="paragraph" w:styleId="af8">
    <w:name w:val="Subtitle"/>
    <w:basedOn w:val="a0"/>
    <w:link w:val="af9"/>
    <w:uiPriority w:val="11"/>
    <w:qFormat/>
    <w:rsid w:val="008D6F23"/>
    <w:pPr>
      <w:spacing w:after="60"/>
      <w:jc w:val="center"/>
      <w:outlineLvl w:val="1"/>
    </w:pPr>
    <w:rPr>
      <w:rFonts w:ascii="Arial" w:hAnsi="Arial" w:cs="Arial"/>
      <w:sz w:val="24"/>
      <w:szCs w:val="24"/>
    </w:rPr>
  </w:style>
  <w:style w:type="paragraph" w:styleId="afa">
    <w:name w:val="Body Text First Indent"/>
    <w:basedOn w:val="ab"/>
    <w:link w:val="afb"/>
    <w:rsid w:val="008D6F23"/>
    <w:pPr>
      <w:ind w:firstLine="210"/>
      <w:jc w:val="left"/>
    </w:pPr>
    <w:rPr>
      <w:sz w:val="26"/>
      <w:szCs w:val="26"/>
    </w:rPr>
  </w:style>
  <w:style w:type="paragraph" w:styleId="26">
    <w:name w:val="Body Text First Indent 2"/>
    <w:basedOn w:val="ad"/>
    <w:link w:val="27"/>
    <w:rsid w:val="008D6F23"/>
    <w:pPr>
      <w:spacing w:before="0" w:after="120"/>
      <w:ind w:left="283" w:firstLine="210"/>
      <w:jc w:val="left"/>
    </w:pPr>
    <w:rPr>
      <w:sz w:val="26"/>
      <w:szCs w:val="26"/>
    </w:rPr>
  </w:style>
  <w:style w:type="paragraph" w:customStyle="1" w:styleId="ConsCell">
    <w:name w:val="ConsCell"/>
    <w:rsid w:val="00762B9B"/>
    <w:pPr>
      <w:widowControl w:val="0"/>
      <w:autoSpaceDE w:val="0"/>
      <w:autoSpaceDN w:val="0"/>
      <w:adjustRightInd w:val="0"/>
    </w:pPr>
    <w:rPr>
      <w:rFonts w:ascii="Arial" w:hAnsi="Arial" w:cs="Arial"/>
    </w:rPr>
  </w:style>
  <w:style w:type="paragraph" w:styleId="afc">
    <w:name w:val="Document Map"/>
    <w:basedOn w:val="a0"/>
    <w:link w:val="afd"/>
    <w:semiHidden/>
    <w:rsid w:val="00435F37"/>
    <w:pPr>
      <w:shd w:val="clear" w:color="auto" w:fill="000080"/>
    </w:pPr>
    <w:rPr>
      <w:rFonts w:ascii="Tahoma" w:hAnsi="Tahoma" w:cs="Tahoma"/>
      <w:sz w:val="20"/>
      <w:szCs w:val="20"/>
    </w:rPr>
  </w:style>
  <w:style w:type="paragraph" w:styleId="28">
    <w:name w:val="toc 2"/>
    <w:basedOn w:val="a0"/>
    <w:next w:val="a0"/>
    <w:autoRedefine/>
    <w:uiPriority w:val="39"/>
    <w:rsid w:val="001434FD"/>
    <w:pPr>
      <w:tabs>
        <w:tab w:val="right" w:leader="dot" w:pos="10479"/>
      </w:tabs>
      <w:spacing w:before="120" w:after="120"/>
      <w:ind w:left="261"/>
    </w:pPr>
    <w:rPr>
      <w:rFonts w:ascii="Bookman Old Style" w:hAnsi="Bookman Old Style"/>
      <w:noProof/>
      <w:sz w:val="20"/>
      <w:szCs w:val="20"/>
    </w:rPr>
  </w:style>
  <w:style w:type="paragraph" w:customStyle="1" w:styleId="ConsNonformat">
    <w:name w:val="ConsNonformat"/>
    <w:rsid w:val="0089586A"/>
    <w:pPr>
      <w:widowControl w:val="0"/>
      <w:autoSpaceDE w:val="0"/>
      <w:autoSpaceDN w:val="0"/>
      <w:adjustRightInd w:val="0"/>
    </w:pPr>
    <w:rPr>
      <w:rFonts w:ascii="Courier New" w:hAnsi="Courier New" w:cs="Courier New"/>
    </w:rPr>
  </w:style>
  <w:style w:type="paragraph" w:styleId="afe">
    <w:name w:val="footnote text"/>
    <w:aliases w:val="Текст сноски Знак Знак,Текст сноски Знак1 Знак,Текст сноски Знак Знак1 Знак,Table_Footnote_last,Текст сноски Знак Знак Знак Знак Знак Знак Знак,Текст сноски Знак Знак Знак Знак Знак Знак Знак Знак,Текст примечания Знак Знак Знак,Зна,Знак1,З"/>
    <w:basedOn w:val="a0"/>
    <w:link w:val="aff"/>
    <w:uiPriority w:val="99"/>
    <w:rsid w:val="003408B0"/>
    <w:rPr>
      <w:sz w:val="20"/>
      <w:szCs w:val="20"/>
    </w:rPr>
  </w:style>
  <w:style w:type="character" w:customStyle="1" w:styleId="aff">
    <w:name w:val="Текст сноски Знак"/>
    <w:aliases w:val="Текст сноски Знак Знак Знак,Текст сноски Знак1 Знак Знак,Текст сноски Знак Знак1 Знак Знак,Table_Footnote_last Знак,Текст сноски Знак Знак Знак Знак Знак Знак Знак Знак1,Текст сноски Знак Знак Знак Знак Знак Знак Знак Знак Знак,З Знак"/>
    <w:basedOn w:val="a1"/>
    <w:link w:val="afe"/>
    <w:uiPriority w:val="99"/>
    <w:rsid w:val="00EB07A6"/>
  </w:style>
  <w:style w:type="character" w:styleId="aff0">
    <w:name w:val="footnote reference"/>
    <w:aliases w:val="Знак сноски 1,Знак сноски-FN,ftref,сноска,вески,Ciae niinee-FN,Referencia nota al pie,СНОСКА,сноска1,fr,Used by Word for Help footnote symbols,ХИА_ЗС,Знак сноски1,SUPERS,Avg - Знак сноски,Avg,ООО Знак сноски,avg-Знак сноски"/>
    <w:basedOn w:val="a1"/>
    <w:qFormat/>
    <w:rsid w:val="003408B0"/>
    <w:rPr>
      <w:vertAlign w:val="superscript"/>
    </w:rPr>
  </w:style>
  <w:style w:type="paragraph" w:customStyle="1" w:styleId="ConsPlusNormal">
    <w:name w:val="ConsPlusNormal"/>
    <w:rsid w:val="00380BAF"/>
    <w:pPr>
      <w:widowControl w:val="0"/>
      <w:autoSpaceDE w:val="0"/>
      <w:autoSpaceDN w:val="0"/>
      <w:adjustRightInd w:val="0"/>
      <w:ind w:firstLine="720"/>
    </w:pPr>
    <w:rPr>
      <w:rFonts w:ascii="Arial" w:hAnsi="Arial" w:cs="Arial"/>
    </w:rPr>
  </w:style>
  <w:style w:type="paragraph" w:customStyle="1" w:styleId="ConsPlusTitle">
    <w:name w:val="ConsPlusTitle"/>
    <w:rsid w:val="001C655C"/>
    <w:pPr>
      <w:widowControl w:val="0"/>
      <w:autoSpaceDE w:val="0"/>
      <w:autoSpaceDN w:val="0"/>
      <w:adjustRightInd w:val="0"/>
    </w:pPr>
    <w:rPr>
      <w:rFonts w:ascii="Arial" w:hAnsi="Arial" w:cs="Arial"/>
      <w:b/>
      <w:bCs/>
    </w:rPr>
  </w:style>
  <w:style w:type="character" w:styleId="aff1">
    <w:name w:val="Emphasis"/>
    <w:basedOn w:val="a1"/>
    <w:uiPriority w:val="20"/>
    <w:qFormat/>
    <w:rsid w:val="00392C78"/>
    <w:rPr>
      <w:i/>
      <w:iCs/>
    </w:rPr>
  </w:style>
  <w:style w:type="paragraph" w:customStyle="1" w:styleId="just">
    <w:name w:val="just"/>
    <w:basedOn w:val="a0"/>
    <w:rsid w:val="00293D86"/>
    <w:pPr>
      <w:spacing w:before="100" w:beforeAutospacing="1" w:after="100" w:afterAutospacing="1"/>
    </w:pPr>
    <w:rPr>
      <w:sz w:val="24"/>
      <w:szCs w:val="24"/>
    </w:rPr>
  </w:style>
  <w:style w:type="paragraph" w:customStyle="1" w:styleId="pcss">
    <w:name w:val="pcss"/>
    <w:basedOn w:val="a0"/>
    <w:rsid w:val="005E670E"/>
    <w:pPr>
      <w:spacing w:before="100" w:beforeAutospacing="1" w:after="100" w:afterAutospacing="1"/>
      <w:ind w:firstLine="720"/>
    </w:pPr>
    <w:rPr>
      <w:rFonts w:ascii="Verdana" w:hAnsi="Verdana"/>
      <w:sz w:val="18"/>
      <w:szCs w:val="18"/>
    </w:rPr>
  </w:style>
  <w:style w:type="paragraph" w:styleId="aff2">
    <w:name w:val="List Paragraph"/>
    <w:aliases w:val="Абзац списка основной"/>
    <w:basedOn w:val="a0"/>
    <w:link w:val="aff3"/>
    <w:uiPriority w:val="34"/>
    <w:qFormat/>
    <w:rsid w:val="00AC72C1"/>
    <w:pPr>
      <w:ind w:left="720"/>
      <w:contextualSpacing/>
    </w:pPr>
  </w:style>
  <w:style w:type="paragraph" w:styleId="aff4">
    <w:name w:val="Revision"/>
    <w:hidden/>
    <w:uiPriority w:val="99"/>
    <w:semiHidden/>
    <w:rsid w:val="007342E0"/>
    <w:rPr>
      <w:sz w:val="26"/>
      <w:szCs w:val="26"/>
    </w:rPr>
  </w:style>
  <w:style w:type="paragraph" w:styleId="a">
    <w:name w:val="Plain Text"/>
    <w:basedOn w:val="a0"/>
    <w:link w:val="aff5"/>
    <w:autoRedefine/>
    <w:rsid w:val="00F94C1B"/>
    <w:pPr>
      <w:widowControl w:val="0"/>
      <w:numPr>
        <w:numId w:val="9"/>
      </w:numPr>
      <w:autoSpaceDE w:val="0"/>
      <w:autoSpaceDN w:val="0"/>
      <w:adjustRightInd w:val="0"/>
      <w:spacing w:before="120" w:after="120"/>
    </w:pPr>
    <w:rPr>
      <w:rFonts w:ascii="Bookman Old Style" w:hAnsi="Bookman Old Style"/>
      <w:sz w:val="20"/>
      <w:szCs w:val="20"/>
    </w:rPr>
  </w:style>
  <w:style w:type="character" w:customStyle="1" w:styleId="aff5">
    <w:name w:val="Текст Знак"/>
    <w:basedOn w:val="a1"/>
    <w:link w:val="a"/>
    <w:rsid w:val="00F94C1B"/>
    <w:rPr>
      <w:rFonts w:ascii="Bookman Old Style" w:hAnsi="Bookman Old Style"/>
    </w:rPr>
  </w:style>
  <w:style w:type="character" w:styleId="aff6">
    <w:name w:val="Placeholder Text"/>
    <w:basedOn w:val="a1"/>
    <w:uiPriority w:val="99"/>
    <w:semiHidden/>
    <w:rsid w:val="009D676E"/>
    <w:rPr>
      <w:color w:val="808080"/>
    </w:rPr>
  </w:style>
  <w:style w:type="paragraph" w:customStyle="1" w:styleId="ConsPlusNonformat">
    <w:name w:val="ConsPlusNonformat"/>
    <w:rsid w:val="00ED600A"/>
    <w:pPr>
      <w:widowControl w:val="0"/>
      <w:autoSpaceDE w:val="0"/>
      <w:autoSpaceDN w:val="0"/>
      <w:adjustRightInd w:val="0"/>
    </w:pPr>
    <w:rPr>
      <w:rFonts w:ascii="Courier New" w:hAnsi="Courier New" w:cs="Courier New"/>
    </w:rPr>
  </w:style>
  <w:style w:type="paragraph" w:customStyle="1" w:styleId="text">
    <w:name w:val="text"/>
    <w:basedOn w:val="a0"/>
    <w:rsid w:val="002C0BA7"/>
    <w:pPr>
      <w:spacing w:before="100" w:beforeAutospacing="1" w:after="100" w:afterAutospacing="1"/>
    </w:pPr>
    <w:rPr>
      <w:sz w:val="24"/>
      <w:szCs w:val="24"/>
    </w:rPr>
  </w:style>
  <w:style w:type="paragraph" w:customStyle="1" w:styleId="u">
    <w:name w:val="u"/>
    <w:basedOn w:val="a0"/>
    <w:rsid w:val="00E746DF"/>
    <w:pPr>
      <w:ind w:firstLine="390"/>
      <w:jc w:val="both"/>
    </w:pPr>
    <w:rPr>
      <w:sz w:val="24"/>
      <w:szCs w:val="24"/>
    </w:rPr>
  </w:style>
  <w:style w:type="character" w:styleId="HTML">
    <w:name w:val="HTML Cite"/>
    <w:basedOn w:val="a1"/>
    <w:uiPriority w:val="99"/>
    <w:unhideWhenUsed/>
    <w:rsid w:val="00EE1A35"/>
    <w:rPr>
      <w:i/>
      <w:iCs/>
    </w:rPr>
  </w:style>
  <w:style w:type="character" w:customStyle="1" w:styleId="small">
    <w:name w:val="small"/>
    <w:basedOn w:val="a1"/>
    <w:rsid w:val="00F544B5"/>
  </w:style>
  <w:style w:type="character" w:customStyle="1" w:styleId="char1">
    <w:name w:val="char1"/>
    <w:basedOn w:val="a1"/>
    <w:rsid w:val="00F544B5"/>
    <w:rPr>
      <w:rFonts w:ascii="Tahoma" w:hAnsi="Tahoma" w:cs="Tahoma" w:hint="default"/>
      <w:color w:val="1167AC"/>
    </w:rPr>
  </w:style>
  <w:style w:type="paragraph" w:styleId="aff7">
    <w:name w:val="No Spacing"/>
    <w:link w:val="aff8"/>
    <w:uiPriority w:val="1"/>
    <w:qFormat/>
    <w:rsid w:val="00EC349D"/>
    <w:rPr>
      <w:rFonts w:ascii="Calibri" w:hAnsi="Calibri"/>
      <w:sz w:val="22"/>
      <w:szCs w:val="22"/>
      <w:lang w:eastAsia="en-US"/>
    </w:rPr>
  </w:style>
  <w:style w:type="character" w:customStyle="1" w:styleId="aff8">
    <w:name w:val="Без интервала Знак"/>
    <w:link w:val="aff7"/>
    <w:uiPriority w:val="1"/>
    <w:rsid w:val="00EC349D"/>
    <w:rPr>
      <w:rFonts w:ascii="Calibri" w:hAnsi="Calibri"/>
      <w:sz w:val="22"/>
      <w:szCs w:val="22"/>
      <w:lang w:eastAsia="en-US"/>
    </w:rPr>
  </w:style>
  <w:style w:type="character" w:styleId="aff9">
    <w:name w:val="FollowedHyperlink"/>
    <w:basedOn w:val="a1"/>
    <w:uiPriority w:val="99"/>
    <w:rsid w:val="00F64584"/>
    <w:rPr>
      <w:color w:val="800080" w:themeColor="followedHyperlink"/>
      <w:u w:val="single"/>
    </w:rPr>
  </w:style>
  <w:style w:type="numbering" w:customStyle="1" w:styleId="12">
    <w:name w:val="Нет списка1"/>
    <w:next w:val="a3"/>
    <w:uiPriority w:val="99"/>
    <w:semiHidden/>
    <w:unhideWhenUsed/>
    <w:rsid w:val="00E44FED"/>
  </w:style>
  <w:style w:type="character" w:customStyle="1" w:styleId="40">
    <w:name w:val="Заголовок 4 Знак"/>
    <w:basedOn w:val="a1"/>
    <w:link w:val="4"/>
    <w:rsid w:val="00E44FED"/>
    <w:rPr>
      <w:sz w:val="24"/>
      <w:szCs w:val="24"/>
    </w:rPr>
  </w:style>
  <w:style w:type="character" w:customStyle="1" w:styleId="50">
    <w:name w:val="Заголовок 5 Знак"/>
    <w:basedOn w:val="a1"/>
    <w:link w:val="5"/>
    <w:rsid w:val="00E44FED"/>
    <w:rPr>
      <w:b/>
      <w:bCs/>
      <w:i/>
      <w:iCs/>
      <w:sz w:val="26"/>
      <w:szCs w:val="26"/>
    </w:rPr>
  </w:style>
  <w:style w:type="character" w:customStyle="1" w:styleId="60">
    <w:name w:val="Заголовок 6 Знак"/>
    <w:basedOn w:val="a1"/>
    <w:link w:val="6"/>
    <w:rsid w:val="00E44FED"/>
    <w:rPr>
      <w:b/>
      <w:bCs/>
      <w:sz w:val="22"/>
      <w:szCs w:val="22"/>
    </w:rPr>
  </w:style>
  <w:style w:type="character" w:customStyle="1" w:styleId="70">
    <w:name w:val="Заголовок 7 Знак"/>
    <w:basedOn w:val="a1"/>
    <w:link w:val="7"/>
    <w:rsid w:val="00E44FED"/>
    <w:rPr>
      <w:sz w:val="24"/>
      <w:szCs w:val="24"/>
    </w:rPr>
  </w:style>
  <w:style w:type="character" w:customStyle="1" w:styleId="a5">
    <w:name w:val="Нижний колонтитул Знак"/>
    <w:basedOn w:val="a1"/>
    <w:link w:val="a4"/>
    <w:rsid w:val="00E44FED"/>
    <w:rPr>
      <w:sz w:val="26"/>
      <w:szCs w:val="26"/>
    </w:rPr>
  </w:style>
  <w:style w:type="table" w:customStyle="1" w:styleId="13">
    <w:name w:val="Сетка таблицы1"/>
    <w:basedOn w:val="a2"/>
    <w:next w:val="a9"/>
    <w:rsid w:val="00E44F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c">
    <w:name w:val="Основной текст Знак"/>
    <w:basedOn w:val="a1"/>
    <w:link w:val="ab"/>
    <w:rsid w:val="00E44FED"/>
    <w:rPr>
      <w:sz w:val="24"/>
      <w:szCs w:val="24"/>
    </w:rPr>
  </w:style>
  <w:style w:type="character" w:customStyle="1" w:styleId="ae">
    <w:name w:val="Основной текст с отступом Знак"/>
    <w:basedOn w:val="a1"/>
    <w:link w:val="ad"/>
    <w:rsid w:val="00E44FED"/>
    <w:rPr>
      <w:sz w:val="24"/>
      <w:szCs w:val="24"/>
    </w:rPr>
  </w:style>
  <w:style w:type="character" w:customStyle="1" w:styleId="22">
    <w:name w:val="Основной текст с отступом 2 Знак"/>
    <w:basedOn w:val="a1"/>
    <w:link w:val="21"/>
    <w:rsid w:val="00E44FED"/>
    <w:rPr>
      <w:sz w:val="24"/>
      <w:szCs w:val="24"/>
    </w:rPr>
  </w:style>
  <w:style w:type="character" w:customStyle="1" w:styleId="32">
    <w:name w:val="Основной текст с отступом 3 Знак"/>
    <w:basedOn w:val="a1"/>
    <w:link w:val="31"/>
    <w:rsid w:val="00E44FED"/>
    <w:rPr>
      <w:sz w:val="24"/>
      <w:szCs w:val="24"/>
    </w:rPr>
  </w:style>
  <w:style w:type="character" w:customStyle="1" w:styleId="34">
    <w:name w:val="Основной текст 3 Знак"/>
    <w:basedOn w:val="a1"/>
    <w:link w:val="33"/>
    <w:rsid w:val="00E44FED"/>
    <w:rPr>
      <w:sz w:val="16"/>
      <w:szCs w:val="16"/>
    </w:rPr>
  </w:style>
  <w:style w:type="character" w:customStyle="1" w:styleId="af4">
    <w:name w:val="Текст выноски Знак"/>
    <w:basedOn w:val="a1"/>
    <w:link w:val="af3"/>
    <w:uiPriority w:val="99"/>
    <w:semiHidden/>
    <w:rsid w:val="00E44FED"/>
    <w:rPr>
      <w:rFonts w:ascii="Tahoma" w:hAnsi="Tahoma" w:cs="Tahoma"/>
      <w:sz w:val="16"/>
      <w:szCs w:val="16"/>
    </w:rPr>
  </w:style>
  <w:style w:type="character" w:customStyle="1" w:styleId="af7">
    <w:name w:val="Название Знак"/>
    <w:basedOn w:val="a1"/>
    <w:link w:val="af6"/>
    <w:rsid w:val="00E44FED"/>
    <w:rPr>
      <w:rFonts w:ascii="Arial" w:hAnsi="Arial" w:cs="Arial"/>
      <w:b/>
      <w:bCs/>
      <w:kern w:val="28"/>
      <w:sz w:val="32"/>
      <w:szCs w:val="32"/>
    </w:rPr>
  </w:style>
  <w:style w:type="character" w:customStyle="1" w:styleId="af9">
    <w:name w:val="Подзаголовок Знак"/>
    <w:basedOn w:val="a1"/>
    <w:link w:val="af8"/>
    <w:uiPriority w:val="11"/>
    <w:rsid w:val="00E44FED"/>
    <w:rPr>
      <w:rFonts w:ascii="Arial" w:hAnsi="Arial" w:cs="Arial"/>
      <w:sz w:val="24"/>
      <w:szCs w:val="24"/>
    </w:rPr>
  </w:style>
  <w:style w:type="character" w:customStyle="1" w:styleId="afb">
    <w:name w:val="Красная строка Знак"/>
    <w:basedOn w:val="ac"/>
    <w:link w:val="afa"/>
    <w:rsid w:val="00E44FED"/>
    <w:rPr>
      <w:sz w:val="26"/>
      <w:szCs w:val="26"/>
    </w:rPr>
  </w:style>
  <w:style w:type="character" w:customStyle="1" w:styleId="27">
    <w:name w:val="Красная строка 2 Знак"/>
    <w:basedOn w:val="ae"/>
    <w:link w:val="26"/>
    <w:rsid w:val="00E44FED"/>
    <w:rPr>
      <w:sz w:val="26"/>
      <w:szCs w:val="26"/>
    </w:rPr>
  </w:style>
  <w:style w:type="character" w:customStyle="1" w:styleId="afd">
    <w:name w:val="Схема документа Знак"/>
    <w:basedOn w:val="a1"/>
    <w:link w:val="afc"/>
    <w:semiHidden/>
    <w:rsid w:val="00E44FED"/>
    <w:rPr>
      <w:rFonts w:ascii="Tahoma" w:hAnsi="Tahoma" w:cs="Tahoma"/>
      <w:shd w:val="clear" w:color="auto" w:fill="000080"/>
    </w:rPr>
  </w:style>
  <w:style w:type="numbering" w:customStyle="1" w:styleId="29">
    <w:name w:val="Нет списка2"/>
    <w:next w:val="a3"/>
    <w:uiPriority w:val="99"/>
    <w:semiHidden/>
    <w:unhideWhenUsed/>
    <w:rsid w:val="00DA2ED2"/>
  </w:style>
  <w:style w:type="numbering" w:customStyle="1" w:styleId="37">
    <w:name w:val="Нет списка3"/>
    <w:next w:val="a3"/>
    <w:uiPriority w:val="99"/>
    <w:semiHidden/>
    <w:unhideWhenUsed/>
    <w:rsid w:val="009C11D5"/>
  </w:style>
  <w:style w:type="paragraph" w:customStyle="1" w:styleId="affa">
    <w:name w:val="Таблица текст влево"/>
    <w:basedOn w:val="a0"/>
    <w:rsid w:val="00704057"/>
    <w:rPr>
      <w:rFonts w:ascii="Tahoma" w:hAnsi="Tahoma" w:cs="Tahoma"/>
      <w:spacing w:val="-5"/>
      <w:sz w:val="18"/>
      <w:szCs w:val="24"/>
    </w:rPr>
  </w:style>
  <w:style w:type="paragraph" w:styleId="41">
    <w:name w:val="toc 4"/>
    <w:basedOn w:val="a0"/>
    <w:next w:val="a0"/>
    <w:autoRedefine/>
    <w:uiPriority w:val="39"/>
    <w:unhideWhenUsed/>
    <w:rsid w:val="00453AB8"/>
    <w:pPr>
      <w:spacing w:after="100" w:line="276" w:lineRule="auto"/>
      <w:ind w:left="660"/>
    </w:pPr>
    <w:rPr>
      <w:rFonts w:asciiTheme="minorHAnsi" w:eastAsiaTheme="minorEastAsia" w:hAnsiTheme="minorHAnsi" w:cstheme="minorBidi"/>
      <w:sz w:val="22"/>
      <w:szCs w:val="22"/>
    </w:rPr>
  </w:style>
  <w:style w:type="paragraph" w:styleId="51">
    <w:name w:val="toc 5"/>
    <w:basedOn w:val="a0"/>
    <w:next w:val="a0"/>
    <w:autoRedefine/>
    <w:uiPriority w:val="39"/>
    <w:unhideWhenUsed/>
    <w:rsid w:val="00453AB8"/>
    <w:pPr>
      <w:spacing w:after="100" w:line="276" w:lineRule="auto"/>
      <w:ind w:left="880"/>
    </w:pPr>
    <w:rPr>
      <w:rFonts w:asciiTheme="minorHAnsi" w:eastAsiaTheme="minorEastAsia" w:hAnsiTheme="minorHAnsi" w:cstheme="minorBidi"/>
      <w:sz w:val="22"/>
      <w:szCs w:val="22"/>
    </w:rPr>
  </w:style>
  <w:style w:type="paragraph" w:styleId="61">
    <w:name w:val="toc 6"/>
    <w:basedOn w:val="a0"/>
    <w:next w:val="a0"/>
    <w:autoRedefine/>
    <w:uiPriority w:val="39"/>
    <w:unhideWhenUsed/>
    <w:rsid w:val="00453AB8"/>
    <w:pPr>
      <w:spacing w:after="100" w:line="276" w:lineRule="auto"/>
      <w:ind w:left="1100"/>
    </w:pPr>
    <w:rPr>
      <w:rFonts w:asciiTheme="minorHAnsi" w:eastAsiaTheme="minorEastAsia" w:hAnsiTheme="minorHAnsi" w:cstheme="minorBidi"/>
      <w:sz w:val="22"/>
      <w:szCs w:val="22"/>
    </w:rPr>
  </w:style>
  <w:style w:type="paragraph" w:styleId="71">
    <w:name w:val="toc 7"/>
    <w:basedOn w:val="a0"/>
    <w:next w:val="a0"/>
    <w:autoRedefine/>
    <w:uiPriority w:val="39"/>
    <w:unhideWhenUsed/>
    <w:rsid w:val="00453AB8"/>
    <w:pPr>
      <w:spacing w:after="100" w:line="276" w:lineRule="auto"/>
      <w:ind w:left="1320"/>
    </w:pPr>
    <w:rPr>
      <w:rFonts w:asciiTheme="minorHAnsi" w:eastAsiaTheme="minorEastAsia" w:hAnsiTheme="minorHAnsi" w:cstheme="minorBidi"/>
      <w:sz w:val="22"/>
      <w:szCs w:val="22"/>
    </w:rPr>
  </w:style>
  <w:style w:type="paragraph" w:styleId="8">
    <w:name w:val="toc 8"/>
    <w:basedOn w:val="a0"/>
    <w:next w:val="a0"/>
    <w:autoRedefine/>
    <w:uiPriority w:val="39"/>
    <w:unhideWhenUsed/>
    <w:rsid w:val="00453AB8"/>
    <w:pPr>
      <w:spacing w:after="100" w:line="276" w:lineRule="auto"/>
      <w:ind w:left="1540"/>
    </w:pPr>
    <w:rPr>
      <w:rFonts w:asciiTheme="minorHAnsi" w:eastAsiaTheme="minorEastAsia" w:hAnsiTheme="minorHAnsi" w:cstheme="minorBidi"/>
      <w:sz w:val="22"/>
      <w:szCs w:val="22"/>
    </w:rPr>
  </w:style>
  <w:style w:type="paragraph" w:styleId="9">
    <w:name w:val="toc 9"/>
    <w:basedOn w:val="a0"/>
    <w:next w:val="a0"/>
    <w:autoRedefine/>
    <w:uiPriority w:val="39"/>
    <w:unhideWhenUsed/>
    <w:rsid w:val="00453AB8"/>
    <w:pPr>
      <w:spacing w:after="100" w:line="276" w:lineRule="auto"/>
      <w:ind w:left="1760"/>
    </w:pPr>
    <w:rPr>
      <w:rFonts w:asciiTheme="minorHAnsi" w:eastAsiaTheme="minorEastAsia" w:hAnsiTheme="minorHAnsi" w:cstheme="minorBidi"/>
      <w:sz w:val="22"/>
      <w:szCs w:val="22"/>
    </w:rPr>
  </w:style>
  <w:style w:type="numbering" w:customStyle="1" w:styleId="42">
    <w:name w:val="Нет списка4"/>
    <w:next w:val="a3"/>
    <w:uiPriority w:val="99"/>
    <w:semiHidden/>
    <w:unhideWhenUsed/>
    <w:rsid w:val="00D478C8"/>
  </w:style>
  <w:style w:type="numbering" w:customStyle="1" w:styleId="52">
    <w:name w:val="Нет списка5"/>
    <w:next w:val="a3"/>
    <w:uiPriority w:val="99"/>
    <w:semiHidden/>
    <w:unhideWhenUsed/>
    <w:rsid w:val="00431CC5"/>
  </w:style>
  <w:style w:type="numbering" w:customStyle="1" w:styleId="110">
    <w:name w:val="Нет списка11"/>
    <w:next w:val="a3"/>
    <w:uiPriority w:val="99"/>
    <w:semiHidden/>
    <w:unhideWhenUsed/>
    <w:rsid w:val="00431CC5"/>
  </w:style>
  <w:style w:type="table" w:customStyle="1" w:styleId="2a">
    <w:name w:val="Сетка таблицы2"/>
    <w:basedOn w:val="a2"/>
    <w:next w:val="a9"/>
    <w:uiPriority w:val="59"/>
    <w:rsid w:val="00431CC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
    <w:name w:val="Обычный (веб)1"/>
    <w:basedOn w:val="a0"/>
    <w:rsid w:val="00431CC5"/>
    <w:pPr>
      <w:spacing w:after="360"/>
      <w:jc w:val="both"/>
    </w:pPr>
    <w:rPr>
      <w:rFonts w:ascii="Arial" w:hAnsi="Arial" w:cs="Arial"/>
      <w:color w:val="3D3D3D"/>
      <w:sz w:val="24"/>
      <w:szCs w:val="24"/>
    </w:rPr>
  </w:style>
  <w:style w:type="paragraph" w:customStyle="1" w:styleId="xl65">
    <w:name w:val="xl65"/>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man Old Style" w:hAnsi="Bookman Old Style"/>
      <w:sz w:val="16"/>
      <w:szCs w:val="16"/>
    </w:rPr>
  </w:style>
  <w:style w:type="paragraph" w:customStyle="1" w:styleId="xl66">
    <w:name w:val="xl66"/>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Bookman Old Style" w:hAnsi="Bookman Old Style"/>
      <w:sz w:val="16"/>
      <w:szCs w:val="16"/>
    </w:rPr>
  </w:style>
  <w:style w:type="paragraph" w:customStyle="1" w:styleId="xl67">
    <w:name w:val="xl67"/>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sz w:val="16"/>
      <w:szCs w:val="16"/>
    </w:rPr>
  </w:style>
  <w:style w:type="paragraph" w:customStyle="1" w:styleId="xl68">
    <w:name w:val="xl68"/>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man Old Style" w:hAnsi="Bookman Old Style"/>
      <w:sz w:val="16"/>
      <w:szCs w:val="16"/>
    </w:rPr>
  </w:style>
  <w:style w:type="paragraph" w:customStyle="1" w:styleId="xl69">
    <w:name w:val="xl69"/>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man Old Style" w:hAnsi="Bookman Old Style"/>
      <w:sz w:val="16"/>
      <w:szCs w:val="16"/>
    </w:rPr>
  </w:style>
  <w:style w:type="paragraph" w:customStyle="1" w:styleId="xl70">
    <w:name w:val="xl70"/>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man Old Style" w:hAnsi="Bookman Old Style"/>
      <w:b/>
      <w:bCs/>
      <w:sz w:val="16"/>
      <w:szCs w:val="16"/>
    </w:rPr>
  </w:style>
  <w:style w:type="paragraph" w:customStyle="1" w:styleId="xl71">
    <w:name w:val="xl71"/>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b/>
      <w:bCs/>
      <w:sz w:val="16"/>
      <w:szCs w:val="16"/>
    </w:rPr>
  </w:style>
  <w:style w:type="paragraph" w:customStyle="1" w:styleId="xl72">
    <w:name w:val="xl72"/>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sz w:val="16"/>
      <w:szCs w:val="16"/>
    </w:rPr>
  </w:style>
  <w:style w:type="paragraph" w:customStyle="1" w:styleId="xl73">
    <w:name w:val="xl73"/>
    <w:basedOn w:val="a0"/>
    <w:rsid w:val="00431CC5"/>
    <w:pPr>
      <w:pBdr>
        <w:left w:val="single" w:sz="4" w:space="0" w:color="auto"/>
        <w:bottom w:val="single" w:sz="4" w:space="0" w:color="auto"/>
        <w:right w:val="single" w:sz="4" w:space="0" w:color="auto"/>
      </w:pBdr>
      <w:spacing w:before="100" w:beforeAutospacing="1" w:after="100" w:afterAutospacing="1"/>
      <w:textAlignment w:val="center"/>
    </w:pPr>
    <w:rPr>
      <w:rFonts w:ascii="Bookman Old Style" w:hAnsi="Bookman Old Style"/>
      <w:sz w:val="16"/>
      <w:szCs w:val="16"/>
    </w:rPr>
  </w:style>
  <w:style w:type="paragraph" w:customStyle="1" w:styleId="xl74">
    <w:name w:val="xl74"/>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Bookman Old Style" w:hAnsi="Bookman Old Style"/>
      <w:sz w:val="16"/>
      <w:szCs w:val="16"/>
    </w:rPr>
  </w:style>
  <w:style w:type="paragraph" w:customStyle="1" w:styleId="xl75">
    <w:name w:val="xl75"/>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sz w:val="16"/>
      <w:szCs w:val="16"/>
    </w:rPr>
  </w:style>
  <w:style w:type="paragraph" w:customStyle="1" w:styleId="xl76">
    <w:name w:val="xl76"/>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b/>
      <w:bCs/>
      <w:sz w:val="16"/>
      <w:szCs w:val="16"/>
    </w:rPr>
  </w:style>
  <w:style w:type="paragraph" w:customStyle="1" w:styleId="xl77">
    <w:name w:val="xl77"/>
    <w:basedOn w:val="a0"/>
    <w:rsid w:val="00431CC5"/>
    <w:pPr>
      <w:spacing w:before="100" w:beforeAutospacing="1" w:after="100" w:afterAutospacing="1"/>
    </w:pPr>
    <w:rPr>
      <w:rFonts w:ascii="Bookman Old Style" w:hAnsi="Bookman Old Style"/>
      <w:sz w:val="24"/>
      <w:szCs w:val="24"/>
    </w:rPr>
  </w:style>
  <w:style w:type="paragraph" w:customStyle="1" w:styleId="xl78">
    <w:name w:val="xl78"/>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sz w:val="16"/>
      <w:szCs w:val="16"/>
    </w:rPr>
  </w:style>
  <w:style w:type="paragraph" w:customStyle="1" w:styleId="xl79">
    <w:name w:val="xl79"/>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sz w:val="16"/>
      <w:szCs w:val="16"/>
    </w:rPr>
  </w:style>
  <w:style w:type="paragraph" w:customStyle="1" w:styleId="xl80">
    <w:name w:val="xl80"/>
    <w:basedOn w:val="a0"/>
    <w:rsid w:val="00431CC5"/>
    <w:pPr>
      <w:spacing w:before="100" w:beforeAutospacing="1" w:after="100" w:afterAutospacing="1"/>
      <w:jc w:val="center"/>
    </w:pPr>
    <w:rPr>
      <w:rFonts w:ascii="Bookman Old Style" w:hAnsi="Bookman Old Style"/>
      <w:sz w:val="16"/>
      <w:szCs w:val="16"/>
    </w:rPr>
  </w:style>
  <w:style w:type="paragraph" w:customStyle="1" w:styleId="xl81">
    <w:name w:val="xl81"/>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sz w:val="16"/>
      <w:szCs w:val="16"/>
    </w:rPr>
  </w:style>
  <w:style w:type="paragraph" w:customStyle="1" w:styleId="xl82">
    <w:name w:val="xl82"/>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man Old Style" w:hAnsi="Bookman Old Style"/>
      <w:sz w:val="16"/>
      <w:szCs w:val="16"/>
    </w:rPr>
  </w:style>
  <w:style w:type="paragraph" w:customStyle="1" w:styleId="xl83">
    <w:name w:val="xl83"/>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man Old Style" w:hAnsi="Bookman Old Style"/>
      <w:b/>
      <w:bCs/>
      <w:sz w:val="16"/>
      <w:szCs w:val="16"/>
    </w:rPr>
  </w:style>
  <w:style w:type="paragraph" w:customStyle="1" w:styleId="xl84">
    <w:name w:val="xl84"/>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man Old Style" w:hAnsi="Bookman Old Style"/>
      <w:sz w:val="16"/>
      <w:szCs w:val="16"/>
    </w:rPr>
  </w:style>
  <w:style w:type="paragraph" w:customStyle="1" w:styleId="xl85">
    <w:name w:val="xl85"/>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sz w:val="16"/>
      <w:szCs w:val="16"/>
    </w:rPr>
  </w:style>
  <w:style w:type="paragraph" w:customStyle="1" w:styleId="xl86">
    <w:name w:val="xl86"/>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sz w:val="16"/>
      <w:szCs w:val="16"/>
    </w:rPr>
  </w:style>
  <w:style w:type="paragraph" w:customStyle="1" w:styleId="xl87">
    <w:name w:val="xl87"/>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sz w:val="16"/>
      <w:szCs w:val="16"/>
    </w:rPr>
  </w:style>
  <w:style w:type="paragraph" w:customStyle="1" w:styleId="xl88">
    <w:name w:val="xl88"/>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man Old Style" w:hAnsi="Bookman Old Style"/>
      <w:sz w:val="16"/>
      <w:szCs w:val="16"/>
    </w:rPr>
  </w:style>
  <w:style w:type="paragraph" w:customStyle="1" w:styleId="xl89">
    <w:name w:val="xl89"/>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Bookman Old Style" w:hAnsi="Bookman Old Style"/>
      <w:sz w:val="16"/>
      <w:szCs w:val="16"/>
    </w:rPr>
  </w:style>
  <w:style w:type="paragraph" w:customStyle="1" w:styleId="xl90">
    <w:name w:val="xl90"/>
    <w:basedOn w:val="a0"/>
    <w:rsid w:val="00431CC5"/>
    <w:pPr>
      <w:pBdr>
        <w:left w:val="single" w:sz="4" w:space="0" w:color="auto"/>
        <w:right w:val="single" w:sz="4" w:space="0" w:color="auto"/>
      </w:pBdr>
      <w:spacing w:before="100" w:beforeAutospacing="1" w:after="100" w:afterAutospacing="1"/>
      <w:jc w:val="center"/>
    </w:pPr>
    <w:rPr>
      <w:rFonts w:ascii="Bookman Old Style" w:hAnsi="Bookman Old Style"/>
      <w:sz w:val="16"/>
      <w:szCs w:val="16"/>
    </w:rPr>
  </w:style>
  <w:style w:type="paragraph" w:customStyle="1" w:styleId="xl91">
    <w:name w:val="xl91"/>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sz w:val="16"/>
      <w:szCs w:val="16"/>
    </w:rPr>
  </w:style>
  <w:style w:type="paragraph" w:customStyle="1" w:styleId="xl92">
    <w:name w:val="xl92"/>
    <w:basedOn w:val="a0"/>
    <w:rsid w:val="00431CC5"/>
    <w:pPr>
      <w:pBdr>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sz w:val="16"/>
      <w:szCs w:val="16"/>
    </w:rPr>
  </w:style>
  <w:style w:type="paragraph" w:customStyle="1" w:styleId="xl93">
    <w:name w:val="xl93"/>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sz w:val="16"/>
      <w:szCs w:val="16"/>
    </w:rPr>
  </w:style>
  <w:style w:type="paragraph" w:customStyle="1" w:styleId="xl94">
    <w:name w:val="xl94"/>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Bookman Old Style" w:hAnsi="Bookman Old Style"/>
      <w:sz w:val="16"/>
      <w:szCs w:val="16"/>
    </w:rPr>
  </w:style>
  <w:style w:type="paragraph" w:customStyle="1" w:styleId="xl95">
    <w:name w:val="xl95"/>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b/>
      <w:bCs/>
      <w:sz w:val="16"/>
      <w:szCs w:val="16"/>
    </w:rPr>
  </w:style>
  <w:style w:type="paragraph" w:customStyle="1" w:styleId="xl96">
    <w:name w:val="xl96"/>
    <w:basedOn w:val="a0"/>
    <w:rsid w:val="00431CC5"/>
    <w:pPr>
      <w:pBdr>
        <w:left w:val="single" w:sz="4" w:space="0" w:color="auto"/>
        <w:bottom w:val="single" w:sz="4" w:space="0" w:color="auto"/>
        <w:right w:val="single" w:sz="4" w:space="0" w:color="auto"/>
      </w:pBdr>
      <w:spacing w:before="100" w:beforeAutospacing="1" w:after="100" w:afterAutospacing="1"/>
      <w:jc w:val="center"/>
    </w:pPr>
    <w:rPr>
      <w:rFonts w:ascii="Bookman Old Style" w:hAnsi="Bookman Old Style"/>
      <w:sz w:val="16"/>
      <w:szCs w:val="16"/>
    </w:rPr>
  </w:style>
  <w:style w:type="paragraph" w:customStyle="1" w:styleId="xl97">
    <w:name w:val="xl97"/>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sz w:val="16"/>
      <w:szCs w:val="16"/>
    </w:rPr>
  </w:style>
  <w:style w:type="paragraph" w:customStyle="1" w:styleId="xl98">
    <w:name w:val="xl98"/>
    <w:basedOn w:val="a0"/>
    <w:rsid w:val="00431CC5"/>
    <w:pPr>
      <w:pBdr>
        <w:left w:val="single" w:sz="4" w:space="0" w:color="auto"/>
        <w:bottom w:val="single" w:sz="4" w:space="0" w:color="auto"/>
        <w:right w:val="single" w:sz="4" w:space="0" w:color="auto"/>
      </w:pBdr>
      <w:spacing w:before="100" w:beforeAutospacing="1" w:after="100" w:afterAutospacing="1"/>
    </w:pPr>
    <w:rPr>
      <w:rFonts w:ascii="Bookman Old Style" w:hAnsi="Bookman Old Style"/>
      <w:sz w:val="16"/>
      <w:szCs w:val="16"/>
    </w:rPr>
  </w:style>
  <w:style w:type="paragraph" w:customStyle="1" w:styleId="xl99">
    <w:name w:val="xl99"/>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pPr>
    <w:rPr>
      <w:rFonts w:ascii="Bookman Old Style" w:hAnsi="Bookman Old Style"/>
      <w:sz w:val="16"/>
      <w:szCs w:val="16"/>
    </w:rPr>
  </w:style>
  <w:style w:type="paragraph" w:customStyle="1" w:styleId="xl100">
    <w:name w:val="xl100"/>
    <w:basedOn w:val="a0"/>
    <w:rsid w:val="00431CC5"/>
    <w:pPr>
      <w:spacing w:before="100" w:beforeAutospacing="1" w:after="100" w:afterAutospacing="1"/>
    </w:pPr>
    <w:rPr>
      <w:rFonts w:ascii="Bookman Old Style" w:hAnsi="Bookman Old Style"/>
      <w:sz w:val="16"/>
      <w:szCs w:val="16"/>
    </w:rPr>
  </w:style>
  <w:style w:type="paragraph" w:customStyle="1" w:styleId="xl101">
    <w:name w:val="xl101"/>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sz w:val="16"/>
      <w:szCs w:val="16"/>
    </w:rPr>
  </w:style>
  <w:style w:type="paragraph" w:customStyle="1" w:styleId="xl102">
    <w:name w:val="xl102"/>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sz w:val="16"/>
      <w:szCs w:val="16"/>
    </w:rPr>
  </w:style>
  <w:style w:type="paragraph" w:customStyle="1" w:styleId="xl103">
    <w:name w:val="xl103"/>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sz w:val="16"/>
      <w:szCs w:val="16"/>
    </w:rPr>
  </w:style>
  <w:style w:type="paragraph" w:customStyle="1" w:styleId="xl104">
    <w:name w:val="xl104"/>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Bookman Old Style" w:hAnsi="Bookman Old Style"/>
      <w:sz w:val="16"/>
      <w:szCs w:val="16"/>
    </w:rPr>
  </w:style>
  <w:style w:type="paragraph" w:customStyle="1" w:styleId="xl105">
    <w:name w:val="xl105"/>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b/>
      <w:bCs/>
      <w:sz w:val="16"/>
      <w:szCs w:val="16"/>
    </w:rPr>
  </w:style>
  <w:style w:type="paragraph" w:customStyle="1" w:styleId="xl106">
    <w:name w:val="xl106"/>
    <w:basedOn w:val="a0"/>
    <w:rsid w:val="00431CC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sz w:val="16"/>
      <w:szCs w:val="16"/>
    </w:rPr>
  </w:style>
  <w:style w:type="paragraph" w:customStyle="1" w:styleId="xl107">
    <w:name w:val="xl107"/>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b/>
      <w:bCs/>
      <w:sz w:val="16"/>
      <w:szCs w:val="16"/>
    </w:rPr>
  </w:style>
  <w:style w:type="paragraph" w:customStyle="1" w:styleId="xl108">
    <w:name w:val="xl108"/>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sz w:val="16"/>
      <w:szCs w:val="16"/>
    </w:rPr>
  </w:style>
  <w:style w:type="paragraph" w:customStyle="1" w:styleId="xl109">
    <w:name w:val="xl109"/>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sz w:val="16"/>
      <w:szCs w:val="16"/>
    </w:rPr>
  </w:style>
  <w:style w:type="paragraph" w:customStyle="1" w:styleId="xl110">
    <w:name w:val="xl110"/>
    <w:basedOn w:val="a0"/>
    <w:rsid w:val="00431CC5"/>
    <w:pPr>
      <w:shd w:val="clear" w:color="000000" w:fill="FFFFFF"/>
      <w:spacing w:before="100" w:beforeAutospacing="1" w:after="100" w:afterAutospacing="1"/>
    </w:pPr>
    <w:rPr>
      <w:rFonts w:ascii="Bookman Old Style" w:hAnsi="Bookman Old Style"/>
      <w:sz w:val="24"/>
      <w:szCs w:val="24"/>
    </w:rPr>
  </w:style>
  <w:style w:type="paragraph" w:customStyle="1" w:styleId="xl111">
    <w:name w:val="xl111"/>
    <w:basedOn w:val="a0"/>
    <w:rsid w:val="00431CC5"/>
    <w:pPr>
      <w:shd w:val="clear" w:color="000000" w:fill="FFFFFF"/>
      <w:spacing w:before="100" w:beforeAutospacing="1" w:after="100" w:afterAutospacing="1"/>
      <w:jc w:val="center"/>
      <w:textAlignment w:val="center"/>
    </w:pPr>
    <w:rPr>
      <w:rFonts w:ascii="Bookman Old Style" w:hAnsi="Bookman Old Style"/>
      <w:sz w:val="24"/>
      <w:szCs w:val="24"/>
    </w:rPr>
  </w:style>
  <w:style w:type="paragraph" w:customStyle="1" w:styleId="xl112">
    <w:name w:val="xl112"/>
    <w:basedOn w:val="a0"/>
    <w:rsid w:val="00431CC5"/>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Bookman Old Style" w:hAnsi="Bookman Old Style"/>
      <w:b/>
      <w:bCs/>
      <w:i/>
      <w:iCs/>
      <w:sz w:val="16"/>
      <w:szCs w:val="16"/>
    </w:rPr>
  </w:style>
  <w:style w:type="paragraph" w:customStyle="1" w:styleId="xl113">
    <w:name w:val="xl113"/>
    <w:basedOn w:val="a0"/>
    <w:rsid w:val="00431CC5"/>
    <w:pPr>
      <w:pBdr>
        <w:top w:val="single" w:sz="4" w:space="0" w:color="auto"/>
        <w:left w:val="single" w:sz="4" w:space="0" w:color="auto"/>
        <w:bottom w:val="single" w:sz="4" w:space="0" w:color="auto"/>
      </w:pBdr>
      <w:shd w:val="clear" w:color="000000" w:fill="C0C0C0"/>
      <w:spacing w:before="100" w:beforeAutospacing="1" w:after="100" w:afterAutospacing="1"/>
      <w:jc w:val="center"/>
      <w:textAlignment w:val="center"/>
    </w:pPr>
    <w:rPr>
      <w:rFonts w:ascii="Bookman Old Style" w:hAnsi="Bookman Old Style"/>
      <w:sz w:val="16"/>
      <w:szCs w:val="16"/>
      <w:u w:val="single"/>
    </w:rPr>
  </w:style>
  <w:style w:type="paragraph" w:customStyle="1" w:styleId="xl114">
    <w:name w:val="xl114"/>
    <w:basedOn w:val="a0"/>
    <w:rsid w:val="00431CC5"/>
    <w:pPr>
      <w:pBdr>
        <w:top w:val="single" w:sz="4" w:space="0" w:color="auto"/>
        <w:bottom w:val="single" w:sz="4" w:space="0" w:color="auto"/>
      </w:pBdr>
      <w:shd w:val="clear" w:color="000000" w:fill="C0C0C0"/>
      <w:spacing w:before="100" w:beforeAutospacing="1" w:after="100" w:afterAutospacing="1"/>
      <w:jc w:val="center"/>
      <w:textAlignment w:val="center"/>
    </w:pPr>
    <w:rPr>
      <w:rFonts w:ascii="Bookman Old Style" w:hAnsi="Bookman Old Style"/>
      <w:sz w:val="16"/>
      <w:szCs w:val="16"/>
      <w:u w:val="single"/>
    </w:rPr>
  </w:style>
  <w:style w:type="paragraph" w:customStyle="1" w:styleId="xl115">
    <w:name w:val="xl115"/>
    <w:basedOn w:val="a0"/>
    <w:rsid w:val="00431CC5"/>
    <w:pPr>
      <w:pBdr>
        <w:left w:val="single" w:sz="4" w:space="0" w:color="auto"/>
        <w:bottom w:val="single" w:sz="4" w:space="0" w:color="auto"/>
      </w:pBdr>
      <w:shd w:val="clear" w:color="000000" w:fill="C0C0C0"/>
      <w:spacing w:before="100" w:beforeAutospacing="1" w:after="100" w:afterAutospacing="1"/>
      <w:jc w:val="center"/>
      <w:textAlignment w:val="center"/>
    </w:pPr>
    <w:rPr>
      <w:rFonts w:ascii="Bookman Old Style" w:hAnsi="Bookman Old Style"/>
      <w:i/>
      <w:iCs/>
      <w:sz w:val="16"/>
      <w:szCs w:val="16"/>
    </w:rPr>
  </w:style>
  <w:style w:type="paragraph" w:customStyle="1" w:styleId="xl116">
    <w:name w:val="xl116"/>
    <w:basedOn w:val="a0"/>
    <w:rsid w:val="00431CC5"/>
    <w:pPr>
      <w:pBdr>
        <w:bottom w:val="single" w:sz="4" w:space="0" w:color="auto"/>
      </w:pBdr>
      <w:shd w:val="clear" w:color="000000" w:fill="C0C0C0"/>
      <w:spacing w:before="100" w:beforeAutospacing="1" w:after="100" w:afterAutospacing="1"/>
      <w:jc w:val="center"/>
      <w:textAlignment w:val="center"/>
    </w:pPr>
    <w:rPr>
      <w:rFonts w:ascii="Bookman Old Style" w:hAnsi="Bookman Old Style"/>
      <w:i/>
      <w:iCs/>
      <w:sz w:val="16"/>
      <w:szCs w:val="16"/>
    </w:rPr>
  </w:style>
  <w:style w:type="paragraph" w:customStyle="1" w:styleId="xl117">
    <w:name w:val="xl117"/>
    <w:basedOn w:val="a0"/>
    <w:rsid w:val="00431CC5"/>
    <w:pPr>
      <w:pBdr>
        <w:top w:val="single" w:sz="4" w:space="0" w:color="auto"/>
        <w:left w:val="single" w:sz="4" w:space="0" w:color="auto"/>
        <w:bottom w:val="single" w:sz="4" w:space="0" w:color="auto"/>
      </w:pBdr>
      <w:shd w:val="clear" w:color="000000" w:fill="C0C0C0"/>
      <w:spacing w:before="100" w:beforeAutospacing="1" w:after="100" w:afterAutospacing="1"/>
      <w:jc w:val="center"/>
      <w:textAlignment w:val="center"/>
    </w:pPr>
    <w:rPr>
      <w:rFonts w:ascii="Bookman Old Style" w:hAnsi="Bookman Old Style"/>
      <w:b/>
      <w:bCs/>
      <w:i/>
      <w:iCs/>
      <w:sz w:val="16"/>
      <w:szCs w:val="16"/>
    </w:rPr>
  </w:style>
  <w:style w:type="paragraph" w:customStyle="1" w:styleId="xl118">
    <w:name w:val="xl118"/>
    <w:basedOn w:val="a0"/>
    <w:rsid w:val="00431CC5"/>
    <w:pPr>
      <w:pBdr>
        <w:top w:val="single" w:sz="4" w:space="0" w:color="auto"/>
        <w:bottom w:val="single" w:sz="4" w:space="0" w:color="auto"/>
      </w:pBdr>
      <w:shd w:val="clear" w:color="000000" w:fill="C0C0C0"/>
      <w:spacing w:before="100" w:beforeAutospacing="1" w:after="100" w:afterAutospacing="1"/>
      <w:jc w:val="center"/>
      <w:textAlignment w:val="center"/>
    </w:pPr>
    <w:rPr>
      <w:rFonts w:ascii="Bookman Old Style" w:hAnsi="Bookman Old Style"/>
      <w:b/>
      <w:bCs/>
      <w:i/>
      <w:iCs/>
      <w:sz w:val="16"/>
      <w:szCs w:val="16"/>
    </w:rPr>
  </w:style>
  <w:style w:type="paragraph" w:customStyle="1" w:styleId="xl119">
    <w:name w:val="xl119"/>
    <w:basedOn w:val="a0"/>
    <w:rsid w:val="00431CC5"/>
    <w:pPr>
      <w:pBdr>
        <w:top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Bookman Old Style" w:hAnsi="Bookman Old Style"/>
      <w:b/>
      <w:bCs/>
      <w:i/>
      <w:iCs/>
      <w:sz w:val="16"/>
      <w:szCs w:val="16"/>
    </w:rPr>
  </w:style>
  <w:style w:type="paragraph" w:customStyle="1" w:styleId="xl120">
    <w:name w:val="xl120"/>
    <w:basedOn w:val="a0"/>
    <w:rsid w:val="00431CC5"/>
    <w:pPr>
      <w:pBdr>
        <w:top w:val="single" w:sz="4" w:space="0" w:color="auto"/>
        <w:left w:val="single" w:sz="8" w:space="0" w:color="auto"/>
        <w:bottom w:val="single" w:sz="4" w:space="0" w:color="auto"/>
      </w:pBdr>
      <w:shd w:val="clear" w:color="000000" w:fill="C0C0C0"/>
      <w:spacing w:before="100" w:beforeAutospacing="1" w:after="100" w:afterAutospacing="1"/>
      <w:jc w:val="center"/>
      <w:textAlignment w:val="center"/>
    </w:pPr>
    <w:rPr>
      <w:rFonts w:ascii="Bookman Old Style" w:hAnsi="Bookman Old Style"/>
      <w:b/>
      <w:bCs/>
      <w:i/>
      <w:iCs/>
      <w:sz w:val="16"/>
      <w:szCs w:val="16"/>
    </w:rPr>
  </w:style>
  <w:style w:type="paragraph" w:customStyle="1" w:styleId="xl121">
    <w:name w:val="xl121"/>
    <w:basedOn w:val="a0"/>
    <w:rsid w:val="00431CC5"/>
    <w:pPr>
      <w:pBdr>
        <w:top w:val="single" w:sz="4" w:space="0" w:color="auto"/>
        <w:bottom w:val="single" w:sz="4" w:space="0" w:color="auto"/>
      </w:pBdr>
      <w:shd w:val="clear" w:color="000000" w:fill="C0C0C0"/>
      <w:spacing w:before="100" w:beforeAutospacing="1" w:after="100" w:afterAutospacing="1"/>
      <w:jc w:val="center"/>
      <w:textAlignment w:val="center"/>
    </w:pPr>
    <w:rPr>
      <w:rFonts w:ascii="Bookman Old Style" w:hAnsi="Bookman Old Style"/>
      <w:b/>
      <w:bCs/>
      <w:i/>
      <w:iCs/>
      <w:sz w:val="16"/>
      <w:szCs w:val="16"/>
    </w:rPr>
  </w:style>
  <w:style w:type="paragraph" w:customStyle="1" w:styleId="xl122">
    <w:name w:val="xl122"/>
    <w:basedOn w:val="a0"/>
    <w:rsid w:val="00431CC5"/>
    <w:pPr>
      <w:pBdr>
        <w:top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Bookman Old Style" w:hAnsi="Bookman Old Style"/>
      <w:b/>
      <w:bCs/>
      <w:i/>
      <w:iCs/>
      <w:sz w:val="16"/>
      <w:szCs w:val="16"/>
    </w:rPr>
  </w:style>
  <w:style w:type="paragraph" w:customStyle="1" w:styleId="xl123">
    <w:name w:val="xl123"/>
    <w:basedOn w:val="a0"/>
    <w:rsid w:val="00431CC5"/>
    <w:pPr>
      <w:pBdr>
        <w:top w:val="single" w:sz="4" w:space="0" w:color="auto"/>
        <w:left w:val="single" w:sz="4" w:space="0" w:color="auto"/>
      </w:pBdr>
      <w:shd w:val="clear" w:color="000000" w:fill="C0C0C0"/>
      <w:spacing w:before="100" w:beforeAutospacing="1" w:after="100" w:afterAutospacing="1"/>
      <w:jc w:val="center"/>
      <w:textAlignment w:val="center"/>
    </w:pPr>
    <w:rPr>
      <w:rFonts w:ascii="Bookman Old Style" w:hAnsi="Bookman Old Style"/>
      <w:b/>
      <w:bCs/>
      <w:i/>
      <w:iCs/>
      <w:sz w:val="16"/>
      <w:szCs w:val="16"/>
    </w:rPr>
  </w:style>
  <w:style w:type="paragraph" w:customStyle="1" w:styleId="xl124">
    <w:name w:val="xl124"/>
    <w:basedOn w:val="a0"/>
    <w:rsid w:val="00431CC5"/>
    <w:pPr>
      <w:pBdr>
        <w:top w:val="single" w:sz="4" w:space="0" w:color="auto"/>
      </w:pBdr>
      <w:shd w:val="clear" w:color="000000" w:fill="C0C0C0"/>
      <w:spacing w:before="100" w:beforeAutospacing="1" w:after="100" w:afterAutospacing="1"/>
      <w:jc w:val="center"/>
      <w:textAlignment w:val="center"/>
    </w:pPr>
    <w:rPr>
      <w:rFonts w:ascii="Bookman Old Style" w:hAnsi="Bookman Old Style"/>
      <w:b/>
      <w:bCs/>
      <w:i/>
      <w:iCs/>
      <w:sz w:val="16"/>
      <w:szCs w:val="16"/>
    </w:rPr>
  </w:style>
  <w:style w:type="paragraph" w:customStyle="1" w:styleId="xl125">
    <w:name w:val="xl125"/>
    <w:basedOn w:val="a0"/>
    <w:rsid w:val="00431CC5"/>
    <w:pPr>
      <w:pBdr>
        <w:top w:val="single" w:sz="4" w:space="0" w:color="auto"/>
        <w:left w:val="single" w:sz="4" w:space="0" w:color="auto"/>
        <w:right w:val="single" w:sz="4" w:space="0" w:color="auto"/>
      </w:pBdr>
      <w:spacing w:before="100" w:beforeAutospacing="1" w:after="100" w:afterAutospacing="1"/>
      <w:textAlignment w:val="center"/>
    </w:pPr>
    <w:rPr>
      <w:rFonts w:ascii="Bookman Old Style" w:hAnsi="Bookman Old Style"/>
      <w:b/>
      <w:bCs/>
      <w:sz w:val="16"/>
      <w:szCs w:val="16"/>
    </w:rPr>
  </w:style>
  <w:style w:type="paragraph" w:customStyle="1" w:styleId="xl126">
    <w:name w:val="xl126"/>
    <w:basedOn w:val="a0"/>
    <w:rsid w:val="00431CC5"/>
    <w:pPr>
      <w:pBdr>
        <w:top w:val="single" w:sz="4" w:space="0" w:color="auto"/>
        <w:left w:val="single" w:sz="4" w:space="0" w:color="auto"/>
        <w:right w:val="single" w:sz="4" w:space="0" w:color="auto"/>
      </w:pBdr>
      <w:spacing w:before="100" w:beforeAutospacing="1" w:after="100" w:afterAutospacing="1"/>
      <w:jc w:val="center"/>
      <w:textAlignment w:val="center"/>
    </w:pPr>
    <w:rPr>
      <w:rFonts w:ascii="Bookman Old Style" w:hAnsi="Bookman Old Style"/>
      <w:b/>
      <w:bCs/>
      <w:sz w:val="16"/>
      <w:szCs w:val="16"/>
    </w:rPr>
  </w:style>
  <w:style w:type="paragraph" w:customStyle="1" w:styleId="xl127">
    <w:name w:val="xl127"/>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pPr>
    <w:rPr>
      <w:rFonts w:ascii="Bookman Old Style" w:hAnsi="Bookman Old Style"/>
      <w:sz w:val="16"/>
      <w:szCs w:val="16"/>
    </w:rPr>
  </w:style>
  <w:style w:type="paragraph" w:customStyle="1" w:styleId="xl128">
    <w:name w:val="xl128"/>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pPr>
    <w:rPr>
      <w:rFonts w:ascii="Bookman Old Style" w:hAnsi="Bookman Old Style"/>
      <w:b/>
      <w:bCs/>
      <w:sz w:val="16"/>
      <w:szCs w:val="16"/>
    </w:rPr>
  </w:style>
  <w:style w:type="paragraph" w:customStyle="1" w:styleId="xl129">
    <w:name w:val="xl129"/>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color w:val="000000"/>
      <w:sz w:val="16"/>
      <w:szCs w:val="16"/>
    </w:rPr>
  </w:style>
  <w:style w:type="paragraph" w:customStyle="1" w:styleId="xl130">
    <w:name w:val="xl130"/>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b/>
      <w:bCs/>
      <w:color w:val="000000"/>
      <w:sz w:val="16"/>
      <w:szCs w:val="16"/>
    </w:rPr>
  </w:style>
  <w:style w:type="paragraph" w:customStyle="1" w:styleId="xl131">
    <w:name w:val="xl131"/>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b/>
      <w:bCs/>
      <w:color w:val="000000"/>
      <w:sz w:val="16"/>
      <w:szCs w:val="16"/>
    </w:rPr>
  </w:style>
  <w:style w:type="table" w:customStyle="1" w:styleId="111">
    <w:name w:val="Сетка таблицы11"/>
    <w:basedOn w:val="a2"/>
    <w:next w:val="a9"/>
    <w:uiPriority w:val="59"/>
    <w:rsid w:val="00431CC5"/>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font5">
    <w:name w:val="font5"/>
    <w:basedOn w:val="a0"/>
    <w:rsid w:val="00431CC5"/>
    <w:pPr>
      <w:spacing w:before="100" w:beforeAutospacing="1" w:after="100" w:afterAutospacing="1"/>
    </w:pPr>
    <w:rPr>
      <w:rFonts w:ascii="Bookman Old Style" w:hAnsi="Bookman Old Style"/>
      <w:sz w:val="16"/>
      <w:szCs w:val="16"/>
    </w:rPr>
  </w:style>
  <w:style w:type="paragraph" w:customStyle="1" w:styleId="font6">
    <w:name w:val="font6"/>
    <w:basedOn w:val="a0"/>
    <w:rsid w:val="00431CC5"/>
    <w:pPr>
      <w:spacing w:before="100" w:beforeAutospacing="1" w:after="100" w:afterAutospacing="1"/>
    </w:pPr>
    <w:rPr>
      <w:rFonts w:ascii="Bookman Old Style" w:hAnsi="Bookman Old Style"/>
      <w:color w:val="FF0000"/>
      <w:sz w:val="16"/>
      <w:szCs w:val="16"/>
    </w:rPr>
  </w:style>
  <w:style w:type="paragraph" w:customStyle="1" w:styleId="xl63">
    <w:name w:val="xl63"/>
    <w:basedOn w:val="a0"/>
    <w:rsid w:val="00431CC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Bookman Old Style" w:hAnsi="Bookman Old Style"/>
      <w:b/>
      <w:bCs/>
      <w:i/>
      <w:iCs/>
      <w:sz w:val="16"/>
      <w:szCs w:val="16"/>
    </w:rPr>
  </w:style>
  <w:style w:type="paragraph" w:customStyle="1" w:styleId="xl64">
    <w:name w:val="xl64"/>
    <w:basedOn w:val="a0"/>
    <w:rsid w:val="00431CC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Bookman Old Style" w:hAnsi="Bookman Old Style"/>
      <w:b/>
      <w:bCs/>
      <w:i/>
      <w:iCs/>
      <w:sz w:val="16"/>
      <w:szCs w:val="16"/>
    </w:rPr>
  </w:style>
  <w:style w:type="paragraph" w:customStyle="1" w:styleId="affb">
    <w:name w:val="Знак Знак Знак"/>
    <w:basedOn w:val="a0"/>
    <w:rsid w:val="00431CC5"/>
    <w:pPr>
      <w:spacing w:after="160" w:line="240" w:lineRule="exact"/>
    </w:pPr>
    <w:rPr>
      <w:rFonts w:ascii="Verdana" w:hAnsi="Verdana"/>
      <w:sz w:val="20"/>
      <w:szCs w:val="20"/>
      <w:lang w:val="en-US" w:eastAsia="en-US"/>
    </w:rPr>
  </w:style>
  <w:style w:type="paragraph" w:customStyle="1" w:styleId="Preformatted">
    <w:name w:val="Preformatted"/>
    <w:basedOn w:val="a0"/>
    <w:rsid w:val="00431CC5"/>
    <w:pPr>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textAlignment w:val="baseline"/>
    </w:pPr>
    <w:rPr>
      <w:rFonts w:ascii="Courier New" w:hAnsi="Courier New"/>
      <w:sz w:val="20"/>
      <w:szCs w:val="20"/>
    </w:rPr>
  </w:style>
  <w:style w:type="paragraph" w:styleId="affc">
    <w:name w:val="List Number"/>
    <w:basedOn w:val="a0"/>
    <w:rsid w:val="00431CC5"/>
    <w:pPr>
      <w:keepLines/>
      <w:tabs>
        <w:tab w:val="num" w:pos="1531"/>
      </w:tabs>
      <w:spacing w:after="240" w:line="240" w:lineRule="atLeast"/>
      <w:ind w:left="1531" w:hanging="454"/>
      <w:jc w:val="both"/>
    </w:pPr>
    <w:rPr>
      <w:rFonts w:ascii="Tahoma" w:hAnsi="Tahoma" w:cs="Tahoma"/>
      <w:sz w:val="20"/>
      <w:szCs w:val="24"/>
    </w:rPr>
  </w:style>
  <w:style w:type="paragraph" w:styleId="2b">
    <w:name w:val="List Number 2"/>
    <w:basedOn w:val="a0"/>
    <w:rsid w:val="00431CC5"/>
    <w:pPr>
      <w:keepLines/>
      <w:tabs>
        <w:tab w:val="num" w:pos="1985"/>
      </w:tabs>
      <w:spacing w:after="240" w:line="240" w:lineRule="atLeast"/>
      <w:ind w:left="1985" w:hanging="454"/>
      <w:jc w:val="both"/>
    </w:pPr>
    <w:rPr>
      <w:rFonts w:ascii="Tahoma" w:hAnsi="Tahoma" w:cs="Tahoma"/>
      <w:sz w:val="20"/>
      <w:szCs w:val="24"/>
    </w:rPr>
  </w:style>
  <w:style w:type="paragraph" w:styleId="38">
    <w:name w:val="List Number 3"/>
    <w:basedOn w:val="a0"/>
    <w:rsid w:val="00431CC5"/>
    <w:pPr>
      <w:keepLines/>
      <w:tabs>
        <w:tab w:val="num" w:pos="2438"/>
      </w:tabs>
      <w:spacing w:after="120" w:line="240" w:lineRule="atLeast"/>
      <w:ind w:left="2438" w:hanging="453"/>
    </w:pPr>
    <w:rPr>
      <w:rFonts w:ascii="Tahoma" w:hAnsi="Tahoma" w:cs="Tahoma"/>
      <w:sz w:val="20"/>
      <w:szCs w:val="24"/>
    </w:rPr>
  </w:style>
  <w:style w:type="paragraph" w:styleId="43">
    <w:name w:val="List Number 4"/>
    <w:basedOn w:val="a0"/>
    <w:rsid w:val="00431CC5"/>
    <w:pPr>
      <w:keepLines/>
      <w:tabs>
        <w:tab w:val="num" w:pos="2892"/>
      </w:tabs>
      <w:spacing w:after="120" w:line="240" w:lineRule="atLeast"/>
      <w:ind w:left="2892" w:hanging="454"/>
    </w:pPr>
    <w:rPr>
      <w:rFonts w:ascii="Tahoma" w:hAnsi="Tahoma" w:cs="Tahoma"/>
      <w:sz w:val="20"/>
      <w:szCs w:val="24"/>
    </w:rPr>
  </w:style>
  <w:style w:type="paragraph" w:styleId="53">
    <w:name w:val="List Number 5"/>
    <w:basedOn w:val="a0"/>
    <w:rsid w:val="00431CC5"/>
    <w:pPr>
      <w:keepLines/>
      <w:tabs>
        <w:tab w:val="num" w:pos="3345"/>
      </w:tabs>
      <w:spacing w:after="120" w:line="240" w:lineRule="atLeast"/>
      <w:ind w:left="3345" w:hanging="453"/>
    </w:pPr>
    <w:rPr>
      <w:rFonts w:ascii="Tahoma" w:hAnsi="Tahoma" w:cs="Tahoma"/>
      <w:sz w:val="20"/>
      <w:szCs w:val="24"/>
    </w:rPr>
  </w:style>
  <w:style w:type="paragraph" w:styleId="39">
    <w:name w:val="List Bullet 3"/>
    <w:basedOn w:val="a0"/>
    <w:rsid w:val="00431CC5"/>
    <w:pPr>
      <w:keepLines/>
      <w:tabs>
        <w:tab w:val="num" w:pos="2438"/>
      </w:tabs>
      <w:spacing w:after="240" w:line="240" w:lineRule="atLeast"/>
      <w:ind w:left="2438" w:hanging="453"/>
    </w:pPr>
    <w:rPr>
      <w:rFonts w:ascii="Tahoma" w:hAnsi="Tahoma" w:cs="Tahoma"/>
      <w:sz w:val="20"/>
      <w:szCs w:val="24"/>
    </w:rPr>
  </w:style>
  <w:style w:type="paragraph" w:styleId="44">
    <w:name w:val="List Bullet 4"/>
    <w:basedOn w:val="a0"/>
    <w:rsid w:val="00431CC5"/>
    <w:pPr>
      <w:keepLines/>
      <w:tabs>
        <w:tab w:val="num" w:pos="2892"/>
      </w:tabs>
      <w:spacing w:after="240" w:line="240" w:lineRule="atLeast"/>
      <w:ind w:left="2892" w:hanging="454"/>
    </w:pPr>
    <w:rPr>
      <w:rFonts w:ascii="Tahoma" w:hAnsi="Tahoma" w:cs="Tahoma"/>
      <w:sz w:val="20"/>
      <w:szCs w:val="24"/>
    </w:rPr>
  </w:style>
  <w:style w:type="paragraph" w:styleId="54">
    <w:name w:val="List Bullet 5"/>
    <w:basedOn w:val="a0"/>
    <w:rsid w:val="00431CC5"/>
    <w:pPr>
      <w:keepLines/>
      <w:tabs>
        <w:tab w:val="num" w:pos="3345"/>
      </w:tabs>
      <w:spacing w:after="240" w:line="240" w:lineRule="atLeast"/>
      <w:ind w:left="3345" w:hanging="453"/>
    </w:pPr>
    <w:rPr>
      <w:rFonts w:ascii="Tahoma" w:hAnsi="Tahoma" w:cs="Tahoma"/>
      <w:sz w:val="20"/>
      <w:szCs w:val="24"/>
    </w:rPr>
  </w:style>
  <w:style w:type="paragraph" w:customStyle="1" w:styleId="clear">
    <w:name w:val="clear"/>
    <w:basedOn w:val="a0"/>
    <w:rsid w:val="00431CC5"/>
    <w:pPr>
      <w:spacing w:after="119"/>
    </w:pPr>
    <w:rPr>
      <w:sz w:val="24"/>
      <w:szCs w:val="24"/>
    </w:rPr>
  </w:style>
  <w:style w:type="table" w:customStyle="1" w:styleId="3-61">
    <w:name w:val="Средняя сетка 3 - Акцент 61"/>
    <w:basedOn w:val="a2"/>
    <w:next w:val="3-6"/>
    <w:uiPriority w:val="69"/>
    <w:rsid w:val="00431CC5"/>
    <w:rPr>
      <w:rFonts w:ascii="Bookman Old Style" w:hAnsi="Bookman Old Style"/>
      <w:sz w:val="14"/>
      <w:szCs w:val="22"/>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1">
    <w:name w:val="Темный список - Акцент 31"/>
    <w:basedOn w:val="a2"/>
    <w:next w:val="-3"/>
    <w:uiPriority w:val="70"/>
    <w:rsid w:val="00431CC5"/>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character" w:customStyle="1" w:styleId="15">
    <w:name w:val="Текст сноски Знак Знак Знак1"/>
    <w:aliases w:val="Текст сноски Знак1 Знак Знак1,Текст сноски Знак Знак1 Знак Знак1"/>
    <w:basedOn w:val="a1"/>
    <w:uiPriority w:val="99"/>
    <w:rsid w:val="00431CC5"/>
    <w:rPr>
      <w:rFonts w:ascii="Bookman Old Style" w:hAnsi="Bookman Old Style"/>
      <w:sz w:val="16"/>
    </w:rPr>
  </w:style>
  <w:style w:type="paragraph" w:customStyle="1" w:styleId="211">
    <w:name w:val="Основной текст 21"/>
    <w:basedOn w:val="a0"/>
    <w:rsid w:val="00431CC5"/>
    <w:pPr>
      <w:overflowPunct w:val="0"/>
      <w:autoSpaceDE w:val="0"/>
      <w:autoSpaceDN w:val="0"/>
      <w:adjustRightInd w:val="0"/>
      <w:ind w:firstLine="720"/>
      <w:textAlignment w:val="baseline"/>
    </w:pPr>
    <w:rPr>
      <w:sz w:val="24"/>
      <w:szCs w:val="20"/>
    </w:rPr>
  </w:style>
  <w:style w:type="paragraph" w:customStyle="1" w:styleId="410">
    <w:name w:val="Оглавление 41"/>
    <w:basedOn w:val="a0"/>
    <w:next w:val="a0"/>
    <w:autoRedefine/>
    <w:uiPriority w:val="39"/>
    <w:unhideWhenUsed/>
    <w:rsid w:val="00431CC5"/>
    <w:pPr>
      <w:spacing w:after="100" w:line="276" w:lineRule="auto"/>
      <w:ind w:left="660"/>
    </w:pPr>
    <w:rPr>
      <w:rFonts w:ascii="Calibri" w:hAnsi="Calibri"/>
      <w:sz w:val="22"/>
      <w:szCs w:val="22"/>
    </w:rPr>
  </w:style>
  <w:style w:type="paragraph" w:customStyle="1" w:styleId="510">
    <w:name w:val="Оглавление 51"/>
    <w:basedOn w:val="a0"/>
    <w:next w:val="a0"/>
    <w:autoRedefine/>
    <w:uiPriority w:val="39"/>
    <w:unhideWhenUsed/>
    <w:rsid w:val="00431CC5"/>
    <w:pPr>
      <w:spacing w:after="100" w:line="276" w:lineRule="auto"/>
      <w:ind w:left="880"/>
    </w:pPr>
    <w:rPr>
      <w:rFonts w:ascii="Calibri" w:hAnsi="Calibri"/>
      <w:sz w:val="22"/>
      <w:szCs w:val="22"/>
    </w:rPr>
  </w:style>
  <w:style w:type="paragraph" w:customStyle="1" w:styleId="610">
    <w:name w:val="Оглавление 61"/>
    <w:basedOn w:val="a0"/>
    <w:next w:val="a0"/>
    <w:autoRedefine/>
    <w:uiPriority w:val="39"/>
    <w:unhideWhenUsed/>
    <w:rsid w:val="00431CC5"/>
    <w:pPr>
      <w:spacing w:after="100" w:line="276" w:lineRule="auto"/>
      <w:ind w:left="1100"/>
    </w:pPr>
    <w:rPr>
      <w:rFonts w:ascii="Calibri" w:hAnsi="Calibri"/>
      <w:sz w:val="22"/>
      <w:szCs w:val="22"/>
    </w:rPr>
  </w:style>
  <w:style w:type="paragraph" w:customStyle="1" w:styleId="710">
    <w:name w:val="Оглавление 71"/>
    <w:basedOn w:val="a0"/>
    <w:next w:val="a0"/>
    <w:autoRedefine/>
    <w:uiPriority w:val="39"/>
    <w:unhideWhenUsed/>
    <w:rsid w:val="00431CC5"/>
    <w:pPr>
      <w:spacing w:after="100" w:line="276" w:lineRule="auto"/>
      <w:ind w:left="1320"/>
    </w:pPr>
    <w:rPr>
      <w:rFonts w:ascii="Calibri" w:hAnsi="Calibri"/>
      <w:sz w:val="22"/>
      <w:szCs w:val="22"/>
    </w:rPr>
  </w:style>
  <w:style w:type="paragraph" w:customStyle="1" w:styleId="81">
    <w:name w:val="Оглавление 81"/>
    <w:basedOn w:val="a0"/>
    <w:next w:val="a0"/>
    <w:autoRedefine/>
    <w:uiPriority w:val="39"/>
    <w:unhideWhenUsed/>
    <w:rsid w:val="00431CC5"/>
    <w:pPr>
      <w:spacing w:after="100" w:line="276" w:lineRule="auto"/>
      <w:ind w:left="1540"/>
    </w:pPr>
    <w:rPr>
      <w:rFonts w:ascii="Calibri" w:hAnsi="Calibri"/>
      <w:sz w:val="22"/>
      <w:szCs w:val="22"/>
    </w:rPr>
  </w:style>
  <w:style w:type="paragraph" w:customStyle="1" w:styleId="91">
    <w:name w:val="Оглавление 91"/>
    <w:basedOn w:val="a0"/>
    <w:next w:val="a0"/>
    <w:autoRedefine/>
    <w:uiPriority w:val="39"/>
    <w:unhideWhenUsed/>
    <w:rsid w:val="00431CC5"/>
    <w:pPr>
      <w:spacing w:after="100" w:line="276" w:lineRule="auto"/>
      <w:ind w:left="1760"/>
    </w:pPr>
    <w:rPr>
      <w:rFonts w:ascii="Calibri" w:hAnsi="Calibri"/>
      <w:sz w:val="22"/>
      <w:szCs w:val="22"/>
    </w:rPr>
  </w:style>
  <w:style w:type="character" w:customStyle="1" w:styleId="mw-headline">
    <w:name w:val="mw-headline"/>
    <w:basedOn w:val="a1"/>
    <w:rsid w:val="00431CC5"/>
  </w:style>
  <w:style w:type="character" w:customStyle="1" w:styleId="editsection">
    <w:name w:val="editsection"/>
    <w:basedOn w:val="a1"/>
    <w:rsid w:val="00431CC5"/>
  </w:style>
  <w:style w:type="table" w:customStyle="1" w:styleId="16">
    <w:name w:val="Светлая заливка1"/>
    <w:basedOn w:val="a2"/>
    <w:next w:val="affd"/>
    <w:uiPriority w:val="60"/>
    <w:rsid w:val="00431CC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17">
    <w:name w:val="Подзаголовок1"/>
    <w:basedOn w:val="a0"/>
    <w:next w:val="a0"/>
    <w:uiPriority w:val="11"/>
    <w:qFormat/>
    <w:rsid w:val="00431CC5"/>
    <w:pPr>
      <w:numPr>
        <w:ilvl w:val="1"/>
      </w:numPr>
    </w:pPr>
    <w:rPr>
      <w:rFonts w:ascii="Cambria" w:hAnsi="Cambria"/>
      <w:i/>
      <w:iCs/>
      <w:color w:val="4F81BD"/>
      <w:spacing w:val="15"/>
      <w:sz w:val="24"/>
      <w:szCs w:val="24"/>
    </w:rPr>
  </w:style>
  <w:style w:type="paragraph" w:customStyle="1" w:styleId="Default">
    <w:name w:val="Default"/>
    <w:rsid w:val="00431CC5"/>
    <w:pPr>
      <w:autoSpaceDE w:val="0"/>
      <w:autoSpaceDN w:val="0"/>
      <w:adjustRightInd w:val="0"/>
    </w:pPr>
    <w:rPr>
      <w:color w:val="000000"/>
      <w:sz w:val="24"/>
      <w:szCs w:val="24"/>
    </w:rPr>
  </w:style>
  <w:style w:type="character" w:customStyle="1" w:styleId="apple-converted-space">
    <w:name w:val="apple-converted-space"/>
    <w:basedOn w:val="a1"/>
    <w:rsid w:val="00431CC5"/>
  </w:style>
  <w:style w:type="table" w:customStyle="1" w:styleId="3-62">
    <w:name w:val="Средняя сетка 3 - Акцент 62"/>
    <w:basedOn w:val="a2"/>
    <w:next w:val="3-6"/>
    <w:uiPriority w:val="69"/>
    <w:rsid w:val="00431CC5"/>
    <w:rPr>
      <w:rFonts w:ascii="Calibri" w:eastAsia="Calibri" w:hAnsi="Calibri"/>
      <w:sz w:val="22"/>
      <w:szCs w:val="22"/>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2">
    <w:name w:val="Темный список - Акцент 32"/>
    <w:basedOn w:val="a2"/>
    <w:next w:val="-3"/>
    <w:uiPriority w:val="70"/>
    <w:rsid w:val="00431CC5"/>
    <w:rPr>
      <w:rFonts w:ascii="Calibri" w:eastAsia="Calibri" w:hAnsi="Calibri"/>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c">
    <w:name w:val="Светлая заливка2"/>
    <w:basedOn w:val="a2"/>
    <w:next w:val="affd"/>
    <w:uiPriority w:val="60"/>
    <w:rsid w:val="00431CC5"/>
    <w:rPr>
      <w:rFonts w:ascii="Calibri" w:eastAsia="Calibri" w:hAnsi="Calibri"/>
      <w:color w:val="000000"/>
      <w:sz w:val="22"/>
      <w:szCs w:val="22"/>
      <w:lang w:eastAsia="en-U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18">
    <w:name w:val="Подзаголовок Знак1"/>
    <w:basedOn w:val="a1"/>
    <w:uiPriority w:val="11"/>
    <w:rsid w:val="00431CC5"/>
    <w:rPr>
      <w:rFonts w:ascii="Cambria" w:eastAsia="Times New Roman" w:hAnsi="Cambria" w:cs="Times New Roman"/>
      <w:i/>
      <w:iCs/>
      <w:color w:val="4F81BD"/>
      <w:spacing w:val="15"/>
      <w:sz w:val="24"/>
      <w:szCs w:val="24"/>
    </w:rPr>
  </w:style>
  <w:style w:type="table" w:styleId="3-6">
    <w:name w:val="Medium Grid 3 Accent 6"/>
    <w:basedOn w:val="a2"/>
    <w:uiPriority w:val="69"/>
    <w:rsid w:val="00431CC5"/>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3">
    <w:name w:val="Dark List Accent 3"/>
    <w:basedOn w:val="a2"/>
    <w:uiPriority w:val="70"/>
    <w:rsid w:val="00431CC5"/>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affd">
    <w:name w:val="Light Shading"/>
    <w:basedOn w:val="a2"/>
    <w:uiPriority w:val="60"/>
    <w:rsid w:val="00431CC5"/>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f1">
    <w:name w:val="Обычный (веб) Знак"/>
    <w:link w:val="af0"/>
    <w:rsid w:val="001F45ED"/>
    <w:rPr>
      <w:color w:val="000000"/>
      <w:sz w:val="24"/>
      <w:szCs w:val="24"/>
    </w:rPr>
  </w:style>
  <w:style w:type="table" w:customStyle="1" w:styleId="3a">
    <w:name w:val="Сетка таблицы3"/>
    <w:basedOn w:val="a2"/>
    <w:next w:val="a9"/>
    <w:uiPriority w:val="59"/>
    <w:rsid w:val="001F09B4"/>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Сетка таблицы4"/>
    <w:basedOn w:val="a2"/>
    <w:next w:val="a9"/>
    <w:uiPriority w:val="59"/>
    <w:rsid w:val="0062656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3">
    <w:name w:val="Абзац списка Знак"/>
    <w:aliases w:val="Абзац списка основной Знак"/>
    <w:link w:val="aff2"/>
    <w:uiPriority w:val="34"/>
    <w:locked/>
    <w:rsid w:val="005132F7"/>
    <w:rPr>
      <w:sz w:val="26"/>
      <w:szCs w:val="26"/>
    </w:rPr>
  </w:style>
  <w:style w:type="paragraph" w:styleId="2d">
    <w:name w:val="Body Text 2"/>
    <w:basedOn w:val="a0"/>
    <w:link w:val="2e"/>
    <w:rsid w:val="00B12755"/>
    <w:pPr>
      <w:spacing w:after="120" w:line="480" w:lineRule="auto"/>
    </w:pPr>
  </w:style>
  <w:style w:type="character" w:customStyle="1" w:styleId="2e">
    <w:name w:val="Основной текст 2 Знак"/>
    <w:basedOn w:val="a1"/>
    <w:link w:val="2d"/>
    <w:rsid w:val="00B12755"/>
    <w:rPr>
      <w:sz w:val="26"/>
      <w:szCs w:val="26"/>
    </w:rPr>
  </w:style>
  <w:style w:type="paragraph" w:styleId="affe">
    <w:name w:val="Salutation"/>
    <w:basedOn w:val="a0"/>
    <w:link w:val="afff"/>
    <w:rsid w:val="00B12755"/>
    <w:rPr>
      <w:sz w:val="28"/>
      <w:szCs w:val="20"/>
    </w:rPr>
  </w:style>
  <w:style w:type="character" w:customStyle="1" w:styleId="afff">
    <w:name w:val="Приветствие Знак"/>
    <w:basedOn w:val="a1"/>
    <w:link w:val="affe"/>
    <w:rsid w:val="00B12755"/>
    <w:rPr>
      <w:sz w:val="28"/>
    </w:rPr>
  </w:style>
  <w:style w:type="paragraph" w:customStyle="1" w:styleId="19">
    <w:name w:val="Абзац списка1"/>
    <w:basedOn w:val="a0"/>
    <w:rsid w:val="006568BA"/>
    <w:pPr>
      <w:ind w:left="720"/>
      <w:contextualSpacing/>
    </w:pPr>
  </w:style>
  <w:style w:type="paragraph" w:customStyle="1" w:styleId="2f">
    <w:name w:val="Абзац списка2"/>
    <w:basedOn w:val="a0"/>
    <w:rsid w:val="006568B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qFormat="1"/>
    <w:lsdException w:name="footnote reference" w:qFormat="1"/>
    <w:lsdException w:name="List 2" w:uiPriority="99"/>
    <w:lsdException w:name="Title" w:qFormat="1"/>
    <w:lsdException w:name="Subtitle" w:uiPriority="11" w:qFormat="1"/>
    <w:lsdException w:name="Hyperlink" w:uiPriority="99"/>
    <w:lsdException w:name="FollowedHyperlink" w:uiPriority="99"/>
    <w:lsdException w:name="Strong" w:uiPriority="22" w:qFormat="1"/>
    <w:lsdException w:name="Emphasis" w:uiPriority="20" w:qFormat="1"/>
    <w:lsdException w:name="Normal (Web)" w:uiPriority="99"/>
    <w:lsdException w:name="HTML Cite"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AF48DB"/>
    <w:rPr>
      <w:sz w:val="26"/>
      <w:szCs w:val="26"/>
    </w:rPr>
  </w:style>
  <w:style w:type="paragraph" w:styleId="1">
    <w:name w:val="heading 1"/>
    <w:basedOn w:val="a0"/>
    <w:next w:val="a0"/>
    <w:link w:val="10"/>
    <w:qFormat/>
    <w:rsid w:val="00EF7178"/>
    <w:pPr>
      <w:keepNext/>
      <w:outlineLvl w:val="0"/>
    </w:pPr>
    <w:rPr>
      <w:b/>
      <w:bCs/>
      <w:sz w:val="24"/>
      <w:szCs w:val="24"/>
    </w:rPr>
  </w:style>
  <w:style w:type="paragraph" w:styleId="2">
    <w:name w:val="heading 2"/>
    <w:basedOn w:val="a0"/>
    <w:next w:val="a0"/>
    <w:link w:val="20"/>
    <w:qFormat/>
    <w:rsid w:val="00EF7178"/>
    <w:pPr>
      <w:keepNext/>
      <w:jc w:val="both"/>
      <w:outlineLvl w:val="1"/>
    </w:pPr>
    <w:rPr>
      <w:sz w:val="24"/>
      <w:szCs w:val="24"/>
    </w:rPr>
  </w:style>
  <w:style w:type="paragraph" w:styleId="3">
    <w:name w:val="heading 3"/>
    <w:basedOn w:val="a0"/>
    <w:next w:val="a0"/>
    <w:link w:val="30"/>
    <w:qFormat/>
    <w:rsid w:val="00EF7178"/>
    <w:pPr>
      <w:keepNext/>
      <w:spacing w:before="120"/>
      <w:jc w:val="both"/>
      <w:outlineLvl w:val="2"/>
    </w:pPr>
    <w:rPr>
      <w:b/>
      <w:bCs/>
      <w:sz w:val="24"/>
      <w:szCs w:val="24"/>
    </w:rPr>
  </w:style>
  <w:style w:type="paragraph" w:styleId="4">
    <w:name w:val="heading 4"/>
    <w:basedOn w:val="a0"/>
    <w:next w:val="a0"/>
    <w:link w:val="40"/>
    <w:qFormat/>
    <w:rsid w:val="00EF7178"/>
    <w:pPr>
      <w:keepNext/>
      <w:spacing w:before="120"/>
      <w:ind w:firstLine="708"/>
      <w:jc w:val="both"/>
      <w:outlineLvl w:val="3"/>
    </w:pPr>
    <w:rPr>
      <w:sz w:val="24"/>
      <w:szCs w:val="24"/>
    </w:rPr>
  </w:style>
  <w:style w:type="paragraph" w:styleId="5">
    <w:name w:val="heading 5"/>
    <w:basedOn w:val="a0"/>
    <w:next w:val="a0"/>
    <w:link w:val="50"/>
    <w:qFormat/>
    <w:rsid w:val="00ED29CA"/>
    <w:pPr>
      <w:spacing w:before="240" w:after="60"/>
      <w:outlineLvl w:val="4"/>
    </w:pPr>
    <w:rPr>
      <w:b/>
      <w:bCs/>
      <w:i/>
      <w:iCs/>
    </w:rPr>
  </w:style>
  <w:style w:type="paragraph" w:styleId="6">
    <w:name w:val="heading 6"/>
    <w:basedOn w:val="a0"/>
    <w:next w:val="a0"/>
    <w:link w:val="60"/>
    <w:qFormat/>
    <w:rsid w:val="00ED29CA"/>
    <w:pPr>
      <w:spacing w:before="240" w:after="60"/>
      <w:outlineLvl w:val="5"/>
    </w:pPr>
    <w:rPr>
      <w:b/>
      <w:bCs/>
      <w:sz w:val="22"/>
      <w:szCs w:val="22"/>
    </w:rPr>
  </w:style>
  <w:style w:type="paragraph" w:styleId="7">
    <w:name w:val="heading 7"/>
    <w:basedOn w:val="a0"/>
    <w:next w:val="a0"/>
    <w:link w:val="70"/>
    <w:qFormat/>
    <w:rsid w:val="00ED29CA"/>
    <w:pPr>
      <w:spacing w:before="240" w:after="60"/>
      <w:outlineLvl w:val="6"/>
    </w:pPr>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7F29F7"/>
    <w:rPr>
      <w:b/>
      <w:bCs/>
      <w:sz w:val="24"/>
      <w:szCs w:val="24"/>
    </w:rPr>
  </w:style>
  <w:style w:type="character" w:customStyle="1" w:styleId="20">
    <w:name w:val="Заголовок 2 Знак"/>
    <w:basedOn w:val="a1"/>
    <w:link w:val="2"/>
    <w:rsid w:val="00C64248"/>
    <w:rPr>
      <w:sz w:val="24"/>
      <w:szCs w:val="24"/>
    </w:rPr>
  </w:style>
  <w:style w:type="character" w:customStyle="1" w:styleId="30">
    <w:name w:val="Заголовок 3 Знак"/>
    <w:basedOn w:val="a1"/>
    <w:link w:val="3"/>
    <w:rsid w:val="006A5323"/>
    <w:rPr>
      <w:b/>
      <w:bCs/>
      <w:sz w:val="24"/>
      <w:szCs w:val="24"/>
    </w:rPr>
  </w:style>
  <w:style w:type="paragraph" w:styleId="a4">
    <w:name w:val="footer"/>
    <w:basedOn w:val="a0"/>
    <w:link w:val="a5"/>
    <w:rsid w:val="00387453"/>
    <w:pPr>
      <w:tabs>
        <w:tab w:val="center" w:pos="4677"/>
        <w:tab w:val="right" w:pos="9355"/>
      </w:tabs>
    </w:pPr>
  </w:style>
  <w:style w:type="character" w:styleId="a6">
    <w:name w:val="page number"/>
    <w:basedOn w:val="a1"/>
    <w:rsid w:val="00387453"/>
  </w:style>
  <w:style w:type="paragraph" w:styleId="a7">
    <w:name w:val="header"/>
    <w:aliases w:val="ВерхКолонтитул Знак,Верхний колонтитул Знак Знак,ВерхКолонтитул"/>
    <w:basedOn w:val="a0"/>
    <w:link w:val="a8"/>
    <w:rsid w:val="00387453"/>
    <w:pPr>
      <w:tabs>
        <w:tab w:val="center" w:pos="4677"/>
        <w:tab w:val="right" w:pos="9355"/>
      </w:tabs>
    </w:pPr>
  </w:style>
  <w:style w:type="character" w:customStyle="1" w:styleId="a8">
    <w:name w:val="Верхний колонтитул Знак"/>
    <w:aliases w:val="ВерхКолонтитул Знак Знак,Верхний колонтитул Знак Знак Знак,ВерхКолонтитул Знак1"/>
    <w:basedOn w:val="a1"/>
    <w:link w:val="a7"/>
    <w:rsid w:val="00490A50"/>
    <w:rPr>
      <w:sz w:val="26"/>
      <w:szCs w:val="26"/>
    </w:rPr>
  </w:style>
  <w:style w:type="table" w:styleId="a9">
    <w:name w:val="Table Grid"/>
    <w:basedOn w:val="a2"/>
    <w:uiPriority w:val="59"/>
    <w:rsid w:val="00166A1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ED3778"/>
    <w:pPr>
      <w:widowControl w:val="0"/>
      <w:autoSpaceDE w:val="0"/>
      <w:autoSpaceDN w:val="0"/>
      <w:adjustRightInd w:val="0"/>
    </w:pPr>
    <w:rPr>
      <w:rFonts w:ascii="Arial" w:hAnsi="Arial" w:cs="Arial"/>
      <w:b/>
      <w:bCs/>
      <w:sz w:val="16"/>
      <w:szCs w:val="16"/>
    </w:rPr>
  </w:style>
  <w:style w:type="character" w:styleId="aa">
    <w:name w:val="Hyperlink"/>
    <w:basedOn w:val="a1"/>
    <w:uiPriority w:val="99"/>
    <w:rsid w:val="00B670BF"/>
    <w:rPr>
      <w:color w:val="0000FF"/>
      <w:u w:val="single"/>
    </w:rPr>
  </w:style>
  <w:style w:type="paragraph" w:customStyle="1" w:styleId="12pt0">
    <w:name w:val="Стиль 12 pt полужирный по центру Междустр.интервал:  множитель 0..."/>
    <w:basedOn w:val="a0"/>
    <w:rsid w:val="00F65102"/>
    <w:pPr>
      <w:spacing w:line="192" w:lineRule="auto"/>
      <w:jc w:val="center"/>
    </w:pPr>
    <w:rPr>
      <w:b/>
      <w:bCs/>
      <w:sz w:val="24"/>
      <w:szCs w:val="20"/>
    </w:rPr>
  </w:style>
  <w:style w:type="paragraph" w:styleId="ab">
    <w:name w:val="Body Text"/>
    <w:basedOn w:val="a0"/>
    <w:link w:val="ac"/>
    <w:rsid w:val="00EF7178"/>
    <w:pPr>
      <w:spacing w:after="120"/>
      <w:jc w:val="both"/>
    </w:pPr>
    <w:rPr>
      <w:sz w:val="24"/>
      <w:szCs w:val="24"/>
    </w:rPr>
  </w:style>
  <w:style w:type="paragraph" w:styleId="ad">
    <w:name w:val="Body Text Indent"/>
    <w:basedOn w:val="a0"/>
    <w:link w:val="ae"/>
    <w:rsid w:val="00EF7178"/>
    <w:pPr>
      <w:spacing w:before="120"/>
      <w:ind w:firstLine="709"/>
      <w:jc w:val="both"/>
    </w:pPr>
    <w:rPr>
      <w:sz w:val="24"/>
      <w:szCs w:val="24"/>
    </w:rPr>
  </w:style>
  <w:style w:type="paragraph" w:styleId="21">
    <w:name w:val="Body Text Indent 2"/>
    <w:basedOn w:val="a0"/>
    <w:link w:val="22"/>
    <w:rsid w:val="00EF7178"/>
    <w:pPr>
      <w:spacing w:before="120"/>
      <w:ind w:firstLine="708"/>
      <w:jc w:val="both"/>
    </w:pPr>
    <w:rPr>
      <w:sz w:val="24"/>
      <w:szCs w:val="24"/>
    </w:rPr>
  </w:style>
  <w:style w:type="paragraph" w:styleId="31">
    <w:name w:val="Body Text Indent 3"/>
    <w:basedOn w:val="a0"/>
    <w:link w:val="32"/>
    <w:rsid w:val="00EF7178"/>
    <w:pPr>
      <w:spacing w:before="120" w:after="120"/>
      <w:ind w:firstLine="708"/>
    </w:pPr>
    <w:rPr>
      <w:sz w:val="24"/>
      <w:szCs w:val="24"/>
    </w:rPr>
  </w:style>
  <w:style w:type="paragraph" w:styleId="af">
    <w:name w:val="caption"/>
    <w:basedOn w:val="a0"/>
    <w:next w:val="a0"/>
    <w:qFormat/>
    <w:rsid w:val="00ED29CA"/>
    <w:pPr>
      <w:spacing w:before="120" w:after="120"/>
      <w:ind w:firstLine="708"/>
      <w:jc w:val="both"/>
    </w:pPr>
    <w:rPr>
      <w:b/>
      <w:bCs/>
      <w:i/>
      <w:iCs/>
      <w:sz w:val="24"/>
      <w:szCs w:val="24"/>
    </w:rPr>
  </w:style>
  <w:style w:type="paragraph" w:styleId="33">
    <w:name w:val="Body Text 3"/>
    <w:basedOn w:val="a0"/>
    <w:link w:val="34"/>
    <w:rsid w:val="00181DA7"/>
    <w:pPr>
      <w:spacing w:after="120"/>
    </w:pPr>
    <w:rPr>
      <w:sz w:val="16"/>
      <w:szCs w:val="16"/>
    </w:rPr>
  </w:style>
  <w:style w:type="paragraph" w:customStyle="1" w:styleId="210">
    <w:name w:val="Îñíîâíîé òåêñò 21"/>
    <w:basedOn w:val="a0"/>
    <w:rsid w:val="00181DA7"/>
    <w:pPr>
      <w:jc w:val="both"/>
    </w:pPr>
    <w:rPr>
      <w:sz w:val="24"/>
      <w:szCs w:val="20"/>
    </w:rPr>
  </w:style>
  <w:style w:type="paragraph" w:styleId="af0">
    <w:name w:val="Normal (Web)"/>
    <w:basedOn w:val="a0"/>
    <w:link w:val="af1"/>
    <w:uiPriority w:val="99"/>
    <w:rsid w:val="00066ECD"/>
    <w:pPr>
      <w:spacing w:before="100" w:beforeAutospacing="1" w:after="100" w:afterAutospacing="1"/>
    </w:pPr>
    <w:rPr>
      <w:color w:val="000000"/>
      <w:sz w:val="24"/>
      <w:szCs w:val="24"/>
    </w:rPr>
  </w:style>
  <w:style w:type="character" w:styleId="af2">
    <w:name w:val="Strong"/>
    <w:basedOn w:val="a1"/>
    <w:uiPriority w:val="22"/>
    <w:qFormat/>
    <w:rsid w:val="00066ECD"/>
    <w:rPr>
      <w:b/>
      <w:bCs/>
    </w:rPr>
  </w:style>
  <w:style w:type="paragraph" w:customStyle="1" w:styleId="ConsNormal">
    <w:name w:val="ConsNormal"/>
    <w:rsid w:val="009E3207"/>
    <w:pPr>
      <w:widowControl w:val="0"/>
      <w:autoSpaceDE w:val="0"/>
      <w:autoSpaceDN w:val="0"/>
      <w:adjustRightInd w:val="0"/>
      <w:ind w:firstLine="720"/>
    </w:pPr>
    <w:rPr>
      <w:rFonts w:ascii="Arial" w:hAnsi="Arial" w:cs="Arial"/>
    </w:rPr>
  </w:style>
  <w:style w:type="paragraph" w:styleId="af3">
    <w:name w:val="Balloon Text"/>
    <w:basedOn w:val="a0"/>
    <w:link w:val="af4"/>
    <w:semiHidden/>
    <w:rsid w:val="00662947"/>
    <w:rPr>
      <w:rFonts w:ascii="Tahoma" w:hAnsi="Tahoma" w:cs="Tahoma"/>
      <w:sz w:val="16"/>
      <w:szCs w:val="16"/>
    </w:rPr>
  </w:style>
  <w:style w:type="paragraph" w:styleId="11">
    <w:name w:val="toc 1"/>
    <w:basedOn w:val="a0"/>
    <w:next w:val="a0"/>
    <w:autoRedefine/>
    <w:uiPriority w:val="39"/>
    <w:rsid w:val="003B79F1"/>
    <w:pPr>
      <w:tabs>
        <w:tab w:val="right" w:leader="dot" w:pos="10490"/>
      </w:tabs>
      <w:spacing w:beforeLines="60" w:before="144" w:afterLines="60" w:after="144"/>
    </w:pPr>
    <w:rPr>
      <w:rFonts w:ascii="Bookman Old Style" w:hAnsi="Bookman Old Style"/>
      <w:noProof/>
      <w:sz w:val="20"/>
      <w:szCs w:val="20"/>
    </w:rPr>
  </w:style>
  <w:style w:type="paragraph" w:styleId="35">
    <w:name w:val="toc 3"/>
    <w:basedOn w:val="a0"/>
    <w:next w:val="a0"/>
    <w:autoRedefine/>
    <w:uiPriority w:val="39"/>
    <w:rsid w:val="007A27FB"/>
    <w:pPr>
      <w:tabs>
        <w:tab w:val="right" w:leader="dot" w:pos="10206"/>
      </w:tabs>
      <w:spacing w:before="80" w:after="80"/>
    </w:pPr>
  </w:style>
  <w:style w:type="paragraph" w:styleId="23">
    <w:name w:val="List 2"/>
    <w:basedOn w:val="a0"/>
    <w:uiPriority w:val="99"/>
    <w:rsid w:val="008D6F23"/>
    <w:pPr>
      <w:ind w:left="566" w:hanging="283"/>
    </w:pPr>
  </w:style>
  <w:style w:type="paragraph" w:styleId="36">
    <w:name w:val="List 3"/>
    <w:basedOn w:val="a0"/>
    <w:rsid w:val="008D6F23"/>
    <w:pPr>
      <w:ind w:left="849" w:hanging="283"/>
    </w:pPr>
  </w:style>
  <w:style w:type="paragraph" w:styleId="af5">
    <w:name w:val="List Bullet"/>
    <w:basedOn w:val="a0"/>
    <w:rsid w:val="008D6F23"/>
    <w:pPr>
      <w:tabs>
        <w:tab w:val="num" w:pos="360"/>
      </w:tabs>
      <w:ind w:left="360" w:hanging="360"/>
    </w:pPr>
  </w:style>
  <w:style w:type="paragraph" w:styleId="24">
    <w:name w:val="List Bullet 2"/>
    <w:basedOn w:val="a0"/>
    <w:rsid w:val="008D6F23"/>
    <w:pPr>
      <w:tabs>
        <w:tab w:val="num" w:pos="643"/>
      </w:tabs>
      <w:ind w:left="643" w:hanging="360"/>
    </w:pPr>
  </w:style>
  <w:style w:type="paragraph" w:styleId="25">
    <w:name w:val="List Continue 2"/>
    <w:basedOn w:val="a0"/>
    <w:rsid w:val="008D6F23"/>
    <w:pPr>
      <w:spacing w:after="120"/>
      <w:ind w:left="566"/>
    </w:pPr>
  </w:style>
  <w:style w:type="paragraph" w:styleId="af6">
    <w:name w:val="Title"/>
    <w:basedOn w:val="a0"/>
    <w:link w:val="af7"/>
    <w:qFormat/>
    <w:rsid w:val="008D6F23"/>
    <w:pPr>
      <w:spacing w:before="240" w:after="60"/>
      <w:jc w:val="center"/>
      <w:outlineLvl w:val="0"/>
    </w:pPr>
    <w:rPr>
      <w:rFonts w:ascii="Arial" w:hAnsi="Arial" w:cs="Arial"/>
      <w:b/>
      <w:bCs/>
      <w:kern w:val="28"/>
      <w:sz w:val="32"/>
      <w:szCs w:val="32"/>
    </w:rPr>
  </w:style>
  <w:style w:type="paragraph" w:styleId="af8">
    <w:name w:val="Subtitle"/>
    <w:basedOn w:val="a0"/>
    <w:link w:val="af9"/>
    <w:uiPriority w:val="11"/>
    <w:qFormat/>
    <w:rsid w:val="008D6F23"/>
    <w:pPr>
      <w:spacing w:after="60"/>
      <w:jc w:val="center"/>
      <w:outlineLvl w:val="1"/>
    </w:pPr>
    <w:rPr>
      <w:rFonts w:ascii="Arial" w:hAnsi="Arial" w:cs="Arial"/>
      <w:sz w:val="24"/>
      <w:szCs w:val="24"/>
    </w:rPr>
  </w:style>
  <w:style w:type="paragraph" w:styleId="afa">
    <w:name w:val="Body Text First Indent"/>
    <w:basedOn w:val="ab"/>
    <w:link w:val="afb"/>
    <w:rsid w:val="008D6F23"/>
    <w:pPr>
      <w:ind w:firstLine="210"/>
      <w:jc w:val="left"/>
    </w:pPr>
    <w:rPr>
      <w:sz w:val="26"/>
      <w:szCs w:val="26"/>
    </w:rPr>
  </w:style>
  <w:style w:type="paragraph" w:styleId="26">
    <w:name w:val="Body Text First Indent 2"/>
    <w:basedOn w:val="ad"/>
    <w:link w:val="27"/>
    <w:rsid w:val="008D6F23"/>
    <w:pPr>
      <w:spacing w:before="0" w:after="120"/>
      <w:ind w:left="283" w:firstLine="210"/>
      <w:jc w:val="left"/>
    </w:pPr>
    <w:rPr>
      <w:sz w:val="26"/>
      <w:szCs w:val="26"/>
    </w:rPr>
  </w:style>
  <w:style w:type="paragraph" w:customStyle="1" w:styleId="ConsCell">
    <w:name w:val="ConsCell"/>
    <w:rsid w:val="00762B9B"/>
    <w:pPr>
      <w:widowControl w:val="0"/>
      <w:autoSpaceDE w:val="0"/>
      <w:autoSpaceDN w:val="0"/>
      <w:adjustRightInd w:val="0"/>
    </w:pPr>
    <w:rPr>
      <w:rFonts w:ascii="Arial" w:hAnsi="Arial" w:cs="Arial"/>
    </w:rPr>
  </w:style>
  <w:style w:type="paragraph" w:styleId="afc">
    <w:name w:val="Document Map"/>
    <w:basedOn w:val="a0"/>
    <w:link w:val="afd"/>
    <w:semiHidden/>
    <w:rsid w:val="00435F37"/>
    <w:pPr>
      <w:shd w:val="clear" w:color="auto" w:fill="000080"/>
    </w:pPr>
    <w:rPr>
      <w:rFonts w:ascii="Tahoma" w:hAnsi="Tahoma" w:cs="Tahoma"/>
      <w:sz w:val="20"/>
      <w:szCs w:val="20"/>
    </w:rPr>
  </w:style>
  <w:style w:type="paragraph" w:styleId="28">
    <w:name w:val="toc 2"/>
    <w:basedOn w:val="a0"/>
    <w:next w:val="a0"/>
    <w:autoRedefine/>
    <w:uiPriority w:val="39"/>
    <w:rsid w:val="001434FD"/>
    <w:pPr>
      <w:tabs>
        <w:tab w:val="right" w:leader="dot" w:pos="10479"/>
      </w:tabs>
      <w:spacing w:before="120" w:after="120"/>
      <w:ind w:left="261"/>
    </w:pPr>
    <w:rPr>
      <w:rFonts w:ascii="Bookman Old Style" w:hAnsi="Bookman Old Style"/>
      <w:noProof/>
      <w:sz w:val="20"/>
      <w:szCs w:val="20"/>
    </w:rPr>
  </w:style>
  <w:style w:type="paragraph" w:customStyle="1" w:styleId="ConsNonformat">
    <w:name w:val="ConsNonformat"/>
    <w:rsid w:val="0089586A"/>
    <w:pPr>
      <w:widowControl w:val="0"/>
      <w:autoSpaceDE w:val="0"/>
      <w:autoSpaceDN w:val="0"/>
      <w:adjustRightInd w:val="0"/>
    </w:pPr>
    <w:rPr>
      <w:rFonts w:ascii="Courier New" w:hAnsi="Courier New" w:cs="Courier New"/>
    </w:rPr>
  </w:style>
  <w:style w:type="paragraph" w:styleId="afe">
    <w:name w:val="footnote text"/>
    <w:aliases w:val="Текст сноски Знак Знак,Текст сноски Знак1 Знак,Текст сноски Знак Знак1 Знак,Table_Footnote_last,Текст сноски Знак Знак Знак Знак Знак Знак Знак,Текст сноски Знак Знак Знак Знак Знак Знак Знак Знак,Текст примечания Знак Знак Знак,Зна,Знак1,З"/>
    <w:basedOn w:val="a0"/>
    <w:link w:val="aff"/>
    <w:uiPriority w:val="99"/>
    <w:rsid w:val="003408B0"/>
    <w:rPr>
      <w:sz w:val="20"/>
      <w:szCs w:val="20"/>
    </w:rPr>
  </w:style>
  <w:style w:type="character" w:customStyle="1" w:styleId="aff">
    <w:name w:val="Текст сноски Знак"/>
    <w:aliases w:val="Текст сноски Знак Знак Знак,Текст сноски Знак1 Знак Знак,Текст сноски Знак Знак1 Знак Знак,Table_Footnote_last Знак,Текст сноски Знак Знак Знак Знак Знак Знак Знак Знак1,Текст сноски Знак Знак Знак Знак Знак Знак Знак Знак Знак,З Знак"/>
    <w:basedOn w:val="a1"/>
    <w:link w:val="afe"/>
    <w:uiPriority w:val="99"/>
    <w:rsid w:val="00EB07A6"/>
  </w:style>
  <w:style w:type="character" w:styleId="aff0">
    <w:name w:val="footnote reference"/>
    <w:aliases w:val="Знак сноски 1,Знак сноски-FN,ftref,сноска,вески,Ciae niinee-FN,Referencia nota al pie,СНОСКА,сноска1,fr,Used by Word for Help footnote symbols,ХИА_ЗС,Знак сноски1,SUPERS,Avg - Знак сноски,Avg,ООО Знак сноски,avg-Знак сноски"/>
    <w:basedOn w:val="a1"/>
    <w:qFormat/>
    <w:rsid w:val="003408B0"/>
    <w:rPr>
      <w:vertAlign w:val="superscript"/>
    </w:rPr>
  </w:style>
  <w:style w:type="paragraph" w:customStyle="1" w:styleId="ConsPlusNormal">
    <w:name w:val="ConsPlusNormal"/>
    <w:rsid w:val="00380BAF"/>
    <w:pPr>
      <w:widowControl w:val="0"/>
      <w:autoSpaceDE w:val="0"/>
      <w:autoSpaceDN w:val="0"/>
      <w:adjustRightInd w:val="0"/>
      <w:ind w:firstLine="720"/>
    </w:pPr>
    <w:rPr>
      <w:rFonts w:ascii="Arial" w:hAnsi="Arial" w:cs="Arial"/>
    </w:rPr>
  </w:style>
  <w:style w:type="paragraph" w:customStyle="1" w:styleId="ConsPlusTitle">
    <w:name w:val="ConsPlusTitle"/>
    <w:rsid w:val="001C655C"/>
    <w:pPr>
      <w:widowControl w:val="0"/>
      <w:autoSpaceDE w:val="0"/>
      <w:autoSpaceDN w:val="0"/>
      <w:adjustRightInd w:val="0"/>
    </w:pPr>
    <w:rPr>
      <w:rFonts w:ascii="Arial" w:hAnsi="Arial" w:cs="Arial"/>
      <w:b/>
      <w:bCs/>
    </w:rPr>
  </w:style>
  <w:style w:type="character" w:styleId="aff1">
    <w:name w:val="Emphasis"/>
    <w:basedOn w:val="a1"/>
    <w:uiPriority w:val="20"/>
    <w:qFormat/>
    <w:rsid w:val="00392C78"/>
    <w:rPr>
      <w:i/>
      <w:iCs/>
    </w:rPr>
  </w:style>
  <w:style w:type="paragraph" w:customStyle="1" w:styleId="just">
    <w:name w:val="just"/>
    <w:basedOn w:val="a0"/>
    <w:rsid w:val="00293D86"/>
    <w:pPr>
      <w:spacing w:before="100" w:beforeAutospacing="1" w:after="100" w:afterAutospacing="1"/>
    </w:pPr>
    <w:rPr>
      <w:sz w:val="24"/>
      <w:szCs w:val="24"/>
    </w:rPr>
  </w:style>
  <w:style w:type="paragraph" w:customStyle="1" w:styleId="pcss">
    <w:name w:val="pcss"/>
    <w:basedOn w:val="a0"/>
    <w:rsid w:val="005E670E"/>
    <w:pPr>
      <w:spacing w:before="100" w:beforeAutospacing="1" w:after="100" w:afterAutospacing="1"/>
      <w:ind w:firstLine="720"/>
    </w:pPr>
    <w:rPr>
      <w:rFonts w:ascii="Verdana" w:hAnsi="Verdana"/>
      <w:sz w:val="18"/>
      <w:szCs w:val="18"/>
    </w:rPr>
  </w:style>
  <w:style w:type="paragraph" w:styleId="aff2">
    <w:name w:val="List Paragraph"/>
    <w:aliases w:val="Абзац списка основной"/>
    <w:basedOn w:val="a0"/>
    <w:link w:val="aff3"/>
    <w:uiPriority w:val="34"/>
    <w:qFormat/>
    <w:rsid w:val="00AC72C1"/>
    <w:pPr>
      <w:ind w:left="720"/>
      <w:contextualSpacing/>
    </w:pPr>
  </w:style>
  <w:style w:type="paragraph" w:styleId="aff4">
    <w:name w:val="Revision"/>
    <w:hidden/>
    <w:uiPriority w:val="99"/>
    <w:semiHidden/>
    <w:rsid w:val="007342E0"/>
    <w:rPr>
      <w:sz w:val="26"/>
      <w:szCs w:val="26"/>
    </w:rPr>
  </w:style>
  <w:style w:type="paragraph" w:styleId="a">
    <w:name w:val="Plain Text"/>
    <w:basedOn w:val="a0"/>
    <w:link w:val="aff5"/>
    <w:autoRedefine/>
    <w:rsid w:val="00F94C1B"/>
    <w:pPr>
      <w:widowControl w:val="0"/>
      <w:numPr>
        <w:numId w:val="9"/>
      </w:numPr>
      <w:autoSpaceDE w:val="0"/>
      <w:autoSpaceDN w:val="0"/>
      <w:adjustRightInd w:val="0"/>
      <w:spacing w:before="120" w:after="120"/>
    </w:pPr>
    <w:rPr>
      <w:rFonts w:ascii="Bookman Old Style" w:hAnsi="Bookman Old Style"/>
      <w:sz w:val="20"/>
      <w:szCs w:val="20"/>
    </w:rPr>
  </w:style>
  <w:style w:type="character" w:customStyle="1" w:styleId="aff5">
    <w:name w:val="Текст Знак"/>
    <w:basedOn w:val="a1"/>
    <w:link w:val="a"/>
    <w:rsid w:val="00F94C1B"/>
    <w:rPr>
      <w:rFonts w:ascii="Bookman Old Style" w:hAnsi="Bookman Old Style"/>
    </w:rPr>
  </w:style>
  <w:style w:type="character" w:styleId="aff6">
    <w:name w:val="Placeholder Text"/>
    <w:basedOn w:val="a1"/>
    <w:uiPriority w:val="99"/>
    <w:semiHidden/>
    <w:rsid w:val="009D676E"/>
    <w:rPr>
      <w:color w:val="808080"/>
    </w:rPr>
  </w:style>
  <w:style w:type="paragraph" w:customStyle="1" w:styleId="ConsPlusNonformat">
    <w:name w:val="ConsPlusNonformat"/>
    <w:rsid w:val="00ED600A"/>
    <w:pPr>
      <w:widowControl w:val="0"/>
      <w:autoSpaceDE w:val="0"/>
      <w:autoSpaceDN w:val="0"/>
      <w:adjustRightInd w:val="0"/>
    </w:pPr>
    <w:rPr>
      <w:rFonts w:ascii="Courier New" w:hAnsi="Courier New" w:cs="Courier New"/>
    </w:rPr>
  </w:style>
  <w:style w:type="paragraph" w:customStyle="1" w:styleId="text">
    <w:name w:val="text"/>
    <w:basedOn w:val="a0"/>
    <w:rsid w:val="002C0BA7"/>
    <w:pPr>
      <w:spacing w:before="100" w:beforeAutospacing="1" w:after="100" w:afterAutospacing="1"/>
    </w:pPr>
    <w:rPr>
      <w:sz w:val="24"/>
      <w:szCs w:val="24"/>
    </w:rPr>
  </w:style>
  <w:style w:type="paragraph" w:customStyle="1" w:styleId="u">
    <w:name w:val="u"/>
    <w:basedOn w:val="a0"/>
    <w:rsid w:val="00E746DF"/>
    <w:pPr>
      <w:ind w:firstLine="390"/>
      <w:jc w:val="both"/>
    </w:pPr>
    <w:rPr>
      <w:sz w:val="24"/>
      <w:szCs w:val="24"/>
    </w:rPr>
  </w:style>
  <w:style w:type="character" w:styleId="HTML">
    <w:name w:val="HTML Cite"/>
    <w:basedOn w:val="a1"/>
    <w:uiPriority w:val="99"/>
    <w:unhideWhenUsed/>
    <w:rsid w:val="00EE1A35"/>
    <w:rPr>
      <w:i/>
      <w:iCs/>
    </w:rPr>
  </w:style>
  <w:style w:type="character" w:customStyle="1" w:styleId="small">
    <w:name w:val="small"/>
    <w:basedOn w:val="a1"/>
    <w:rsid w:val="00F544B5"/>
  </w:style>
  <w:style w:type="character" w:customStyle="1" w:styleId="char1">
    <w:name w:val="char1"/>
    <w:basedOn w:val="a1"/>
    <w:rsid w:val="00F544B5"/>
    <w:rPr>
      <w:rFonts w:ascii="Tahoma" w:hAnsi="Tahoma" w:cs="Tahoma" w:hint="default"/>
      <w:color w:val="1167AC"/>
    </w:rPr>
  </w:style>
  <w:style w:type="paragraph" w:styleId="aff7">
    <w:name w:val="No Spacing"/>
    <w:link w:val="aff8"/>
    <w:uiPriority w:val="1"/>
    <w:qFormat/>
    <w:rsid w:val="00EC349D"/>
    <w:rPr>
      <w:rFonts w:ascii="Calibri" w:hAnsi="Calibri"/>
      <w:sz w:val="22"/>
      <w:szCs w:val="22"/>
      <w:lang w:eastAsia="en-US"/>
    </w:rPr>
  </w:style>
  <w:style w:type="character" w:customStyle="1" w:styleId="aff8">
    <w:name w:val="Без интервала Знак"/>
    <w:link w:val="aff7"/>
    <w:uiPriority w:val="1"/>
    <w:rsid w:val="00EC349D"/>
    <w:rPr>
      <w:rFonts w:ascii="Calibri" w:hAnsi="Calibri"/>
      <w:sz w:val="22"/>
      <w:szCs w:val="22"/>
      <w:lang w:eastAsia="en-US"/>
    </w:rPr>
  </w:style>
  <w:style w:type="character" w:styleId="aff9">
    <w:name w:val="FollowedHyperlink"/>
    <w:basedOn w:val="a1"/>
    <w:uiPriority w:val="99"/>
    <w:rsid w:val="00F64584"/>
    <w:rPr>
      <w:color w:val="800080" w:themeColor="followedHyperlink"/>
      <w:u w:val="single"/>
    </w:rPr>
  </w:style>
  <w:style w:type="numbering" w:customStyle="1" w:styleId="12">
    <w:name w:val="Нет списка1"/>
    <w:next w:val="a3"/>
    <w:uiPriority w:val="99"/>
    <w:semiHidden/>
    <w:unhideWhenUsed/>
    <w:rsid w:val="00E44FED"/>
  </w:style>
  <w:style w:type="character" w:customStyle="1" w:styleId="40">
    <w:name w:val="Заголовок 4 Знак"/>
    <w:basedOn w:val="a1"/>
    <w:link w:val="4"/>
    <w:rsid w:val="00E44FED"/>
    <w:rPr>
      <w:sz w:val="24"/>
      <w:szCs w:val="24"/>
    </w:rPr>
  </w:style>
  <w:style w:type="character" w:customStyle="1" w:styleId="50">
    <w:name w:val="Заголовок 5 Знак"/>
    <w:basedOn w:val="a1"/>
    <w:link w:val="5"/>
    <w:rsid w:val="00E44FED"/>
    <w:rPr>
      <w:b/>
      <w:bCs/>
      <w:i/>
      <w:iCs/>
      <w:sz w:val="26"/>
      <w:szCs w:val="26"/>
    </w:rPr>
  </w:style>
  <w:style w:type="character" w:customStyle="1" w:styleId="60">
    <w:name w:val="Заголовок 6 Знак"/>
    <w:basedOn w:val="a1"/>
    <w:link w:val="6"/>
    <w:rsid w:val="00E44FED"/>
    <w:rPr>
      <w:b/>
      <w:bCs/>
      <w:sz w:val="22"/>
      <w:szCs w:val="22"/>
    </w:rPr>
  </w:style>
  <w:style w:type="character" w:customStyle="1" w:styleId="70">
    <w:name w:val="Заголовок 7 Знак"/>
    <w:basedOn w:val="a1"/>
    <w:link w:val="7"/>
    <w:rsid w:val="00E44FED"/>
    <w:rPr>
      <w:sz w:val="24"/>
      <w:szCs w:val="24"/>
    </w:rPr>
  </w:style>
  <w:style w:type="character" w:customStyle="1" w:styleId="a5">
    <w:name w:val="Нижний колонтитул Знак"/>
    <w:basedOn w:val="a1"/>
    <w:link w:val="a4"/>
    <w:rsid w:val="00E44FED"/>
    <w:rPr>
      <w:sz w:val="26"/>
      <w:szCs w:val="26"/>
    </w:rPr>
  </w:style>
  <w:style w:type="table" w:customStyle="1" w:styleId="13">
    <w:name w:val="Сетка таблицы1"/>
    <w:basedOn w:val="a2"/>
    <w:next w:val="a9"/>
    <w:rsid w:val="00E44F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c">
    <w:name w:val="Основной текст Знак"/>
    <w:basedOn w:val="a1"/>
    <w:link w:val="ab"/>
    <w:rsid w:val="00E44FED"/>
    <w:rPr>
      <w:sz w:val="24"/>
      <w:szCs w:val="24"/>
    </w:rPr>
  </w:style>
  <w:style w:type="character" w:customStyle="1" w:styleId="ae">
    <w:name w:val="Основной текст с отступом Знак"/>
    <w:basedOn w:val="a1"/>
    <w:link w:val="ad"/>
    <w:rsid w:val="00E44FED"/>
    <w:rPr>
      <w:sz w:val="24"/>
      <w:szCs w:val="24"/>
    </w:rPr>
  </w:style>
  <w:style w:type="character" w:customStyle="1" w:styleId="22">
    <w:name w:val="Основной текст с отступом 2 Знак"/>
    <w:basedOn w:val="a1"/>
    <w:link w:val="21"/>
    <w:rsid w:val="00E44FED"/>
    <w:rPr>
      <w:sz w:val="24"/>
      <w:szCs w:val="24"/>
    </w:rPr>
  </w:style>
  <w:style w:type="character" w:customStyle="1" w:styleId="32">
    <w:name w:val="Основной текст с отступом 3 Знак"/>
    <w:basedOn w:val="a1"/>
    <w:link w:val="31"/>
    <w:rsid w:val="00E44FED"/>
    <w:rPr>
      <w:sz w:val="24"/>
      <w:szCs w:val="24"/>
    </w:rPr>
  </w:style>
  <w:style w:type="character" w:customStyle="1" w:styleId="34">
    <w:name w:val="Основной текст 3 Знак"/>
    <w:basedOn w:val="a1"/>
    <w:link w:val="33"/>
    <w:rsid w:val="00E44FED"/>
    <w:rPr>
      <w:sz w:val="16"/>
      <w:szCs w:val="16"/>
    </w:rPr>
  </w:style>
  <w:style w:type="character" w:customStyle="1" w:styleId="af4">
    <w:name w:val="Текст выноски Знак"/>
    <w:basedOn w:val="a1"/>
    <w:link w:val="af3"/>
    <w:uiPriority w:val="99"/>
    <w:semiHidden/>
    <w:rsid w:val="00E44FED"/>
    <w:rPr>
      <w:rFonts w:ascii="Tahoma" w:hAnsi="Tahoma" w:cs="Tahoma"/>
      <w:sz w:val="16"/>
      <w:szCs w:val="16"/>
    </w:rPr>
  </w:style>
  <w:style w:type="character" w:customStyle="1" w:styleId="af7">
    <w:name w:val="Название Знак"/>
    <w:basedOn w:val="a1"/>
    <w:link w:val="af6"/>
    <w:rsid w:val="00E44FED"/>
    <w:rPr>
      <w:rFonts w:ascii="Arial" w:hAnsi="Arial" w:cs="Arial"/>
      <w:b/>
      <w:bCs/>
      <w:kern w:val="28"/>
      <w:sz w:val="32"/>
      <w:szCs w:val="32"/>
    </w:rPr>
  </w:style>
  <w:style w:type="character" w:customStyle="1" w:styleId="af9">
    <w:name w:val="Подзаголовок Знак"/>
    <w:basedOn w:val="a1"/>
    <w:link w:val="af8"/>
    <w:uiPriority w:val="11"/>
    <w:rsid w:val="00E44FED"/>
    <w:rPr>
      <w:rFonts w:ascii="Arial" w:hAnsi="Arial" w:cs="Arial"/>
      <w:sz w:val="24"/>
      <w:szCs w:val="24"/>
    </w:rPr>
  </w:style>
  <w:style w:type="character" w:customStyle="1" w:styleId="afb">
    <w:name w:val="Красная строка Знак"/>
    <w:basedOn w:val="ac"/>
    <w:link w:val="afa"/>
    <w:rsid w:val="00E44FED"/>
    <w:rPr>
      <w:sz w:val="26"/>
      <w:szCs w:val="26"/>
    </w:rPr>
  </w:style>
  <w:style w:type="character" w:customStyle="1" w:styleId="27">
    <w:name w:val="Красная строка 2 Знак"/>
    <w:basedOn w:val="ae"/>
    <w:link w:val="26"/>
    <w:rsid w:val="00E44FED"/>
    <w:rPr>
      <w:sz w:val="26"/>
      <w:szCs w:val="26"/>
    </w:rPr>
  </w:style>
  <w:style w:type="character" w:customStyle="1" w:styleId="afd">
    <w:name w:val="Схема документа Знак"/>
    <w:basedOn w:val="a1"/>
    <w:link w:val="afc"/>
    <w:semiHidden/>
    <w:rsid w:val="00E44FED"/>
    <w:rPr>
      <w:rFonts w:ascii="Tahoma" w:hAnsi="Tahoma" w:cs="Tahoma"/>
      <w:shd w:val="clear" w:color="auto" w:fill="000080"/>
    </w:rPr>
  </w:style>
  <w:style w:type="numbering" w:customStyle="1" w:styleId="29">
    <w:name w:val="Нет списка2"/>
    <w:next w:val="a3"/>
    <w:uiPriority w:val="99"/>
    <w:semiHidden/>
    <w:unhideWhenUsed/>
    <w:rsid w:val="00DA2ED2"/>
  </w:style>
  <w:style w:type="numbering" w:customStyle="1" w:styleId="37">
    <w:name w:val="Нет списка3"/>
    <w:next w:val="a3"/>
    <w:uiPriority w:val="99"/>
    <w:semiHidden/>
    <w:unhideWhenUsed/>
    <w:rsid w:val="009C11D5"/>
  </w:style>
  <w:style w:type="paragraph" w:customStyle="1" w:styleId="affa">
    <w:name w:val="Таблица текст влево"/>
    <w:basedOn w:val="a0"/>
    <w:rsid w:val="00704057"/>
    <w:rPr>
      <w:rFonts w:ascii="Tahoma" w:hAnsi="Tahoma" w:cs="Tahoma"/>
      <w:spacing w:val="-5"/>
      <w:sz w:val="18"/>
      <w:szCs w:val="24"/>
    </w:rPr>
  </w:style>
  <w:style w:type="paragraph" w:styleId="41">
    <w:name w:val="toc 4"/>
    <w:basedOn w:val="a0"/>
    <w:next w:val="a0"/>
    <w:autoRedefine/>
    <w:uiPriority w:val="39"/>
    <w:unhideWhenUsed/>
    <w:rsid w:val="00453AB8"/>
    <w:pPr>
      <w:spacing w:after="100" w:line="276" w:lineRule="auto"/>
      <w:ind w:left="660"/>
    </w:pPr>
    <w:rPr>
      <w:rFonts w:asciiTheme="minorHAnsi" w:eastAsiaTheme="minorEastAsia" w:hAnsiTheme="minorHAnsi" w:cstheme="minorBidi"/>
      <w:sz w:val="22"/>
      <w:szCs w:val="22"/>
    </w:rPr>
  </w:style>
  <w:style w:type="paragraph" w:styleId="51">
    <w:name w:val="toc 5"/>
    <w:basedOn w:val="a0"/>
    <w:next w:val="a0"/>
    <w:autoRedefine/>
    <w:uiPriority w:val="39"/>
    <w:unhideWhenUsed/>
    <w:rsid w:val="00453AB8"/>
    <w:pPr>
      <w:spacing w:after="100" w:line="276" w:lineRule="auto"/>
      <w:ind w:left="880"/>
    </w:pPr>
    <w:rPr>
      <w:rFonts w:asciiTheme="minorHAnsi" w:eastAsiaTheme="minorEastAsia" w:hAnsiTheme="minorHAnsi" w:cstheme="minorBidi"/>
      <w:sz w:val="22"/>
      <w:szCs w:val="22"/>
    </w:rPr>
  </w:style>
  <w:style w:type="paragraph" w:styleId="61">
    <w:name w:val="toc 6"/>
    <w:basedOn w:val="a0"/>
    <w:next w:val="a0"/>
    <w:autoRedefine/>
    <w:uiPriority w:val="39"/>
    <w:unhideWhenUsed/>
    <w:rsid w:val="00453AB8"/>
    <w:pPr>
      <w:spacing w:after="100" w:line="276" w:lineRule="auto"/>
      <w:ind w:left="1100"/>
    </w:pPr>
    <w:rPr>
      <w:rFonts w:asciiTheme="minorHAnsi" w:eastAsiaTheme="minorEastAsia" w:hAnsiTheme="minorHAnsi" w:cstheme="minorBidi"/>
      <w:sz w:val="22"/>
      <w:szCs w:val="22"/>
    </w:rPr>
  </w:style>
  <w:style w:type="paragraph" w:styleId="71">
    <w:name w:val="toc 7"/>
    <w:basedOn w:val="a0"/>
    <w:next w:val="a0"/>
    <w:autoRedefine/>
    <w:uiPriority w:val="39"/>
    <w:unhideWhenUsed/>
    <w:rsid w:val="00453AB8"/>
    <w:pPr>
      <w:spacing w:after="100" w:line="276" w:lineRule="auto"/>
      <w:ind w:left="1320"/>
    </w:pPr>
    <w:rPr>
      <w:rFonts w:asciiTheme="minorHAnsi" w:eastAsiaTheme="minorEastAsia" w:hAnsiTheme="minorHAnsi" w:cstheme="minorBidi"/>
      <w:sz w:val="22"/>
      <w:szCs w:val="22"/>
    </w:rPr>
  </w:style>
  <w:style w:type="paragraph" w:styleId="8">
    <w:name w:val="toc 8"/>
    <w:basedOn w:val="a0"/>
    <w:next w:val="a0"/>
    <w:autoRedefine/>
    <w:uiPriority w:val="39"/>
    <w:unhideWhenUsed/>
    <w:rsid w:val="00453AB8"/>
    <w:pPr>
      <w:spacing w:after="100" w:line="276" w:lineRule="auto"/>
      <w:ind w:left="1540"/>
    </w:pPr>
    <w:rPr>
      <w:rFonts w:asciiTheme="minorHAnsi" w:eastAsiaTheme="minorEastAsia" w:hAnsiTheme="minorHAnsi" w:cstheme="minorBidi"/>
      <w:sz w:val="22"/>
      <w:szCs w:val="22"/>
    </w:rPr>
  </w:style>
  <w:style w:type="paragraph" w:styleId="9">
    <w:name w:val="toc 9"/>
    <w:basedOn w:val="a0"/>
    <w:next w:val="a0"/>
    <w:autoRedefine/>
    <w:uiPriority w:val="39"/>
    <w:unhideWhenUsed/>
    <w:rsid w:val="00453AB8"/>
    <w:pPr>
      <w:spacing w:after="100" w:line="276" w:lineRule="auto"/>
      <w:ind w:left="1760"/>
    </w:pPr>
    <w:rPr>
      <w:rFonts w:asciiTheme="minorHAnsi" w:eastAsiaTheme="minorEastAsia" w:hAnsiTheme="minorHAnsi" w:cstheme="minorBidi"/>
      <w:sz w:val="22"/>
      <w:szCs w:val="22"/>
    </w:rPr>
  </w:style>
  <w:style w:type="numbering" w:customStyle="1" w:styleId="42">
    <w:name w:val="Нет списка4"/>
    <w:next w:val="a3"/>
    <w:uiPriority w:val="99"/>
    <w:semiHidden/>
    <w:unhideWhenUsed/>
    <w:rsid w:val="00D478C8"/>
  </w:style>
  <w:style w:type="numbering" w:customStyle="1" w:styleId="52">
    <w:name w:val="Нет списка5"/>
    <w:next w:val="a3"/>
    <w:uiPriority w:val="99"/>
    <w:semiHidden/>
    <w:unhideWhenUsed/>
    <w:rsid w:val="00431CC5"/>
  </w:style>
  <w:style w:type="numbering" w:customStyle="1" w:styleId="110">
    <w:name w:val="Нет списка11"/>
    <w:next w:val="a3"/>
    <w:uiPriority w:val="99"/>
    <w:semiHidden/>
    <w:unhideWhenUsed/>
    <w:rsid w:val="00431CC5"/>
  </w:style>
  <w:style w:type="table" w:customStyle="1" w:styleId="2a">
    <w:name w:val="Сетка таблицы2"/>
    <w:basedOn w:val="a2"/>
    <w:next w:val="a9"/>
    <w:uiPriority w:val="59"/>
    <w:rsid w:val="00431CC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
    <w:name w:val="Обычный (веб)1"/>
    <w:basedOn w:val="a0"/>
    <w:rsid w:val="00431CC5"/>
    <w:pPr>
      <w:spacing w:after="360"/>
      <w:jc w:val="both"/>
    </w:pPr>
    <w:rPr>
      <w:rFonts w:ascii="Arial" w:hAnsi="Arial" w:cs="Arial"/>
      <w:color w:val="3D3D3D"/>
      <w:sz w:val="24"/>
      <w:szCs w:val="24"/>
    </w:rPr>
  </w:style>
  <w:style w:type="paragraph" w:customStyle="1" w:styleId="xl65">
    <w:name w:val="xl65"/>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man Old Style" w:hAnsi="Bookman Old Style"/>
      <w:sz w:val="16"/>
      <w:szCs w:val="16"/>
    </w:rPr>
  </w:style>
  <w:style w:type="paragraph" w:customStyle="1" w:styleId="xl66">
    <w:name w:val="xl66"/>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Bookman Old Style" w:hAnsi="Bookman Old Style"/>
      <w:sz w:val="16"/>
      <w:szCs w:val="16"/>
    </w:rPr>
  </w:style>
  <w:style w:type="paragraph" w:customStyle="1" w:styleId="xl67">
    <w:name w:val="xl67"/>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sz w:val="16"/>
      <w:szCs w:val="16"/>
    </w:rPr>
  </w:style>
  <w:style w:type="paragraph" w:customStyle="1" w:styleId="xl68">
    <w:name w:val="xl68"/>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man Old Style" w:hAnsi="Bookman Old Style"/>
      <w:sz w:val="16"/>
      <w:szCs w:val="16"/>
    </w:rPr>
  </w:style>
  <w:style w:type="paragraph" w:customStyle="1" w:styleId="xl69">
    <w:name w:val="xl69"/>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man Old Style" w:hAnsi="Bookman Old Style"/>
      <w:sz w:val="16"/>
      <w:szCs w:val="16"/>
    </w:rPr>
  </w:style>
  <w:style w:type="paragraph" w:customStyle="1" w:styleId="xl70">
    <w:name w:val="xl70"/>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man Old Style" w:hAnsi="Bookman Old Style"/>
      <w:b/>
      <w:bCs/>
      <w:sz w:val="16"/>
      <w:szCs w:val="16"/>
    </w:rPr>
  </w:style>
  <w:style w:type="paragraph" w:customStyle="1" w:styleId="xl71">
    <w:name w:val="xl71"/>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b/>
      <w:bCs/>
      <w:sz w:val="16"/>
      <w:szCs w:val="16"/>
    </w:rPr>
  </w:style>
  <w:style w:type="paragraph" w:customStyle="1" w:styleId="xl72">
    <w:name w:val="xl72"/>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sz w:val="16"/>
      <w:szCs w:val="16"/>
    </w:rPr>
  </w:style>
  <w:style w:type="paragraph" w:customStyle="1" w:styleId="xl73">
    <w:name w:val="xl73"/>
    <w:basedOn w:val="a0"/>
    <w:rsid w:val="00431CC5"/>
    <w:pPr>
      <w:pBdr>
        <w:left w:val="single" w:sz="4" w:space="0" w:color="auto"/>
        <w:bottom w:val="single" w:sz="4" w:space="0" w:color="auto"/>
        <w:right w:val="single" w:sz="4" w:space="0" w:color="auto"/>
      </w:pBdr>
      <w:spacing w:before="100" w:beforeAutospacing="1" w:after="100" w:afterAutospacing="1"/>
      <w:textAlignment w:val="center"/>
    </w:pPr>
    <w:rPr>
      <w:rFonts w:ascii="Bookman Old Style" w:hAnsi="Bookman Old Style"/>
      <w:sz w:val="16"/>
      <w:szCs w:val="16"/>
    </w:rPr>
  </w:style>
  <w:style w:type="paragraph" w:customStyle="1" w:styleId="xl74">
    <w:name w:val="xl74"/>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Bookman Old Style" w:hAnsi="Bookman Old Style"/>
      <w:sz w:val="16"/>
      <w:szCs w:val="16"/>
    </w:rPr>
  </w:style>
  <w:style w:type="paragraph" w:customStyle="1" w:styleId="xl75">
    <w:name w:val="xl75"/>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sz w:val="16"/>
      <w:szCs w:val="16"/>
    </w:rPr>
  </w:style>
  <w:style w:type="paragraph" w:customStyle="1" w:styleId="xl76">
    <w:name w:val="xl76"/>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b/>
      <w:bCs/>
      <w:sz w:val="16"/>
      <w:szCs w:val="16"/>
    </w:rPr>
  </w:style>
  <w:style w:type="paragraph" w:customStyle="1" w:styleId="xl77">
    <w:name w:val="xl77"/>
    <w:basedOn w:val="a0"/>
    <w:rsid w:val="00431CC5"/>
    <w:pPr>
      <w:spacing w:before="100" w:beforeAutospacing="1" w:after="100" w:afterAutospacing="1"/>
    </w:pPr>
    <w:rPr>
      <w:rFonts w:ascii="Bookman Old Style" w:hAnsi="Bookman Old Style"/>
      <w:sz w:val="24"/>
      <w:szCs w:val="24"/>
    </w:rPr>
  </w:style>
  <w:style w:type="paragraph" w:customStyle="1" w:styleId="xl78">
    <w:name w:val="xl78"/>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sz w:val="16"/>
      <w:szCs w:val="16"/>
    </w:rPr>
  </w:style>
  <w:style w:type="paragraph" w:customStyle="1" w:styleId="xl79">
    <w:name w:val="xl79"/>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sz w:val="16"/>
      <w:szCs w:val="16"/>
    </w:rPr>
  </w:style>
  <w:style w:type="paragraph" w:customStyle="1" w:styleId="xl80">
    <w:name w:val="xl80"/>
    <w:basedOn w:val="a0"/>
    <w:rsid w:val="00431CC5"/>
    <w:pPr>
      <w:spacing w:before="100" w:beforeAutospacing="1" w:after="100" w:afterAutospacing="1"/>
      <w:jc w:val="center"/>
    </w:pPr>
    <w:rPr>
      <w:rFonts w:ascii="Bookman Old Style" w:hAnsi="Bookman Old Style"/>
      <w:sz w:val="16"/>
      <w:szCs w:val="16"/>
    </w:rPr>
  </w:style>
  <w:style w:type="paragraph" w:customStyle="1" w:styleId="xl81">
    <w:name w:val="xl81"/>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sz w:val="16"/>
      <w:szCs w:val="16"/>
    </w:rPr>
  </w:style>
  <w:style w:type="paragraph" w:customStyle="1" w:styleId="xl82">
    <w:name w:val="xl82"/>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man Old Style" w:hAnsi="Bookman Old Style"/>
      <w:sz w:val="16"/>
      <w:szCs w:val="16"/>
    </w:rPr>
  </w:style>
  <w:style w:type="paragraph" w:customStyle="1" w:styleId="xl83">
    <w:name w:val="xl83"/>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man Old Style" w:hAnsi="Bookman Old Style"/>
      <w:b/>
      <w:bCs/>
      <w:sz w:val="16"/>
      <w:szCs w:val="16"/>
    </w:rPr>
  </w:style>
  <w:style w:type="paragraph" w:customStyle="1" w:styleId="xl84">
    <w:name w:val="xl84"/>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man Old Style" w:hAnsi="Bookman Old Style"/>
      <w:sz w:val="16"/>
      <w:szCs w:val="16"/>
    </w:rPr>
  </w:style>
  <w:style w:type="paragraph" w:customStyle="1" w:styleId="xl85">
    <w:name w:val="xl85"/>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sz w:val="16"/>
      <w:szCs w:val="16"/>
    </w:rPr>
  </w:style>
  <w:style w:type="paragraph" w:customStyle="1" w:styleId="xl86">
    <w:name w:val="xl86"/>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sz w:val="16"/>
      <w:szCs w:val="16"/>
    </w:rPr>
  </w:style>
  <w:style w:type="paragraph" w:customStyle="1" w:styleId="xl87">
    <w:name w:val="xl87"/>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sz w:val="16"/>
      <w:szCs w:val="16"/>
    </w:rPr>
  </w:style>
  <w:style w:type="paragraph" w:customStyle="1" w:styleId="xl88">
    <w:name w:val="xl88"/>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ookman Old Style" w:hAnsi="Bookman Old Style"/>
      <w:sz w:val="16"/>
      <w:szCs w:val="16"/>
    </w:rPr>
  </w:style>
  <w:style w:type="paragraph" w:customStyle="1" w:styleId="xl89">
    <w:name w:val="xl89"/>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Bookman Old Style" w:hAnsi="Bookman Old Style"/>
      <w:sz w:val="16"/>
      <w:szCs w:val="16"/>
    </w:rPr>
  </w:style>
  <w:style w:type="paragraph" w:customStyle="1" w:styleId="xl90">
    <w:name w:val="xl90"/>
    <w:basedOn w:val="a0"/>
    <w:rsid w:val="00431CC5"/>
    <w:pPr>
      <w:pBdr>
        <w:left w:val="single" w:sz="4" w:space="0" w:color="auto"/>
        <w:right w:val="single" w:sz="4" w:space="0" w:color="auto"/>
      </w:pBdr>
      <w:spacing w:before="100" w:beforeAutospacing="1" w:after="100" w:afterAutospacing="1"/>
      <w:jc w:val="center"/>
    </w:pPr>
    <w:rPr>
      <w:rFonts w:ascii="Bookman Old Style" w:hAnsi="Bookman Old Style"/>
      <w:sz w:val="16"/>
      <w:szCs w:val="16"/>
    </w:rPr>
  </w:style>
  <w:style w:type="paragraph" w:customStyle="1" w:styleId="xl91">
    <w:name w:val="xl91"/>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sz w:val="16"/>
      <w:szCs w:val="16"/>
    </w:rPr>
  </w:style>
  <w:style w:type="paragraph" w:customStyle="1" w:styleId="xl92">
    <w:name w:val="xl92"/>
    <w:basedOn w:val="a0"/>
    <w:rsid w:val="00431CC5"/>
    <w:pPr>
      <w:pBdr>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sz w:val="16"/>
      <w:szCs w:val="16"/>
    </w:rPr>
  </w:style>
  <w:style w:type="paragraph" w:customStyle="1" w:styleId="xl93">
    <w:name w:val="xl93"/>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sz w:val="16"/>
      <w:szCs w:val="16"/>
    </w:rPr>
  </w:style>
  <w:style w:type="paragraph" w:customStyle="1" w:styleId="xl94">
    <w:name w:val="xl94"/>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Bookman Old Style" w:hAnsi="Bookman Old Style"/>
      <w:sz w:val="16"/>
      <w:szCs w:val="16"/>
    </w:rPr>
  </w:style>
  <w:style w:type="paragraph" w:customStyle="1" w:styleId="xl95">
    <w:name w:val="xl95"/>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b/>
      <w:bCs/>
      <w:sz w:val="16"/>
      <w:szCs w:val="16"/>
    </w:rPr>
  </w:style>
  <w:style w:type="paragraph" w:customStyle="1" w:styleId="xl96">
    <w:name w:val="xl96"/>
    <w:basedOn w:val="a0"/>
    <w:rsid w:val="00431CC5"/>
    <w:pPr>
      <w:pBdr>
        <w:left w:val="single" w:sz="4" w:space="0" w:color="auto"/>
        <w:bottom w:val="single" w:sz="4" w:space="0" w:color="auto"/>
        <w:right w:val="single" w:sz="4" w:space="0" w:color="auto"/>
      </w:pBdr>
      <w:spacing w:before="100" w:beforeAutospacing="1" w:after="100" w:afterAutospacing="1"/>
      <w:jc w:val="center"/>
    </w:pPr>
    <w:rPr>
      <w:rFonts w:ascii="Bookman Old Style" w:hAnsi="Bookman Old Style"/>
      <w:sz w:val="16"/>
      <w:szCs w:val="16"/>
    </w:rPr>
  </w:style>
  <w:style w:type="paragraph" w:customStyle="1" w:styleId="xl97">
    <w:name w:val="xl97"/>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sz w:val="16"/>
      <w:szCs w:val="16"/>
    </w:rPr>
  </w:style>
  <w:style w:type="paragraph" w:customStyle="1" w:styleId="xl98">
    <w:name w:val="xl98"/>
    <w:basedOn w:val="a0"/>
    <w:rsid w:val="00431CC5"/>
    <w:pPr>
      <w:pBdr>
        <w:left w:val="single" w:sz="4" w:space="0" w:color="auto"/>
        <w:bottom w:val="single" w:sz="4" w:space="0" w:color="auto"/>
        <w:right w:val="single" w:sz="4" w:space="0" w:color="auto"/>
      </w:pBdr>
      <w:spacing w:before="100" w:beforeAutospacing="1" w:after="100" w:afterAutospacing="1"/>
    </w:pPr>
    <w:rPr>
      <w:rFonts w:ascii="Bookman Old Style" w:hAnsi="Bookman Old Style"/>
      <w:sz w:val="16"/>
      <w:szCs w:val="16"/>
    </w:rPr>
  </w:style>
  <w:style w:type="paragraph" w:customStyle="1" w:styleId="xl99">
    <w:name w:val="xl99"/>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pPr>
    <w:rPr>
      <w:rFonts w:ascii="Bookman Old Style" w:hAnsi="Bookman Old Style"/>
      <w:sz w:val="16"/>
      <w:szCs w:val="16"/>
    </w:rPr>
  </w:style>
  <w:style w:type="paragraph" w:customStyle="1" w:styleId="xl100">
    <w:name w:val="xl100"/>
    <w:basedOn w:val="a0"/>
    <w:rsid w:val="00431CC5"/>
    <w:pPr>
      <w:spacing w:before="100" w:beforeAutospacing="1" w:after="100" w:afterAutospacing="1"/>
    </w:pPr>
    <w:rPr>
      <w:rFonts w:ascii="Bookman Old Style" w:hAnsi="Bookman Old Style"/>
      <w:sz w:val="16"/>
      <w:szCs w:val="16"/>
    </w:rPr>
  </w:style>
  <w:style w:type="paragraph" w:customStyle="1" w:styleId="xl101">
    <w:name w:val="xl101"/>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sz w:val="16"/>
      <w:szCs w:val="16"/>
    </w:rPr>
  </w:style>
  <w:style w:type="paragraph" w:customStyle="1" w:styleId="xl102">
    <w:name w:val="xl102"/>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sz w:val="16"/>
      <w:szCs w:val="16"/>
    </w:rPr>
  </w:style>
  <w:style w:type="paragraph" w:customStyle="1" w:styleId="xl103">
    <w:name w:val="xl103"/>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sz w:val="16"/>
      <w:szCs w:val="16"/>
    </w:rPr>
  </w:style>
  <w:style w:type="paragraph" w:customStyle="1" w:styleId="xl104">
    <w:name w:val="xl104"/>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Bookman Old Style" w:hAnsi="Bookman Old Style"/>
      <w:sz w:val="16"/>
      <w:szCs w:val="16"/>
    </w:rPr>
  </w:style>
  <w:style w:type="paragraph" w:customStyle="1" w:styleId="xl105">
    <w:name w:val="xl105"/>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b/>
      <w:bCs/>
      <w:sz w:val="16"/>
      <w:szCs w:val="16"/>
    </w:rPr>
  </w:style>
  <w:style w:type="paragraph" w:customStyle="1" w:styleId="xl106">
    <w:name w:val="xl106"/>
    <w:basedOn w:val="a0"/>
    <w:rsid w:val="00431CC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sz w:val="16"/>
      <w:szCs w:val="16"/>
    </w:rPr>
  </w:style>
  <w:style w:type="paragraph" w:customStyle="1" w:styleId="xl107">
    <w:name w:val="xl107"/>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b/>
      <w:bCs/>
      <w:sz w:val="16"/>
      <w:szCs w:val="16"/>
    </w:rPr>
  </w:style>
  <w:style w:type="paragraph" w:customStyle="1" w:styleId="xl108">
    <w:name w:val="xl108"/>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sz w:val="16"/>
      <w:szCs w:val="16"/>
    </w:rPr>
  </w:style>
  <w:style w:type="paragraph" w:customStyle="1" w:styleId="xl109">
    <w:name w:val="xl109"/>
    <w:basedOn w:val="a0"/>
    <w:rsid w:val="00431C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sz w:val="16"/>
      <w:szCs w:val="16"/>
    </w:rPr>
  </w:style>
  <w:style w:type="paragraph" w:customStyle="1" w:styleId="xl110">
    <w:name w:val="xl110"/>
    <w:basedOn w:val="a0"/>
    <w:rsid w:val="00431CC5"/>
    <w:pPr>
      <w:shd w:val="clear" w:color="000000" w:fill="FFFFFF"/>
      <w:spacing w:before="100" w:beforeAutospacing="1" w:after="100" w:afterAutospacing="1"/>
    </w:pPr>
    <w:rPr>
      <w:rFonts w:ascii="Bookman Old Style" w:hAnsi="Bookman Old Style"/>
      <w:sz w:val="24"/>
      <w:szCs w:val="24"/>
    </w:rPr>
  </w:style>
  <w:style w:type="paragraph" w:customStyle="1" w:styleId="xl111">
    <w:name w:val="xl111"/>
    <w:basedOn w:val="a0"/>
    <w:rsid w:val="00431CC5"/>
    <w:pPr>
      <w:shd w:val="clear" w:color="000000" w:fill="FFFFFF"/>
      <w:spacing w:before="100" w:beforeAutospacing="1" w:after="100" w:afterAutospacing="1"/>
      <w:jc w:val="center"/>
      <w:textAlignment w:val="center"/>
    </w:pPr>
    <w:rPr>
      <w:rFonts w:ascii="Bookman Old Style" w:hAnsi="Bookman Old Style"/>
      <w:sz w:val="24"/>
      <w:szCs w:val="24"/>
    </w:rPr>
  </w:style>
  <w:style w:type="paragraph" w:customStyle="1" w:styleId="xl112">
    <w:name w:val="xl112"/>
    <w:basedOn w:val="a0"/>
    <w:rsid w:val="00431CC5"/>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Bookman Old Style" w:hAnsi="Bookman Old Style"/>
      <w:b/>
      <w:bCs/>
      <w:i/>
      <w:iCs/>
      <w:sz w:val="16"/>
      <w:szCs w:val="16"/>
    </w:rPr>
  </w:style>
  <w:style w:type="paragraph" w:customStyle="1" w:styleId="xl113">
    <w:name w:val="xl113"/>
    <w:basedOn w:val="a0"/>
    <w:rsid w:val="00431CC5"/>
    <w:pPr>
      <w:pBdr>
        <w:top w:val="single" w:sz="4" w:space="0" w:color="auto"/>
        <w:left w:val="single" w:sz="4" w:space="0" w:color="auto"/>
        <w:bottom w:val="single" w:sz="4" w:space="0" w:color="auto"/>
      </w:pBdr>
      <w:shd w:val="clear" w:color="000000" w:fill="C0C0C0"/>
      <w:spacing w:before="100" w:beforeAutospacing="1" w:after="100" w:afterAutospacing="1"/>
      <w:jc w:val="center"/>
      <w:textAlignment w:val="center"/>
    </w:pPr>
    <w:rPr>
      <w:rFonts w:ascii="Bookman Old Style" w:hAnsi="Bookman Old Style"/>
      <w:sz w:val="16"/>
      <w:szCs w:val="16"/>
      <w:u w:val="single"/>
    </w:rPr>
  </w:style>
  <w:style w:type="paragraph" w:customStyle="1" w:styleId="xl114">
    <w:name w:val="xl114"/>
    <w:basedOn w:val="a0"/>
    <w:rsid w:val="00431CC5"/>
    <w:pPr>
      <w:pBdr>
        <w:top w:val="single" w:sz="4" w:space="0" w:color="auto"/>
        <w:bottom w:val="single" w:sz="4" w:space="0" w:color="auto"/>
      </w:pBdr>
      <w:shd w:val="clear" w:color="000000" w:fill="C0C0C0"/>
      <w:spacing w:before="100" w:beforeAutospacing="1" w:after="100" w:afterAutospacing="1"/>
      <w:jc w:val="center"/>
      <w:textAlignment w:val="center"/>
    </w:pPr>
    <w:rPr>
      <w:rFonts w:ascii="Bookman Old Style" w:hAnsi="Bookman Old Style"/>
      <w:sz w:val="16"/>
      <w:szCs w:val="16"/>
      <w:u w:val="single"/>
    </w:rPr>
  </w:style>
  <w:style w:type="paragraph" w:customStyle="1" w:styleId="xl115">
    <w:name w:val="xl115"/>
    <w:basedOn w:val="a0"/>
    <w:rsid w:val="00431CC5"/>
    <w:pPr>
      <w:pBdr>
        <w:left w:val="single" w:sz="4" w:space="0" w:color="auto"/>
        <w:bottom w:val="single" w:sz="4" w:space="0" w:color="auto"/>
      </w:pBdr>
      <w:shd w:val="clear" w:color="000000" w:fill="C0C0C0"/>
      <w:spacing w:before="100" w:beforeAutospacing="1" w:after="100" w:afterAutospacing="1"/>
      <w:jc w:val="center"/>
      <w:textAlignment w:val="center"/>
    </w:pPr>
    <w:rPr>
      <w:rFonts w:ascii="Bookman Old Style" w:hAnsi="Bookman Old Style"/>
      <w:i/>
      <w:iCs/>
      <w:sz w:val="16"/>
      <w:szCs w:val="16"/>
    </w:rPr>
  </w:style>
  <w:style w:type="paragraph" w:customStyle="1" w:styleId="xl116">
    <w:name w:val="xl116"/>
    <w:basedOn w:val="a0"/>
    <w:rsid w:val="00431CC5"/>
    <w:pPr>
      <w:pBdr>
        <w:bottom w:val="single" w:sz="4" w:space="0" w:color="auto"/>
      </w:pBdr>
      <w:shd w:val="clear" w:color="000000" w:fill="C0C0C0"/>
      <w:spacing w:before="100" w:beforeAutospacing="1" w:after="100" w:afterAutospacing="1"/>
      <w:jc w:val="center"/>
      <w:textAlignment w:val="center"/>
    </w:pPr>
    <w:rPr>
      <w:rFonts w:ascii="Bookman Old Style" w:hAnsi="Bookman Old Style"/>
      <w:i/>
      <w:iCs/>
      <w:sz w:val="16"/>
      <w:szCs w:val="16"/>
    </w:rPr>
  </w:style>
  <w:style w:type="paragraph" w:customStyle="1" w:styleId="xl117">
    <w:name w:val="xl117"/>
    <w:basedOn w:val="a0"/>
    <w:rsid w:val="00431CC5"/>
    <w:pPr>
      <w:pBdr>
        <w:top w:val="single" w:sz="4" w:space="0" w:color="auto"/>
        <w:left w:val="single" w:sz="4" w:space="0" w:color="auto"/>
        <w:bottom w:val="single" w:sz="4" w:space="0" w:color="auto"/>
      </w:pBdr>
      <w:shd w:val="clear" w:color="000000" w:fill="C0C0C0"/>
      <w:spacing w:before="100" w:beforeAutospacing="1" w:after="100" w:afterAutospacing="1"/>
      <w:jc w:val="center"/>
      <w:textAlignment w:val="center"/>
    </w:pPr>
    <w:rPr>
      <w:rFonts w:ascii="Bookman Old Style" w:hAnsi="Bookman Old Style"/>
      <w:b/>
      <w:bCs/>
      <w:i/>
      <w:iCs/>
      <w:sz w:val="16"/>
      <w:szCs w:val="16"/>
    </w:rPr>
  </w:style>
  <w:style w:type="paragraph" w:customStyle="1" w:styleId="xl118">
    <w:name w:val="xl118"/>
    <w:basedOn w:val="a0"/>
    <w:rsid w:val="00431CC5"/>
    <w:pPr>
      <w:pBdr>
        <w:top w:val="single" w:sz="4" w:space="0" w:color="auto"/>
        <w:bottom w:val="single" w:sz="4" w:space="0" w:color="auto"/>
      </w:pBdr>
      <w:shd w:val="clear" w:color="000000" w:fill="C0C0C0"/>
      <w:spacing w:before="100" w:beforeAutospacing="1" w:after="100" w:afterAutospacing="1"/>
      <w:jc w:val="center"/>
      <w:textAlignment w:val="center"/>
    </w:pPr>
    <w:rPr>
      <w:rFonts w:ascii="Bookman Old Style" w:hAnsi="Bookman Old Style"/>
      <w:b/>
      <w:bCs/>
      <w:i/>
      <w:iCs/>
      <w:sz w:val="16"/>
      <w:szCs w:val="16"/>
    </w:rPr>
  </w:style>
  <w:style w:type="paragraph" w:customStyle="1" w:styleId="xl119">
    <w:name w:val="xl119"/>
    <w:basedOn w:val="a0"/>
    <w:rsid w:val="00431CC5"/>
    <w:pPr>
      <w:pBdr>
        <w:top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Bookman Old Style" w:hAnsi="Bookman Old Style"/>
      <w:b/>
      <w:bCs/>
      <w:i/>
      <w:iCs/>
      <w:sz w:val="16"/>
      <w:szCs w:val="16"/>
    </w:rPr>
  </w:style>
  <w:style w:type="paragraph" w:customStyle="1" w:styleId="xl120">
    <w:name w:val="xl120"/>
    <w:basedOn w:val="a0"/>
    <w:rsid w:val="00431CC5"/>
    <w:pPr>
      <w:pBdr>
        <w:top w:val="single" w:sz="4" w:space="0" w:color="auto"/>
        <w:left w:val="single" w:sz="8" w:space="0" w:color="auto"/>
        <w:bottom w:val="single" w:sz="4" w:space="0" w:color="auto"/>
      </w:pBdr>
      <w:shd w:val="clear" w:color="000000" w:fill="C0C0C0"/>
      <w:spacing w:before="100" w:beforeAutospacing="1" w:after="100" w:afterAutospacing="1"/>
      <w:jc w:val="center"/>
      <w:textAlignment w:val="center"/>
    </w:pPr>
    <w:rPr>
      <w:rFonts w:ascii="Bookman Old Style" w:hAnsi="Bookman Old Style"/>
      <w:b/>
      <w:bCs/>
      <w:i/>
      <w:iCs/>
      <w:sz w:val="16"/>
      <w:szCs w:val="16"/>
    </w:rPr>
  </w:style>
  <w:style w:type="paragraph" w:customStyle="1" w:styleId="xl121">
    <w:name w:val="xl121"/>
    <w:basedOn w:val="a0"/>
    <w:rsid w:val="00431CC5"/>
    <w:pPr>
      <w:pBdr>
        <w:top w:val="single" w:sz="4" w:space="0" w:color="auto"/>
        <w:bottom w:val="single" w:sz="4" w:space="0" w:color="auto"/>
      </w:pBdr>
      <w:shd w:val="clear" w:color="000000" w:fill="C0C0C0"/>
      <w:spacing w:before="100" w:beforeAutospacing="1" w:after="100" w:afterAutospacing="1"/>
      <w:jc w:val="center"/>
      <w:textAlignment w:val="center"/>
    </w:pPr>
    <w:rPr>
      <w:rFonts w:ascii="Bookman Old Style" w:hAnsi="Bookman Old Style"/>
      <w:b/>
      <w:bCs/>
      <w:i/>
      <w:iCs/>
      <w:sz w:val="16"/>
      <w:szCs w:val="16"/>
    </w:rPr>
  </w:style>
  <w:style w:type="paragraph" w:customStyle="1" w:styleId="xl122">
    <w:name w:val="xl122"/>
    <w:basedOn w:val="a0"/>
    <w:rsid w:val="00431CC5"/>
    <w:pPr>
      <w:pBdr>
        <w:top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Bookman Old Style" w:hAnsi="Bookman Old Style"/>
      <w:b/>
      <w:bCs/>
      <w:i/>
      <w:iCs/>
      <w:sz w:val="16"/>
      <w:szCs w:val="16"/>
    </w:rPr>
  </w:style>
  <w:style w:type="paragraph" w:customStyle="1" w:styleId="xl123">
    <w:name w:val="xl123"/>
    <w:basedOn w:val="a0"/>
    <w:rsid w:val="00431CC5"/>
    <w:pPr>
      <w:pBdr>
        <w:top w:val="single" w:sz="4" w:space="0" w:color="auto"/>
        <w:left w:val="single" w:sz="4" w:space="0" w:color="auto"/>
      </w:pBdr>
      <w:shd w:val="clear" w:color="000000" w:fill="C0C0C0"/>
      <w:spacing w:before="100" w:beforeAutospacing="1" w:after="100" w:afterAutospacing="1"/>
      <w:jc w:val="center"/>
      <w:textAlignment w:val="center"/>
    </w:pPr>
    <w:rPr>
      <w:rFonts w:ascii="Bookman Old Style" w:hAnsi="Bookman Old Style"/>
      <w:b/>
      <w:bCs/>
      <w:i/>
      <w:iCs/>
      <w:sz w:val="16"/>
      <w:szCs w:val="16"/>
    </w:rPr>
  </w:style>
  <w:style w:type="paragraph" w:customStyle="1" w:styleId="xl124">
    <w:name w:val="xl124"/>
    <w:basedOn w:val="a0"/>
    <w:rsid w:val="00431CC5"/>
    <w:pPr>
      <w:pBdr>
        <w:top w:val="single" w:sz="4" w:space="0" w:color="auto"/>
      </w:pBdr>
      <w:shd w:val="clear" w:color="000000" w:fill="C0C0C0"/>
      <w:spacing w:before="100" w:beforeAutospacing="1" w:after="100" w:afterAutospacing="1"/>
      <w:jc w:val="center"/>
      <w:textAlignment w:val="center"/>
    </w:pPr>
    <w:rPr>
      <w:rFonts w:ascii="Bookman Old Style" w:hAnsi="Bookman Old Style"/>
      <w:b/>
      <w:bCs/>
      <w:i/>
      <w:iCs/>
      <w:sz w:val="16"/>
      <w:szCs w:val="16"/>
    </w:rPr>
  </w:style>
  <w:style w:type="paragraph" w:customStyle="1" w:styleId="xl125">
    <w:name w:val="xl125"/>
    <w:basedOn w:val="a0"/>
    <w:rsid w:val="00431CC5"/>
    <w:pPr>
      <w:pBdr>
        <w:top w:val="single" w:sz="4" w:space="0" w:color="auto"/>
        <w:left w:val="single" w:sz="4" w:space="0" w:color="auto"/>
        <w:right w:val="single" w:sz="4" w:space="0" w:color="auto"/>
      </w:pBdr>
      <w:spacing w:before="100" w:beforeAutospacing="1" w:after="100" w:afterAutospacing="1"/>
      <w:textAlignment w:val="center"/>
    </w:pPr>
    <w:rPr>
      <w:rFonts w:ascii="Bookman Old Style" w:hAnsi="Bookman Old Style"/>
      <w:b/>
      <w:bCs/>
      <w:sz w:val="16"/>
      <w:szCs w:val="16"/>
    </w:rPr>
  </w:style>
  <w:style w:type="paragraph" w:customStyle="1" w:styleId="xl126">
    <w:name w:val="xl126"/>
    <w:basedOn w:val="a0"/>
    <w:rsid w:val="00431CC5"/>
    <w:pPr>
      <w:pBdr>
        <w:top w:val="single" w:sz="4" w:space="0" w:color="auto"/>
        <w:left w:val="single" w:sz="4" w:space="0" w:color="auto"/>
        <w:right w:val="single" w:sz="4" w:space="0" w:color="auto"/>
      </w:pBdr>
      <w:spacing w:before="100" w:beforeAutospacing="1" w:after="100" w:afterAutospacing="1"/>
      <w:jc w:val="center"/>
      <w:textAlignment w:val="center"/>
    </w:pPr>
    <w:rPr>
      <w:rFonts w:ascii="Bookman Old Style" w:hAnsi="Bookman Old Style"/>
      <w:b/>
      <w:bCs/>
      <w:sz w:val="16"/>
      <w:szCs w:val="16"/>
    </w:rPr>
  </w:style>
  <w:style w:type="paragraph" w:customStyle="1" w:styleId="xl127">
    <w:name w:val="xl127"/>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pPr>
    <w:rPr>
      <w:rFonts w:ascii="Bookman Old Style" w:hAnsi="Bookman Old Style"/>
      <w:sz w:val="16"/>
      <w:szCs w:val="16"/>
    </w:rPr>
  </w:style>
  <w:style w:type="paragraph" w:customStyle="1" w:styleId="xl128">
    <w:name w:val="xl128"/>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pPr>
    <w:rPr>
      <w:rFonts w:ascii="Bookman Old Style" w:hAnsi="Bookman Old Style"/>
      <w:b/>
      <w:bCs/>
      <w:sz w:val="16"/>
      <w:szCs w:val="16"/>
    </w:rPr>
  </w:style>
  <w:style w:type="paragraph" w:customStyle="1" w:styleId="xl129">
    <w:name w:val="xl129"/>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color w:val="000000"/>
      <w:sz w:val="16"/>
      <w:szCs w:val="16"/>
    </w:rPr>
  </w:style>
  <w:style w:type="paragraph" w:customStyle="1" w:styleId="xl130">
    <w:name w:val="xl130"/>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b/>
      <w:bCs/>
      <w:color w:val="000000"/>
      <w:sz w:val="16"/>
      <w:szCs w:val="16"/>
    </w:rPr>
  </w:style>
  <w:style w:type="paragraph" w:customStyle="1" w:styleId="xl131">
    <w:name w:val="xl131"/>
    <w:basedOn w:val="a0"/>
    <w:rsid w:val="00431C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ookman Old Style" w:hAnsi="Bookman Old Style"/>
      <w:b/>
      <w:bCs/>
      <w:color w:val="000000"/>
      <w:sz w:val="16"/>
      <w:szCs w:val="16"/>
    </w:rPr>
  </w:style>
  <w:style w:type="table" w:customStyle="1" w:styleId="111">
    <w:name w:val="Сетка таблицы11"/>
    <w:basedOn w:val="a2"/>
    <w:next w:val="a9"/>
    <w:uiPriority w:val="59"/>
    <w:rsid w:val="00431CC5"/>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font5">
    <w:name w:val="font5"/>
    <w:basedOn w:val="a0"/>
    <w:rsid w:val="00431CC5"/>
    <w:pPr>
      <w:spacing w:before="100" w:beforeAutospacing="1" w:after="100" w:afterAutospacing="1"/>
    </w:pPr>
    <w:rPr>
      <w:rFonts w:ascii="Bookman Old Style" w:hAnsi="Bookman Old Style"/>
      <w:sz w:val="16"/>
      <w:szCs w:val="16"/>
    </w:rPr>
  </w:style>
  <w:style w:type="paragraph" w:customStyle="1" w:styleId="font6">
    <w:name w:val="font6"/>
    <w:basedOn w:val="a0"/>
    <w:rsid w:val="00431CC5"/>
    <w:pPr>
      <w:spacing w:before="100" w:beforeAutospacing="1" w:after="100" w:afterAutospacing="1"/>
    </w:pPr>
    <w:rPr>
      <w:rFonts w:ascii="Bookman Old Style" w:hAnsi="Bookman Old Style"/>
      <w:color w:val="FF0000"/>
      <w:sz w:val="16"/>
      <w:szCs w:val="16"/>
    </w:rPr>
  </w:style>
  <w:style w:type="paragraph" w:customStyle="1" w:styleId="xl63">
    <w:name w:val="xl63"/>
    <w:basedOn w:val="a0"/>
    <w:rsid w:val="00431CC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Bookman Old Style" w:hAnsi="Bookman Old Style"/>
      <w:b/>
      <w:bCs/>
      <w:i/>
      <w:iCs/>
      <w:sz w:val="16"/>
      <w:szCs w:val="16"/>
    </w:rPr>
  </w:style>
  <w:style w:type="paragraph" w:customStyle="1" w:styleId="xl64">
    <w:name w:val="xl64"/>
    <w:basedOn w:val="a0"/>
    <w:rsid w:val="00431CC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Bookman Old Style" w:hAnsi="Bookman Old Style"/>
      <w:b/>
      <w:bCs/>
      <w:i/>
      <w:iCs/>
      <w:sz w:val="16"/>
      <w:szCs w:val="16"/>
    </w:rPr>
  </w:style>
  <w:style w:type="paragraph" w:customStyle="1" w:styleId="affb">
    <w:name w:val="Знак Знак Знак"/>
    <w:basedOn w:val="a0"/>
    <w:rsid w:val="00431CC5"/>
    <w:pPr>
      <w:spacing w:after="160" w:line="240" w:lineRule="exact"/>
    </w:pPr>
    <w:rPr>
      <w:rFonts w:ascii="Verdana" w:hAnsi="Verdana"/>
      <w:sz w:val="20"/>
      <w:szCs w:val="20"/>
      <w:lang w:val="en-US" w:eastAsia="en-US"/>
    </w:rPr>
  </w:style>
  <w:style w:type="paragraph" w:customStyle="1" w:styleId="Preformatted">
    <w:name w:val="Preformatted"/>
    <w:basedOn w:val="a0"/>
    <w:rsid w:val="00431CC5"/>
    <w:pPr>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textAlignment w:val="baseline"/>
    </w:pPr>
    <w:rPr>
      <w:rFonts w:ascii="Courier New" w:hAnsi="Courier New"/>
      <w:sz w:val="20"/>
      <w:szCs w:val="20"/>
    </w:rPr>
  </w:style>
  <w:style w:type="paragraph" w:styleId="affc">
    <w:name w:val="List Number"/>
    <w:basedOn w:val="a0"/>
    <w:rsid w:val="00431CC5"/>
    <w:pPr>
      <w:keepLines/>
      <w:tabs>
        <w:tab w:val="num" w:pos="1531"/>
      </w:tabs>
      <w:spacing w:after="240" w:line="240" w:lineRule="atLeast"/>
      <w:ind w:left="1531" w:hanging="454"/>
      <w:jc w:val="both"/>
    </w:pPr>
    <w:rPr>
      <w:rFonts w:ascii="Tahoma" w:hAnsi="Tahoma" w:cs="Tahoma"/>
      <w:sz w:val="20"/>
      <w:szCs w:val="24"/>
    </w:rPr>
  </w:style>
  <w:style w:type="paragraph" w:styleId="2b">
    <w:name w:val="List Number 2"/>
    <w:basedOn w:val="a0"/>
    <w:rsid w:val="00431CC5"/>
    <w:pPr>
      <w:keepLines/>
      <w:tabs>
        <w:tab w:val="num" w:pos="1985"/>
      </w:tabs>
      <w:spacing w:after="240" w:line="240" w:lineRule="atLeast"/>
      <w:ind w:left="1985" w:hanging="454"/>
      <w:jc w:val="both"/>
    </w:pPr>
    <w:rPr>
      <w:rFonts w:ascii="Tahoma" w:hAnsi="Tahoma" w:cs="Tahoma"/>
      <w:sz w:val="20"/>
      <w:szCs w:val="24"/>
    </w:rPr>
  </w:style>
  <w:style w:type="paragraph" w:styleId="38">
    <w:name w:val="List Number 3"/>
    <w:basedOn w:val="a0"/>
    <w:rsid w:val="00431CC5"/>
    <w:pPr>
      <w:keepLines/>
      <w:tabs>
        <w:tab w:val="num" w:pos="2438"/>
      </w:tabs>
      <w:spacing w:after="120" w:line="240" w:lineRule="atLeast"/>
      <w:ind w:left="2438" w:hanging="453"/>
    </w:pPr>
    <w:rPr>
      <w:rFonts w:ascii="Tahoma" w:hAnsi="Tahoma" w:cs="Tahoma"/>
      <w:sz w:val="20"/>
      <w:szCs w:val="24"/>
    </w:rPr>
  </w:style>
  <w:style w:type="paragraph" w:styleId="43">
    <w:name w:val="List Number 4"/>
    <w:basedOn w:val="a0"/>
    <w:rsid w:val="00431CC5"/>
    <w:pPr>
      <w:keepLines/>
      <w:tabs>
        <w:tab w:val="num" w:pos="2892"/>
      </w:tabs>
      <w:spacing w:after="120" w:line="240" w:lineRule="atLeast"/>
      <w:ind w:left="2892" w:hanging="454"/>
    </w:pPr>
    <w:rPr>
      <w:rFonts w:ascii="Tahoma" w:hAnsi="Tahoma" w:cs="Tahoma"/>
      <w:sz w:val="20"/>
      <w:szCs w:val="24"/>
    </w:rPr>
  </w:style>
  <w:style w:type="paragraph" w:styleId="53">
    <w:name w:val="List Number 5"/>
    <w:basedOn w:val="a0"/>
    <w:rsid w:val="00431CC5"/>
    <w:pPr>
      <w:keepLines/>
      <w:tabs>
        <w:tab w:val="num" w:pos="3345"/>
      </w:tabs>
      <w:spacing w:after="120" w:line="240" w:lineRule="atLeast"/>
      <w:ind w:left="3345" w:hanging="453"/>
    </w:pPr>
    <w:rPr>
      <w:rFonts w:ascii="Tahoma" w:hAnsi="Tahoma" w:cs="Tahoma"/>
      <w:sz w:val="20"/>
      <w:szCs w:val="24"/>
    </w:rPr>
  </w:style>
  <w:style w:type="paragraph" w:styleId="39">
    <w:name w:val="List Bullet 3"/>
    <w:basedOn w:val="a0"/>
    <w:rsid w:val="00431CC5"/>
    <w:pPr>
      <w:keepLines/>
      <w:tabs>
        <w:tab w:val="num" w:pos="2438"/>
      </w:tabs>
      <w:spacing w:after="240" w:line="240" w:lineRule="atLeast"/>
      <w:ind w:left="2438" w:hanging="453"/>
    </w:pPr>
    <w:rPr>
      <w:rFonts w:ascii="Tahoma" w:hAnsi="Tahoma" w:cs="Tahoma"/>
      <w:sz w:val="20"/>
      <w:szCs w:val="24"/>
    </w:rPr>
  </w:style>
  <w:style w:type="paragraph" w:styleId="44">
    <w:name w:val="List Bullet 4"/>
    <w:basedOn w:val="a0"/>
    <w:rsid w:val="00431CC5"/>
    <w:pPr>
      <w:keepLines/>
      <w:tabs>
        <w:tab w:val="num" w:pos="2892"/>
      </w:tabs>
      <w:spacing w:after="240" w:line="240" w:lineRule="atLeast"/>
      <w:ind w:left="2892" w:hanging="454"/>
    </w:pPr>
    <w:rPr>
      <w:rFonts w:ascii="Tahoma" w:hAnsi="Tahoma" w:cs="Tahoma"/>
      <w:sz w:val="20"/>
      <w:szCs w:val="24"/>
    </w:rPr>
  </w:style>
  <w:style w:type="paragraph" w:styleId="54">
    <w:name w:val="List Bullet 5"/>
    <w:basedOn w:val="a0"/>
    <w:rsid w:val="00431CC5"/>
    <w:pPr>
      <w:keepLines/>
      <w:tabs>
        <w:tab w:val="num" w:pos="3345"/>
      </w:tabs>
      <w:spacing w:after="240" w:line="240" w:lineRule="atLeast"/>
      <w:ind w:left="3345" w:hanging="453"/>
    </w:pPr>
    <w:rPr>
      <w:rFonts w:ascii="Tahoma" w:hAnsi="Tahoma" w:cs="Tahoma"/>
      <w:sz w:val="20"/>
      <w:szCs w:val="24"/>
    </w:rPr>
  </w:style>
  <w:style w:type="paragraph" w:customStyle="1" w:styleId="clear">
    <w:name w:val="clear"/>
    <w:basedOn w:val="a0"/>
    <w:rsid w:val="00431CC5"/>
    <w:pPr>
      <w:spacing w:after="119"/>
    </w:pPr>
    <w:rPr>
      <w:sz w:val="24"/>
      <w:szCs w:val="24"/>
    </w:rPr>
  </w:style>
  <w:style w:type="table" w:customStyle="1" w:styleId="3-61">
    <w:name w:val="Средняя сетка 3 - Акцент 61"/>
    <w:basedOn w:val="a2"/>
    <w:next w:val="3-6"/>
    <w:uiPriority w:val="69"/>
    <w:rsid w:val="00431CC5"/>
    <w:rPr>
      <w:rFonts w:ascii="Bookman Old Style" w:hAnsi="Bookman Old Style"/>
      <w:sz w:val="14"/>
      <w:szCs w:val="22"/>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1">
    <w:name w:val="Темный список - Акцент 31"/>
    <w:basedOn w:val="a2"/>
    <w:next w:val="-3"/>
    <w:uiPriority w:val="70"/>
    <w:rsid w:val="00431CC5"/>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character" w:customStyle="1" w:styleId="15">
    <w:name w:val="Текст сноски Знак Знак Знак1"/>
    <w:aliases w:val="Текст сноски Знак1 Знак Знак1,Текст сноски Знак Знак1 Знак Знак1"/>
    <w:basedOn w:val="a1"/>
    <w:uiPriority w:val="99"/>
    <w:rsid w:val="00431CC5"/>
    <w:rPr>
      <w:rFonts w:ascii="Bookman Old Style" w:hAnsi="Bookman Old Style"/>
      <w:sz w:val="16"/>
    </w:rPr>
  </w:style>
  <w:style w:type="paragraph" w:customStyle="1" w:styleId="211">
    <w:name w:val="Основной текст 21"/>
    <w:basedOn w:val="a0"/>
    <w:rsid w:val="00431CC5"/>
    <w:pPr>
      <w:overflowPunct w:val="0"/>
      <w:autoSpaceDE w:val="0"/>
      <w:autoSpaceDN w:val="0"/>
      <w:adjustRightInd w:val="0"/>
      <w:ind w:firstLine="720"/>
      <w:textAlignment w:val="baseline"/>
    </w:pPr>
    <w:rPr>
      <w:sz w:val="24"/>
      <w:szCs w:val="20"/>
    </w:rPr>
  </w:style>
  <w:style w:type="paragraph" w:customStyle="1" w:styleId="410">
    <w:name w:val="Оглавление 41"/>
    <w:basedOn w:val="a0"/>
    <w:next w:val="a0"/>
    <w:autoRedefine/>
    <w:uiPriority w:val="39"/>
    <w:unhideWhenUsed/>
    <w:rsid w:val="00431CC5"/>
    <w:pPr>
      <w:spacing w:after="100" w:line="276" w:lineRule="auto"/>
      <w:ind w:left="660"/>
    </w:pPr>
    <w:rPr>
      <w:rFonts w:ascii="Calibri" w:hAnsi="Calibri"/>
      <w:sz w:val="22"/>
      <w:szCs w:val="22"/>
    </w:rPr>
  </w:style>
  <w:style w:type="paragraph" w:customStyle="1" w:styleId="510">
    <w:name w:val="Оглавление 51"/>
    <w:basedOn w:val="a0"/>
    <w:next w:val="a0"/>
    <w:autoRedefine/>
    <w:uiPriority w:val="39"/>
    <w:unhideWhenUsed/>
    <w:rsid w:val="00431CC5"/>
    <w:pPr>
      <w:spacing w:after="100" w:line="276" w:lineRule="auto"/>
      <w:ind w:left="880"/>
    </w:pPr>
    <w:rPr>
      <w:rFonts w:ascii="Calibri" w:hAnsi="Calibri"/>
      <w:sz w:val="22"/>
      <w:szCs w:val="22"/>
    </w:rPr>
  </w:style>
  <w:style w:type="paragraph" w:customStyle="1" w:styleId="610">
    <w:name w:val="Оглавление 61"/>
    <w:basedOn w:val="a0"/>
    <w:next w:val="a0"/>
    <w:autoRedefine/>
    <w:uiPriority w:val="39"/>
    <w:unhideWhenUsed/>
    <w:rsid w:val="00431CC5"/>
    <w:pPr>
      <w:spacing w:after="100" w:line="276" w:lineRule="auto"/>
      <w:ind w:left="1100"/>
    </w:pPr>
    <w:rPr>
      <w:rFonts w:ascii="Calibri" w:hAnsi="Calibri"/>
      <w:sz w:val="22"/>
      <w:szCs w:val="22"/>
    </w:rPr>
  </w:style>
  <w:style w:type="paragraph" w:customStyle="1" w:styleId="710">
    <w:name w:val="Оглавление 71"/>
    <w:basedOn w:val="a0"/>
    <w:next w:val="a0"/>
    <w:autoRedefine/>
    <w:uiPriority w:val="39"/>
    <w:unhideWhenUsed/>
    <w:rsid w:val="00431CC5"/>
    <w:pPr>
      <w:spacing w:after="100" w:line="276" w:lineRule="auto"/>
      <w:ind w:left="1320"/>
    </w:pPr>
    <w:rPr>
      <w:rFonts w:ascii="Calibri" w:hAnsi="Calibri"/>
      <w:sz w:val="22"/>
      <w:szCs w:val="22"/>
    </w:rPr>
  </w:style>
  <w:style w:type="paragraph" w:customStyle="1" w:styleId="81">
    <w:name w:val="Оглавление 81"/>
    <w:basedOn w:val="a0"/>
    <w:next w:val="a0"/>
    <w:autoRedefine/>
    <w:uiPriority w:val="39"/>
    <w:unhideWhenUsed/>
    <w:rsid w:val="00431CC5"/>
    <w:pPr>
      <w:spacing w:after="100" w:line="276" w:lineRule="auto"/>
      <w:ind w:left="1540"/>
    </w:pPr>
    <w:rPr>
      <w:rFonts w:ascii="Calibri" w:hAnsi="Calibri"/>
      <w:sz w:val="22"/>
      <w:szCs w:val="22"/>
    </w:rPr>
  </w:style>
  <w:style w:type="paragraph" w:customStyle="1" w:styleId="91">
    <w:name w:val="Оглавление 91"/>
    <w:basedOn w:val="a0"/>
    <w:next w:val="a0"/>
    <w:autoRedefine/>
    <w:uiPriority w:val="39"/>
    <w:unhideWhenUsed/>
    <w:rsid w:val="00431CC5"/>
    <w:pPr>
      <w:spacing w:after="100" w:line="276" w:lineRule="auto"/>
      <w:ind w:left="1760"/>
    </w:pPr>
    <w:rPr>
      <w:rFonts w:ascii="Calibri" w:hAnsi="Calibri"/>
      <w:sz w:val="22"/>
      <w:szCs w:val="22"/>
    </w:rPr>
  </w:style>
  <w:style w:type="character" w:customStyle="1" w:styleId="mw-headline">
    <w:name w:val="mw-headline"/>
    <w:basedOn w:val="a1"/>
    <w:rsid w:val="00431CC5"/>
  </w:style>
  <w:style w:type="character" w:customStyle="1" w:styleId="editsection">
    <w:name w:val="editsection"/>
    <w:basedOn w:val="a1"/>
    <w:rsid w:val="00431CC5"/>
  </w:style>
  <w:style w:type="table" w:customStyle="1" w:styleId="16">
    <w:name w:val="Светлая заливка1"/>
    <w:basedOn w:val="a2"/>
    <w:next w:val="affd"/>
    <w:uiPriority w:val="60"/>
    <w:rsid w:val="00431CC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17">
    <w:name w:val="Подзаголовок1"/>
    <w:basedOn w:val="a0"/>
    <w:next w:val="a0"/>
    <w:uiPriority w:val="11"/>
    <w:qFormat/>
    <w:rsid w:val="00431CC5"/>
    <w:pPr>
      <w:numPr>
        <w:ilvl w:val="1"/>
      </w:numPr>
    </w:pPr>
    <w:rPr>
      <w:rFonts w:ascii="Cambria" w:hAnsi="Cambria"/>
      <w:i/>
      <w:iCs/>
      <w:color w:val="4F81BD"/>
      <w:spacing w:val="15"/>
      <w:sz w:val="24"/>
      <w:szCs w:val="24"/>
    </w:rPr>
  </w:style>
  <w:style w:type="paragraph" w:customStyle="1" w:styleId="Default">
    <w:name w:val="Default"/>
    <w:rsid w:val="00431CC5"/>
    <w:pPr>
      <w:autoSpaceDE w:val="0"/>
      <w:autoSpaceDN w:val="0"/>
      <w:adjustRightInd w:val="0"/>
    </w:pPr>
    <w:rPr>
      <w:color w:val="000000"/>
      <w:sz w:val="24"/>
      <w:szCs w:val="24"/>
    </w:rPr>
  </w:style>
  <w:style w:type="character" w:customStyle="1" w:styleId="apple-converted-space">
    <w:name w:val="apple-converted-space"/>
    <w:basedOn w:val="a1"/>
    <w:rsid w:val="00431CC5"/>
  </w:style>
  <w:style w:type="table" w:customStyle="1" w:styleId="3-62">
    <w:name w:val="Средняя сетка 3 - Акцент 62"/>
    <w:basedOn w:val="a2"/>
    <w:next w:val="3-6"/>
    <w:uiPriority w:val="69"/>
    <w:rsid w:val="00431CC5"/>
    <w:rPr>
      <w:rFonts w:ascii="Calibri" w:eastAsia="Calibri" w:hAnsi="Calibri"/>
      <w:sz w:val="22"/>
      <w:szCs w:val="22"/>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2">
    <w:name w:val="Темный список - Акцент 32"/>
    <w:basedOn w:val="a2"/>
    <w:next w:val="-3"/>
    <w:uiPriority w:val="70"/>
    <w:rsid w:val="00431CC5"/>
    <w:rPr>
      <w:rFonts w:ascii="Calibri" w:eastAsia="Calibri" w:hAnsi="Calibri"/>
      <w:color w:val="FFFFFF"/>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c">
    <w:name w:val="Светлая заливка2"/>
    <w:basedOn w:val="a2"/>
    <w:next w:val="affd"/>
    <w:uiPriority w:val="60"/>
    <w:rsid w:val="00431CC5"/>
    <w:rPr>
      <w:rFonts w:ascii="Calibri" w:eastAsia="Calibri" w:hAnsi="Calibri"/>
      <w:color w:val="000000"/>
      <w:sz w:val="22"/>
      <w:szCs w:val="22"/>
      <w:lang w:eastAsia="en-U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18">
    <w:name w:val="Подзаголовок Знак1"/>
    <w:basedOn w:val="a1"/>
    <w:uiPriority w:val="11"/>
    <w:rsid w:val="00431CC5"/>
    <w:rPr>
      <w:rFonts w:ascii="Cambria" w:eastAsia="Times New Roman" w:hAnsi="Cambria" w:cs="Times New Roman"/>
      <w:i/>
      <w:iCs/>
      <w:color w:val="4F81BD"/>
      <w:spacing w:val="15"/>
      <w:sz w:val="24"/>
      <w:szCs w:val="24"/>
    </w:rPr>
  </w:style>
  <w:style w:type="table" w:styleId="3-6">
    <w:name w:val="Medium Grid 3 Accent 6"/>
    <w:basedOn w:val="a2"/>
    <w:uiPriority w:val="69"/>
    <w:rsid w:val="00431CC5"/>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3">
    <w:name w:val="Dark List Accent 3"/>
    <w:basedOn w:val="a2"/>
    <w:uiPriority w:val="70"/>
    <w:rsid w:val="00431CC5"/>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affd">
    <w:name w:val="Light Shading"/>
    <w:basedOn w:val="a2"/>
    <w:uiPriority w:val="60"/>
    <w:rsid w:val="00431CC5"/>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f1">
    <w:name w:val="Обычный (веб) Знак"/>
    <w:link w:val="af0"/>
    <w:rsid w:val="001F45ED"/>
    <w:rPr>
      <w:color w:val="000000"/>
      <w:sz w:val="24"/>
      <w:szCs w:val="24"/>
    </w:rPr>
  </w:style>
  <w:style w:type="table" w:customStyle="1" w:styleId="3a">
    <w:name w:val="Сетка таблицы3"/>
    <w:basedOn w:val="a2"/>
    <w:next w:val="a9"/>
    <w:uiPriority w:val="59"/>
    <w:rsid w:val="001F09B4"/>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Сетка таблицы4"/>
    <w:basedOn w:val="a2"/>
    <w:next w:val="a9"/>
    <w:uiPriority w:val="59"/>
    <w:rsid w:val="0062656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3">
    <w:name w:val="Абзац списка Знак"/>
    <w:aliases w:val="Абзац списка основной Знак"/>
    <w:link w:val="aff2"/>
    <w:uiPriority w:val="34"/>
    <w:locked/>
    <w:rsid w:val="005132F7"/>
    <w:rPr>
      <w:sz w:val="26"/>
      <w:szCs w:val="26"/>
    </w:rPr>
  </w:style>
  <w:style w:type="paragraph" w:styleId="2d">
    <w:name w:val="Body Text 2"/>
    <w:basedOn w:val="a0"/>
    <w:link w:val="2e"/>
    <w:rsid w:val="00B12755"/>
    <w:pPr>
      <w:spacing w:after="120" w:line="480" w:lineRule="auto"/>
    </w:pPr>
  </w:style>
  <w:style w:type="character" w:customStyle="1" w:styleId="2e">
    <w:name w:val="Основной текст 2 Знак"/>
    <w:basedOn w:val="a1"/>
    <w:link w:val="2d"/>
    <w:rsid w:val="00B12755"/>
    <w:rPr>
      <w:sz w:val="26"/>
      <w:szCs w:val="26"/>
    </w:rPr>
  </w:style>
  <w:style w:type="paragraph" w:styleId="affe">
    <w:name w:val="Salutation"/>
    <w:basedOn w:val="a0"/>
    <w:link w:val="afff"/>
    <w:rsid w:val="00B12755"/>
    <w:rPr>
      <w:sz w:val="28"/>
      <w:szCs w:val="20"/>
    </w:rPr>
  </w:style>
  <w:style w:type="character" w:customStyle="1" w:styleId="afff">
    <w:name w:val="Приветствие Знак"/>
    <w:basedOn w:val="a1"/>
    <w:link w:val="affe"/>
    <w:rsid w:val="00B12755"/>
    <w:rPr>
      <w:sz w:val="28"/>
    </w:rPr>
  </w:style>
  <w:style w:type="paragraph" w:customStyle="1" w:styleId="19">
    <w:name w:val="Абзац списка1"/>
    <w:basedOn w:val="a0"/>
    <w:rsid w:val="006568BA"/>
    <w:pPr>
      <w:ind w:left="720"/>
      <w:contextualSpacing/>
    </w:pPr>
  </w:style>
  <w:style w:type="paragraph" w:customStyle="1" w:styleId="2f">
    <w:name w:val="Абзац списка2"/>
    <w:basedOn w:val="a0"/>
    <w:rsid w:val="006568BA"/>
    <w:pPr>
      <w:ind w:left="720"/>
      <w:contextualSpacing/>
    </w:pPr>
  </w:style>
</w:styles>
</file>

<file path=word/webSettings.xml><?xml version="1.0" encoding="utf-8"?>
<w:webSettings xmlns:r="http://schemas.openxmlformats.org/officeDocument/2006/relationships" xmlns:w="http://schemas.openxmlformats.org/wordprocessingml/2006/main">
  <w:divs>
    <w:div w:id="1444624">
      <w:bodyDiv w:val="1"/>
      <w:marLeft w:val="0"/>
      <w:marRight w:val="0"/>
      <w:marTop w:val="0"/>
      <w:marBottom w:val="0"/>
      <w:divBdr>
        <w:top w:val="none" w:sz="0" w:space="0" w:color="auto"/>
        <w:left w:val="none" w:sz="0" w:space="0" w:color="auto"/>
        <w:bottom w:val="none" w:sz="0" w:space="0" w:color="auto"/>
        <w:right w:val="none" w:sz="0" w:space="0" w:color="auto"/>
      </w:divBdr>
      <w:divsChild>
        <w:div w:id="1736315154">
          <w:marLeft w:val="0"/>
          <w:marRight w:val="0"/>
          <w:marTop w:val="0"/>
          <w:marBottom w:val="0"/>
          <w:divBdr>
            <w:top w:val="none" w:sz="0" w:space="0" w:color="auto"/>
            <w:left w:val="none" w:sz="0" w:space="0" w:color="auto"/>
            <w:bottom w:val="none" w:sz="0" w:space="0" w:color="auto"/>
            <w:right w:val="none" w:sz="0" w:space="0" w:color="auto"/>
          </w:divBdr>
          <w:divsChild>
            <w:div w:id="1928074985">
              <w:marLeft w:val="0"/>
              <w:marRight w:val="0"/>
              <w:marTop w:val="0"/>
              <w:marBottom w:val="0"/>
              <w:divBdr>
                <w:top w:val="none" w:sz="0" w:space="0" w:color="auto"/>
                <w:left w:val="none" w:sz="0" w:space="0" w:color="auto"/>
                <w:bottom w:val="none" w:sz="0" w:space="0" w:color="auto"/>
                <w:right w:val="none" w:sz="0" w:space="0" w:color="auto"/>
              </w:divBdr>
              <w:divsChild>
                <w:div w:id="117947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126">
      <w:bodyDiv w:val="1"/>
      <w:marLeft w:val="0"/>
      <w:marRight w:val="0"/>
      <w:marTop w:val="0"/>
      <w:marBottom w:val="0"/>
      <w:divBdr>
        <w:top w:val="none" w:sz="0" w:space="0" w:color="auto"/>
        <w:left w:val="none" w:sz="0" w:space="0" w:color="auto"/>
        <w:bottom w:val="none" w:sz="0" w:space="0" w:color="auto"/>
        <w:right w:val="none" w:sz="0" w:space="0" w:color="auto"/>
      </w:divBdr>
    </w:div>
    <w:div w:id="2128503">
      <w:bodyDiv w:val="1"/>
      <w:marLeft w:val="0"/>
      <w:marRight w:val="0"/>
      <w:marTop w:val="0"/>
      <w:marBottom w:val="0"/>
      <w:divBdr>
        <w:top w:val="none" w:sz="0" w:space="0" w:color="auto"/>
        <w:left w:val="none" w:sz="0" w:space="0" w:color="auto"/>
        <w:bottom w:val="none" w:sz="0" w:space="0" w:color="auto"/>
        <w:right w:val="none" w:sz="0" w:space="0" w:color="auto"/>
      </w:divBdr>
    </w:div>
    <w:div w:id="2824950">
      <w:bodyDiv w:val="1"/>
      <w:marLeft w:val="0"/>
      <w:marRight w:val="0"/>
      <w:marTop w:val="0"/>
      <w:marBottom w:val="0"/>
      <w:divBdr>
        <w:top w:val="none" w:sz="0" w:space="0" w:color="auto"/>
        <w:left w:val="none" w:sz="0" w:space="0" w:color="auto"/>
        <w:bottom w:val="none" w:sz="0" w:space="0" w:color="auto"/>
        <w:right w:val="none" w:sz="0" w:space="0" w:color="auto"/>
      </w:divBdr>
    </w:div>
    <w:div w:id="6714916">
      <w:bodyDiv w:val="1"/>
      <w:marLeft w:val="0"/>
      <w:marRight w:val="0"/>
      <w:marTop w:val="0"/>
      <w:marBottom w:val="0"/>
      <w:divBdr>
        <w:top w:val="none" w:sz="0" w:space="0" w:color="auto"/>
        <w:left w:val="none" w:sz="0" w:space="0" w:color="auto"/>
        <w:bottom w:val="none" w:sz="0" w:space="0" w:color="auto"/>
        <w:right w:val="none" w:sz="0" w:space="0" w:color="auto"/>
      </w:divBdr>
    </w:div>
    <w:div w:id="7297907">
      <w:bodyDiv w:val="1"/>
      <w:marLeft w:val="0"/>
      <w:marRight w:val="0"/>
      <w:marTop w:val="0"/>
      <w:marBottom w:val="0"/>
      <w:divBdr>
        <w:top w:val="none" w:sz="0" w:space="0" w:color="auto"/>
        <w:left w:val="none" w:sz="0" w:space="0" w:color="auto"/>
        <w:bottom w:val="none" w:sz="0" w:space="0" w:color="auto"/>
        <w:right w:val="none" w:sz="0" w:space="0" w:color="auto"/>
      </w:divBdr>
    </w:div>
    <w:div w:id="10572217">
      <w:bodyDiv w:val="1"/>
      <w:marLeft w:val="0"/>
      <w:marRight w:val="0"/>
      <w:marTop w:val="0"/>
      <w:marBottom w:val="0"/>
      <w:divBdr>
        <w:top w:val="none" w:sz="0" w:space="0" w:color="auto"/>
        <w:left w:val="none" w:sz="0" w:space="0" w:color="auto"/>
        <w:bottom w:val="none" w:sz="0" w:space="0" w:color="auto"/>
        <w:right w:val="none" w:sz="0" w:space="0" w:color="auto"/>
      </w:divBdr>
    </w:div>
    <w:div w:id="10883986">
      <w:bodyDiv w:val="1"/>
      <w:marLeft w:val="0"/>
      <w:marRight w:val="0"/>
      <w:marTop w:val="0"/>
      <w:marBottom w:val="0"/>
      <w:divBdr>
        <w:top w:val="none" w:sz="0" w:space="0" w:color="auto"/>
        <w:left w:val="none" w:sz="0" w:space="0" w:color="auto"/>
        <w:bottom w:val="none" w:sz="0" w:space="0" w:color="auto"/>
        <w:right w:val="none" w:sz="0" w:space="0" w:color="auto"/>
      </w:divBdr>
    </w:div>
    <w:div w:id="12077393">
      <w:bodyDiv w:val="1"/>
      <w:marLeft w:val="0"/>
      <w:marRight w:val="0"/>
      <w:marTop w:val="0"/>
      <w:marBottom w:val="0"/>
      <w:divBdr>
        <w:top w:val="none" w:sz="0" w:space="0" w:color="auto"/>
        <w:left w:val="none" w:sz="0" w:space="0" w:color="auto"/>
        <w:bottom w:val="none" w:sz="0" w:space="0" w:color="auto"/>
        <w:right w:val="none" w:sz="0" w:space="0" w:color="auto"/>
      </w:divBdr>
    </w:div>
    <w:div w:id="12272306">
      <w:bodyDiv w:val="1"/>
      <w:marLeft w:val="0"/>
      <w:marRight w:val="0"/>
      <w:marTop w:val="0"/>
      <w:marBottom w:val="0"/>
      <w:divBdr>
        <w:top w:val="none" w:sz="0" w:space="0" w:color="auto"/>
        <w:left w:val="none" w:sz="0" w:space="0" w:color="auto"/>
        <w:bottom w:val="none" w:sz="0" w:space="0" w:color="auto"/>
        <w:right w:val="none" w:sz="0" w:space="0" w:color="auto"/>
      </w:divBdr>
    </w:div>
    <w:div w:id="12387749">
      <w:bodyDiv w:val="1"/>
      <w:marLeft w:val="0"/>
      <w:marRight w:val="0"/>
      <w:marTop w:val="0"/>
      <w:marBottom w:val="0"/>
      <w:divBdr>
        <w:top w:val="none" w:sz="0" w:space="0" w:color="auto"/>
        <w:left w:val="none" w:sz="0" w:space="0" w:color="auto"/>
        <w:bottom w:val="none" w:sz="0" w:space="0" w:color="auto"/>
        <w:right w:val="none" w:sz="0" w:space="0" w:color="auto"/>
      </w:divBdr>
    </w:div>
    <w:div w:id="12462252">
      <w:bodyDiv w:val="1"/>
      <w:marLeft w:val="0"/>
      <w:marRight w:val="0"/>
      <w:marTop w:val="0"/>
      <w:marBottom w:val="0"/>
      <w:divBdr>
        <w:top w:val="none" w:sz="0" w:space="0" w:color="auto"/>
        <w:left w:val="none" w:sz="0" w:space="0" w:color="auto"/>
        <w:bottom w:val="none" w:sz="0" w:space="0" w:color="auto"/>
        <w:right w:val="none" w:sz="0" w:space="0" w:color="auto"/>
      </w:divBdr>
    </w:div>
    <w:div w:id="15161201">
      <w:bodyDiv w:val="1"/>
      <w:marLeft w:val="0"/>
      <w:marRight w:val="0"/>
      <w:marTop w:val="0"/>
      <w:marBottom w:val="0"/>
      <w:divBdr>
        <w:top w:val="none" w:sz="0" w:space="0" w:color="auto"/>
        <w:left w:val="none" w:sz="0" w:space="0" w:color="auto"/>
        <w:bottom w:val="none" w:sz="0" w:space="0" w:color="auto"/>
        <w:right w:val="none" w:sz="0" w:space="0" w:color="auto"/>
      </w:divBdr>
    </w:div>
    <w:div w:id="15691310">
      <w:bodyDiv w:val="1"/>
      <w:marLeft w:val="0"/>
      <w:marRight w:val="0"/>
      <w:marTop w:val="0"/>
      <w:marBottom w:val="0"/>
      <w:divBdr>
        <w:top w:val="none" w:sz="0" w:space="0" w:color="auto"/>
        <w:left w:val="none" w:sz="0" w:space="0" w:color="auto"/>
        <w:bottom w:val="none" w:sz="0" w:space="0" w:color="auto"/>
        <w:right w:val="none" w:sz="0" w:space="0" w:color="auto"/>
      </w:divBdr>
    </w:div>
    <w:div w:id="16736485">
      <w:bodyDiv w:val="1"/>
      <w:marLeft w:val="0"/>
      <w:marRight w:val="0"/>
      <w:marTop w:val="0"/>
      <w:marBottom w:val="0"/>
      <w:divBdr>
        <w:top w:val="none" w:sz="0" w:space="0" w:color="auto"/>
        <w:left w:val="none" w:sz="0" w:space="0" w:color="auto"/>
        <w:bottom w:val="none" w:sz="0" w:space="0" w:color="auto"/>
        <w:right w:val="none" w:sz="0" w:space="0" w:color="auto"/>
      </w:divBdr>
    </w:div>
    <w:div w:id="17853564">
      <w:bodyDiv w:val="1"/>
      <w:marLeft w:val="0"/>
      <w:marRight w:val="0"/>
      <w:marTop w:val="0"/>
      <w:marBottom w:val="0"/>
      <w:divBdr>
        <w:top w:val="none" w:sz="0" w:space="0" w:color="auto"/>
        <w:left w:val="none" w:sz="0" w:space="0" w:color="auto"/>
        <w:bottom w:val="none" w:sz="0" w:space="0" w:color="auto"/>
        <w:right w:val="none" w:sz="0" w:space="0" w:color="auto"/>
      </w:divBdr>
    </w:div>
    <w:div w:id="19475687">
      <w:bodyDiv w:val="1"/>
      <w:marLeft w:val="0"/>
      <w:marRight w:val="0"/>
      <w:marTop w:val="0"/>
      <w:marBottom w:val="0"/>
      <w:divBdr>
        <w:top w:val="none" w:sz="0" w:space="0" w:color="auto"/>
        <w:left w:val="none" w:sz="0" w:space="0" w:color="auto"/>
        <w:bottom w:val="none" w:sz="0" w:space="0" w:color="auto"/>
        <w:right w:val="none" w:sz="0" w:space="0" w:color="auto"/>
      </w:divBdr>
    </w:div>
    <w:div w:id="21247723">
      <w:bodyDiv w:val="1"/>
      <w:marLeft w:val="0"/>
      <w:marRight w:val="0"/>
      <w:marTop w:val="0"/>
      <w:marBottom w:val="0"/>
      <w:divBdr>
        <w:top w:val="none" w:sz="0" w:space="0" w:color="auto"/>
        <w:left w:val="none" w:sz="0" w:space="0" w:color="auto"/>
        <w:bottom w:val="none" w:sz="0" w:space="0" w:color="auto"/>
        <w:right w:val="none" w:sz="0" w:space="0" w:color="auto"/>
      </w:divBdr>
    </w:div>
    <w:div w:id="25063909">
      <w:bodyDiv w:val="1"/>
      <w:marLeft w:val="0"/>
      <w:marRight w:val="0"/>
      <w:marTop w:val="0"/>
      <w:marBottom w:val="0"/>
      <w:divBdr>
        <w:top w:val="none" w:sz="0" w:space="0" w:color="auto"/>
        <w:left w:val="none" w:sz="0" w:space="0" w:color="auto"/>
        <w:bottom w:val="none" w:sz="0" w:space="0" w:color="auto"/>
        <w:right w:val="none" w:sz="0" w:space="0" w:color="auto"/>
      </w:divBdr>
    </w:div>
    <w:div w:id="25448900">
      <w:bodyDiv w:val="1"/>
      <w:marLeft w:val="0"/>
      <w:marRight w:val="0"/>
      <w:marTop w:val="0"/>
      <w:marBottom w:val="0"/>
      <w:divBdr>
        <w:top w:val="none" w:sz="0" w:space="0" w:color="auto"/>
        <w:left w:val="none" w:sz="0" w:space="0" w:color="auto"/>
        <w:bottom w:val="none" w:sz="0" w:space="0" w:color="auto"/>
        <w:right w:val="none" w:sz="0" w:space="0" w:color="auto"/>
      </w:divBdr>
    </w:div>
    <w:div w:id="26028126">
      <w:bodyDiv w:val="1"/>
      <w:marLeft w:val="0"/>
      <w:marRight w:val="0"/>
      <w:marTop w:val="0"/>
      <w:marBottom w:val="0"/>
      <w:divBdr>
        <w:top w:val="none" w:sz="0" w:space="0" w:color="auto"/>
        <w:left w:val="none" w:sz="0" w:space="0" w:color="auto"/>
        <w:bottom w:val="none" w:sz="0" w:space="0" w:color="auto"/>
        <w:right w:val="none" w:sz="0" w:space="0" w:color="auto"/>
      </w:divBdr>
    </w:div>
    <w:div w:id="26763942">
      <w:bodyDiv w:val="1"/>
      <w:marLeft w:val="0"/>
      <w:marRight w:val="0"/>
      <w:marTop w:val="0"/>
      <w:marBottom w:val="0"/>
      <w:divBdr>
        <w:top w:val="none" w:sz="0" w:space="0" w:color="auto"/>
        <w:left w:val="none" w:sz="0" w:space="0" w:color="auto"/>
        <w:bottom w:val="none" w:sz="0" w:space="0" w:color="auto"/>
        <w:right w:val="none" w:sz="0" w:space="0" w:color="auto"/>
      </w:divBdr>
    </w:div>
    <w:div w:id="28144327">
      <w:bodyDiv w:val="1"/>
      <w:marLeft w:val="0"/>
      <w:marRight w:val="0"/>
      <w:marTop w:val="0"/>
      <w:marBottom w:val="0"/>
      <w:divBdr>
        <w:top w:val="none" w:sz="0" w:space="0" w:color="auto"/>
        <w:left w:val="none" w:sz="0" w:space="0" w:color="auto"/>
        <w:bottom w:val="none" w:sz="0" w:space="0" w:color="auto"/>
        <w:right w:val="none" w:sz="0" w:space="0" w:color="auto"/>
      </w:divBdr>
    </w:div>
    <w:div w:id="30304610">
      <w:bodyDiv w:val="1"/>
      <w:marLeft w:val="0"/>
      <w:marRight w:val="0"/>
      <w:marTop w:val="0"/>
      <w:marBottom w:val="0"/>
      <w:divBdr>
        <w:top w:val="none" w:sz="0" w:space="0" w:color="auto"/>
        <w:left w:val="none" w:sz="0" w:space="0" w:color="auto"/>
        <w:bottom w:val="none" w:sz="0" w:space="0" w:color="auto"/>
        <w:right w:val="none" w:sz="0" w:space="0" w:color="auto"/>
      </w:divBdr>
    </w:div>
    <w:div w:id="32116013">
      <w:bodyDiv w:val="1"/>
      <w:marLeft w:val="0"/>
      <w:marRight w:val="0"/>
      <w:marTop w:val="0"/>
      <w:marBottom w:val="0"/>
      <w:divBdr>
        <w:top w:val="none" w:sz="0" w:space="0" w:color="auto"/>
        <w:left w:val="none" w:sz="0" w:space="0" w:color="auto"/>
        <w:bottom w:val="none" w:sz="0" w:space="0" w:color="auto"/>
        <w:right w:val="none" w:sz="0" w:space="0" w:color="auto"/>
      </w:divBdr>
    </w:div>
    <w:div w:id="32966102">
      <w:bodyDiv w:val="1"/>
      <w:marLeft w:val="0"/>
      <w:marRight w:val="0"/>
      <w:marTop w:val="0"/>
      <w:marBottom w:val="0"/>
      <w:divBdr>
        <w:top w:val="none" w:sz="0" w:space="0" w:color="auto"/>
        <w:left w:val="none" w:sz="0" w:space="0" w:color="auto"/>
        <w:bottom w:val="none" w:sz="0" w:space="0" w:color="auto"/>
        <w:right w:val="none" w:sz="0" w:space="0" w:color="auto"/>
      </w:divBdr>
      <w:divsChild>
        <w:div w:id="817040501">
          <w:marLeft w:val="0"/>
          <w:marRight w:val="0"/>
          <w:marTop w:val="0"/>
          <w:marBottom w:val="0"/>
          <w:divBdr>
            <w:top w:val="none" w:sz="0" w:space="0" w:color="auto"/>
            <w:left w:val="none" w:sz="0" w:space="0" w:color="auto"/>
            <w:bottom w:val="none" w:sz="0" w:space="0" w:color="auto"/>
            <w:right w:val="none" w:sz="0" w:space="0" w:color="auto"/>
          </w:divBdr>
          <w:divsChild>
            <w:div w:id="104034907">
              <w:marLeft w:val="0"/>
              <w:marRight w:val="0"/>
              <w:marTop w:val="0"/>
              <w:marBottom w:val="0"/>
              <w:divBdr>
                <w:top w:val="none" w:sz="0" w:space="0" w:color="auto"/>
                <w:left w:val="none" w:sz="0" w:space="0" w:color="auto"/>
                <w:bottom w:val="none" w:sz="0" w:space="0" w:color="auto"/>
                <w:right w:val="none" w:sz="0" w:space="0" w:color="auto"/>
              </w:divBdr>
              <w:divsChild>
                <w:div w:id="681712408">
                  <w:marLeft w:val="4245"/>
                  <w:marRight w:val="0"/>
                  <w:marTop w:val="0"/>
                  <w:marBottom w:val="0"/>
                  <w:divBdr>
                    <w:top w:val="none" w:sz="0" w:space="0" w:color="auto"/>
                    <w:left w:val="none" w:sz="0" w:space="0" w:color="auto"/>
                    <w:bottom w:val="none" w:sz="0" w:space="0" w:color="auto"/>
                    <w:right w:val="none" w:sz="0" w:space="0" w:color="auto"/>
                  </w:divBdr>
                  <w:divsChild>
                    <w:div w:id="1983581312">
                      <w:marLeft w:val="4200"/>
                      <w:marRight w:val="0"/>
                      <w:marTop w:val="2175"/>
                      <w:marBottom w:val="0"/>
                      <w:divBdr>
                        <w:top w:val="none" w:sz="0" w:space="0" w:color="auto"/>
                        <w:left w:val="none" w:sz="0" w:space="0" w:color="auto"/>
                        <w:bottom w:val="none" w:sz="0" w:space="0" w:color="auto"/>
                        <w:right w:val="none" w:sz="0" w:space="0" w:color="auto"/>
                      </w:divBdr>
                      <w:divsChild>
                        <w:div w:id="39400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624804">
      <w:bodyDiv w:val="1"/>
      <w:marLeft w:val="0"/>
      <w:marRight w:val="0"/>
      <w:marTop w:val="0"/>
      <w:marBottom w:val="0"/>
      <w:divBdr>
        <w:top w:val="none" w:sz="0" w:space="0" w:color="auto"/>
        <w:left w:val="none" w:sz="0" w:space="0" w:color="auto"/>
        <w:bottom w:val="none" w:sz="0" w:space="0" w:color="auto"/>
        <w:right w:val="none" w:sz="0" w:space="0" w:color="auto"/>
      </w:divBdr>
    </w:div>
    <w:div w:id="37584005">
      <w:bodyDiv w:val="1"/>
      <w:marLeft w:val="0"/>
      <w:marRight w:val="0"/>
      <w:marTop w:val="0"/>
      <w:marBottom w:val="0"/>
      <w:divBdr>
        <w:top w:val="none" w:sz="0" w:space="0" w:color="auto"/>
        <w:left w:val="none" w:sz="0" w:space="0" w:color="auto"/>
        <w:bottom w:val="none" w:sz="0" w:space="0" w:color="auto"/>
        <w:right w:val="none" w:sz="0" w:space="0" w:color="auto"/>
      </w:divBdr>
    </w:div>
    <w:div w:id="39522615">
      <w:bodyDiv w:val="1"/>
      <w:marLeft w:val="0"/>
      <w:marRight w:val="0"/>
      <w:marTop w:val="0"/>
      <w:marBottom w:val="0"/>
      <w:divBdr>
        <w:top w:val="none" w:sz="0" w:space="0" w:color="auto"/>
        <w:left w:val="none" w:sz="0" w:space="0" w:color="auto"/>
        <w:bottom w:val="none" w:sz="0" w:space="0" w:color="auto"/>
        <w:right w:val="none" w:sz="0" w:space="0" w:color="auto"/>
      </w:divBdr>
    </w:div>
    <w:div w:id="40709693">
      <w:bodyDiv w:val="1"/>
      <w:marLeft w:val="0"/>
      <w:marRight w:val="0"/>
      <w:marTop w:val="0"/>
      <w:marBottom w:val="0"/>
      <w:divBdr>
        <w:top w:val="none" w:sz="0" w:space="0" w:color="auto"/>
        <w:left w:val="none" w:sz="0" w:space="0" w:color="auto"/>
        <w:bottom w:val="none" w:sz="0" w:space="0" w:color="auto"/>
        <w:right w:val="none" w:sz="0" w:space="0" w:color="auto"/>
      </w:divBdr>
    </w:div>
    <w:div w:id="41101023">
      <w:bodyDiv w:val="1"/>
      <w:marLeft w:val="0"/>
      <w:marRight w:val="0"/>
      <w:marTop w:val="0"/>
      <w:marBottom w:val="0"/>
      <w:divBdr>
        <w:top w:val="none" w:sz="0" w:space="0" w:color="auto"/>
        <w:left w:val="none" w:sz="0" w:space="0" w:color="auto"/>
        <w:bottom w:val="none" w:sz="0" w:space="0" w:color="auto"/>
        <w:right w:val="none" w:sz="0" w:space="0" w:color="auto"/>
      </w:divBdr>
    </w:div>
    <w:div w:id="42219050">
      <w:bodyDiv w:val="1"/>
      <w:marLeft w:val="0"/>
      <w:marRight w:val="0"/>
      <w:marTop w:val="0"/>
      <w:marBottom w:val="0"/>
      <w:divBdr>
        <w:top w:val="none" w:sz="0" w:space="0" w:color="auto"/>
        <w:left w:val="none" w:sz="0" w:space="0" w:color="auto"/>
        <w:bottom w:val="none" w:sz="0" w:space="0" w:color="auto"/>
        <w:right w:val="none" w:sz="0" w:space="0" w:color="auto"/>
      </w:divBdr>
    </w:div>
    <w:div w:id="43455952">
      <w:bodyDiv w:val="1"/>
      <w:marLeft w:val="0"/>
      <w:marRight w:val="0"/>
      <w:marTop w:val="0"/>
      <w:marBottom w:val="0"/>
      <w:divBdr>
        <w:top w:val="none" w:sz="0" w:space="0" w:color="auto"/>
        <w:left w:val="none" w:sz="0" w:space="0" w:color="auto"/>
        <w:bottom w:val="none" w:sz="0" w:space="0" w:color="auto"/>
        <w:right w:val="none" w:sz="0" w:space="0" w:color="auto"/>
      </w:divBdr>
    </w:div>
    <w:div w:id="45221255">
      <w:bodyDiv w:val="1"/>
      <w:marLeft w:val="0"/>
      <w:marRight w:val="0"/>
      <w:marTop w:val="0"/>
      <w:marBottom w:val="0"/>
      <w:divBdr>
        <w:top w:val="none" w:sz="0" w:space="0" w:color="auto"/>
        <w:left w:val="none" w:sz="0" w:space="0" w:color="auto"/>
        <w:bottom w:val="none" w:sz="0" w:space="0" w:color="auto"/>
        <w:right w:val="none" w:sz="0" w:space="0" w:color="auto"/>
      </w:divBdr>
    </w:div>
    <w:div w:id="46415461">
      <w:bodyDiv w:val="1"/>
      <w:marLeft w:val="0"/>
      <w:marRight w:val="0"/>
      <w:marTop w:val="0"/>
      <w:marBottom w:val="0"/>
      <w:divBdr>
        <w:top w:val="none" w:sz="0" w:space="0" w:color="auto"/>
        <w:left w:val="none" w:sz="0" w:space="0" w:color="auto"/>
        <w:bottom w:val="none" w:sz="0" w:space="0" w:color="auto"/>
        <w:right w:val="none" w:sz="0" w:space="0" w:color="auto"/>
      </w:divBdr>
    </w:div>
    <w:div w:id="47152850">
      <w:bodyDiv w:val="1"/>
      <w:marLeft w:val="0"/>
      <w:marRight w:val="0"/>
      <w:marTop w:val="0"/>
      <w:marBottom w:val="0"/>
      <w:divBdr>
        <w:top w:val="none" w:sz="0" w:space="0" w:color="auto"/>
        <w:left w:val="none" w:sz="0" w:space="0" w:color="auto"/>
        <w:bottom w:val="none" w:sz="0" w:space="0" w:color="auto"/>
        <w:right w:val="none" w:sz="0" w:space="0" w:color="auto"/>
      </w:divBdr>
    </w:div>
    <w:div w:id="50618150">
      <w:bodyDiv w:val="1"/>
      <w:marLeft w:val="0"/>
      <w:marRight w:val="0"/>
      <w:marTop w:val="0"/>
      <w:marBottom w:val="0"/>
      <w:divBdr>
        <w:top w:val="none" w:sz="0" w:space="0" w:color="auto"/>
        <w:left w:val="none" w:sz="0" w:space="0" w:color="auto"/>
        <w:bottom w:val="none" w:sz="0" w:space="0" w:color="auto"/>
        <w:right w:val="none" w:sz="0" w:space="0" w:color="auto"/>
      </w:divBdr>
    </w:div>
    <w:div w:id="52776941">
      <w:bodyDiv w:val="1"/>
      <w:marLeft w:val="0"/>
      <w:marRight w:val="0"/>
      <w:marTop w:val="0"/>
      <w:marBottom w:val="0"/>
      <w:divBdr>
        <w:top w:val="none" w:sz="0" w:space="0" w:color="auto"/>
        <w:left w:val="none" w:sz="0" w:space="0" w:color="auto"/>
        <w:bottom w:val="none" w:sz="0" w:space="0" w:color="auto"/>
        <w:right w:val="none" w:sz="0" w:space="0" w:color="auto"/>
      </w:divBdr>
    </w:div>
    <w:div w:id="57023522">
      <w:bodyDiv w:val="1"/>
      <w:marLeft w:val="0"/>
      <w:marRight w:val="0"/>
      <w:marTop w:val="0"/>
      <w:marBottom w:val="0"/>
      <w:divBdr>
        <w:top w:val="none" w:sz="0" w:space="0" w:color="auto"/>
        <w:left w:val="none" w:sz="0" w:space="0" w:color="auto"/>
        <w:bottom w:val="none" w:sz="0" w:space="0" w:color="auto"/>
        <w:right w:val="none" w:sz="0" w:space="0" w:color="auto"/>
      </w:divBdr>
    </w:div>
    <w:div w:id="57244082">
      <w:bodyDiv w:val="1"/>
      <w:marLeft w:val="0"/>
      <w:marRight w:val="0"/>
      <w:marTop w:val="0"/>
      <w:marBottom w:val="0"/>
      <w:divBdr>
        <w:top w:val="none" w:sz="0" w:space="0" w:color="auto"/>
        <w:left w:val="none" w:sz="0" w:space="0" w:color="auto"/>
        <w:bottom w:val="none" w:sz="0" w:space="0" w:color="auto"/>
        <w:right w:val="none" w:sz="0" w:space="0" w:color="auto"/>
      </w:divBdr>
    </w:div>
    <w:div w:id="59719026">
      <w:bodyDiv w:val="1"/>
      <w:marLeft w:val="0"/>
      <w:marRight w:val="0"/>
      <w:marTop w:val="0"/>
      <w:marBottom w:val="0"/>
      <w:divBdr>
        <w:top w:val="none" w:sz="0" w:space="0" w:color="auto"/>
        <w:left w:val="none" w:sz="0" w:space="0" w:color="auto"/>
        <w:bottom w:val="none" w:sz="0" w:space="0" w:color="auto"/>
        <w:right w:val="none" w:sz="0" w:space="0" w:color="auto"/>
      </w:divBdr>
    </w:div>
    <w:div w:id="60492521">
      <w:bodyDiv w:val="1"/>
      <w:marLeft w:val="0"/>
      <w:marRight w:val="0"/>
      <w:marTop w:val="0"/>
      <w:marBottom w:val="0"/>
      <w:divBdr>
        <w:top w:val="none" w:sz="0" w:space="0" w:color="auto"/>
        <w:left w:val="none" w:sz="0" w:space="0" w:color="auto"/>
        <w:bottom w:val="none" w:sz="0" w:space="0" w:color="auto"/>
        <w:right w:val="none" w:sz="0" w:space="0" w:color="auto"/>
      </w:divBdr>
    </w:div>
    <w:div w:id="64256610">
      <w:bodyDiv w:val="1"/>
      <w:marLeft w:val="0"/>
      <w:marRight w:val="0"/>
      <w:marTop w:val="0"/>
      <w:marBottom w:val="0"/>
      <w:divBdr>
        <w:top w:val="none" w:sz="0" w:space="0" w:color="auto"/>
        <w:left w:val="none" w:sz="0" w:space="0" w:color="auto"/>
        <w:bottom w:val="none" w:sz="0" w:space="0" w:color="auto"/>
        <w:right w:val="none" w:sz="0" w:space="0" w:color="auto"/>
      </w:divBdr>
    </w:div>
    <w:div w:id="64377819">
      <w:bodyDiv w:val="1"/>
      <w:marLeft w:val="0"/>
      <w:marRight w:val="0"/>
      <w:marTop w:val="0"/>
      <w:marBottom w:val="0"/>
      <w:divBdr>
        <w:top w:val="none" w:sz="0" w:space="0" w:color="auto"/>
        <w:left w:val="none" w:sz="0" w:space="0" w:color="auto"/>
        <w:bottom w:val="none" w:sz="0" w:space="0" w:color="auto"/>
        <w:right w:val="none" w:sz="0" w:space="0" w:color="auto"/>
      </w:divBdr>
    </w:div>
    <w:div w:id="65617663">
      <w:bodyDiv w:val="1"/>
      <w:marLeft w:val="0"/>
      <w:marRight w:val="0"/>
      <w:marTop w:val="0"/>
      <w:marBottom w:val="0"/>
      <w:divBdr>
        <w:top w:val="none" w:sz="0" w:space="0" w:color="auto"/>
        <w:left w:val="none" w:sz="0" w:space="0" w:color="auto"/>
        <w:bottom w:val="none" w:sz="0" w:space="0" w:color="auto"/>
        <w:right w:val="none" w:sz="0" w:space="0" w:color="auto"/>
      </w:divBdr>
    </w:div>
    <w:div w:id="69353600">
      <w:bodyDiv w:val="1"/>
      <w:marLeft w:val="0"/>
      <w:marRight w:val="0"/>
      <w:marTop w:val="0"/>
      <w:marBottom w:val="0"/>
      <w:divBdr>
        <w:top w:val="none" w:sz="0" w:space="0" w:color="auto"/>
        <w:left w:val="none" w:sz="0" w:space="0" w:color="auto"/>
        <w:bottom w:val="none" w:sz="0" w:space="0" w:color="auto"/>
        <w:right w:val="none" w:sz="0" w:space="0" w:color="auto"/>
      </w:divBdr>
    </w:div>
    <w:div w:id="69543244">
      <w:bodyDiv w:val="1"/>
      <w:marLeft w:val="0"/>
      <w:marRight w:val="0"/>
      <w:marTop w:val="0"/>
      <w:marBottom w:val="0"/>
      <w:divBdr>
        <w:top w:val="none" w:sz="0" w:space="0" w:color="auto"/>
        <w:left w:val="none" w:sz="0" w:space="0" w:color="auto"/>
        <w:bottom w:val="none" w:sz="0" w:space="0" w:color="auto"/>
        <w:right w:val="none" w:sz="0" w:space="0" w:color="auto"/>
      </w:divBdr>
    </w:div>
    <w:div w:id="69622402">
      <w:bodyDiv w:val="1"/>
      <w:marLeft w:val="0"/>
      <w:marRight w:val="0"/>
      <w:marTop w:val="0"/>
      <w:marBottom w:val="0"/>
      <w:divBdr>
        <w:top w:val="none" w:sz="0" w:space="0" w:color="auto"/>
        <w:left w:val="none" w:sz="0" w:space="0" w:color="auto"/>
        <w:bottom w:val="none" w:sz="0" w:space="0" w:color="auto"/>
        <w:right w:val="none" w:sz="0" w:space="0" w:color="auto"/>
      </w:divBdr>
    </w:div>
    <w:div w:id="71320594">
      <w:bodyDiv w:val="1"/>
      <w:marLeft w:val="0"/>
      <w:marRight w:val="0"/>
      <w:marTop w:val="0"/>
      <w:marBottom w:val="0"/>
      <w:divBdr>
        <w:top w:val="none" w:sz="0" w:space="0" w:color="auto"/>
        <w:left w:val="none" w:sz="0" w:space="0" w:color="auto"/>
        <w:bottom w:val="none" w:sz="0" w:space="0" w:color="auto"/>
        <w:right w:val="none" w:sz="0" w:space="0" w:color="auto"/>
      </w:divBdr>
    </w:div>
    <w:div w:id="71894633">
      <w:bodyDiv w:val="1"/>
      <w:marLeft w:val="0"/>
      <w:marRight w:val="0"/>
      <w:marTop w:val="0"/>
      <w:marBottom w:val="0"/>
      <w:divBdr>
        <w:top w:val="none" w:sz="0" w:space="0" w:color="auto"/>
        <w:left w:val="none" w:sz="0" w:space="0" w:color="auto"/>
        <w:bottom w:val="none" w:sz="0" w:space="0" w:color="auto"/>
        <w:right w:val="none" w:sz="0" w:space="0" w:color="auto"/>
      </w:divBdr>
    </w:div>
    <w:div w:id="72943084">
      <w:bodyDiv w:val="1"/>
      <w:marLeft w:val="0"/>
      <w:marRight w:val="0"/>
      <w:marTop w:val="0"/>
      <w:marBottom w:val="0"/>
      <w:divBdr>
        <w:top w:val="none" w:sz="0" w:space="0" w:color="auto"/>
        <w:left w:val="none" w:sz="0" w:space="0" w:color="auto"/>
        <w:bottom w:val="none" w:sz="0" w:space="0" w:color="auto"/>
        <w:right w:val="none" w:sz="0" w:space="0" w:color="auto"/>
      </w:divBdr>
    </w:div>
    <w:div w:id="73672827">
      <w:bodyDiv w:val="1"/>
      <w:marLeft w:val="0"/>
      <w:marRight w:val="0"/>
      <w:marTop w:val="0"/>
      <w:marBottom w:val="0"/>
      <w:divBdr>
        <w:top w:val="none" w:sz="0" w:space="0" w:color="auto"/>
        <w:left w:val="none" w:sz="0" w:space="0" w:color="auto"/>
        <w:bottom w:val="none" w:sz="0" w:space="0" w:color="auto"/>
        <w:right w:val="none" w:sz="0" w:space="0" w:color="auto"/>
      </w:divBdr>
    </w:div>
    <w:div w:id="75790338">
      <w:bodyDiv w:val="1"/>
      <w:marLeft w:val="0"/>
      <w:marRight w:val="0"/>
      <w:marTop w:val="0"/>
      <w:marBottom w:val="0"/>
      <w:divBdr>
        <w:top w:val="none" w:sz="0" w:space="0" w:color="auto"/>
        <w:left w:val="none" w:sz="0" w:space="0" w:color="auto"/>
        <w:bottom w:val="none" w:sz="0" w:space="0" w:color="auto"/>
        <w:right w:val="none" w:sz="0" w:space="0" w:color="auto"/>
      </w:divBdr>
    </w:div>
    <w:div w:id="82848058">
      <w:bodyDiv w:val="1"/>
      <w:marLeft w:val="0"/>
      <w:marRight w:val="0"/>
      <w:marTop w:val="0"/>
      <w:marBottom w:val="0"/>
      <w:divBdr>
        <w:top w:val="none" w:sz="0" w:space="0" w:color="auto"/>
        <w:left w:val="none" w:sz="0" w:space="0" w:color="auto"/>
        <w:bottom w:val="none" w:sz="0" w:space="0" w:color="auto"/>
        <w:right w:val="none" w:sz="0" w:space="0" w:color="auto"/>
      </w:divBdr>
    </w:div>
    <w:div w:id="83261744">
      <w:bodyDiv w:val="1"/>
      <w:marLeft w:val="0"/>
      <w:marRight w:val="0"/>
      <w:marTop w:val="0"/>
      <w:marBottom w:val="0"/>
      <w:divBdr>
        <w:top w:val="none" w:sz="0" w:space="0" w:color="auto"/>
        <w:left w:val="none" w:sz="0" w:space="0" w:color="auto"/>
        <w:bottom w:val="none" w:sz="0" w:space="0" w:color="auto"/>
        <w:right w:val="none" w:sz="0" w:space="0" w:color="auto"/>
      </w:divBdr>
    </w:div>
    <w:div w:id="83304666">
      <w:bodyDiv w:val="1"/>
      <w:marLeft w:val="0"/>
      <w:marRight w:val="0"/>
      <w:marTop w:val="0"/>
      <w:marBottom w:val="0"/>
      <w:divBdr>
        <w:top w:val="none" w:sz="0" w:space="0" w:color="auto"/>
        <w:left w:val="none" w:sz="0" w:space="0" w:color="auto"/>
        <w:bottom w:val="none" w:sz="0" w:space="0" w:color="auto"/>
        <w:right w:val="none" w:sz="0" w:space="0" w:color="auto"/>
      </w:divBdr>
    </w:div>
    <w:div w:id="87433258">
      <w:bodyDiv w:val="1"/>
      <w:marLeft w:val="0"/>
      <w:marRight w:val="0"/>
      <w:marTop w:val="0"/>
      <w:marBottom w:val="0"/>
      <w:divBdr>
        <w:top w:val="none" w:sz="0" w:space="0" w:color="auto"/>
        <w:left w:val="none" w:sz="0" w:space="0" w:color="auto"/>
        <w:bottom w:val="none" w:sz="0" w:space="0" w:color="auto"/>
        <w:right w:val="none" w:sz="0" w:space="0" w:color="auto"/>
      </w:divBdr>
    </w:div>
    <w:div w:id="87773450">
      <w:bodyDiv w:val="1"/>
      <w:marLeft w:val="0"/>
      <w:marRight w:val="0"/>
      <w:marTop w:val="0"/>
      <w:marBottom w:val="0"/>
      <w:divBdr>
        <w:top w:val="none" w:sz="0" w:space="0" w:color="auto"/>
        <w:left w:val="none" w:sz="0" w:space="0" w:color="auto"/>
        <w:bottom w:val="none" w:sz="0" w:space="0" w:color="auto"/>
        <w:right w:val="none" w:sz="0" w:space="0" w:color="auto"/>
      </w:divBdr>
    </w:div>
    <w:div w:id="90857400">
      <w:bodyDiv w:val="1"/>
      <w:marLeft w:val="0"/>
      <w:marRight w:val="0"/>
      <w:marTop w:val="0"/>
      <w:marBottom w:val="0"/>
      <w:divBdr>
        <w:top w:val="none" w:sz="0" w:space="0" w:color="auto"/>
        <w:left w:val="none" w:sz="0" w:space="0" w:color="auto"/>
        <w:bottom w:val="none" w:sz="0" w:space="0" w:color="auto"/>
        <w:right w:val="none" w:sz="0" w:space="0" w:color="auto"/>
      </w:divBdr>
    </w:div>
    <w:div w:id="92559157">
      <w:bodyDiv w:val="1"/>
      <w:marLeft w:val="0"/>
      <w:marRight w:val="0"/>
      <w:marTop w:val="0"/>
      <w:marBottom w:val="0"/>
      <w:divBdr>
        <w:top w:val="none" w:sz="0" w:space="0" w:color="auto"/>
        <w:left w:val="none" w:sz="0" w:space="0" w:color="auto"/>
        <w:bottom w:val="none" w:sz="0" w:space="0" w:color="auto"/>
        <w:right w:val="none" w:sz="0" w:space="0" w:color="auto"/>
      </w:divBdr>
    </w:div>
    <w:div w:id="94519980">
      <w:bodyDiv w:val="1"/>
      <w:marLeft w:val="0"/>
      <w:marRight w:val="0"/>
      <w:marTop w:val="0"/>
      <w:marBottom w:val="0"/>
      <w:divBdr>
        <w:top w:val="none" w:sz="0" w:space="0" w:color="auto"/>
        <w:left w:val="none" w:sz="0" w:space="0" w:color="auto"/>
        <w:bottom w:val="none" w:sz="0" w:space="0" w:color="auto"/>
        <w:right w:val="none" w:sz="0" w:space="0" w:color="auto"/>
      </w:divBdr>
    </w:div>
    <w:div w:id="95907620">
      <w:bodyDiv w:val="1"/>
      <w:marLeft w:val="0"/>
      <w:marRight w:val="0"/>
      <w:marTop w:val="0"/>
      <w:marBottom w:val="0"/>
      <w:divBdr>
        <w:top w:val="none" w:sz="0" w:space="0" w:color="auto"/>
        <w:left w:val="none" w:sz="0" w:space="0" w:color="auto"/>
        <w:bottom w:val="none" w:sz="0" w:space="0" w:color="auto"/>
        <w:right w:val="none" w:sz="0" w:space="0" w:color="auto"/>
      </w:divBdr>
    </w:div>
    <w:div w:id="96408977">
      <w:bodyDiv w:val="1"/>
      <w:marLeft w:val="0"/>
      <w:marRight w:val="0"/>
      <w:marTop w:val="0"/>
      <w:marBottom w:val="0"/>
      <w:divBdr>
        <w:top w:val="none" w:sz="0" w:space="0" w:color="auto"/>
        <w:left w:val="none" w:sz="0" w:space="0" w:color="auto"/>
        <w:bottom w:val="none" w:sz="0" w:space="0" w:color="auto"/>
        <w:right w:val="none" w:sz="0" w:space="0" w:color="auto"/>
      </w:divBdr>
    </w:div>
    <w:div w:id="97802240">
      <w:bodyDiv w:val="1"/>
      <w:marLeft w:val="0"/>
      <w:marRight w:val="0"/>
      <w:marTop w:val="0"/>
      <w:marBottom w:val="0"/>
      <w:divBdr>
        <w:top w:val="none" w:sz="0" w:space="0" w:color="auto"/>
        <w:left w:val="none" w:sz="0" w:space="0" w:color="auto"/>
        <w:bottom w:val="none" w:sz="0" w:space="0" w:color="auto"/>
        <w:right w:val="none" w:sz="0" w:space="0" w:color="auto"/>
      </w:divBdr>
      <w:divsChild>
        <w:div w:id="236592456">
          <w:marLeft w:val="0"/>
          <w:marRight w:val="0"/>
          <w:marTop w:val="0"/>
          <w:marBottom w:val="0"/>
          <w:divBdr>
            <w:top w:val="none" w:sz="0" w:space="0" w:color="auto"/>
            <w:left w:val="none" w:sz="0" w:space="0" w:color="auto"/>
            <w:bottom w:val="none" w:sz="0" w:space="0" w:color="auto"/>
            <w:right w:val="none" w:sz="0" w:space="0" w:color="auto"/>
          </w:divBdr>
          <w:divsChild>
            <w:div w:id="675426761">
              <w:marLeft w:val="0"/>
              <w:marRight w:val="0"/>
              <w:marTop w:val="0"/>
              <w:marBottom w:val="0"/>
              <w:divBdr>
                <w:top w:val="none" w:sz="0" w:space="0" w:color="auto"/>
                <w:left w:val="none" w:sz="0" w:space="0" w:color="auto"/>
                <w:bottom w:val="none" w:sz="0" w:space="0" w:color="auto"/>
                <w:right w:val="none" w:sz="0" w:space="0" w:color="auto"/>
              </w:divBdr>
              <w:divsChild>
                <w:div w:id="49538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13528">
      <w:bodyDiv w:val="1"/>
      <w:marLeft w:val="0"/>
      <w:marRight w:val="0"/>
      <w:marTop w:val="0"/>
      <w:marBottom w:val="0"/>
      <w:divBdr>
        <w:top w:val="none" w:sz="0" w:space="0" w:color="auto"/>
        <w:left w:val="none" w:sz="0" w:space="0" w:color="auto"/>
        <w:bottom w:val="none" w:sz="0" w:space="0" w:color="auto"/>
        <w:right w:val="none" w:sz="0" w:space="0" w:color="auto"/>
      </w:divBdr>
    </w:div>
    <w:div w:id="103114587">
      <w:bodyDiv w:val="1"/>
      <w:marLeft w:val="0"/>
      <w:marRight w:val="0"/>
      <w:marTop w:val="0"/>
      <w:marBottom w:val="0"/>
      <w:divBdr>
        <w:top w:val="none" w:sz="0" w:space="0" w:color="auto"/>
        <w:left w:val="none" w:sz="0" w:space="0" w:color="auto"/>
        <w:bottom w:val="none" w:sz="0" w:space="0" w:color="auto"/>
        <w:right w:val="none" w:sz="0" w:space="0" w:color="auto"/>
      </w:divBdr>
    </w:div>
    <w:div w:id="104271007">
      <w:bodyDiv w:val="1"/>
      <w:marLeft w:val="0"/>
      <w:marRight w:val="0"/>
      <w:marTop w:val="0"/>
      <w:marBottom w:val="0"/>
      <w:divBdr>
        <w:top w:val="none" w:sz="0" w:space="0" w:color="auto"/>
        <w:left w:val="none" w:sz="0" w:space="0" w:color="auto"/>
        <w:bottom w:val="none" w:sz="0" w:space="0" w:color="auto"/>
        <w:right w:val="none" w:sz="0" w:space="0" w:color="auto"/>
      </w:divBdr>
    </w:div>
    <w:div w:id="104276034">
      <w:bodyDiv w:val="1"/>
      <w:marLeft w:val="0"/>
      <w:marRight w:val="0"/>
      <w:marTop w:val="0"/>
      <w:marBottom w:val="0"/>
      <w:divBdr>
        <w:top w:val="none" w:sz="0" w:space="0" w:color="auto"/>
        <w:left w:val="none" w:sz="0" w:space="0" w:color="auto"/>
        <w:bottom w:val="none" w:sz="0" w:space="0" w:color="auto"/>
        <w:right w:val="none" w:sz="0" w:space="0" w:color="auto"/>
      </w:divBdr>
    </w:div>
    <w:div w:id="104351277">
      <w:bodyDiv w:val="1"/>
      <w:marLeft w:val="0"/>
      <w:marRight w:val="0"/>
      <w:marTop w:val="0"/>
      <w:marBottom w:val="0"/>
      <w:divBdr>
        <w:top w:val="none" w:sz="0" w:space="0" w:color="auto"/>
        <w:left w:val="none" w:sz="0" w:space="0" w:color="auto"/>
        <w:bottom w:val="none" w:sz="0" w:space="0" w:color="auto"/>
        <w:right w:val="none" w:sz="0" w:space="0" w:color="auto"/>
      </w:divBdr>
    </w:div>
    <w:div w:id="105006995">
      <w:bodyDiv w:val="1"/>
      <w:marLeft w:val="0"/>
      <w:marRight w:val="0"/>
      <w:marTop w:val="0"/>
      <w:marBottom w:val="0"/>
      <w:divBdr>
        <w:top w:val="none" w:sz="0" w:space="0" w:color="auto"/>
        <w:left w:val="none" w:sz="0" w:space="0" w:color="auto"/>
        <w:bottom w:val="none" w:sz="0" w:space="0" w:color="auto"/>
        <w:right w:val="none" w:sz="0" w:space="0" w:color="auto"/>
      </w:divBdr>
    </w:div>
    <w:div w:id="107744235">
      <w:bodyDiv w:val="1"/>
      <w:marLeft w:val="0"/>
      <w:marRight w:val="0"/>
      <w:marTop w:val="0"/>
      <w:marBottom w:val="0"/>
      <w:divBdr>
        <w:top w:val="none" w:sz="0" w:space="0" w:color="auto"/>
        <w:left w:val="none" w:sz="0" w:space="0" w:color="auto"/>
        <w:bottom w:val="none" w:sz="0" w:space="0" w:color="auto"/>
        <w:right w:val="none" w:sz="0" w:space="0" w:color="auto"/>
      </w:divBdr>
    </w:div>
    <w:div w:id="110823140">
      <w:bodyDiv w:val="1"/>
      <w:marLeft w:val="0"/>
      <w:marRight w:val="0"/>
      <w:marTop w:val="0"/>
      <w:marBottom w:val="0"/>
      <w:divBdr>
        <w:top w:val="none" w:sz="0" w:space="0" w:color="auto"/>
        <w:left w:val="none" w:sz="0" w:space="0" w:color="auto"/>
        <w:bottom w:val="none" w:sz="0" w:space="0" w:color="auto"/>
        <w:right w:val="none" w:sz="0" w:space="0" w:color="auto"/>
      </w:divBdr>
    </w:div>
    <w:div w:id="111441685">
      <w:bodyDiv w:val="1"/>
      <w:marLeft w:val="0"/>
      <w:marRight w:val="0"/>
      <w:marTop w:val="0"/>
      <w:marBottom w:val="0"/>
      <w:divBdr>
        <w:top w:val="none" w:sz="0" w:space="0" w:color="auto"/>
        <w:left w:val="none" w:sz="0" w:space="0" w:color="auto"/>
        <w:bottom w:val="none" w:sz="0" w:space="0" w:color="auto"/>
        <w:right w:val="none" w:sz="0" w:space="0" w:color="auto"/>
      </w:divBdr>
    </w:div>
    <w:div w:id="112866931">
      <w:bodyDiv w:val="1"/>
      <w:marLeft w:val="0"/>
      <w:marRight w:val="0"/>
      <w:marTop w:val="0"/>
      <w:marBottom w:val="0"/>
      <w:divBdr>
        <w:top w:val="none" w:sz="0" w:space="0" w:color="auto"/>
        <w:left w:val="none" w:sz="0" w:space="0" w:color="auto"/>
        <w:bottom w:val="none" w:sz="0" w:space="0" w:color="auto"/>
        <w:right w:val="none" w:sz="0" w:space="0" w:color="auto"/>
      </w:divBdr>
    </w:div>
    <w:div w:id="113058896">
      <w:bodyDiv w:val="1"/>
      <w:marLeft w:val="0"/>
      <w:marRight w:val="0"/>
      <w:marTop w:val="0"/>
      <w:marBottom w:val="0"/>
      <w:divBdr>
        <w:top w:val="none" w:sz="0" w:space="0" w:color="auto"/>
        <w:left w:val="none" w:sz="0" w:space="0" w:color="auto"/>
        <w:bottom w:val="none" w:sz="0" w:space="0" w:color="auto"/>
        <w:right w:val="none" w:sz="0" w:space="0" w:color="auto"/>
      </w:divBdr>
    </w:div>
    <w:div w:id="113837944">
      <w:bodyDiv w:val="1"/>
      <w:marLeft w:val="0"/>
      <w:marRight w:val="0"/>
      <w:marTop w:val="0"/>
      <w:marBottom w:val="0"/>
      <w:divBdr>
        <w:top w:val="none" w:sz="0" w:space="0" w:color="auto"/>
        <w:left w:val="none" w:sz="0" w:space="0" w:color="auto"/>
        <w:bottom w:val="none" w:sz="0" w:space="0" w:color="auto"/>
        <w:right w:val="none" w:sz="0" w:space="0" w:color="auto"/>
      </w:divBdr>
    </w:div>
    <w:div w:id="116069276">
      <w:bodyDiv w:val="1"/>
      <w:marLeft w:val="0"/>
      <w:marRight w:val="0"/>
      <w:marTop w:val="0"/>
      <w:marBottom w:val="0"/>
      <w:divBdr>
        <w:top w:val="none" w:sz="0" w:space="0" w:color="auto"/>
        <w:left w:val="none" w:sz="0" w:space="0" w:color="auto"/>
        <w:bottom w:val="none" w:sz="0" w:space="0" w:color="auto"/>
        <w:right w:val="none" w:sz="0" w:space="0" w:color="auto"/>
      </w:divBdr>
    </w:div>
    <w:div w:id="120727528">
      <w:bodyDiv w:val="1"/>
      <w:marLeft w:val="0"/>
      <w:marRight w:val="0"/>
      <w:marTop w:val="0"/>
      <w:marBottom w:val="0"/>
      <w:divBdr>
        <w:top w:val="none" w:sz="0" w:space="0" w:color="auto"/>
        <w:left w:val="none" w:sz="0" w:space="0" w:color="auto"/>
        <w:bottom w:val="none" w:sz="0" w:space="0" w:color="auto"/>
        <w:right w:val="none" w:sz="0" w:space="0" w:color="auto"/>
      </w:divBdr>
    </w:div>
    <w:div w:id="122037974">
      <w:bodyDiv w:val="1"/>
      <w:marLeft w:val="0"/>
      <w:marRight w:val="0"/>
      <w:marTop w:val="0"/>
      <w:marBottom w:val="0"/>
      <w:divBdr>
        <w:top w:val="none" w:sz="0" w:space="0" w:color="auto"/>
        <w:left w:val="none" w:sz="0" w:space="0" w:color="auto"/>
        <w:bottom w:val="none" w:sz="0" w:space="0" w:color="auto"/>
        <w:right w:val="none" w:sz="0" w:space="0" w:color="auto"/>
      </w:divBdr>
    </w:div>
    <w:div w:id="123812327">
      <w:bodyDiv w:val="1"/>
      <w:marLeft w:val="0"/>
      <w:marRight w:val="0"/>
      <w:marTop w:val="0"/>
      <w:marBottom w:val="0"/>
      <w:divBdr>
        <w:top w:val="none" w:sz="0" w:space="0" w:color="auto"/>
        <w:left w:val="none" w:sz="0" w:space="0" w:color="auto"/>
        <w:bottom w:val="none" w:sz="0" w:space="0" w:color="auto"/>
        <w:right w:val="none" w:sz="0" w:space="0" w:color="auto"/>
      </w:divBdr>
    </w:div>
    <w:div w:id="125048024">
      <w:bodyDiv w:val="1"/>
      <w:marLeft w:val="0"/>
      <w:marRight w:val="0"/>
      <w:marTop w:val="0"/>
      <w:marBottom w:val="0"/>
      <w:divBdr>
        <w:top w:val="none" w:sz="0" w:space="0" w:color="auto"/>
        <w:left w:val="none" w:sz="0" w:space="0" w:color="auto"/>
        <w:bottom w:val="none" w:sz="0" w:space="0" w:color="auto"/>
        <w:right w:val="none" w:sz="0" w:space="0" w:color="auto"/>
      </w:divBdr>
    </w:div>
    <w:div w:id="125701130">
      <w:bodyDiv w:val="1"/>
      <w:marLeft w:val="0"/>
      <w:marRight w:val="0"/>
      <w:marTop w:val="0"/>
      <w:marBottom w:val="0"/>
      <w:divBdr>
        <w:top w:val="none" w:sz="0" w:space="0" w:color="auto"/>
        <w:left w:val="none" w:sz="0" w:space="0" w:color="auto"/>
        <w:bottom w:val="none" w:sz="0" w:space="0" w:color="auto"/>
        <w:right w:val="none" w:sz="0" w:space="0" w:color="auto"/>
      </w:divBdr>
    </w:div>
    <w:div w:id="125858209">
      <w:bodyDiv w:val="1"/>
      <w:marLeft w:val="0"/>
      <w:marRight w:val="0"/>
      <w:marTop w:val="0"/>
      <w:marBottom w:val="0"/>
      <w:divBdr>
        <w:top w:val="none" w:sz="0" w:space="0" w:color="auto"/>
        <w:left w:val="none" w:sz="0" w:space="0" w:color="auto"/>
        <w:bottom w:val="none" w:sz="0" w:space="0" w:color="auto"/>
        <w:right w:val="none" w:sz="0" w:space="0" w:color="auto"/>
      </w:divBdr>
    </w:div>
    <w:div w:id="128398246">
      <w:bodyDiv w:val="1"/>
      <w:marLeft w:val="0"/>
      <w:marRight w:val="0"/>
      <w:marTop w:val="0"/>
      <w:marBottom w:val="0"/>
      <w:divBdr>
        <w:top w:val="none" w:sz="0" w:space="0" w:color="auto"/>
        <w:left w:val="none" w:sz="0" w:space="0" w:color="auto"/>
        <w:bottom w:val="none" w:sz="0" w:space="0" w:color="auto"/>
        <w:right w:val="none" w:sz="0" w:space="0" w:color="auto"/>
      </w:divBdr>
    </w:div>
    <w:div w:id="129061543">
      <w:bodyDiv w:val="1"/>
      <w:marLeft w:val="0"/>
      <w:marRight w:val="0"/>
      <w:marTop w:val="0"/>
      <w:marBottom w:val="0"/>
      <w:divBdr>
        <w:top w:val="none" w:sz="0" w:space="0" w:color="auto"/>
        <w:left w:val="none" w:sz="0" w:space="0" w:color="auto"/>
        <w:bottom w:val="none" w:sz="0" w:space="0" w:color="auto"/>
        <w:right w:val="none" w:sz="0" w:space="0" w:color="auto"/>
      </w:divBdr>
    </w:div>
    <w:div w:id="129715727">
      <w:bodyDiv w:val="1"/>
      <w:marLeft w:val="0"/>
      <w:marRight w:val="0"/>
      <w:marTop w:val="0"/>
      <w:marBottom w:val="0"/>
      <w:divBdr>
        <w:top w:val="none" w:sz="0" w:space="0" w:color="auto"/>
        <w:left w:val="none" w:sz="0" w:space="0" w:color="auto"/>
        <w:bottom w:val="none" w:sz="0" w:space="0" w:color="auto"/>
        <w:right w:val="none" w:sz="0" w:space="0" w:color="auto"/>
      </w:divBdr>
    </w:div>
    <w:div w:id="129983632">
      <w:bodyDiv w:val="1"/>
      <w:marLeft w:val="0"/>
      <w:marRight w:val="0"/>
      <w:marTop w:val="0"/>
      <w:marBottom w:val="0"/>
      <w:divBdr>
        <w:top w:val="none" w:sz="0" w:space="0" w:color="auto"/>
        <w:left w:val="none" w:sz="0" w:space="0" w:color="auto"/>
        <w:bottom w:val="none" w:sz="0" w:space="0" w:color="auto"/>
        <w:right w:val="none" w:sz="0" w:space="0" w:color="auto"/>
      </w:divBdr>
    </w:div>
    <w:div w:id="134102271">
      <w:bodyDiv w:val="1"/>
      <w:marLeft w:val="0"/>
      <w:marRight w:val="0"/>
      <w:marTop w:val="0"/>
      <w:marBottom w:val="0"/>
      <w:divBdr>
        <w:top w:val="none" w:sz="0" w:space="0" w:color="auto"/>
        <w:left w:val="none" w:sz="0" w:space="0" w:color="auto"/>
        <w:bottom w:val="none" w:sz="0" w:space="0" w:color="auto"/>
        <w:right w:val="none" w:sz="0" w:space="0" w:color="auto"/>
      </w:divBdr>
      <w:divsChild>
        <w:div w:id="1159929381">
          <w:marLeft w:val="0"/>
          <w:marRight w:val="0"/>
          <w:marTop w:val="0"/>
          <w:marBottom w:val="0"/>
          <w:divBdr>
            <w:top w:val="none" w:sz="0" w:space="0" w:color="auto"/>
            <w:left w:val="none" w:sz="0" w:space="0" w:color="auto"/>
            <w:bottom w:val="none" w:sz="0" w:space="0" w:color="auto"/>
            <w:right w:val="none" w:sz="0" w:space="0" w:color="auto"/>
          </w:divBdr>
          <w:divsChild>
            <w:div w:id="556669839">
              <w:marLeft w:val="0"/>
              <w:marRight w:val="0"/>
              <w:marTop w:val="0"/>
              <w:marBottom w:val="0"/>
              <w:divBdr>
                <w:top w:val="none" w:sz="0" w:space="0" w:color="auto"/>
                <w:left w:val="none" w:sz="0" w:space="0" w:color="auto"/>
                <w:bottom w:val="none" w:sz="0" w:space="0" w:color="auto"/>
                <w:right w:val="none" w:sz="0" w:space="0" w:color="auto"/>
              </w:divBdr>
              <w:divsChild>
                <w:div w:id="302586889">
                  <w:marLeft w:val="4245"/>
                  <w:marRight w:val="0"/>
                  <w:marTop w:val="0"/>
                  <w:marBottom w:val="0"/>
                  <w:divBdr>
                    <w:top w:val="none" w:sz="0" w:space="0" w:color="auto"/>
                    <w:left w:val="none" w:sz="0" w:space="0" w:color="auto"/>
                    <w:bottom w:val="none" w:sz="0" w:space="0" w:color="auto"/>
                    <w:right w:val="none" w:sz="0" w:space="0" w:color="auto"/>
                  </w:divBdr>
                  <w:divsChild>
                    <w:div w:id="666590071">
                      <w:marLeft w:val="4200"/>
                      <w:marRight w:val="0"/>
                      <w:marTop w:val="2175"/>
                      <w:marBottom w:val="0"/>
                      <w:divBdr>
                        <w:top w:val="none" w:sz="0" w:space="0" w:color="auto"/>
                        <w:left w:val="none" w:sz="0" w:space="0" w:color="auto"/>
                        <w:bottom w:val="none" w:sz="0" w:space="0" w:color="auto"/>
                        <w:right w:val="none" w:sz="0" w:space="0" w:color="auto"/>
                      </w:divBdr>
                      <w:divsChild>
                        <w:div w:id="1723598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384997">
      <w:bodyDiv w:val="1"/>
      <w:marLeft w:val="0"/>
      <w:marRight w:val="0"/>
      <w:marTop w:val="0"/>
      <w:marBottom w:val="0"/>
      <w:divBdr>
        <w:top w:val="none" w:sz="0" w:space="0" w:color="auto"/>
        <w:left w:val="none" w:sz="0" w:space="0" w:color="auto"/>
        <w:bottom w:val="none" w:sz="0" w:space="0" w:color="auto"/>
        <w:right w:val="none" w:sz="0" w:space="0" w:color="auto"/>
      </w:divBdr>
    </w:div>
    <w:div w:id="137578309">
      <w:bodyDiv w:val="1"/>
      <w:marLeft w:val="0"/>
      <w:marRight w:val="0"/>
      <w:marTop w:val="0"/>
      <w:marBottom w:val="0"/>
      <w:divBdr>
        <w:top w:val="none" w:sz="0" w:space="0" w:color="auto"/>
        <w:left w:val="none" w:sz="0" w:space="0" w:color="auto"/>
        <w:bottom w:val="none" w:sz="0" w:space="0" w:color="auto"/>
        <w:right w:val="none" w:sz="0" w:space="0" w:color="auto"/>
      </w:divBdr>
    </w:div>
    <w:div w:id="142622953">
      <w:bodyDiv w:val="1"/>
      <w:marLeft w:val="0"/>
      <w:marRight w:val="0"/>
      <w:marTop w:val="0"/>
      <w:marBottom w:val="0"/>
      <w:divBdr>
        <w:top w:val="none" w:sz="0" w:space="0" w:color="auto"/>
        <w:left w:val="none" w:sz="0" w:space="0" w:color="auto"/>
        <w:bottom w:val="none" w:sz="0" w:space="0" w:color="auto"/>
        <w:right w:val="none" w:sz="0" w:space="0" w:color="auto"/>
      </w:divBdr>
    </w:div>
    <w:div w:id="142896214">
      <w:bodyDiv w:val="1"/>
      <w:marLeft w:val="0"/>
      <w:marRight w:val="0"/>
      <w:marTop w:val="0"/>
      <w:marBottom w:val="0"/>
      <w:divBdr>
        <w:top w:val="none" w:sz="0" w:space="0" w:color="auto"/>
        <w:left w:val="none" w:sz="0" w:space="0" w:color="auto"/>
        <w:bottom w:val="none" w:sz="0" w:space="0" w:color="auto"/>
        <w:right w:val="none" w:sz="0" w:space="0" w:color="auto"/>
      </w:divBdr>
    </w:div>
    <w:div w:id="143815611">
      <w:bodyDiv w:val="1"/>
      <w:marLeft w:val="0"/>
      <w:marRight w:val="0"/>
      <w:marTop w:val="0"/>
      <w:marBottom w:val="0"/>
      <w:divBdr>
        <w:top w:val="none" w:sz="0" w:space="0" w:color="auto"/>
        <w:left w:val="none" w:sz="0" w:space="0" w:color="auto"/>
        <w:bottom w:val="none" w:sz="0" w:space="0" w:color="auto"/>
        <w:right w:val="none" w:sz="0" w:space="0" w:color="auto"/>
      </w:divBdr>
    </w:div>
    <w:div w:id="144206491">
      <w:bodyDiv w:val="1"/>
      <w:marLeft w:val="0"/>
      <w:marRight w:val="0"/>
      <w:marTop w:val="0"/>
      <w:marBottom w:val="0"/>
      <w:divBdr>
        <w:top w:val="none" w:sz="0" w:space="0" w:color="auto"/>
        <w:left w:val="none" w:sz="0" w:space="0" w:color="auto"/>
        <w:bottom w:val="none" w:sz="0" w:space="0" w:color="auto"/>
        <w:right w:val="none" w:sz="0" w:space="0" w:color="auto"/>
      </w:divBdr>
    </w:div>
    <w:div w:id="145169208">
      <w:bodyDiv w:val="1"/>
      <w:marLeft w:val="0"/>
      <w:marRight w:val="0"/>
      <w:marTop w:val="0"/>
      <w:marBottom w:val="0"/>
      <w:divBdr>
        <w:top w:val="none" w:sz="0" w:space="0" w:color="auto"/>
        <w:left w:val="none" w:sz="0" w:space="0" w:color="auto"/>
        <w:bottom w:val="none" w:sz="0" w:space="0" w:color="auto"/>
        <w:right w:val="none" w:sz="0" w:space="0" w:color="auto"/>
      </w:divBdr>
    </w:div>
    <w:div w:id="145586723">
      <w:bodyDiv w:val="1"/>
      <w:marLeft w:val="0"/>
      <w:marRight w:val="0"/>
      <w:marTop w:val="0"/>
      <w:marBottom w:val="0"/>
      <w:divBdr>
        <w:top w:val="none" w:sz="0" w:space="0" w:color="auto"/>
        <w:left w:val="none" w:sz="0" w:space="0" w:color="auto"/>
        <w:bottom w:val="none" w:sz="0" w:space="0" w:color="auto"/>
        <w:right w:val="none" w:sz="0" w:space="0" w:color="auto"/>
      </w:divBdr>
    </w:div>
    <w:div w:id="146678274">
      <w:bodyDiv w:val="1"/>
      <w:marLeft w:val="0"/>
      <w:marRight w:val="0"/>
      <w:marTop w:val="0"/>
      <w:marBottom w:val="0"/>
      <w:divBdr>
        <w:top w:val="none" w:sz="0" w:space="0" w:color="auto"/>
        <w:left w:val="none" w:sz="0" w:space="0" w:color="auto"/>
        <w:bottom w:val="none" w:sz="0" w:space="0" w:color="auto"/>
        <w:right w:val="none" w:sz="0" w:space="0" w:color="auto"/>
      </w:divBdr>
    </w:div>
    <w:div w:id="147325162">
      <w:bodyDiv w:val="1"/>
      <w:marLeft w:val="0"/>
      <w:marRight w:val="0"/>
      <w:marTop w:val="0"/>
      <w:marBottom w:val="0"/>
      <w:divBdr>
        <w:top w:val="none" w:sz="0" w:space="0" w:color="auto"/>
        <w:left w:val="none" w:sz="0" w:space="0" w:color="auto"/>
        <w:bottom w:val="none" w:sz="0" w:space="0" w:color="auto"/>
        <w:right w:val="none" w:sz="0" w:space="0" w:color="auto"/>
      </w:divBdr>
    </w:div>
    <w:div w:id="148256374">
      <w:bodyDiv w:val="1"/>
      <w:marLeft w:val="0"/>
      <w:marRight w:val="0"/>
      <w:marTop w:val="0"/>
      <w:marBottom w:val="0"/>
      <w:divBdr>
        <w:top w:val="none" w:sz="0" w:space="0" w:color="auto"/>
        <w:left w:val="none" w:sz="0" w:space="0" w:color="auto"/>
        <w:bottom w:val="none" w:sz="0" w:space="0" w:color="auto"/>
        <w:right w:val="none" w:sz="0" w:space="0" w:color="auto"/>
      </w:divBdr>
    </w:div>
    <w:div w:id="149445599">
      <w:bodyDiv w:val="1"/>
      <w:marLeft w:val="0"/>
      <w:marRight w:val="0"/>
      <w:marTop w:val="0"/>
      <w:marBottom w:val="0"/>
      <w:divBdr>
        <w:top w:val="none" w:sz="0" w:space="0" w:color="auto"/>
        <w:left w:val="none" w:sz="0" w:space="0" w:color="auto"/>
        <w:bottom w:val="none" w:sz="0" w:space="0" w:color="auto"/>
        <w:right w:val="none" w:sz="0" w:space="0" w:color="auto"/>
      </w:divBdr>
    </w:div>
    <w:div w:id="149908802">
      <w:bodyDiv w:val="1"/>
      <w:marLeft w:val="0"/>
      <w:marRight w:val="0"/>
      <w:marTop w:val="0"/>
      <w:marBottom w:val="0"/>
      <w:divBdr>
        <w:top w:val="none" w:sz="0" w:space="0" w:color="auto"/>
        <w:left w:val="none" w:sz="0" w:space="0" w:color="auto"/>
        <w:bottom w:val="none" w:sz="0" w:space="0" w:color="auto"/>
        <w:right w:val="none" w:sz="0" w:space="0" w:color="auto"/>
      </w:divBdr>
    </w:div>
    <w:div w:id="150677452">
      <w:bodyDiv w:val="1"/>
      <w:marLeft w:val="0"/>
      <w:marRight w:val="0"/>
      <w:marTop w:val="0"/>
      <w:marBottom w:val="0"/>
      <w:divBdr>
        <w:top w:val="none" w:sz="0" w:space="0" w:color="auto"/>
        <w:left w:val="none" w:sz="0" w:space="0" w:color="auto"/>
        <w:bottom w:val="none" w:sz="0" w:space="0" w:color="auto"/>
        <w:right w:val="none" w:sz="0" w:space="0" w:color="auto"/>
      </w:divBdr>
    </w:div>
    <w:div w:id="154033395">
      <w:bodyDiv w:val="1"/>
      <w:marLeft w:val="0"/>
      <w:marRight w:val="0"/>
      <w:marTop w:val="0"/>
      <w:marBottom w:val="0"/>
      <w:divBdr>
        <w:top w:val="none" w:sz="0" w:space="0" w:color="auto"/>
        <w:left w:val="none" w:sz="0" w:space="0" w:color="auto"/>
        <w:bottom w:val="none" w:sz="0" w:space="0" w:color="auto"/>
        <w:right w:val="none" w:sz="0" w:space="0" w:color="auto"/>
      </w:divBdr>
    </w:div>
    <w:div w:id="155268553">
      <w:bodyDiv w:val="1"/>
      <w:marLeft w:val="0"/>
      <w:marRight w:val="0"/>
      <w:marTop w:val="0"/>
      <w:marBottom w:val="0"/>
      <w:divBdr>
        <w:top w:val="none" w:sz="0" w:space="0" w:color="auto"/>
        <w:left w:val="none" w:sz="0" w:space="0" w:color="auto"/>
        <w:bottom w:val="none" w:sz="0" w:space="0" w:color="auto"/>
        <w:right w:val="none" w:sz="0" w:space="0" w:color="auto"/>
      </w:divBdr>
    </w:div>
    <w:div w:id="155535517">
      <w:bodyDiv w:val="1"/>
      <w:marLeft w:val="0"/>
      <w:marRight w:val="0"/>
      <w:marTop w:val="0"/>
      <w:marBottom w:val="0"/>
      <w:divBdr>
        <w:top w:val="none" w:sz="0" w:space="0" w:color="auto"/>
        <w:left w:val="none" w:sz="0" w:space="0" w:color="auto"/>
        <w:bottom w:val="none" w:sz="0" w:space="0" w:color="auto"/>
        <w:right w:val="none" w:sz="0" w:space="0" w:color="auto"/>
      </w:divBdr>
    </w:div>
    <w:div w:id="158235084">
      <w:bodyDiv w:val="1"/>
      <w:marLeft w:val="0"/>
      <w:marRight w:val="0"/>
      <w:marTop w:val="0"/>
      <w:marBottom w:val="0"/>
      <w:divBdr>
        <w:top w:val="none" w:sz="0" w:space="0" w:color="auto"/>
        <w:left w:val="none" w:sz="0" w:space="0" w:color="auto"/>
        <w:bottom w:val="none" w:sz="0" w:space="0" w:color="auto"/>
        <w:right w:val="none" w:sz="0" w:space="0" w:color="auto"/>
      </w:divBdr>
    </w:div>
    <w:div w:id="159546917">
      <w:bodyDiv w:val="1"/>
      <w:marLeft w:val="0"/>
      <w:marRight w:val="0"/>
      <w:marTop w:val="0"/>
      <w:marBottom w:val="0"/>
      <w:divBdr>
        <w:top w:val="none" w:sz="0" w:space="0" w:color="auto"/>
        <w:left w:val="none" w:sz="0" w:space="0" w:color="auto"/>
        <w:bottom w:val="none" w:sz="0" w:space="0" w:color="auto"/>
        <w:right w:val="none" w:sz="0" w:space="0" w:color="auto"/>
      </w:divBdr>
    </w:div>
    <w:div w:id="160513384">
      <w:bodyDiv w:val="1"/>
      <w:marLeft w:val="0"/>
      <w:marRight w:val="0"/>
      <w:marTop w:val="0"/>
      <w:marBottom w:val="0"/>
      <w:divBdr>
        <w:top w:val="none" w:sz="0" w:space="0" w:color="auto"/>
        <w:left w:val="none" w:sz="0" w:space="0" w:color="auto"/>
        <w:bottom w:val="none" w:sz="0" w:space="0" w:color="auto"/>
        <w:right w:val="none" w:sz="0" w:space="0" w:color="auto"/>
      </w:divBdr>
      <w:divsChild>
        <w:div w:id="494221513">
          <w:marLeft w:val="0"/>
          <w:marRight w:val="0"/>
          <w:marTop w:val="0"/>
          <w:marBottom w:val="0"/>
          <w:divBdr>
            <w:top w:val="none" w:sz="0" w:space="0" w:color="auto"/>
            <w:left w:val="none" w:sz="0" w:space="0" w:color="auto"/>
            <w:bottom w:val="none" w:sz="0" w:space="0" w:color="auto"/>
            <w:right w:val="none" w:sz="0" w:space="0" w:color="auto"/>
          </w:divBdr>
          <w:divsChild>
            <w:div w:id="1486509783">
              <w:marLeft w:val="0"/>
              <w:marRight w:val="0"/>
              <w:marTop w:val="0"/>
              <w:marBottom w:val="0"/>
              <w:divBdr>
                <w:top w:val="none" w:sz="0" w:space="0" w:color="auto"/>
                <w:left w:val="none" w:sz="0" w:space="0" w:color="auto"/>
                <w:bottom w:val="none" w:sz="0" w:space="0" w:color="auto"/>
                <w:right w:val="none" w:sz="0" w:space="0" w:color="auto"/>
              </w:divBdr>
              <w:divsChild>
                <w:div w:id="1548254769">
                  <w:marLeft w:val="4245"/>
                  <w:marRight w:val="0"/>
                  <w:marTop w:val="0"/>
                  <w:marBottom w:val="0"/>
                  <w:divBdr>
                    <w:top w:val="none" w:sz="0" w:space="0" w:color="auto"/>
                    <w:left w:val="none" w:sz="0" w:space="0" w:color="auto"/>
                    <w:bottom w:val="none" w:sz="0" w:space="0" w:color="auto"/>
                    <w:right w:val="none" w:sz="0" w:space="0" w:color="auto"/>
                  </w:divBdr>
                  <w:divsChild>
                    <w:div w:id="1617516115">
                      <w:marLeft w:val="4200"/>
                      <w:marRight w:val="0"/>
                      <w:marTop w:val="2175"/>
                      <w:marBottom w:val="0"/>
                      <w:divBdr>
                        <w:top w:val="none" w:sz="0" w:space="0" w:color="auto"/>
                        <w:left w:val="none" w:sz="0" w:space="0" w:color="auto"/>
                        <w:bottom w:val="none" w:sz="0" w:space="0" w:color="auto"/>
                        <w:right w:val="none" w:sz="0" w:space="0" w:color="auto"/>
                      </w:divBdr>
                      <w:divsChild>
                        <w:div w:id="1898786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554378">
      <w:bodyDiv w:val="1"/>
      <w:marLeft w:val="0"/>
      <w:marRight w:val="0"/>
      <w:marTop w:val="0"/>
      <w:marBottom w:val="0"/>
      <w:divBdr>
        <w:top w:val="none" w:sz="0" w:space="0" w:color="auto"/>
        <w:left w:val="none" w:sz="0" w:space="0" w:color="auto"/>
        <w:bottom w:val="none" w:sz="0" w:space="0" w:color="auto"/>
        <w:right w:val="none" w:sz="0" w:space="0" w:color="auto"/>
      </w:divBdr>
    </w:div>
    <w:div w:id="164319742">
      <w:bodyDiv w:val="1"/>
      <w:marLeft w:val="0"/>
      <w:marRight w:val="0"/>
      <w:marTop w:val="0"/>
      <w:marBottom w:val="0"/>
      <w:divBdr>
        <w:top w:val="none" w:sz="0" w:space="0" w:color="auto"/>
        <w:left w:val="none" w:sz="0" w:space="0" w:color="auto"/>
        <w:bottom w:val="none" w:sz="0" w:space="0" w:color="auto"/>
        <w:right w:val="none" w:sz="0" w:space="0" w:color="auto"/>
      </w:divBdr>
    </w:div>
    <w:div w:id="164394968">
      <w:bodyDiv w:val="1"/>
      <w:marLeft w:val="0"/>
      <w:marRight w:val="0"/>
      <w:marTop w:val="0"/>
      <w:marBottom w:val="0"/>
      <w:divBdr>
        <w:top w:val="none" w:sz="0" w:space="0" w:color="auto"/>
        <w:left w:val="none" w:sz="0" w:space="0" w:color="auto"/>
        <w:bottom w:val="none" w:sz="0" w:space="0" w:color="auto"/>
        <w:right w:val="none" w:sz="0" w:space="0" w:color="auto"/>
      </w:divBdr>
    </w:div>
    <w:div w:id="168643432">
      <w:bodyDiv w:val="1"/>
      <w:marLeft w:val="0"/>
      <w:marRight w:val="0"/>
      <w:marTop w:val="0"/>
      <w:marBottom w:val="0"/>
      <w:divBdr>
        <w:top w:val="none" w:sz="0" w:space="0" w:color="auto"/>
        <w:left w:val="none" w:sz="0" w:space="0" w:color="auto"/>
        <w:bottom w:val="none" w:sz="0" w:space="0" w:color="auto"/>
        <w:right w:val="none" w:sz="0" w:space="0" w:color="auto"/>
      </w:divBdr>
    </w:div>
    <w:div w:id="170218517">
      <w:bodyDiv w:val="1"/>
      <w:marLeft w:val="0"/>
      <w:marRight w:val="0"/>
      <w:marTop w:val="0"/>
      <w:marBottom w:val="0"/>
      <w:divBdr>
        <w:top w:val="none" w:sz="0" w:space="0" w:color="auto"/>
        <w:left w:val="none" w:sz="0" w:space="0" w:color="auto"/>
        <w:bottom w:val="none" w:sz="0" w:space="0" w:color="auto"/>
        <w:right w:val="none" w:sz="0" w:space="0" w:color="auto"/>
      </w:divBdr>
    </w:div>
    <w:div w:id="174347256">
      <w:bodyDiv w:val="1"/>
      <w:marLeft w:val="0"/>
      <w:marRight w:val="0"/>
      <w:marTop w:val="0"/>
      <w:marBottom w:val="0"/>
      <w:divBdr>
        <w:top w:val="none" w:sz="0" w:space="0" w:color="auto"/>
        <w:left w:val="none" w:sz="0" w:space="0" w:color="auto"/>
        <w:bottom w:val="none" w:sz="0" w:space="0" w:color="auto"/>
        <w:right w:val="none" w:sz="0" w:space="0" w:color="auto"/>
      </w:divBdr>
    </w:div>
    <w:div w:id="174348511">
      <w:bodyDiv w:val="1"/>
      <w:marLeft w:val="0"/>
      <w:marRight w:val="0"/>
      <w:marTop w:val="0"/>
      <w:marBottom w:val="0"/>
      <w:divBdr>
        <w:top w:val="none" w:sz="0" w:space="0" w:color="auto"/>
        <w:left w:val="none" w:sz="0" w:space="0" w:color="auto"/>
        <w:bottom w:val="none" w:sz="0" w:space="0" w:color="auto"/>
        <w:right w:val="none" w:sz="0" w:space="0" w:color="auto"/>
      </w:divBdr>
    </w:div>
    <w:div w:id="175115198">
      <w:bodyDiv w:val="1"/>
      <w:marLeft w:val="0"/>
      <w:marRight w:val="0"/>
      <w:marTop w:val="0"/>
      <w:marBottom w:val="0"/>
      <w:divBdr>
        <w:top w:val="none" w:sz="0" w:space="0" w:color="auto"/>
        <w:left w:val="none" w:sz="0" w:space="0" w:color="auto"/>
        <w:bottom w:val="none" w:sz="0" w:space="0" w:color="auto"/>
        <w:right w:val="none" w:sz="0" w:space="0" w:color="auto"/>
      </w:divBdr>
    </w:div>
    <w:div w:id="175661461">
      <w:bodyDiv w:val="1"/>
      <w:marLeft w:val="0"/>
      <w:marRight w:val="0"/>
      <w:marTop w:val="0"/>
      <w:marBottom w:val="0"/>
      <w:divBdr>
        <w:top w:val="none" w:sz="0" w:space="0" w:color="auto"/>
        <w:left w:val="none" w:sz="0" w:space="0" w:color="auto"/>
        <w:bottom w:val="none" w:sz="0" w:space="0" w:color="auto"/>
        <w:right w:val="none" w:sz="0" w:space="0" w:color="auto"/>
      </w:divBdr>
    </w:div>
    <w:div w:id="177624413">
      <w:bodyDiv w:val="1"/>
      <w:marLeft w:val="0"/>
      <w:marRight w:val="0"/>
      <w:marTop w:val="0"/>
      <w:marBottom w:val="0"/>
      <w:divBdr>
        <w:top w:val="none" w:sz="0" w:space="0" w:color="auto"/>
        <w:left w:val="none" w:sz="0" w:space="0" w:color="auto"/>
        <w:bottom w:val="none" w:sz="0" w:space="0" w:color="auto"/>
        <w:right w:val="none" w:sz="0" w:space="0" w:color="auto"/>
      </w:divBdr>
    </w:div>
    <w:div w:id="179243925">
      <w:bodyDiv w:val="1"/>
      <w:marLeft w:val="0"/>
      <w:marRight w:val="0"/>
      <w:marTop w:val="0"/>
      <w:marBottom w:val="0"/>
      <w:divBdr>
        <w:top w:val="none" w:sz="0" w:space="0" w:color="auto"/>
        <w:left w:val="none" w:sz="0" w:space="0" w:color="auto"/>
        <w:bottom w:val="none" w:sz="0" w:space="0" w:color="auto"/>
        <w:right w:val="none" w:sz="0" w:space="0" w:color="auto"/>
      </w:divBdr>
    </w:div>
    <w:div w:id="181286678">
      <w:bodyDiv w:val="1"/>
      <w:marLeft w:val="0"/>
      <w:marRight w:val="0"/>
      <w:marTop w:val="0"/>
      <w:marBottom w:val="0"/>
      <w:divBdr>
        <w:top w:val="none" w:sz="0" w:space="0" w:color="auto"/>
        <w:left w:val="none" w:sz="0" w:space="0" w:color="auto"/>
        <w:bottom w:val="none" w:sz="0" w:space="0" w:color="auto"/>
        <w:right w:val="none" w:sz="0" w:space="0" w:color="auto"/>
      </w:divBdr>
    </w:div>
    <w:div w:id="182940106">
      <w:bodyDiv w:val="1"/>
      <w:marLeft w:val="0"/>
      <w:marRight w:val="0"/>
      <w:marTop w:val="0"/>
      <w:marBottom w:val="0"/>
      <w:divBdr>
        <w:top w:val="none" w:sz="0" w:space="0" w:color="auto"/>
        <w:left w:val="none" w:sz="0" w:space="0" w:color="auto"/>
        <w:bottom w:val="none" w:sz="0" w:space="0" w:color="auto"/>
        <w:right w:val="none" w:sz="0" w:space="0" w:color="auto"/>
      </w:divBdr>
    </w:div>
    <w:div w:id="183596442">
      <w:bodyDiv w:val="1"/>
      <w:marLeft w:val="0"/>
      <w:marRight w:val="0"/>
      <w:marTop w:val="0"/>
      <w:marBottom w:val="0"/>
      <w:divBdr>
        <w:top w:val="none" w:sz="0" w:space="0" w:color="auto"/>
        <w:left w:val="none" w:sz="0" w:space="0" w:color="auto"/>
        <w:bottom w:val="none" w:sz="0" w:space="0" w:color="auto"/>
        <w:right w:val="none" w:sz="0" w:space="0" w:color="auto"/>
      </w:divBdr>
    </w:div>
    <w:div w:id="184947745">
      <w:bodyDiv w:val="1"/>
      <w:marLeft w:val="0"/>
      <w:marRight w:val="0"/>
      <w:marTop w:val="0"/>
      <w:marBottom w:val="0"/>
      <w:divBdr>
        <w:top w:val="none" w:sz="0" w:space="0" w:color="auto"/>
        <w:left w:val="none" w:sz="0" w:space="0" w:color="auto"/>
        <w:bottom w:val="none" w:sz="0" w:space="0" w:color="auto"/>
        <w:right w:val="none" w:sz="0" w:space="0" w:color="auto"/>
      </w:divBdr>
    </w:div>
    <w:div w:id="185483224">
      <w:bodyDiv w:val="1"/>
      <w:marLeft w:val="0"/>
      <w:marRight w:val="0"/>
      <w:marTop w:val="0"/>
      <w:marBottom w:val="0"/>
      <w:divBdr>
        <w:top w:val="none" w:sz="0" w:space="0" w:color="auto"/>
        <w:left w:val="none" w:sz="0" w:space="0" w:color="auto"/>
        <w:bottom w:val="none" w:sz="0" w:space="0" w:color="auto"/>
        <w:right w:val="none" w:sz="0" w:space="0" w:color="auto"/>
      </w:divBdr>
    </w:div>
    <w:div w:id="187452278">
      <w:bodyDiv w:val="1"/>
      <w:marLeft w:val="0"/>
      <w:marRight w:val="0"/>
      <w:marTop w:val="0"/>
      <w:marBottom w:val="0"/>
      <w:divBdr>
        <w:top w:val="none" w:sz="0" w:space="0" w:color="auto"/>
        <w:left w:val="none" w:sz="0" w:space="0" w:color="auto"/>
        <w:bottom w:val="none" w:sz="0" w:space="0" w:color="auto"/>
        <w:right w:val="none" w:sz="0" w:space="0" w:color="auto"/>
      </w:divBdr>
    </w:div>
    <w:div w:id="188103717">
      <w:bodyDiv w:val="1"/>
      <w:marLeft w:val="0"/>
      <w:marRight w:val="0"/>
      <w:marTop w:val="0"/>
      <w:marBottom w:val="0"/>
      <w:divBdr>
        <w:top w:val="none" w:sz="0" w:space="0" w:color="auto"/>
        <w:left w:val="none" w:sz="0" w:space="0" w:color="auto"/>
        <w:bottom w:val="none" w:sz="0" w:space="0" w:color="auto"/>
        <w:right w:val="none" w:sz="0" w:space="0" w:color="auto"/>
      </w:divBdr>
    </w:div>
    <w:div w:id="188762549">
      <w:bodyDiv w:val="1"/>
      <w:marLeft w:val="0"/>
      <w:marRight w:val="0"/>
      <w:marTop w:val="0"/>
      <w:marBottom w:val="0"/>
      <w:divBdr>
        <w:top w:val="none" w:sz="0" w:space="0" w:color="auto"/>
        <w:left w:val="none" w:sz="0" w:space="0" w:color="auto"/>
        <w:bottom w:val="none" w:sz="0" w:space="0" w:color="auto"/>
        <w:right w:val="none" w:sz="0" w:space="0" w:color="auto"/>
      </w:divBdr>
    </w:div>
    <w:div w:id="189804848">
      <w:bodyDiv w:val="1"/>
      <w:marLeft w:val="0"/>
      <w:marRight w:val="0"/>
      <w:marTop w:val="0"/>
      <w:marBottom w:val="0"/>
      <w:divBdr>
        <w:top w:val="none" w:sz="0" w:space="0" w:color="auto"/>
        <w:left w:val="none" w:sz="0" w:space="0" w:color="auto"/>
        <w:bottom w:val="none" w:sz="0" w:space="0" w:color="auto"/>
        <w:right w:val="none" w:sz="0" w:space="0" w:color="auto"/>
      </w:divBdr>
    </w:div>
    <w:div w:id="191497529">
      <w:bodyDiv w:val="1"/>
      <w:marLeft w:val="0"/>
      <w:marRight w:val="0"/>
      <w:marTop w:val="0"/>
      <w:marBottom w:val="0"/>
      <w:divBdr>
        <w:top w:val="none" w:sz="0" w:space="0" w:color="auto"/>
        <w:left w:val="none" w:sz="0" w:space="0" w:color="auto"/>
        <w:bottom w:val="none" w:sz="0" w:space="0" w:color="auto"/>
        <w:right w:val="none" w:sz="0" w:space="0" w:color="auto"/>
      </w:divBdr>
    </w:div>
    <w:div w:id="194120766">
      <w:bodyDiv w:val="1"/>
      <w:marLeft w:val="0"/>
      <w:marRight w:val="0"/>
      <w:marTop w:val="0"/>
      <w:marBottom w:val="0"/>
      <w:divBdr>
        <w:top w:val="none" w:sz="0" w:space="0" w:color="auto"/>
        <w:left w:val="none" w:sz="0" w:space="0" w:color="auto"/>
        <w:bottom w:val="none" w:sz="0" w:space="0" w:color="auto"/>
        <w:right w:val="none" w:sz="0" w:space="0" w:color="auto"/>
      </w:divBdr>
    </w:div>
    <w:div w:id="195775962">
      <w:bodyDiv w:val="1"/>
      <w:marLeft w:val="0"/>
      <w:marRight w:val="0"/>
      <w:marTop w:val="0"/>
      <w:marBottom w:val="0"/>
      <w:divBdr>
        <w:top w:val="none" w:sz="0" w:space="0" w:color="auto"/>
        <w:left w:val="none" w:sz="0" w:space="0" w:color="auto"/>
        <w:bottom w:val="none" w:sz="0" w:space="0" w:color="auto"/>
        <w:right w:val="none" w:sz="0" w:space="0" w:color="auto"/>
      </w:divBdr>
    </w:div>
    <w:div w:id="196242929">
      <w:bodyDiv w:val="1"/>
      <w:marLeft w:val="0"/>
      <w:marRight w:val="0"/>
      <w:marTop w:val="0"/>
      <w:marBottom w:val="0"/>
      <w:divBdr>
        <w:top w:val="none" w:sz="0" w:space="0" w:color="auto"/>
        <w:left w:val="none" w:sz="0" w:space="0" w:color="auto"/>
        <w:bottom w:val="none" w:sz="0" w:space="0" w:color="auto"/>
        <w:right w:val="none" w:sz="0" w:space="0" w:color="auto"/>
      </w:divBdr>
    </w:div>
    <w:div w:id="197552499">
      <w:bodyDiv w:val="1"/>
      <w:marLeft w:val="0"/>
      <w:marRight w:val="0"/>
      <w:marTop w:val="0"/>
      <w:marBottom w:val="0"/>
      <w:divBdr>
        <w:top w:val="none" w:sz="0" w:space="0" w:color="auto"/>
        <w:left w:val="none" w:sz="0" w:space="0" w:color="auto"/>
        <w:bottom w:val="none" w:sz="0" w:space="0" w:color="auto"/>
        <w:right w:val="none" w:sz="0" w:space="0" w:color="auto"/>
      </w:divBdr>
    </w:div>
    <w:div w:id="200872791">
      <w:bodyDiv w:val="1"/>
      <w:marLeft w:val="0"/>
      <w:marRight w:val="0"/>
      <w:marTop w:val="0"/>
      <w:marBottom w:val="0"/>
      <w:divBdr>
        <w:top w:val="none" w:sz="0" w:space="0" w:color="auto"/>
        <w:left w:val="none" w:sz="0" w:space="0" w:color="auto"/>
        <w:bottom w:val="none" w:sz="0" w:space="0" w:color="auto"/>
        <w:right w:val="none" w:sz="0" w:space="0" w:color="auto"/>
      </w:divBdr>
    </w:div>
    <w:div w:id="202641722">
      <w:bodyDiv w:val="1"/>
      <w:marLeft w:val="0"/>
      <w:marRight w:val="0"/>
      <w:marTop w:val="0"/>
      <w:marBottom w:val="0"/>
      <w:divBdr>
        <w:top w:val="none" w:sz="0" w:space="0" w:color="auto"/>
        <w:left w:val="none" w:sz="0" w:space="0" w:color="auto"/>
        <w:bottom w:val="none" w:sz="0" w:space="0" w:color="auto"/>
        <w:right w:val="none" w:sz="0" w:space="0" w:color="auto"/>
      </w:divBdr>
    </w:div>
    <w:div w:id="203638779">
      <w:bodyDiv w:val="1"/>
      <w:marLeft w:val="0"/>
      <w:marRight w:val="0"/>
      <w:marTop w:val="0"/>
      <w:marBottom w:val="0"/>
      <w:divBdr>
        <w:top w:val="none" w:sz="0" w:space="0" w:color="auto"/>
        <w:left w:val="none" w:sz="0" w:space="0" w:color="auto"/>
        <w:bottom w:val="none" w:sz="0" w:space="0" w:color="auto"/>
        <w:right w:val="none" w:sz="0" w:space="0" w:color="auto"/>
      </w:divBdr>
    </w:div>
    <w:div w:id="206069437">
      <w:bodyDiv w:val="1"/>
      <w:marLeft w:val="0"/>
      <w:marRight w:val="0"/>
      <w:marTop w:val="0"/>
      <w:marBottom w:val="0"/>
      <w:divBdr>
        <w:top w:val="none" w:sz="0" w:space="0" w:color="auto"/>
        <w:left w:val="none" w:sz="0" w:space="0" w:color="auto"/>
        <w:bottom w:val="none" w:sz="0" w:space="0" w:color="auto"/>
        <w:right w:val="none" w:sz="0" w:space="0" w:color="auto"/>
      </w:divBdr>
    </w:div>
    <w:div w:id="209223562">
      <w:bodyDiv w:val="1"/>
      <w:marLeft w:val="0"/>
      <w:marRight w:val="0"/>
      <w:marTop w:val="0"/>
      <w:marBottom w:val="0"/>
      <w:divBdr>
        <w:top w:val="none" w:sz="0" w:space="0" w:color="auto"/>
        <w:left w:val="none" w:sz="0" w:space="0" w:color="auto"/>
        <w:bottom w:val="none" w:sz="0" w:space="0" w:color="auto"/>
        <w:right w:val="none" w:sz="0" w:space="0" w:color="auto"/>
      </w:divBdr>
    </w:div>
    <w:div w:id="209998705">
      <w:bodyDiv w:val="1"/>
      <w:marLeft w:val="0"/>
      <w:marRight w:val="0"/>
      <w:marTop w:val="0"/>
      <w:marBottom w:val="0"/>
      <w:divBdr>
        <w:top w:val="none" w:sz="0" w:space="0" w:color="auto"/>
        <w:left w:val="none" w:sz="0" w:space="0" w:color="auto"/>
        <w:bottom w:val="none" w:sz="0" w:space="0" w:color="auto"/>
        <w:right w:val="none" w:sz="0" w:space="0" w:color="auto"/>
      </w:divBdr>
    </w:div>
    <w:div w:id="210650050">
      <w:bodyDiv w:val="1"/>
      <w:marLeft w:val="0"/>
      <w:marRight w:val="0"/>
      <w:marTop w:val="0"/>
      <w:marBottom w:val="0"/>
      <w:divBdr>
        <w:top w:val="none" w:sz="0" w:space="0" w:color="auto"/>
        <w:left w:val="none" w:sz="0" w:space="0" w:color="auto"/>
        <w:bottom w:val="none" w:sz="0" w:space="0" w:color="auto"/>
        <w:right w:val="none" w:sz="0" w:space="0" w:color="auto"/>
      </w:divBdr>
    </w:div>
    <w:div w:id="212035685">
      <w:bodyDiv w:val="1"/>
      <w:marLeft w:val="0"/>
      <w:marRight w:val="0"/>
      <w:marTop w:val="0"/>
      <w:marBottom w:val="0"/>
      <w:divBdr>
        <w:top w:val="none" w:sz="0" w:space="0" w:color="auto"/>
        <w:left w:val="none" w:sz="0" w:space="0" w:color="auto"/>
        <w:bottom w:val="none" w:sz="0" w:space="0" w:color="auto"/>
        <w:right w:val="none" w:sz="0" w:space="0" w:color="auto"/>
      </w:divBdr>
    </w:div>
    <w:div w:id="212426021">
      <w:bodyDiv w:val="1"/>
      <w:marLeft w:val="0"/>
      <w:marRight w:val="0"/>
      <w:marTop w:val="0"/>
      <w:marBottom w:val="0"/>
      <w:divBdr>
        <w:top w:val="none" w:sz="0" w:space="0" w:color="auto"/>
        <w:left w:val="none" w:sz="0" w:space="0" w:color="auto"/>
        <w:bottom w:val="none" w:sz="0" w:space="0" w:color="auto"/>
        <w:right w:val="none" w:sz="0" w:space="0" w:color="auto"/>
      </w:divBdr>
    </w:div>
    <w:div w:id="213811066">
      <w:bodyDiv w:val="1"/>
      <w:marLeft w:val="0"/>
      <w:marRight w:val="0"/>
      <w:marTop w:val="0"/>
      <w:marBottom w:val="0"/>
      <w:divBdr>
        <w:top w:val="none" w:sz="0" w:space="0" w:color="auto"/>
        <w:left w:val="none" w:sz="0" w:space="0" w:color="auto"/>
        <w:bottom w:val="none" w:sz="0" w:space="0" w:color="auto"/>
        <w:right w:val="none" w:sz="0" w:space="0" w:color="auto"/>
      </w:divBdr>
    </w:div>
    <w:div w:id="217938932">
      <w:bodyDiv w:val="1"/>
      <w:marLeft w:val="0"/>
      <w:marRight w:val="0"/>
      <w:marTop w:val="0"/>
      <w:marBottom w:val="0"/>
      <w:divBdr>
        <w:top w:val="none" w:sz="0" w:space="0" w:color="auto"/>
        <w:left w:val="none" w:sz="0" w:space="0" w:color="auto"/>
        <w:bottom w:val="none" w:sz="0" w:space="0" w:color="auto"/>
        <w:right w:val="none" w:sz="0" w:space="0" w:color="auto"/>
      </w:divBdr>
    </w:div>
    <w:div w:id="218786131">
      <w:bodyDiv w:val="1"/>
      <w:marLeft w:val="0"/>
      <w:marRight w:val="0"/>
      <w:marTop w:val="0"/>
      <w:marBottom w:val="0"/>
      <w:divBdr>
        <w:top w:val="none" w:sz="0" w:space="0" w:color="auto"/>
        <w:left w:val="none" w:sz="0" w:space="0" w:color="auto"/>
        <w:bottom w:val="none" w:sz="0" w:space="0" w:color="auto"/>
        <w:right w:val="none" w:sz="0" w:space="0" w:color="auto"/>
      </w:divBdr>
    </w:div>
    <w:div w:id="218978551">
      <w:bodyDiv w:val="1"/>
      <w:marLeft w:val="0"/>
      <w:marRight w:val="0"/>
      <w:marTop w:val="0"/>
      <w:marBottom w:val="0"/>
      <w:divBdr>
        <w:top w:val="none" w:sz="0" w:space="0" w:color="auto"/>
        <w:left w:val="none" w:sz="0" w:space="0" w:color="auto"/>
        <w:bottom w:val="none" w:sz="0" w:space="0" w:color="auto"/>
        <w:right w:val="none" w:sz="0" w:space="0" w:color="auto"/>
      </w:divBdr>
    </w:div>
    <w:div w:id="224217993">
      <w:bodyDiv w:val="1"/>
      <w:marLeft w:val="0"/>
      <w:marRight w:val="0"/>
      <w:marTop w:val="0"/>
      <w:marBottom w:val="0"/>
      <w:divBdr>
        <w:top w:val="none" w:sz="0" w:space="0" w:color="auto"/>
        <w:left w:val="none" w:sz="0" w:space="0" w:color="auto"/>
        <w:bottom w:val="none" w:sz="0" w:space="0" w:color="auto"/>
        <w:right w:val="none" w:sz="0" w:space="0" w:color="auto"/>
      </w:divBdr>
    </w:div>
    <w:div w:id="225803877">
      <w:bodyDiv w:val="1"/>
      <w:marLeft w:val="0"/>
      <w:marRight w:val="0"/>
      <w:marTop w:val="0"/>
      <w:marBottom w:val="0"/>
      <w:divBdr>
        <w:top w:val="none" w:sz="0" w:space="0" w:color="auto"/>
        <w:left w:val="none" w:sz="0" w:space="0" w:color="auto"/>
        <w:bottom w:val="none" w:sz="0" w:space="0" w:color="auto"/>
        <w:right w:val="none" w:sz="0" w:space="0" w:color="auto"/>
      </w:divBdr>
    </w:div>
    <w:div w:id="226503571">
      <w:bodyDiv w:val="1"/>
      <w:marLeft w:val="0"/>
      <w:marRight w:val="0"/>
      <w:marTop w:val="0"/>
      <w:marBottom w:val="0"/>
      <w:divBdr>
        <w:top w:val="none" w:sz="0" w:space="0" w:color="auto"/>
        <w:left w:val="none" w:sz="0" w:space="0" w:color="auto"/>
        <w:bottom w:val="none" w:sz="0" w:space="0" w:color="auto"/>
        <w:right w:val="none" w:sz="0" w:space="0" w:color="auto"/>
      </w:divBdr>
    </w:div>
    <w:div w:id="227618858">
      <w:bodyDiv w:val="1"/>
      <w:marLeft w:val="0"/>
      <w:marRight w:val="0"/>
      <w:marTop w:val="0"/>
      <w:marBottom w:val="0"/>
      <w:divBdr>
        <w:top w:val="none" w:sz="0" w:space="0" w:color="auto"/>
        <w:left w:val="none" w:sz="0" w:space="0" w:color="auto"/>
        <w:bottom w:val="none" w:sz="0" w:space="0" w:color="auto"/>
        <w:right w:val="none" w:sz="0" w:space="0" w:color="auto"/>
      </w:divBdr>
    </w:div>
    <w:div w:id="229510572">
      <w:bodyDiv w:val="1"/>
      <w:marLeft w:val="0"/>
      <w:marRight w:val="0"/>
      <w:marTop w:val="0"/>
      <w:marBottom w:val="0"/>
      <w:divBdr>
        <w:top w:val="none" w:sz="0" w:space="0" w:color="auto"/>
        <w:left w:val="none" w:sz="0" w:space="0" w:color="auto"/>
        <w:bottom w:val="none" w:sz="0" w:space="0" w:color="auto"/>
        <w:right w:val="none" w:sz="0" w:space="0" w:color="auto"/>
      </w:divBdr>
    </w:div>
    <w:div w:id="230232687">
      <w:bodyDiv w:val="1"/>
      <w:marLeft w:val="0"/>
      <w:marRight w:val="0"/>
      <w:marTop w:val="0"/>
      <w:marBottom w:val="0"/>
      <w:divBdr>
        <w:top w:val="none" w:sz="0" w:space="0" w:color="auto"/>
        <w:left w:val="none" w:sz="0" w:space="0" w:color="auto"/>
        <w:bottom w:val="none" w:sz="0" w:space="0" w:color="auto"/>
        <w:right w:val="none" w:sz="0" w:space="0" w:color="auto"/>
      </w:divBdr>
    </w:div>
    <w:div w:id="230233827">
      <w:bodyDiv w:val="1"/>
      <w:marLeft w:val="0"/>
      <w:marRight w:val="0"/>
      <w:marTop w:val="0"/>
      <w:marBottom w:val="0"/>
      <w:divBdr>
        <w:top w:val="none" w:sz="0" w:space="0" w:color="auto"/>
        <w:left w:val="none" w:sz="0" w:space="0" w:color="auto"/>
        <w:bottom w:val="none" w:sz="0" w:space="0" w:color="auto"/>
        <w:right w:val="none" w:sz="0" w:space="0" w:color="auto"/>
      </w:divBdr>
    </w:div>
    <w:div w:id="230628127">
      <w:bodyDiv w:val="1"/>
      <w:marLeft w:val="0"/>
      <w:marRight w:val="0"/>
      <w:marTop w:val="0"/>
      <w:marBottom w:val="0"/>
      <w:divBdr>
        <w:top w:val="none" w:sz="0" w:space="0" w:color="auto"/>
        <w:left w:val="none" w:sz="0" w:space="0" w:color="auto"/>
        <w:bottom w:val="none" w:sz="0" w:space="0" w:color="auto"/>
        <w:right w:val="none" w:sz="0" w:space="0" w:color="auto"/>
      </w:divBdr>
    </w:div>
    <w:div w:id="232467048">
      <w:bodyDiv w:val="1"/>
      <w:marLeft w:val="0"/>
      <w:marRight w:val="0"/>
      <w:marTop w:val="0"/>
      <w:marBottom w:val="0"/>
      <w:divBdr>
        <w:top w:val="none" w:sz="0" w:space="0" w:color="auto"/>
        <w:left w:val="none" w:sz="0" w:space="0" w:color="auto"/>
        <w:bottom w:val="none" w:sz="0" w:space="0" w:color="auto"/>
        <w:right w:val="none" w:sz="0" w:space="0" w:color="auto"/>
      </w:divBdr>
    </w:div>
    <w:div w:id="232468703">
      <w:bodyDiv w:val="1"/>
      <w:marLeft w:val="0"/>
      <w:marRight w:val="0"/>
      <w:marTop w:val="0"/>
      <w:marBottom w:val="0"/>
      <w:divBdr>
        <w:top w:val="none" w:sz="0" w:space="0" w:color="auto"/>
        <w:left w:val="none" w:sz="0" w:space="0" w:color="auto"/>
        <w:bottom w:val="none" w:sz="0" w:space="0" w:color="auto"/>
        <w:right w:val="none" w:sz="0" w:space="0" w:color="auto"/>
      </w:divBdr>
    </w:div>
    <w:div w:id="232547001">
      <w:bodyDiv w:val="1"/>
      <w:marLeft w:val="0"/>
      <w:marRight w:val="0"/>
      <w:marTop w:val="0"/>
      <w:marBottom w:val="0"/>
      <w:divBdr>
        <w:top w:val="none" w:sz="0" w:space="0" w:color="auto"/>
        <w:left w:val="none" w:sz="0" w:space="0" w:color="auto"/>
        <w:bottom w:val="none" w:sz="0" w:space="0" w:color="auto"/>
        <w:right w:val="none" w:sz="0" w:space="0" w:color="auto"/>
      </w:divBdr>
    </w:div>
    <w:div w:id="237057540">
      <w:bodyDiv w:val="1"/>
      <w:marLeft w:val="0"/>
      <w:marRight w:val="0"/>
      <w:marTop w:val="0"/>
      <w:marBottom w:val="0"/>
      <w:divBdr>
        <w:top w:val="none" w:sz="0" w:space="0" w:color="auto"/>
        <w:left w:val="none" w:sz="0" w:space="0" w:color="auto"/>
        <w:bottom w:val="none" w:sz="0" w:space="0" w:color="auto"/>
        <w:right w:val="none" w:sz="0" w:space="0" w:color="auto"/>
      </w:divBdr>
    </w:div>
    <w:div w:id="237323331">
      <w:bodyDiv w:val="1"/>
      <w:marLeft w:val="0"/>
      <w:marRight w:val="0"/>
      <w:marTop w:val="0"/>
      <w:marBottom w:val="0"/>
      <w:divBdr>
        <w:top w:val="none" w:sz="0" w:space="0" w:color="auto"/>
        <w:left w:val="none" w:sz="0" w:space="0" w:color="auto"/>
        <w:bottom w:val="none" w:sz="0" w:space="0" w:color="auto"/>
        <w:right w:val="none" w:sz="0" w:space="0" w:color="auto"/>
      </w:divBdr>
    </w:div>
    <w:div w:id="238751976">
      <w:bodyDiv w:val="1"/>
      <w:marLeft w:val="0"/>
      <w:marRight w:val="0"/>
      <w:marTop w:val="0"/>
      <w:marBottom w:val="0"/>
      <w:divBdr>
        <w:top w:val="none" w:sz="0" w:space="0" w:color="auto"/>
        <w:left w:val="none" w:sz="0" w:space="0" w:color="auto"/>
        <w:bottom w:val="none" w:sz="0" w:space="0" w:color="auto"/>
        <w:right w:val="none" w:sz="0" w:space="0" w:color="auto"/>
      </w:divBdr>
    </w:div>
    <w:div w:id="239683428">
      <w:bodyDiv w:val="1"/>
      <w:marLeft w:val="0"/>
      <w:marRight w:val="0"/>
      <w:marTop w:val="0"/>
      <w:marBottom w:val="0"/>
      <w:divBdr>
        <w:top w:val="none" w:sz="0" w:space="0" w:color="auto"/>
        <w:left w:val="none" w:sz="0" w:space="0" w:color="auto"/>
        <w:bottom w:val="none" w:sz="0" w:space="0" w:color="auto"/>
        <w:right w:val="none" w:sz="0" w:space="0" w:color="auto"/>
      </w:divBdr>
    </w:div>
    <w:div w:id="240259888">
      <w:bodyDiv w:val="1"/>
      <w:marLeft w:val="0"/>
      <w:marRight w:val="0"/>
      <w:marTop w:val="0"/>
      <w:marBottom w:val="0"/>
      <w:divBdr>
        <w:top w:val="none" w:sz="0" w:space="0" w:color="auto"/>
        <w:left w:val="none" w:sz="0" w:space="0" w:color="auto"/>
        <w:bottom w:val="none" w:sz="0" w:space="0" w:color="auto"/>
        <w:right w:val="none" w:sz="0" w:space="0" w:color="auto"/>
      </w:divBdr>
    </w:div>
    <w:div w:id="241571557">
      <w:bodyDiv w:val="1"/>
      <w:marLeft w:val="0"/>
      <w:marRight w:val="0"/>
      <w:marTop w:val="0"/>
      <w:marBottom w:val="0"/>
      <w:divBdr>
        <w:top w:val="none" w:sz="0" w:space="0" w:color="auto"/>
        <w:left w:val="none" w:sz="0" w:space="0" w:color="auto"/>
        <w:bottom w:val="none" w:sz="0" w:space="0" w:color="auto"/>
        <w:right w:val="none" w:sz="0" w:space="0" w:color="auto"/>
      </w:divBdr>
    </w:div>
    <w:div w:id="242491983">
      <w:bodyDiv w:val="1"/>
      <w:marLeft w:val="0"/>
      <w:marRight w:val="0"/>
      <w:marTop w:val="0"/>
      <w:marBottom w:val="0"/>
      <w:divBdr>
        <w:top w:val="none" w:sz="0" w:space="0" w:color="auto"/>
        <w:left w:val="none" w:sz="0" w:space="0" w:color="auto"/>
        <w:bottom w:val="none" w:sz="0" w:space="0" w:color="auto"/>
        <w:right w:val="none" w:sz="0" w:space="0" w:color="auto"/>
      </w:divBdr>
    </w:div>
    <w:div w:id="243296821">
      <w:bodyDiv w:val="1"/>
      <w:marLeft w:val="0"/>
      <w:marRight w:val="0"/>
      <w:marTop w:val="0"/>
      <w:marBottom w:val="0"/>
      <w:divBdr>
        <w:top w:val="none" w:sz="0" w:space="0" w:color="auto"/>
        <w:left w:val="none" w:sz="0" w:space="0" w:color="auto"/>
        <w:bottom w:val="none" w:sz="0" w:space="0" w:color="auto"/>
        <w:right w:val="none" w:sz="0" w:space="0" w:color="auto"/>
      </w:divBdr>
    </w:div>
    <w:div w:id="245769163">
      <w:bodyDiv w:val="1"/>
      <w:marLeft w:val="0"/>
      <w:marRight w:val="0"/>
      <w:marTop w:val="0"/>
      <w:marBottom w:val="0"/>
      <w:divBdr>
        <w:top w:val="none" w:sz="0" w:space="0" w:color="auto"/>
        <w:left w:val="none" w:sz="0" w:space="0" w:color="auto"/>
        <w:bottom w:val="none" w:sz="0" w:space="0" w:color="auto"/>
        <w:right w:val="none" w:sz="0" w:space="0" w:color="auto"/>
      </w:divBdr>
    </w:div>
    <w:div w:id="247005690">
      <w:bodyDiv w:val="1"/>
      <w:marLeft w:val="0"/>
      <w:marRight w:val="0"/>
      <w:marTop w:val="0"/>
      <w:marBottom w:val="0"/>
      <w:divBdr>
        <w:top w:val="none" w:sz="0" w:space="0" w:color="auto"/>
        <w:left w:val="none" w:sz="0" w:space="0" w:color="auto"/>
        <w:bottom w:val="none" w:sz="0" w:space="0" w:color="auto"/>
        <w:right w:val="none" w:sz="0" w:space="0" w:color="auto"/>
      </w:divBdr>
    </w:div>
    <w:div w:id="247464678">
      <w:bodyDiv w:val="1"/>
      <w:marLeft w:val="0"/>
      <w:marRight w:val="0"/>
      <w:marTop w:val="0"/>
      <w:marBottom w:val="0"/>
      <w:divBdr>
        <w:top w:val="none" w:sz="0" w:space="0" w:color="auto"/>
        <w:left w:val="none" w:sz="0" w:space="0" w:color="auto"/>
        <w:bottom w:val="none" w:sz="0" w:space="0" w:color="auto"/>
        <w:right w:val="none" w:sz="0" w:space="0" w:color="auto"/>
      </w:divBdr>
    </w:div>
    <w:div w:id="249389131">
      <w:bodyDiv w:val="1"/>
      <w:marLeft w:val="0"/>
      <w:marRight w:val="0"/>
      <w:marTop w:val="0"/>
      <w:marBottom w:val="0"/>
      <w:divBdr>
        <w:top w:val="none" w:sz="0" w:space="0" w:color="auto"/>
        <w:left w:val="none" w:sz="0" w:space="0" w:color="auto"/>
        <w:bottom w:val="none" w:sz="0" w:space="0" w:color="auto"/>
        <w:right w:val="none" w:sz="0" w:space="0" w:color="auto"/>
      </w:divBdr>
    </w:div>
    <w:div w:id="255290283">
      <w:bodyDiv w:val="1"/>
      <w:marLeft w:val="0"/>
      <w:marRight w:val="0"/>
      <w:marTop w:val="0"/>
      <w:marBottom w:val="0"/>
      <w:divBdr>
        <w:top w:val="none" w:sz="0" w:space="0" w:color="auto"/>
        <w:left w:val="none" w:sz="0" w:space="0" w:color="auto"/>
        <w:bottom w:val="none" w:sz="0" w:space="0" w:color="auto"/>
        <w:right w:val="none" w:sz="0" w:space="0" w:color="auto"/>
      </w:divBdr>
    </w:div>
    <w:div w:id="256983036">
      <w:bodyDiv w:val="1"/>
      <w:marLeft w:val="0"/>
      <w:marRight w:val="0"/>
      <w:marTop w:val="0"/>
      <w:marBottom w:val="0"/>
      <w:divBdr>
        <w:top w:val="none" w:sz="0" w:space="0" w:color="auto"/>
        <w:left w:val="none" w:sz="0" w:space="0" w:color="auto"/>
        <w:bottom w:val="none" w:sz="0" w:space="0" w:color="auto"/>
        <w:right w:val="none" w:sz="0" w:space="0" w:color="auto"/>
      </w:divBdr>
    </w:div>
    <w:div w:id="259916631">
      <w:bodyDiv w:val="1"/>
      <w:marLeft w:val="0"/>
      <w:marRight w:val="0"/>
      <w:marTop w:val="0"/>
      <w:marBottom w:val="0"/>
      <w:divBdr>
        <w:top w:val="none" w:sz="0" w:space="0" w:color="auto"/>
        <w:left w:val="none" w:sz="0" w:space="0" w:color="auto"/>
        <w:bottom w:val="none" w:sz="0" w:space="0" w:color="auto"/>
        <w:right w:val="none" w:sz="0" w:space="0" w:color="auto"/>
      </w:divBdr>
    </w:div>
    <w:div w:id="259919611">
      <w:bodyDiv w:val="1"/>
      <w:marLeft w:val="0"/>
      <w:marRight w:val="0"/>
      <w:marTop w:val="0"/>
      <w:marBottom w:val="0"/>
      <w:divBdr>
        <w:top w:val="none" w:sz="0" w:space="0" w:color="auto"/>
        <w:left w:val="none" w:sz="0" w:space="0" w:color="auto"/>
        <w:bottom w:val="none" w:sz="0" w:space="0" w:color="auto"/>
        <w:right w:val="none" w:sz="0" w:space="0" w:color="auto"/>
      </w:divBdr>
    </w:div>
    <w:div w:id="261492877">
      <w:bodyDiv w:val="1"/>
      <w:marLeft w:val="0"/>
      <w:marRight w:val="0"/>
      <w:marTop w:val="0"/>
      <w:marBottom w:val="0"/>
      <w:divBdr>
        <w:top w:val="none" w:sz="0" w:space="0" w:color="auto"/>
        <w:left w:val="none" w:sz="0" w:space="0" w:color="auto"/>
        <w:bottom w:val="none" w:sz="0" w:space="0" w:color="auto"/>
        <w:right w:val="none" w:sz="0" w:space="0" w:color="auto"/>
      </w:divBdr>
    </w:div>
    <w:div w:id="262147635">
      <w:bodyDiv w:val="1"/>
      <w:marLeft w:val="0"/>
      <w:marRight w:val="0"/>
      <w:marTop w:val="0"/>
      <w:marBottom w:val="0"/>
      <w:divBdr>
        <w:top w:val="none" w:sz="0" w:space="0" w:color="auto"/>
        <w:left w:val="none" w:sz="0" w:space="0" w:color="auto"/>
        <w:bottom w:val="none" w:sz="0" w:space="0" w:color="auto"/>
        <w:right w:val="none" w:sz="0" w:space="0" w:color="auto"/>
      </w:divBdr>
    </w:div>
    <w:div w:id="263538814">
      <w:bodyDiv w:val="1"/>
      <w:marLeft w:val="0"/>
      <w:marRight w:val="0"/>
      <w:marTop w:val="0"/>
      <w:marBottom w:val="0"/>
      <w:divBdr>
        <w:top w:val="none" w:sz="0" w:space="0" w:color="auto"/>
        <w:left w:val="none" w:sz="0" w:space="0" w:color="auto"/>
        <w:bottom w:val="none" w:sz="0" w:space="0" w:color="auto"/>
        <w:right w:val="none" w:sz="0" w:space="0" w:color="auto"/>
      </w:divBdr>
    </w:div>
    <w:div w:id="264074132">
      <w:bodyDiv w:val="1"/>
      <w:marLeft w:val="0"/>
      <w:marRight w:val="0"/>
      <w:marTop w:val="0"/>
      <w:marBottom w:val="0"/>
      <w:divBdr>
        <w:top w:val="none" w:sz="0" w:space="0" w:color="auto"/>
        <w:left w:val="none" w:sz="0" w:space="0" w:color="auto"/>
        <w:bottom w:val="none" w:sz="0" w:space="0" w:color="auto"/>
        <w:right w:val="none" w:sz="0" w:space="0" w:color="auto"/>
      </w:divBdr>
    </w:div>
    <w:div w:id="265043391">
      <w:bodyDiv w:val="1"/>
      <w:marLeft w:val="0"/>
      <w:marRight w:val="0"/>
      <w:marTop w:val="0"/>
      <w:marBottom w:val="0"/>
      <w:divBdr>
        <w:top w:val="none" w:sz="0" w:space="0" w:color="auto"/>
        <w:left w:val="none" w:sz="0" w:space="0" w:color="auto"/>
        <w:bottom w:val="none" w:sz="0" w:space="0" w:color="auto"/>
        <w:right w:val="none" w:sz="0" w:space="0" w:color="auto"/>
      </w:divBdr>
    </w:div>
    <w:div w:id="266885620">
      <w:bodyDiv w:val="1"/>
      <w:marLeft w:val="0"/>
      <w:marRight w:val="0"/>
      <w:marTop w:val="0"/>
      <w:marBottom w:val="0"/>
      <w:divBdr>
        <w:top w:val="none" w:sz="0" w:space="0" w:color="auto"/>
        <w:left w:val="none" w:sz="0" w:space="0" w:color="auto"/>
        <w:bottom w:val="none" w:sz="0" w:space="0" w:color="auto"/>
        <w:right w:val="none" w:sz="0" w:space="0" w:color="auto"/>
      </w:divBdr>
    </w:div>
    <w:div w:id="267201763">
      <w:bodyDiv w:val="1"/>
      <w:marLeft w:val="0"/>
      <w:marRight w:val="0"/>
      <w:marTop w:val="0"/>
      <w:marBottom w:val="0"/>
      <w:divBdr>
        <w:top w:val="none" w:sz="0" w:space="0" w:color="auto"/>
        <w:left w:val="none" w:sz="0" w:space="0" w:color="auto"/>
        <w:bottom w:val="none" w:sz="0" w:space="0" w:color="auto"/>
        <w:right w:val="none" w:sz="0" w:space="0" w:color="auto"/>
      </w:divBdr>
    </w:div>
    <w:div w:id="268507229">
      <w:bodyDiv w:val="1"/>
      <w:marLeft w:val="0"/>
      <w:marRight w:val="0"/>
      <w:marTop w:val="0"/>
      <w:marBottom w:val="0"/>
      <w:divBdr>
        <w:top w:val="none" w:sz="0" w:space="0" w:color="auto"/>
        <w:left w:val="none" w:sz="0" w:space="0" w:color="auto"/>
        <w:bottom w:val="none" w:sz="0" w:space="0" w:color="auto"/>
        <w:right w:val="none" w:sz="0" w:space="0" w:color="auto"/>
      </w:divBdr>
    </w:div>
    <w:div w:id="269362092">
      <w:bodyDiv w:val="1"/>
      <w:marLeft w:val="0"/>
      <w:marRight w:val="0"/>
      <w:marTop w:val="0"/>
      <w:marBottom w:val="0"/>
      <w:divBdr>
        <w:top w:val="none" w:sz="0" w:space="0" w:color="auto"/>
        <w:left w:val="none" w:sz="0" w:space="0" w:color="auto"/>
        <w:bottom w:val="none" w:sz="0" w:space="0" w:color="auto"/>
        <w:right w:val="none" w:sz="0" w:space="0" w:color="auto"/>
      </w:divBdr>
    </w:div>
    <w:div w:id="269630244">
      <w:bodyDiv w:val="1"/>
      <w:marLeft w:val="0"/>
      <w:marRight w:val="0"/>
      <w:marTop w:val="0"/>
      <w:marBottom w:val="0"/>
      <w:divBdr>
        <w:top w:val="none" w:sz="0" w:space="0" w:color="auto"/>
        <w:left w:val="none" w:sz="0" w:space="0" w:color="auto"/>
        <w:bottom w:val="none" w:sz="0" w:space="0" w:color="auto"/>
        <w:right w:val="none" w:sz="0" w:space="0" w:color="auto"/>
      </w:divBdr>
    </w:div>
    <w:div w:id="270010781">
      <w:bodyDiv w:val="1"/>
      <w:marLeft w:val="0"/>
      <w:marRight w:val="0"/>
      <w:marTop w:val="0"/>
      <w:marBottom w:val="0"/>
      <w:divBdr>
        <w:top w:val="none" w:sz="0" w:space="0" w:color="auto"/>
        <w:left w:val="none" w:sz="0" w:space="0" w:color="auto"/>
        <w:bottom w:val="none" w:sz="0" w:space="0" w:color="auto"/>
        <w:right w:val="none" w:sz="0" w:space="0" w:color="auto"/>
      </w:divBdr>
    </w:div>
    <w:div w:id="270092522">
      <w:bodyDiv w:val="1"/>
      <w:marLeft w:val="0"/>
      <w:marRight w:val="0"/>
      <w:marTop w:val="0"/>
      <w:marBottom w:val="0"/>
      <w:divBdr>
        <w:top w:val="none" w:sz="0" w:space="0" w:color="auto"/>
        <w:left w:val="none" w:sz="0" w:space="0" w:color="auto"/>
        <w:bottom w:val="none" w:sz="0" w:space="0" w:color="auto"/>
        <w:right w:val="none" w:sz="0" w:space="0" w:color="auto"/>
      </w:divBdr>
    </w:div>
    <w:div w:id="272329229">
      <w:bodyDiv w:val="1"/>
      <w:marLeft w:val="0"/>
      <w:marRight w:val="0"/>
      <w:marTop w:val="0"/>
      <w:marBottom w:val="0"/>
      <w:divBdr>
        <w:top w:val="none" w:sz="0" w:space="0" w:color="auto"/>
        <w:left w:val="none" w:sz="0" w:space="0" w:color="auto"/>
        <w:bottom w:val="none" w:sz="0" w:space="0" w:color="auto"/>
        <w:right w:val="none" w:sz="0" w:space="0" w:color="auto"/>
      </w:divBdr>
    </w:div>
    <w:div w:id="272712018">
      <w:bodyDiv w:val="1"/>
      <w:marLeft w:val="0"/>
      <w:marRight w:val="0"/>
      <w:marTop w:val="0"/>
      <w:marBottom w:val="0"/>
      <w:divBdr>
        <w:top w:val="none" w:sz="0" w:space="0" w:color="auto"/>
        <w:left w:val="none" w:sz="0" w:space="0" w:color="auto"/>
        <w:bottom w:val="none" w:sz="0" w:space="0" w:color="auto"/>
        <w:right w:val="none" w:sz="0" w:space="0" w:color="auto"/>
      </w:divBdr>
    </w:div>
    <w:div w:id="275597144">
      <w:bodyDiv w:val="1"/>
      <w:marLeft w:val="0"/>
      <w:marRight w:val="0"/>
      <w:marTop w:val="0"/>
      <w:marBottom w:val="0"/>
      <w:divBdr>
        <w:top w:val="none" w:sz="0" w:space="0" w:color="auto"/>
        <w:left w:val="none" w:sz="0" w:space="0" w:color="auto"/>
        <w:bottom w:val="none" w:sz="0" w:space="0" w:color="auto"/>
        <w:right w:val="none" w:sz="0" w:space="0" w:color="auto"/>
      </w:divBdr>
    </w:div>
    <w:div w:id="275790440">
      <w:bodyDiv w:val="1"/>
      <w:marLeft w:val="0"/>
      <w:marRight w:val="0"/>
      <w:marTop w:val="0"/>
      <w:marBottom w:val="0"/>
      <w:divBdr>
        <w:top w:val="none" w:sz="0" w:space="0" w:color="auto"/>
        <w:left w:val="none" w:sz="0" w:space="0" w:color="auto"/>
        <w:bottom w:val="none" w:sz="0" w:space="0" w:color="auto"/>
        <w:right w:val="none" w:sz="0" w:space="0" w:color="auto"/>
      </w:divBdr>
    </w:div>
    <w:div w:id="276303693">
      <w:bodyDiv w:val="1"/>
      <w:marLeft w:val="0"/>
      <w:marRight w:val="0"/>
      <w:marTop w:val="0"/>
      <w:marBottom w:val="0"/>
      <w:divBdr>
        <w:top w:val="none" w:sz="0" w:space="0" w:color="auto"/>
        <w:left w:val="none" w:sz="0" w:space="0" w:color="auto"/>
        <w:bottom w:val="none" w:sz="0" w:space="0" w:color="auto"/>
        <w:right w:val="none" w:sz="0" w:space="0" w:color="auto"/>
      </w:divBdr>
    </w:div>
    <w:div w:id="279915862">
      <w:bodyDiv w:val="1"/>
      <w:marLeft w:val="0"/>
      <w:marRight w:val="0"/>
      <w:marTop w:val="0"/>
      <w:marBottom w:val="0"/>
      <w:divBdr>
        <w:top w:val="none" w:sz="0" w:space="0" w:color="auto"/>
        <w:left w:val="none" w:sz="0" w:space="0" w:color="auto"/>
        <w:bottom w:val="none" w:sz="0" w:space="0" w:color="auto"/>
        <w:right w:val="none" w:sz="0" w:space="0" w:color="auto"/>
      </w:divBdr>
    </w:div>
    <w:div w:id="279996919">
      <w:bodyDiv w:val="1"/>
      <w:marLeft w:val="0"/>
      <w:marRight w:val="0"/>
      <w:marTop w:val="0"/>
      <w:marBottom w:val="0"/>
      <w:divBdr>
        <w:top w:val="none" w:sz="0" w:space="0" w:color="auto"/>
        <w:left w:val="none" w:sz="0" w:space="0" w:color="auto"/>
        <w:bottom w:val="none" w:sz="0" w:space="0" w:color="auto"/>
        <w:right w:val="none" w:sz="0" w:space="0" w:color="auto"/>
      </w:divBdr>
    </w:div>
    <w:div w:id="286862479">
      <w:bodyDiv w:val="1"/>
      <w:marLeft w:val="0"/>
      <w:marRight w:val="0"/>
      <w:marTop w:val="0"/>
      <w:marBottom w:val="0"/>
      <w:divBdr>
        <w:top w:val="none" w:sz="0" w:space="0" w:color="auto"/>
        <w:left w:val="none" w:sz="0" w:space="0" w:color="auto"/>
        <w:bottom w:val="none" w:sz="0" w:space="0" w:color="auto"/>
        <w:right w:val="none" w:sz="0" w:space="0" w:color="auto"/>
      </w:divBdr>
    </w:div>
    <w:div w:id="287275191">
      <w:bodyDiv w:val="1"/>
      <w:marLeft w:val="0"/>
      <w:marRight w:val="0"/>
      <w:marTop w:val="0"/>
      <w:marBottom w:val="0"/>
      <w:divBdr>
        <w:top w:val="none" w:sz="0" w:space="0" w:color="auto"/>
        <w:left w:val="none" w:sz="0" w:space="0" w:color="auto"/>
        <w:bottom w:val="none" w:sz="0" w:space="0" w:color="auto"/>
        <w:right w:val="none" w:sz="0" w:space="0" w:color="auto"/>
      </w:divBdr>
    </w:div>
    <w:div w:id="289018689">
      <w:bodyDiv w:val="1"/>
      <w:marLeft w:val="0"/>
      <w:marRight w:val="0"/>
      <w:marTop w:val="0"/>
      <w:marBottom w:val="0"/>
      <w:divBdr>
        <w:top w:val="none" w:sz="0" w:space="0" w:color="auto"/>
        <w:left w:val="none" w:sz="0" w:space="0" w:color="auto"/>
        <w:bottom w:val="none" w:sz="0" w:space="0" w:color="auto"/>
        <w:right w:val="none" w:sz="0" w:space="0" w:color="auto"/>
      </w:divBdr>
    </w:div>
    <w:div w:id="291449189">
      <w:bodyDiv w:val="1"/>
      <w:marLeft w:val="0"/>
      <w:marRight w:val="0"/>
      <w:marTop w:val="0"/>
      <w:marBottom w:val="0"/>
      <w:divBdr>
        <w:top w:val="none" w:sz="0" w:space="0" w:color="auto"/>
        <w:left w:val="none" w:sz="0" w:space="0" w:color="auto"/>
        <w:bottom w:val="none" w:sz="0" w:space="0" w:color="auto"/>
        <w:right w:val="none" w:sz="0" w:space="0" w:color="auto"/>
      </w:divBdr>
    </w:div>
    <w:div w:id="292290971">
      <w:bodyDiv w:val="1"/>
      <w:marLeft w:val="0"/>
      <w:marRight w:val="0"/>
      <w:marTop w:val="0"/>
      <w:marBottom w:val="0"/>
      <w:divBdr>
        <w:top w:val="none" w:sz="0" w:space="0" w:color="auto"/>
        <w:left w:val="none" w:sz="0" w:space="0" w:color="auto"/>
        <w:bottom w:val="none" w:sz="0" w:space="0" w:color="auto"/>
        <w:right w:val="none" w:sz="0" w:space="0" w:color="auto"/>
      </w:divBdr>
    </w:div>
    <w:div w:id="292490534">
      <w:bodyDiv w:val="1"/>
      <w:marLeft w:val="0"/>
      <w:marRight w:val="0"/>
      <w:marTop w:val="0"/>
      <w:marBottom w:val="0"/>
      <w:divBdr>
        <w:top w:val="none" w:sz="0" w:space="0" w:color="auto"/>
        <w:left w:val="none" w:sz="0" w:space="0" w:color="auto"/>
        <w:bottom w:val="none" w:sz="0" w:space="0" w:color="auto"/>
        <w:right w:val="none" w:sz="0" w:space="0" w:color="auto"/>
      </w:divBdr>
    </w:div>
    <w:div w:id="295721738">
      <w:bodyDiv w:val="1"/>
      <w:marLeft w:val="0"/>
      <w:marRight w:val="0"/>
      <w:marTop w:val="0"/>
      <w:marBottom w:val="0"/>
      <w:divBdr>
        <w:top w:val="none" w:sz="0" w:space="0" w:color="auto"/>
        <w:left w:val="none" w:sz="0" w:space="0" w:color="auto"/>
        <w:bottom w:val="none" w:sz="0" w:space="0" w:color="auto"/>
        <w:right w:val="none" w:sz="0" w:space="0" w:color="auto"/>
      </w:divBdr>
    </w:div>
    <w:div w:id="296108498">
      <w:bodyDiv w:val="1"/>
      <w:marLeft w:val="0"/>
      <w:marRight w:val="0"/>
      <w:marTop w:val="0"/>
      <w:marBottom w:val="0"/>
      <w:divBdr>
        <w:top w:val="none" w:sz="0" w:space="0" w:color="auto"/>
        <w:left w:val="none" w:sz="0" w:space="0" w:color="auto"/>
        <w:bottom w:val="none" w:sz="0" w:space="0" w:color="auto"/>
        <w:right w:val="none" w:sz="0" w:space="0" w:color="auto"/>
      </w:divBdr>
    </w:div>
    <w:div w:id="296492761">
      <w:bodyDiv w:val="1"/>
      <w:marLeft w:val="0"/>
      <w:marRight w:val="0"/>
      <w:marTop w:val="0"/>
      <w:marBottom w:val="0"/>
      <w:divBdr>
        <w:top w:val="none" w:sz="0" w:space="0" w:color="auto"/>
        <w:left w:val="none" w:sz="0" w:space="0" w:color="auto"/>
        <w:bottom w:val="none" w:sz="0" w:space="0" w:color="auto"/>
        <w:right w:val="none" w:sz="0" w:space="0" w:color="auto"/>
      </w:divBdr>
    </w:div>
    <w:div w:id="298998065">
      <w:bodyDiv w:val="1"/>
      <w:marLeft w:val="0"/>
      <w:marRight w:val="0"/>
      <w:marTop w:val="0"/>
      <w:marBottom w:val="0"/>
      <w:divBdr>
        <w:top w:val="none" w:sz="0" w:space="0" w:color="auto"/>
        <w:left w:val="none" w:sz="0" w:space="0" w:color="auto"/>
        <w:bottom w:val="none" w:sz="0" w:space="0" w:color="auto"/>
        <w:right w:val="none" w:sz="0" w:space="0" w:color="auto"/>
      </w:divBdr>
    </w:div>
    <w:div w:id="300496952">
      <w:bodyDiv w:val="1"/>
      <w:marLeft w:val="0"/>
      <w:marRight w:val="0"/>
      <w:marTop w:val="0"/>
      <w:marBottom w:val="0"/>
      <w:divBdr>
        <w:top w:val="none" w:sz="0" w:space="0" w:color="auto"/>
        <w:left w:val="none" w:sz="0" w:space="0" w:color="auto"/>
        <w:bottom w:val="none" w:sz="0" w:space="0" w:color="auto"/>
        <w:right w:val="none" w:sz="0" w:space="0" w:color="auto"/>
      </w:divBdr>
    </w:div>
    <w:div w:id="300497758">
      <w:bodyDiv w:val="1"/>
      <w:marLeft w:val="0"/>
      <w:marRight w:val="0"/>
      <w:marTop w:val="0"/>
      <w:marBottom w:val="0"/>
      <w:divBdr>
        <w:top w:val="none" w:sz="0" w:space="0" w:color="auto"/>
        <w:left w:val="none" w:sz="0" w:space="0" w:color="auto"/>
        <w:bottom w:val="none" w:sz="0" w:space="0" w:color="auto"/>
        <w:right w:val="none" w:sz="0" w:space="0" w:color="auto"/>
      </w:divBdr>
    </w:div>
    <w:div w:id="302391895">
      <w:bodyDiv w:val="1"/>
      <w:marLeft w:val="0"/>
      <w:marRight w:val="0"/>
      <w:marTop w:val="0"/>
      <w:marBottom w:val="0"/>
      <w:divBdr>
        <w:top w:val="none" w:sz="0" w:space="0" w:color="auto"/>
        <w:left w:val="none" w:sz="0" w:space="0" w:color="auto"/>
        <w:bottom w:val="none" w:sz="0" w:space="0" w:color="auto"/>
        <w:right w:val="none" w:sz="0" w:space="0" w:color="auto"/>
      </w:divBdr>
    </w:div>
    <w:div w:id="303045392">
      <w:bodyDiv w:val="1"/>
      <w:marLeft w:val="0"/>
      <w:marRight w:val="0"/>
      <w:marTop w:val="0"/>
      <w:marBottom w:val="0"/>
      <w:divBdr>
        <w:top w:val="none" w:sz="0" w:space="0" w:color="auto"/>
        <w:left w:val="none" w:sz="0" w:space="0" w:color="auto"/>
        <w:bottom w:val="none" w:sz="0" w:space="0" w:color="auto"/>
        <w:right w:val="none" w:sz="0" w:space="0" w:color="auto"/>
      </w:divBdr>
    </w:div>
    <w:div w:id="304087475">
      <w:bodyDiv w:val="1"/>
      <w:marLeft w:val="0"/>
      <w:marRight w:val="0"/>
      <w:marTop w:val="0"/>
      <w:marBottom w:val="0"/>
      <w:divBdr>
        <w:top w:val="none" w:sz="0" w:space="0" w:color="auto"/>
        <w:left w:val="none" w:sz="0" w:space="0" w:color="auto"/>
        <w:bottom w:val="none" w:sz="0" w:space="0" w:color="auto"/>
        <w:right w:val="none" w:sz="0" w:space="0" w:color="auto"/>
      </w:divBdr>
      <w:divsChild>
        <w:div w:id="24602015">
          <w:marLeft w:val="0"/>
          <w:marRight w:val="0"/>
          <w:marTop w:val="0"/>
          <w:marBottom w:val="0"/>
          <w:divBdr>
            <w:top w:val="none" w:sz="0" w:space="0" w:color="auto"/>
            <w:left w:val="none" w:sz="0" w:space="0" w:color="auto"/>
            <w:bottom w:val="none" w:sz="0" w:space="0" w:color="auto"/>
            <w:right w:val="none" w:sz="0" w:space="0" w:color="auto"/>
          </w:divBdr>
        </w:div>
        <w:div w:id="203712015">
          <w:marLeft w:val="0"/>
          <w:marRight w:val="0"/>
          <w:marTop w:val="0"/>
          <w:marBottom w:val="0"/>
          <w:divBdr>
            <w:top w:val="none" w:sz="0" w:space="0" w:color="auto"/>
            <w:left w:val="none" w:sz="0" w:space="0" w:color="auto"/>
            <w:bottom w:val="none" w:sz="0" w:space="0" w:color="auto"/>
            <w:right w:val="none" w:sz="0" w:space="0" w:color="auto"/>
          </w:divBdr>
        </w:div>
        <w:div w:id="611787669">
          <w:marLeft w:val="0"/>
          <w:marRight w:val="0"/>
          <w:marTop w:val="0"/>
          <w:marBottom w:val="0"/>
          <w:divBdr>
            <w:top w:val="none" w:sz="0" w:space="0" w:color="auto"/>
            <w:left w:val="none" w:sz="0" w:space="0" w:color="auto"/>
            <w:bottom w:val="none" w:sz="0" w:space="0" w:color="auto"/>
            <w:right w:val="none" w:sz="0" w:space="0" w:color="auto"/>
          </w:divBdr>
        </w:div>
        <w:div w:id="811556166">
          <w:marLeft w:val="0"/>
          <w:marRight w:val="0"/>
          <w:marTop w:val="0"/>
          <w:marBottom w:val="0"/>
          <w:divBdr>
            <w:top w:val="none" w:sz="0" w:space="0" w:color="auto"/>
            <w:left w:val="none" w:sz="0" w:space="0" w:color="auto"/>
            <w:bottom w:val="none" w:sz="0" w:space="0" w:color="auto"/>
            <w:right w:val="none" w:sz="0" w:space="0" w:color="auto"/>
          </w:divBdr>
        </w:div>
        <w:div w:id="2077314971">
          <w:marLeft w:val="0"/>
          <w:marRight w:val="0"/>
          <w:marTop w:val="0"/>
          <w:marBottom w:val="0"/>
          <w:divBdr>
            <w:top w:val="none" w:sz="0" w:space="0" w:color="auto"/>
            <w:left w:val="none" w:sz="0" w:space="0" w:color="auto"/>
            <w:bottom w:val="none" w:sz="0" w:space="0" w:color="auto"/>
            <w:right w:val="none" w:sz="0" w:space="0" w:color="auto"/>
          </w:divBdr>
        </w:div>
      </w:divsChild>
    </w:div>
    <w:div w:id="306473313">
      <w:bodyDiv w:val="1"/>
      <w:marLeft w:val="0"/>
      <w:marRight w:val="0"/>
      <w:marTop w:val="0"/>
      <w:marBottom w:val="0"/>
      <w:divBdr>
        <w:top w:val="none" w:sz="0" w:space="0" w:color="auto"/>
        <w:left w:val="none" w:sz="0" w:space="0" w:color="auto"/>
        <w:bottom w:val="none" w:sz="0" w:space="0" w:color="auto"/>
        <w:right w:val="none" w:sz="0" w:space="0" w:color="auto"/>
      </w:divBdr>
    </w:div>
    <w:div w:id="306594902">
      <w:bodyDiv w:val="1"/>
      <w:marLeft w:val="0"/>
      <w:marRight w:val="0"/>
      <w:marTop w:val="0"/>
      <w:marBottom w:val="0"/>
      <w:divBdr>
        <w:top w:val="none" w:sz="0" w:space="0" w:color="auto"/>
        <w:left w:val="none" w:sz="0" w:space="0" w:color="auto"/>
        <w:bottom w:val="none" w:sz="0" w:space="0" w:color="auto"/>
        <w:right w:val="none" w:sz="0" w:space="0" w:color="auto"/>
      </w:divBdr>
    </w:div>
    <w:div w:id="309017546">
      <w:bodyDiv w:val="1"/>
      <w:marLeft w:val="0"/>
      <w:marRight w:val="0"/>
      <w:marTop w:val="0"/>
      <w:marBottom w:val="0"/>
      <w:divBdr>
        <w:top w:val="none" w:sz="0" w:space="0" w:color="auto"/>
        <w:left w:val="none" w:sz="0" w:space="0" w:color="auto"/>
        <w:bottom w:val="none" w:sz="0" w:space="0" w:color="auto"/>
        <w:right w:val="none" w:sz="0" w:space="0" w:color="auto"/>
      </w:divBdr>
    </w:div>
    <w:div w:id="311636585">
      <w:bodyDiv w:val="1"/>
      <w:marLeft w:val="0"/>
      <w:marRight w:val="0"/>
      <w:marTop w:val="0"/>
      <w:marBottom w:val="0"/>
      <w:divBdr>
        <w:top w:val="none" w:sz="0" w:space="0" w:color="auto"/>
        <w:left w:val="none" w:sz="0" w:space="0" w:color="auto"/>
        <w:bottom w:val="none" w:sz="0" w:space="0" w:color="auto"/>
        <w:right w:val="none" w:sz="0" w:space="0" w:color="auto"/>
      </w:divBdr>
    </w:div>
    <w:div w:id="312757154">
      <w:bodyDiv w:val="1"/>
      <w:marLeft w:val="0"/>
      <w:marRight w:val="0"/>
      <w:marTop w:val="0"/>
      <w:marBottom w:val="0"/>
      <w:divBdr>
        <w:top w:val="none" w:sz="0" w:space="0" w:color="auto"/>
        <w:left w:val="none" w:sz="0" w:space="0" w:color="auto"/>
        <w:bottom w:val="none" w:sz="0" w:space="0" w:color="auto"/>
        <w:right w:val="none" w:sz="0" w:space="0" w:color="auto"/>
      </w:divBdr>
    </w:div>
    <w:div w:id="312831099">
      <w:bodyDiv w:val="1"/>
      <w:marLeft w:val="0"/>
      <w:marRight w:val="0"/>
      <w:marTop w:val="0"/>
      <w:marBottom w:val="0"/>
      <w:divBdr>
        <w:top w:val="none" w:sz="0" w:space="0" w:color="auto"/>
        <w:left w:val="none" w:sz="0" w:space="0" w:color="auto"/>
        <w:bottom w:val="none" w:sz="0" w:space="0" w:color="auto"/>
        <w:right w:val="none" w:sz="0" w:space="0" w:color="auto"/>
      </w:divBdr>
    </w:div>
    <w:div w:id="313217164">
      <w:bodyDiv w:val="1"/>
      <w:marLeft w:val="0"/>
      <w:marRight w:val="0"/>
      <w:marTop w:val="0"/>
      <w:marBottom w:val="0"/>
      <w:divBdr>
        <w:top w:val="none" w:sz="0" w:space="0" w:color="auto"/>
        <w:left w:val="none" w:sz="0" w:space="0" w:color="auto"/>
        <w:bottom w:val="none" w:sz="0" w:space="0" w:color="auto"/>
        <w:right w:val="none" w:sz="0" w:space="0" w:color="auto"/>
      </w:divBdr>
    </w:div>
    <w:div w:id="314190296">
      <w:bodyDiv w:val="1"/>
      <w:marLeft w:val="0"/>
      <w:marRight w:val="0"/>
      <w:marTop w:val="0"/>
      <w:marBottom w:val="0"/>
      <w:divBdr>
        <w:top w:val="none" w:sz="0" w:space="0" w:color="auto"/>
        <w:left w:val="none" w:sz="0" w:space="0" w:color="auto"/>
        <w:bottom w:val="none" w:sz="0" w:space="0" w:color="auto"/>
        <w:right w:val="none" w:sz="0" w:space="0" w:color="auto"/>
      </w:divBdr>
    </w:div>
    <w:div w:id="314265017">
      <w:bodyDiv w:val="1"/>
      <w:marLeft w:val="0"/>
      <w:marRight w:val="0"/>
      <w:marTop w:val="0"/>
      <w:marBottom w:val="0"/>
      <w:divBdr>
        <w:top w:val="none" w:sz="0" w:space="0" w:color="auto"/>
        <w:left w:val="none" w:sz="0" w:space="0" w:color="auto"/>
        <w:bottom w:val="none" w:sz="0" w:space="0" w:color="auto"/>
        <w:right w:val="none" w:sz="0" w:space="0" w:color="auto"/>
      </w:divBdr>
    </w:div>
    <w:div w:id="314451513">
      <w:bodyDiv w:val="1"/>
      <w:marLeft w:val="0"/>
      <w:marRight w:val="0"/>
      <w:marTop w:val="0"/>
      <w:marBottom w:val="0"/>
      <w:divBdr>
        <w:top w:val="none" w:sz="0" w:space="0" w:color="auto"/>
        <w:left w:val="none" w:sz="0" w:space="0" w:color="auto"/>
        <w:bottom w:val="none" w:sz="0" w:space="0" w:color="auto"/>
        <w:right w:val="none" w:sz="0" w:space="0" w:color="auto"/>
      </w:divBdr>
    </w:div>
    <w:div w:id="315963518">
      <w:bodyDiv w:val="1"/>
      <w:marLeft w:val="0"/>
      <w:marRight w:val="0"/>
      <w:marTop w:val="0"/>
      <w:marBottom w:val="0"/>
      <w:divBdr>
        <w:top w:val="none" w:sz="0" w:space="0" w:color="auto"/>
        <w:left w:val="none" w:sz="0" w:space="0" w:color="auto"/>
        <w:bottom w:val="none" w:sz="0" w:space="0" w:color="auto"/>
        <w:right w:val="none" w:sz="0" w:space="0" w:color="auto"/>
      </w:divBdr>
    </w:div>
    <w:div w:id="320232456">
      <w:bodyDiv w:val="1"/>
      <w:marLeft w:val="0"/>
      <w:marRight w:val="0"/>
      <w:marTop w:val="0"/>
      <w:marBottom w:val="0"/>
      <w:divBdr>
        <w:top w:val="none" w:sz="0" w:space="0" w:color="auto"/>
        <w:left w:val="none" w:sz="0" w:space="0" w:color="auto"/>
        <w:bottom w:val="none" w:sz="0" w:space="0" w:color="auto"/>
        <w:right w:val="none" w:sz="0" w:space="0" w:color="auto"/>
      </w:divBdr>
    </w:div>
    <w:div w:id="321012871">
      <w:bodyDiv w:val="1"/>
      <w:marLeft w:val="0"/>
      <w:marRight w:val="0"/>
      <w:marTop w:val="0"/>
      <w:marBottom w:val="0"/>
      <w:divBdr>
        <w:top w:val="none" w:sz="0" w:space="0" w:color="auto"/>
        <w:left w:val="none" w:sz="0" w:space="0" w:color="auto"/>
        <w:bottom w:val="none" w:sz="0" w:space="0" w:color="auto"/>
        <w:right w:val="none" w:sz="0" w:space="0" w:color="auto"/>
      </w:divBdr>
    </w:div>
    <w:div w:id="322852747">
      <w:bodyDiv w:val="1"/>
      <w:marLeft w:val="0"/>
      <w:marRight w:val="0"/>
      <w:marTop w:val="0"/>
      <w:marBottom w:val="0"/>
      <w:divBdr>
        <w:top w:val="none" w:sz="0" w:space="0" w:color="auto"/>
        <w:left w:val="none" w:sz="0" w:space="0" w:color="auto"/>
        <w:bottom w:val="none" w:sz="0" w:space="0" w:color="auto"/>
        <w:right w:val="none" w:sz="0" w:space="0" w:color="auto"/>
      </w:divBdr>
    </w:div>
    <w:div w:id="323124898">
      <w:bodyDiv w:val="1"/>
      <w:marLeft w:val="0"/>
      <w:marRight w:val="0"/>
      <w:marTop w:val="0"/>
      <w:marBottom w:val="0"/>
      <w:divBdr>
        <w:top w:val="none" w:sz="0" w:space="0" w:color="auto"/>
        <w:left w:val="none" w:sz="0" w:space="0" w:color="auto"/>
        <w:bottom w:val="none" w:sz="0" w:space="0" w:color="auto"/>
        <w:right w:val="none" w:sz="0" w:space="0" w:color="auto"/>
      </w:divBdr>
    </w:div>
    <w:div w:id="324213173">
      <w:bodyDiv w:val="1"/>
      <w:marLeft w:val="0"/>
      <w:marRight w:val="0"/>
      <w:marTop w:val="0"/>
      <w:marBottom w:val="0"/>
      <w:divBdr>
        <w:top w:val="none" w:sz="0" w:space="0" w:color="auto"/>
        <w:left w:val="none" w:sz="0" w:space="0" w:color="auto"/>
        <w:bottom w:val="none" w:sz="0" w:space="0" w:color="auto"/>
        <w:right w:val="none" w:sz="0" w:space="0" w:color="auto"/>
      </w:divBdr>
    </w:div>
    <w:div w:id="324289349">
      <w:bodyDiv w:val="1"/>
      <w:marLeft w:val="0"/>
      <w:marRight w:val="0"/>
      <w:marTop w:val="0"/>
      <w:marBottom w:val="0"/>
      <w:divBdr>
        <w:top w:val="none" w:sz="0" w:space="0" w:color="auto"/>
        <w:left w:val="none" w:sz="0" w:space="0" w:color="auto"/>
        <w:bottom w:val="none" w:sz="0" w:space="0" w:color="auto"/>
        <w:right w:val="none" w:sz="0" w:space="0" w:color="auto"/>
      </w:divBdr>
    </w:div>
    <w:div w:id="324359691">
      <w:bodyDiv w:val="1"/>
      <w:marLeft w:val="0"/>
      <w:marRight w:val="0"/>
      <w:marTop w:val="0"/>
      <w:marBottom w:val="0"/>
      <w:divBdr>
        <w:top w:val="none" w:sz="0" w:space="0" w:color="auto"/>
        <w:left w:val="none" w:sz="0" w:space="0" w:color="auto"/>
        <w:bottom w:val="none" w:sz="0" w:space="0" w:color="auto"/>
        <w:right w:val="none" w:sz="0" w:space="0" w:color="auto"/>
      </w:divBdr>
    </w:div>
    <w:div w:id="324478526">
      <w:bodyDiv w:val="1"/>
      <w:marLeft w:val="0"/>
      <w:marRight w:val="0"/>
      <w:marTop w:val="0"/>
      <w:marBottom w:val="0"/>
      <w:divBdr>
        <w:top w:val="none" w:sz="0" w:space="0" w:color="auto"/>
        <w:left w:val="none" w:sz="0" w:space="0" w:color="auto"/>
        <w:bottom w:val="none" w:sz="0" w:space="0" w:color="auto"/>
        <w:right w:val="none" w:sz="0" w:space="0" w:color="auto"/>
      </w:divBdr>
    </w:div>
    <w:div w:id="325059335">
      <w:bodyDiv w:val="1"/>
      <w:marLeft w:val="0"/>
      <w:marRight w:val="0"/>
      <w:marTop w:val="0"/>
      <w:marBottom w:val="0"/>
      <w:divBdr>
        <w:top w:val="none" w:sz="0" w:space="0" w:color="auto"/>
        <w:left w:val="none" w:sz="0" w:space="0" w:color="auto"/>
        <w:bottom w:val="none" w:sz="0" w:space="0" w:color="auto"/>
        <w:right w:val="none" w:sz="0" w:space="0" w:color="auto"/>
      </w:divBdr>
    </w:div>
    <w:div w:id="325331221">
      <w:bodyDiv w:val="1"/>
      <w:marLeft w:val="0"/>
      <w:marRight w:val="0"/>
      <w:marTop w:val="0"/>
      <w:marBottom w:val="0"/>
      <w:divBdr>
        <w:top w:val="none" w:sz="0" w:space="0" w:color="auto"/>
        <w:left w:val="none" w:sz="0" w:space="0" w:color="auto"/>
        <w:bottom w:val="none" w:sz="0" w:space="0" w:color="auto"/>
        <w:right w:val="none" w:sz="0" w:space="0" w:color="auto"/>
      </w:divBdr>
    </w:div>
    <w:div w:id="325786945">
      <w:bodyDiv w:val="1"/>
      <w:marLeft w:val="0"/>
      <w:marRight w:val="0"/>
      <w:marTop w:val="0"/>
      <w:marBottom w:val="0"/>
      <w:divBdr>
        <w:top w:val="none" w:sz="0" w:space="0" w:color="auto"/>
        <w:left w:val="none" w:sz="0" w:space="0" w:color="auto"/>
        <w:bottom w:val="none" w:sz="0" w:space="0" w:color="auto"/>
        <w:right w:val="none" w:sz="0" w:space="0" w:color="auto"/>
      </w:divBdr>
    </w:div>
    <w:div w:id="328290066">
      <w:bodyDiv w:val="1"/>
      <w:marLeft w:val="0"/>
      <w:marRight w:val="0"/>
      <w:marTop w:val="0"/>
      <w:marBottom w:val="0"/>
      <w:divBdr>
        <w:top w:val="none" w:sz="0" w:space="0" w:color="auto"/>
        <w:left w:val="none" w:sz="0" w:space="0" w:color="auto"/>
        <w:bottom w:val="none" w:sz="0" w:space="0" w:color="auto"/>
        <w:right w:val="none" w:sz="0" w:space="0" w:color="auto"/>
      </w:divBdr>
    </w:div>
    <w:div w:id="328556880">
      <w:bodyDiv w:val="1"/>
      <w:marLeft w:val="0"/>
      <w:marRight w:val="0"/>
      <w:marTop w:val="0"/>
      <w:marBottom w:val="0"/>
      <w:divBdr>
        <w:top w:val="none" w:sz="0" w:space="0" w:color="auto"/>
        <w:left w:val="none" w:sz="0" w:space="0" w:color="auto"/>
        <w:bottom w:val="none" w:sz="0" w:space="0" w:color="auto"/>
        <w:right w:val="none" w:sz="0" w:space="0" w:color="auto"/>
      </w:divBdr>
    </w:div>
    <w:div w:id="329261424">
      <w:bodyDiv w:val="1"/>
      <w:marLeft w:val="0"/>
      <w:marRight w:val="0"/>
      <w:marTop w:val="0"/>
      <w:marBottom w:val="0"/>
      <w:divBdr>
        <w:top w:val="none" w:sz="0" w:space="0" w:color="auto"/>
        <w:left w:val="none" w:sz="0" w:space="0" w:color="auto"/>
        <w:bottom w:val="none" w:sz="0" w:space="0" w:color="auto"/>
        <w:right w:val="none" w:sz="0" w:space="0" w:color="auto"/>
      </w:divBdr>
    </w:div>
    <w:div w:id="329990211">
      <w:bodyDiv w:val="1"/>
      <w:marLeft w:val="0"/>
      <w:marRight w:val="0"/>
      <w:marTop w:val="0"/>
      <w:marBottom w:val="0"/>
      <w:divBdr>
        <w:top w:val="none" w:sz="0" w:space="0" w:color="auto"/>
        <w:left w:val="none" w:sz="0" w:space="0" w:color="auto"/>
        <w:bottom w:val="none" w:sz="0" w:space="0" w:color="auto"/>
        <w:right w:val="none" w:sz="0" w:space="0" w:color="auto"/>
      </w:divBdr>
    </w:div>
    <w:div w:id="331758242">
      <w:bodyDiv w:val="1"/>
      <w:marLeft w:val="0"/>
      <w:marRight w:val="0"/>
      <w:marTop w:val="0"/>
      <w:marBottom w:val="0"/>
      <w:divBdr>
        <w:top w:val="none" w:sz="0" w:space="0" w:color="auto"/>
        <w:left w:val="none" w:sz="0" w:space="0" w:color="auto"/>
        <w:bottom w:val="none" w:sz="0" w:space="0" w:color="auto"/>
        <w:right w:val="none" w:sz="0" w:space="0" w:color="auto"/>
      </w:divBdr>
    </w:div>
    <w:div w:id="331875836">
      <w:bodyDiv w:val="1"/>
      <w:marLeft w:val="0"/>
      <w:marRight w:val="0"/>
      <w:marTop w:val="0"/>
      <w:marBottom w:val="0"/>
      <w:divBdr>
        <w:top w:val="none" w:sz="0" w:space="0" w:color="auto"/>
        <w:left w:val="none" w:sz="0" w:space="0" w:color="auto"/>
        <w:bottom w:val="none" w:sz="0" w:space="0" w:color="auto"/>
        <w:right w:val="none" w:sz="0" w:space="0" w:color="auto"/>
      </w:divBdr>
    </w:div>
    <w:div w:id="331951508">
      <w:bodyDiv w:val="1"/>
      <w:marLeft w:val="0"/>
      <w:marRight w:val="0"/>
      <w:marTop w:val="0"/>
      <w:marBottom w:val="0"/>
      <w:divBdr>
        <w:top w:val="none" w:sz="0" w:space="0" w:color="auto"/>
        <w:left w:val="none" w:sz="0" w:space="0" w:color="auto"/>
        <w:bottom w:val="none" w:sz="0" w:space="0" w:color="auto"/>
        <w:right w:val="none" w:sz="0" w:space="0" w:color="auto"/>
      </w:divBdr>
      <w:divsChild>
        <w:div w:id="1054112386">
          <w:marLeft w:val="0"/>
          <w:marRight w:val="0"/>
          <w:marTop w:val="0"/>
          <w:marBottom w:val="0"/>
          <w:divBdr>
            <w:top w:val="none" w:sz="0" w:space="0" w:color="auto"/>
            <w:left w:val="none" w:sz="0" w:space="0" w:color="auto"/>
            <w:bottom w:val="none" w:sz="0" w:space="0" w:color="auto"/>
            <w:right w:val="none" w:sz="0" w:space="0" w:color="auto"/>
          </w:divBdr>
          <w:divsChild>
            <w:div w:id="1854413584">
              <w:marLeft w:val="0"/>
              <w:marRight w:val="0"/>
              <w:marTop w:val="0"/>
              <w:marBottom w:val="0"/>
              <w:divBdr>
                <w:top w:val="none" w:sz="0" w:space="0" w:color="auto"/>
                <w:left w:val="none" w:sz="0" w:space="0" w:color="auto"/>
                <w:bottom w:val="none" w:sz="0" w:space="0" w:color="auto"/>
                <w:right w:val="none" w:sz="0" w:space="0" w:color="auto"/>
              </w:divBdr>
              <w:divsChild>
                <w:div w:id="99792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3532636">
      <w:bodyDiv w:val="1"/>
      <w:marLeft w:val="0"/>
      <w:marRight w:val="0"/>
      <w:marTop w:val="0"/>
      <w:marBottom w:val="0"/>
      <w:divBdr>
        <w:top w:val="none" w:sz="0" w:space="0" w:color="auto"/>
        <w:left w:val="none" w:sz="0" w:space="0" w:color="auto"/>
        <w:bottom w:val="none" w:sz="0" w:space="0" w:color="auto"/>
        <w:right w:val="none" w:sz="0" w:space="0" w:color="auto"/>
      </w:divBdr>
    </w:div>
    <w:div w:id="335109578">
      <w:bodyDiv w:val="1"/>
      <w:marLeft w:val="0"/>
      <w:marRight w:val="0"/>
      <w:marTop w:val="0"/>
      <w:marBottom w:val="0"/>
      <w:divBdr>
        <w:top w:val="none" w:sz="0" w:space="0" w:color="auto"/>
        <w:left w:val="none" w:sz="0" w:space="0" w:color="auto"/>
        <w:bottom w:val="none" w:sz="0" w:space="0" w:color="auto"/>
        <w:right w:val="none" w:sz="0" w:space="0" w:color="auto"/>
      </w:divBdr>
    </w:div>
    <w:div w:id="337777742">
      <w:bodyDiv w:val="1"/>
      <w:marLeft w:val="0"/>
      <w:marRight w:val="0"/>
      <w:marTop w:val="0"/>
      <w:marBottom w:val="0"/>
      <w:divBdr>
        <w:top w:val="none" w:sz="0" w:space="0" w:color="auto"/>
        <w:left w:val="none" w:sz="0" w:space="0" w:color="auto"/>
        <w:bottom w:val="none" w:sz="0" w:space="0" w:color="auto"/>
        <w:right w:val="none" w:sz="0" w:space="0" w:color="auto"/>
      </w:divBdr>
    </w:div>
    <w:div w:id="341204789">
      <w:bodyDiv w:val="1"/>
      <w:marLeft w:val="0"/>
      <w:marRight w:val="0"/>
      <w:marTop w:val="0"/>
      <w:marBottom w:val="0"/>
      <w:divBdr>
        <w:top w:val="none" w:sz="0" w:space="0" w:color="auto"/>
        <w:left w:val="none" w:sz="0" w:space="0" w:color="auto"/>
        <w:bottom w:val="none" w:sz="0" w:space="0" w:color="auto"/>
        <w:right w:val="none" w:sz="0" w:space="0" w:color="auto"/>
      </w:divBdr>
      <w:divsChild>
        <w:div w:id="454450843">
          <w:marLeft w:val="0"/>
          <w:marRight w:val="0"/>
          <w:marTop w:val="0"/>
          <w:marBottom w:val="0"/>
          <w:divBdr>
            <w:top w:val="none" w:sz="0" w:space="0" w:color="auto"/>
            <w:left w:val="none" w:sz="0" w:space="0" w:color="auto"/>
            <w:bottom w:val="none" w:sz="0" w:space="0" w:color="auto"/>
            <w:right w:val="none" w:sz="0" w:space="0" w:color="auto"/>
          </w:divBdr>
        </w:div>
        <w:div w:id="848983556">
          <w:marLeft w:val="0"/>
          <w:marRight w:val="0"/>
          <w:marTop w:val="0"/>
          <w:marBottom w:val="0"/>
          <w:divBdr>
            <w:top w:val="none" w:sz="0" w:space="0" w:color="auto"/>
            <w:left w:val="none" w:sz="0" w:space="0" w:color="auto"/>
            <w:bottom w:val="none" w:sz="0" w:space="0" w:color="auto"/>
            <w:right w:val="none" w:sz="0" w:space="0" w:color="auto"/>
          </w:divBdr>
        </w:div>
        <w:div w:id="1780830038">
          <w:marLeft w:val="0"/>
          <w:marRight w:val="0"/>
          <w:marTop w:val="0"/>
          <w:marBottom w:val="0"/>
          <w:divBdr>
            <w:top w:val="none" w:sz="0" w:space="0" w:color="auto"/>
            <w:left w:val="none" w:sz="0" w:space="0" w:color="auto"/>
            <w:bottom w:val="none" w:sz="0" w:space="0" w:color="auto"/>
            <w:right w:val="none" w:sz="0" w:space="0" w:color="auto"/>
          </w:divBdr>
        </w:div>
        <w:div w:id="2090497956">
          <w:marLeft w:val="0"/>
          <w:marRight w:val="0"/>
          <w:marTop w:val="0"/>
          <w:marBottom w:val="0"/>
          <w:divBdr>
            <w:top w:val="none" w:sz="0" w:space="0" w:color="auto"/>
            <w:left w:val="none" w:sz="0" w:space="0" w:color="auto"/>
            <w:bottom w:val="none" w:sz="0" w:space="0" w:color="auto"/>
            <w:right w:val="none" w:sz="0" w:space="0" w:color="auto"/>
          </w:divBdr>
        </w:div>
      </w:divsChild>
    </w:div>
    <w:div w:id="342560271">
      <w:bodyDiv w:val="1"/>
      <w:marLeft w:val="0"/>
      <w:marRight w:val="0"/>
      <w:marTop w:val="0"/>
      <w:marBottom w:val="0"/>
      <w:divBdr>
        <w:top w:val="none" w:sz="0" w:space="0" w:color="auto"/>
        <w:left w:val="none" w:sz="0" w:space="0" w:color="auto"/>
        <w:bottom w:val="none" w:sz="0" w:space="0" w:color="auto"/>
        <w:right w:val="none" w:sz="0" w:space="0" w:color="auto"/>
      </w:divBdr>
    </w:div>
    <w:div w:id="343556003">
      <w:bodyDiv w:val="1"/>
      <w:marLeft w:val="0"/>
      <w:marRight w:val="0"/>
      <w:marTop w:val="0"/>
      <w:marBottom w:val="0"/>
      <w:divBdr>
        <w:top w:val="none" w:sz="0" w:space="0" w:color="auto"/>
        <w:left w:val="none" w:sz="0" w:space="0" w:color="auto"/>
        <w:bottom w:val="none" w:sz="0" w:space="0" w:color="auto"/>
        <w:right w:val="none" w:sz="0" w:space="0" w:color="auto"/>
      </w:divBdr>
    </w:div>
    <w:div w:id="344140072">
      <w:bodyDiv w:val="1"/>
      <w:marLeft w:val="0"/>
      <w:marRight w:val="0"/>
      <w:marTop w:val="0"/>
      <w:marBottom w:val="0"/>
      <w:divBdr>
        <w:top w:val="none" w:sz="0" w:space="0" w:color="auto"/>
        <w:left w:val="none" w:sz="0" w:space="0" w:color="auto"/>
        <w:bottom w:val="none" w:sz="0" w:space="0" w:color="auto"/>
        <w:right w:val="none" w:sz="0" w:space="0" w:color="auto"/>
      </w:divBdr>
    </w:div>
    <w:div w:id="345178186">
      <w:bodyDiv w:val="1"/>
      <w:marLeft w:val="0"/>
      <w:marRight w:val="0"/>
      <w:marTop w:val="0"/>
      <w:marBottom w:val="0"/>
      <w:divBdr>
        <w:top w:val="none" w:sz="0" w:space="0" w:color="auto"/>
        <w:left w:val="none" w:sz="0" w:space="0" w:color="auto"/>
        <w:bottom w:val="none" w:sz="0" w:space="0" w:color="auto"/>
        <w:right w:val="none" w:sz="0" w:space="0" w:color="auto"/>
      </w:divBdr>
    </w:div>
    <w:div w:id="347297412">
      <w:bodyDiv w:val="1"/>
      <w:marLeft w:val="0"/>
      <w:marRight w:val="0"/>
      <w:marTop w:val="0"/>
      <w:marBottom w:val="0"/>
      <w:divBdr>
        <w:top w:val="none" w:sz="0" w:space="0" w:color="auto"/>
        <w:left w:val="none" w:sz="0" w:space="0" w:color="auto"/>
        <w:bottom w:val="none" w:sz="0" w:space="0" w:color="auto"/>
        <w:right w:val="none" w:sz="0" w:space="0" w:color="auto"/>
      </w:divBdr>
    </w:div>
    <w:div w:id="348026184">
      <w:bodyDiv w:val="1"/>
      <w:marLeft w:val="0"/>
      <w:marRight w:val="0"/>
      <w:marTop w:val="0"/>
      <w:marBottom w:val="0"/>
      <w:divBdr>
        <w:top w:val="none" w:sz="0" w:space="0" w:color="auto"/>
        <w:left w:val="none" w:sz="0" w:space="0" w:color="auto"/>
        <w:bottom w:val="none" w:sz="0" w:space="0" w:color="auto"/>
        <w:right w:val="none" w:sz="0" w:space="0" w:color="auto"/>
      </w:divBdr>
    </w:div>
    <w:div w:id="349717956">
      <w:bodyDiv w:val="1"/>
      <w:marLeft w:val="0"/>
      <w:marRight w:val="0"/>
      <w:marTop w:val="0"/>
      <w:marBottom w:val="0"/>
      <w:divBdr>
        <w:top w:val="none" w:sz="0" w:space="0" w:color="auto"/>
        <w:left w:val="none" w:sz="0" w:space="0" w:color="auto"/>
        <w:bottom w:val="none" w:sz="0" w:space="0" w:color="auto"/>
        <w:right w:val="none" w:sz="0" w:space="0" w:color="auto"/>
      </w:divBdr>
    </w:div>
    <w:div w:id="350573554">
      <w:bodyDiv w:val="1"/>
      <w:marLeft w:val="0"/>
      <w:marRight w:val="0"/>
      <w:marTop w:val="0"/>
      <w:marBottom w:val="0"/>
      <w:divBdr>
        <w:top w:val="none" w:sz="0" w:space="0" w:color="auto"/>
        <w:left w:val="none" w:sz="0" w:space="0" w:color="auto"/>
        <w:bottom w:val="none" w:sz="0" w:space="0" w:color="auto"/>
        <w:right w:val="none" w:sz="0" w:space="0" w:color="auto"/>
      </w:divBdr>
    </w:div>
    <w:div w:id="350954244">
      <w:bodyDiv w:val="1"/>
      <w:marLeft w:val="0"/>
      <w:marRight w:val="0"/>
      <w:marTop w:val="0"/>
      <w:marBottom w:val="0"/>
      <w:divBdr>
        <w:top w:val="none" w:sz="0" w:space="0" w:color="auto"/>
        <w:left w:val="none" w:sz="0" w:space="0" w:color="auto"/>
        <w:bottom w:val="none" w:sz="0" w:space="0" w:color="auto"/>
        <w:right w:val="none" w:sz="0" w:space="0" w:color="auto"/>
      </w:divBdr>
    </w:div>
    <w:div w:id="353580267">
      <w:bodyDiv w:val="1"/>
      <w:marLeft w:val="0"/>
      <w:marRight w:val="0"/>
      <w:marTop w:val="0"/>
      <w:marBottom w:val="0"/>
      <w:divBdr>
        <w:top w:val="none" w:sz="0" w:space="0" w:color="auto"/>
        <w:left w:val="none" w:sz="0" w:space="0" w:color="auto"/>
        <w:bottom w:val="none" w:sz="0" w:space="0" w:color="auto"/>
        <w:right w:val="none" w:sz="0" w:space="0" w:color="auto"/>
      </w:divBdr>
    </w:div>
    <w:div w:id="356587916">
      <w:bodyDiv w:val="1"/>
      <w:marLeft w:val="0"/>
      <w:marRight w:val="0"/>
      <w:marTop w:val="0"/>
      <w:marBottom w:val="0"/>
      <w:divBdr>
        <w:top w:val="none" w:sz="0" w:space="0" w:color="auto"/>
        <w:left w:val="none" w:sz="0" w:space="0" w:color="auto"/>
        <w:bottom w:val="none" w:sz="0" w:space="0" w:color="auto"/>
        <w:right w:val="none" w:sz="0" w:space="0" w:color="auto"/>
      </w:divBdr>
    </w:div>
    <w:div w:id="359824339">
      <w:bodyDiv w:val="1"/>
      <w:marLeft w:val="0"/>
      <w:marRight w:val="0"/>
      <w:marTop w:val="0"/>
      <w:marBottom w:val="0"/>
      <w:divBdr>
        <w:top w:val="none" w:sz="0" w:space="0" w:color="auto"/>
        <w:left w:val="none" w:sz="0" w:space="0" w:color="auto"/>
        <w:bottom w:val="none" w:sz="0" w:space="0" w:color="auto"/>
        <w:right w:val="none" w:sz="0" w:space="0" w:color="auto"/>
      </w:divBdr>
    </w:div>
    <w:div w:id="360984401">
      <w:bodyDiv w:val="1"/>
      <w:marLeft w:val="0"/>
      <w:marRight w:val="0"/>
      <w:marTop w:val="0"/>
      <w:marBottom w:val="0"/>
      <w:divBdr>
        <w:top w:val="none" w:sz="0" w:space="0" w:color="auto"/>
        <w:left w:val="none" w:sz="0" w:space="0" w:color="auto"/>
        <w:bottom w:val="none" w:sz="0" w:space="0" w:color="auto"/>
        <w:right w:val="none" w:sz="0" w:space="0" w:color="auto"/>
      </w:divBdr>
    </w:div>
    <w:div w:id="361590607">
      <w:bodyDiv w:val="1"/>
      <w:marLeft w:val="0"/>
      <w:marRight w:val="0"/>
      <w:marTop w:val="0"/>
      <w:marBottom w:val="0"/>
      <w:divBdr>
        <w:top w:val="none" w:sz="0" w:space="0" w:color="auto"/>
        <w:left w:val="none" w:sz="0" w:space="0" w:color="auto"/>
        <w:bottom w:val="none" w:sz="0" w:space="0" w:color="auto"/>
        <w:right w:val="none" w:sz="0" w:space="0" w:color="auto"/>
      </w:divBdr>
    </w:div>
    <w:div w:id="363018223">
      <w:bodyDiv w:val="1"/>
      <w:marLeft w:val="0"/>
      <w:marRight w:val="0"/>
      <w:marTop w:val="0"/>
      <w:marBottom w:val="0"/>
      <w:divBdr>
        <w:top w:val="none" w:sz="0" w:space="0" w:color="auto"/>
        <w:left w:val="none" w:sz="0" w:space="0" w:color="auto"/>
        <w:bottom w:val="none" w:sz="0" w:space="0" w:color="auto"/>
        <w:right w:val="none" w:sz="0" w:space="0" w:color="auto"/>
      </w:divBdr>
    </w:div>
    <w:div w:id="364058857">
      <w:bodyDiv w:val="1"/>
      <w:marLeft w:val="0"/>
      <w:marRight w:val="0"/>
      <w:marTop w:val="0"/>
      <w:marBottom w:val="0"/>
      <w:divBdr>
        <w:top w:val="none" w:sz="0" w:space="0" w:color="auto"/>
        <w:left w:val="none" w:sz="0" w:space="0" w:color="auto"/>
        <w:bottom w:val="none" w:sz="0" w:space="0" w:color="auto"/>
        <w:right w:val="none" w:sz="0" w:space="0" w:color="auto"/>
      </w:divBdr>
    </w:div>
    <w:div w:id="368338053">
      <w:bodyDiv w:val="1"/>
      <w:marLeft w:val="0"/>
      <w:marRight w:val="0"/>
      <w:marTop w:val="0"/>
      <w:marBottom w:val="0"/>
      <w:divBdr>
        <w:top w:val="none" w:sz="0" w:space="0" w:color="auto"/>
        <w:left w:val="none" w:sz="0" w:space="0" w:color="auto"/>
        <w:bottom w:val="none" w:sz="0" w:space="0" w:color="auto"/>
        <w:right w:val="none" w:sz="0" w:space="0" w:color="auto"/>
      </w:divBdr>
    </w:div>
    <w:div w:id="371805615">
      <w:bodyDiv w:val="1"/>
      <w:marLeft w:val="0"/>
      <w:marRight w:val="0"/>
      <w:marTop w:val="0"/>
      <w:marBottom w:val="0"/>
      <w:divBdr>
        <w:top w:val="none" w:sz="0" w:space="0" w:color="auto"/>
        <w:left w:val="none" w:sz="0" w:space="0" w:color="auto"/>
        <w:bottom w:val="none" w:sz="0" w:space="0" w:color="auto"/>
        <w:right w:val="none" w:sz="0" w:space="0" w:color="auto"/>
      </w:divBdr>
      <w:divsChild>
        <w:div w:id="124010808">
          <w:marLeft w:val="0"/>
          <w:marRight w:val="0"/>
          <w:marTop w:val="0"/>
          <w:marBottom w:val="0"/>
          <w:divBdr>
            <w:top w:val="none" w:sz="0" w:space="0" w:color="auto"/>
            <w:left w:val="none" w:sz="0" w:space="0" w:color="auto"/>
            <w:bottom w:val="none" w:sz="0" w:space="0" w:color="auto"/>
            <w:right w:val="none" w:sz="0" w:space="0" w:color="auto"/>
          </w:divBdr>
        </w:div>
      </w:divsChild>
    </w:div>
    <w:div w:id="373040610">
      <w:bodyDiv w:val="1"/>
      <w:marLeft w:val="0"/>
      <w:marRight w:val="0"/>
      <w:marTop w:val="0"/>
      <w:marBottom w:val="0"/>
      <w:divBdr>
        <w:top w:val="none" w:sz="0" w:space="0" w:color="auto"/>
        <w:left w:val="none" w:sz="0" w:space="0" w:color="auto"/>
        <w:bottom w:val="none" w:sz="0" w:space="0" w:color="auto"/>
        <w:right w:val="none" w:sz="0" w:space="0" w:color="auto"/>
      </w:divBdr>
    </w:div>
    <w:div w:id="376203048">
      <w:bodyDiv w:val="1"/>
      <w:marLeft w:val="0"/>
      <w:marRight w:val="0"/>
      <w:marTop w:val="0"/>
      <w:marBottom w:val="0"/>
      <w:divBdr>
        <w:top w:val="none" w:sz="0" w:space="0" w:color="auto"/>
        <w:left w:val="none" w:sz="0" w:space="0" w:color="auto"/>
        <w:bottom w:val="none" w:sz="0" w:space="0" w:color="auto"/>
        <w:right w:val="none" w:sz="0" w:space="0" w:color="auto"/>
      </w:divBdr>
    </w:div>
    <w:div w:id="377247406">
      <w:bodyDiv w:val="1"/>
      <w:marLeft w:val="0"/>
      <w:marRight w:val="0"/>
      <w:marTop w:val="0"/>
      <w:marBottom w:val="0"/>
      <w:divBdr>
        <w:top w:val="none" w:sz="0" w:space="0" w:color="auto"/>
        <w:left w:val="none" w:sz="0" w:space="0" w:color="auto"/>
        <w:bottom w:val="none" w:sz="0" w:space="0" w:color="auto"/>
        <w:right w:val="none" w:sz="0" w:space="0" w:color="auto"/>
      </w:divBdr>
    </w:div>
    <w:div w:id="377439476">
      <w:bodyDiv w:val="1"/>
      <w:marLeft w:val="0"/>
      <w:marRight w:val="0"/>
      <w:marTop w:val="0"/>
      <w:marBottom w:val="0"/>
      <w:divBdr>
        <w:top w:val="none" w:sz="0" w:space="0" w:color="auto"/>
        <w:left w:val="none" w:sz="0" w:space="0" w:color="auto"/>
        <w:bottom w:val="none" w:sz="0" w:space="0" w:color="auto"/>
        <w:right w:val="none" w:sz="0" w:space="0" w:color="auto"/>
      </w:divBdr>
    </w:div>
    <w:div w:id="377703327">
      <w:bodyDiv w:val="1"/>
      <w:marLeft w:val="0"/>
      <w:marRight w:val="0"/>
      <w:marTop w:val="0"/>
      <w:marBottom w:val="0"/>
      <w:divBdr>
        <w:top w:val="none" w:sz="0" w:space="0" w:color="auto"/>
        <w:left w:val="none" w:sz="0" w:space="0" w:color="auto"/>
        <w:bottom w:val="none" w:sz="0" w:space="0" w:color="auto"/>
        <w:right w:val="none" w:sz="0" w:space="0" w:color="auto"/>
      </w:divBdr>
      <w:divsChild>
        <w:div w:id="11838602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36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668994">
      <w:bodyDiv w:val="1"/>
      <w:marLeft w:val="0"/>
      <w:marRight w:val="0"/>
      <w:marTop w:val="0"/>
      <w:marBottom w:val="0"/>
      <w:divBdr>
        <w:top w:val="none" w:sz="0" w:space="0" w:color="auto"/>
        <w:left w:val="none" w:sz="0" w:space="0" w:color="auto"/>
        <w:bottom w:val="none" w:sz="0" w:space="0" w:color="auto"/>
        <w:right w:val="none" w:sz="0" w:space="0" w:color="auto"/>
      </w:divBdr>
    </w:div>
    <w:div w:id="379935177">
      <w:bodyDiv w:val="1"/>
      <w:marLeft w:val="0"/>
      <w:marRight w:val="0"/>
      <w:marTop w:val="0"/>
      <w:marBottom w:val="0"/>
      <w:divBdr>
        <w:top w:val="none" w:sz="0" w:space="0" w:color="auto"/>
        <w:left w:val="none" w:sz="0" w:space="0" w:color="auto"/>
        <w:bottom w:val="none" w:sz="0" w:space="0" w:color="auto"/>
        <w:right w:val="none" w:sz="0" w:space="0" w:color="auto"/>
      </w:divBdr>
    </w:div>
    <w:div w:id="385878896">
      <w:bodyDiv w:val="1"/>
      <w:marLeft w:val="0"/>
      <w:marRight w:val="0"/>
      <w:marTop w:val="0"/>
      <w:marBottom w:val="0"/>
      <w:divBdr>
        <w:top w:val="none" w:sz="0" w:space="0" w:color="auto"/>
        <w:left w:val="none" w:sz="0" w:space="0" w:color="auto"/>
        <w:bottom w:val="none" w:sz="0" w:space="0" w:color="auto"/>
        <w:right w:val="none" w:sz="0" w:space="0" w:color="auto"/>
      </w:divBdr>
      <w:divsChild>
        <w:div w:id="1921867650">
          <w:marLeft w:val="0"/>
          <w:marRight w:val="0"/>
          <w:marTop w:val="0"/>
          <w:marBottom w:val="0"/>
          <w:divBdr>
            <w:top w:val="none" w:sz="0" w:space="0" w:color="auto"/>
            <w:left w:val="none" w:sz="0" w:space="0" w:color="auto"/>
            <w:bottom w:val="none" w:sz="0" w:space="0" w:color="auto"/>
            <w:right w:val="none" w:sz="0" w:space="0" w:color="auto"/>
          </w:divBdr>
        </w:div>
      </w:divsChild>
    </w:div>
    <w:div w:id="386224989">
      <w:bodyDiv w:val="1"/>
      <w:marLeft w:val="0"/>
      <w:marRight w:val="0"/>
      <w:marTop w:val="0"/>
      <w:marBottom w:val="0"/>
      <w:divBdr>
        <w:top w:val="none" w:sz="0" w:space="0" w:color="auto"/>
        <w:left w:val="none" w:sz="0" w:space="0" w:color="auto"/>
        <w:bottom w:val="none" w:sz="0" w:space="0" w:color="auto"/>
        <w:right w:val="none" w:sz="0" w:space="0" w:color="auto"/>
      </w:divBdr>
    </w:div>
    <w:div w:id="387917519">
      <w:bodyDiv w:val="1"/>
      <w:marLeft w:val="0"/>
      <w:marRight w:val="0"/>
      <w:marTop w:val="0"/>
      <w:marBottom w:val="0"/>
      <w:divBdr>
        <w:top w:val="none" w:sz="0" w:space="0" w:color="auto"/>
        <w:left w:val="none" w:sz="0" w:space="0" w:color="auto"/>
        <w:bottom w:val="none" w:sz="0" w:space="0" w:color="auto"/>
        <w:right w:val="none" w:sz="0" w:space="0" w:color="auto"/>
      </w:divBdr>
    </w:div>
    <w:div w:id="389697558">
      <w:bodyDiv w:val="1"/>
      <w:marLeft w:val="0"/>
      <w:marRight w:val="0"/>
      <w:marTop w:val="0"/>
      <w:marBottom w:val="0"/>
      <w:divBdr>
        <w:top w:val="none" w:sz="0" w:space="0" w:color="auto"/>
        <w:left w:val="none" w:sz="0" w:space="0" w:color="auto"/>
        <w:bottom w:val="none" w:sz="0" w:space="0" w:color="auto"/>
        <w:right w:val="none" w:sz="0" w:space="0" w:color="auto"/>
      </w:divBdr>
    </w:div>
    <w:div w:id="390270470">
      <w:bodyDiv w:val="1"/>
      <w:marLeft w:val="0"/>
      <w:marRight w:val="0"/>
      <w:marTop w:val="0"/>
      <w:marBottom w:val="0"/>
      <w:divBdr>
        <w:top w:val="none" w:sz="0" w:space="0" w:color="auto"/>
        <w:left w:val="none" w:sz="0" w:space="0" w:color="auto"/>
        <w:bottom w:val="none" w:sz="0" w:space="0" w:color="auto"/>
        <w:right w:val="none" w:sz="0" w:space="0" w:color="auto"/>
      </w:divBdr>
    </w:div>
    <w:div w:id="391464472">
      <w:bodyDiv w:val="1"/>
      <w:marLeft w:val="0"/>
      <w:marRight w:val="0"/>
      <w:marTop w:val="0"/>
      <w:marBottom w:val="0"/>
      <w:divBdr>
        <w:top w:val="none" w:sz="0" w:space="0" w:color="auto"/>
        <w:left w:val="none" w:sz="0" w:space="0" w:color="auto"/>
        <w:bottom w:val="none" w:sz="0" w:space="0" w:color="auto"/>
        <w:right w:val="none" w:sz="0" w:space="0" w:color="auto"/>
      </w:divBdr>
    </w:div>
    <w:div w:id="396825017">
      <w:bodyDiv w:val="1"/>
      <w:marLeft w:val="0"/>
      <w:marRight w:val="0"/>
      <w:marTop w:val="0"/>
      <w:marBottom w:val="0"/>
      <w:divBdr>
        <w:top w:val="none" w:sz="0" w:space="0" w:color="auto"/>
        <w:left w:val="none" w:sz="0" w:space="0" w:color="auto"/>
        <w:bottom w:val="none" w:sz="0" w:space="0" w:color="auto"/>
        <w:right w:val="none" w:sz="0" w:space="0" w:color="auto"/>
      </w:divBdr>
    </w:div>
    <w:div w:id="397557316">
      <w:bodyDiv w:val="1"/>
      <w:marLeft w:val="0"/>
      <w:marRight w:val="0"/>
      <w:marTop w:val="0"/>
      <w:marBottom w:val="0"/>
      <w:divBdr>
        <w:top w:val="none" w:sz="0" w:space="0" w:color="auto"/>
        <w:left w:val="none" w:sz="0" w:space="0" w:color="auto"/>
        <w:bottom w:val="none" w:sz="0" w:space="0" w:color="auto"/>
        <w:right w:val="none" w:sz="0" w:space="0" w:color="auto"/>
      </w:divBdr>
    </w:div>
    <w:div w:id="398753040">
      <w:bodyDiv w:val="1"/>
      <w:marLeft w:val="0"/>
      <w:marRight w:val="0"/>
      <w:marTop w:val="0"/>
      <w:marBottom w:val="0"/>
      <w:divBdr>
        <w:top w:val="none" w:sz="0" w:space="0" w:color="auto"/>
        <w:left w:val="none" w:sz="0" w:space="0" w:color="auto"/>
        <w:bottom w:val="none" w:sz="0" w:space="0" w:color="auto"/>
        <w:right w:val="none" w:sz="0" w:space="0" w:color="auto"/>
      </w:divBdr>
    </w:div>
    <w:div w:id="401031548">
      <w:bodyDiv w:val="1"/>
      <w:marLeft w:val="0"/>
      <w:marRight w:val="0"/>
      <w:marTop w:val="0"/>
      <w:marBottom w:val="0"/>
      <w:divBdr>
        <w:top w:val="none" w:sz="0" w:space="0" w:color="auto"/>
        <w:left w:val="none" w:sz="0" w:space="0" w:color="auto"/>
        <w:bottom w:val="none" w:sz="0" w:space="0" w:color="auto"/>
        <w:right w:val="none" w:sz="0" w:space="0" w:color="auto"/>
      </w:divBdr>
    </w:div>
    <w:div w:id="405687101">
      <w:bodyDiv w:val="1"/>
      <w:marLeft w:val="0"/>
      <w:marRight w:val="0"/>
      <w:marTop w:val="0"/>
      <w:marBottom w:val="0"/>
      <w:divBdr>
        <w:top w:val="none" w:sz="0" w:space="0" w:color="auto"/>
        <w:left w:val="none" w:sz="0" w:space="0" w:color="auto"/>
        <w:bottom w:val="none" w:sz="0" w:space="0" w:color="auto"/>
        <w:right w:val="none" w:sz="0" w:space="0" w:color="auto"/>
      </w:divBdr>
    </w:div>
    <w:div w:id="405803134">
      <w:bodyDiv w:val="1"/>
      <w:marLeft w:val="0"/>
      <w:marRight w:val="0"/>
      <w:marTop w:val="0"/>
      <w:marBottom w:val="0"/>
      <w:divBdr>
        <w:top w:val="none" w:sz="0" w:space="0" w:color="auto"/>
        <w:left w:val="none" w:sz="0" w:space="0" w:color="auto"/>
        <w:bottom w:val="none" w:sz="0" w:space="0" w:color="auto"/>
        <w:right w:val="none" w:sz="0" w:space="0" w:color="auto"/>
      </w:divBdr>
    </w:div>
    <w:div w:id="408580350">
      <w:bodyDiv w:val="1"/>
      <w:marLeft w:val="0"/>
      <w:marRight w:val="0"/>
      <w:marTop w:val="0"/>
      <w:marBottom w:val="0"/>
      <w:divBdr>
        <w:top w:val="none" w:sz="0" w:space="0" w:color="auto"/>
        <w:left w:val="none" w:sz="0" w:space="0" w:color="auto"/>
        <w:bottom w:val="none" w:sz="0" w:space="0" w:color="auto"/>
        <w:right w:val="none" w:sz="0" w:space="0" w:color="auto"/>
      </w:divBdr>
    </w:div>
    <w:div w:id="410125210">
      <w:bodyDiv w:val="1"/>
      <w:marLeft w:val="0"/>
      <w:marRight w:val="0"/>
      <w:marTop w:val="0"/>
      <w:marBottom w:val="0"/>
      <w:divBdr>
        <w:top w:val="none" w:sz="0" w:space="0" w:color="auto"/>
        <w:left w:val="none" w:sz="0" w:space="0" w:color="auto"/>
        <w:bottom w:val="none" w:sz="0" w:space="0" w:color="auto"/>
        <w:right w:val="none" w:sz="0" w:space="0" w:color="auto"/>
      </w:divBdr>
    </w:div>
    <w:div w:id="412355186">
      <w:bodyDiv w:val="1"/>
      <w:marLeft w:val="0"/>
      <w:marRight w:val="0"/>
      <w:marTop w:val="0"/>
      <w:marBottom w:val="0"/>
      <w:divBdr>
        <w:top w:val="none" w:sz="0" w:space="0" w:color="auto"/>
        <w:left w:val="none" w:sz="0" w:space="0" w:color="auto"/>
        <w:bottom w:val="none" w:sz="0" w:space="0" w:color="auto"/>
        <w:right w:val="none" w:sz="0" w:space="0" w:color="auto"/>
      </w:divBdr>
    </w:div>
    <w:div w:id="412969721">
      <w:bodyDiv w:val="1"/>
      <w:marLeft w:val="0"/>
      <w:marRight w:val="0"/>
      <w:marTop w:val="0"/>
      <w:marBottom w:val="0"/>
      <w:divBdr>
        <w:top w:val="none" w:sz="0" w:space="0" w:color="auto"/>
        <w:left w:val="none" w:sz="0" w:space="0" w:color="auto"/>
        <w:bottom w:val="none" w:sz="0" w:space="0" w:color="auto"/>
        <w:right w:val="none" w:sz="0" w:space="0" w:color="auto"/>
      </w:divBdr>
    </w:div>
    <w:div w:id="413477591">
      <w:bodyDiv w:val="1"/>
      <w:marLeft w:val="0"/>
      <w:marRight w:val="0"/>
      <w:marTop w:val="0"/>
      <w:marBottom w:val="0"/>
      <w:divBdr>
        <w:top w:val="none" w:sz="0" w:space="0" w:color="auto"/>
        <w:left w:val="none" w:sz="0" w:space="0" w:color="auto"/>
        <w:bottom w:val="none" w:sz="0" w:space="0" w:color="auto"/>
        <w:right w:val="none" w:sz="0" w:space="0" w:color="auto"/>
      </w:divBdr>
    </w:div>
    <w:div w:id="414018804">
      <w:bodyDiv w:val="1"/>
      <w:marLeft w:val="0"/>
      <w:marRight w:val="0"/>
      <w:marTop w:val="0"/>
      <w:marBottom w:val="0"/>
      <w:divBdr>
        <w:top w:val="none" w:sz="0" w:space="0" w:color="auto"/>
        <w:left w:val="none" w:sz="0" w:space="0" w:color="auto"/>
        <w:bottom w:val="none" w:sz="0" w:space="0" w:color="auto"/>
        <w:right w:val="none" w:sz="0" w:space="0" w:color="auto"/>
      </w:divBdr>
    </w:div>
    <w:div w:id="414403652">
      <w:bodyDiv w:val="1"/>
      <w:marLeft w:val="0"/>
      <w:marRight w:val="0"/>
      <w:marTop w:val="0"/>
      <w:marBottom w:val="0"/>
      <w:divBdr>
        <w:top w:val="none" w:sz="0" w:space="0" w:color="auto"/>
        <w:left w:val="none" w:sz="0" w:space="0" w:color="auto"/>
        <w:bottom w:val="none" w:sz="0" w:space="0" w:color="auto"/>
        <w:right w:val="none" w:sz="0" w:space="0" w:color="auto"/>
      </w:divBdr>
    </w:div>
    <w:div w:id="414933726">
      <w:bodyDiv w:val="1"/>
      <w:marLeft w:val="0"/>
      <w:marRight w:val="0"/>
      <w:marTop w:val="0"/>
      <w:marBottom w:val="0"/>
      <w:divBdr>
        <w:top w:val="none" w:sz="0" w:space="0" w:color="auto"/>
        <w:left w:val="none" w:sz="0" w:space="0" w:color="auto"/>
        <w:bottom w:val="none" w:sz="0" w:space="0" w:color="auto"/>
        <w:right w:val="none" w:sz="0" w:space="0" w:color="auto"/>
      </w:divBdr>
    </w:div>
    <w:div w:id="418645607">
      <w:bodyDiv w:val="1"/>
      <w:marLeft w:val="0"/>
      <w:marRight w:val="0"/>
      <w:marTop w:val="0"/>
      <w:marBottom w:val="0"/>
      <w:divBdr>
        <w:top w:val="none" w:sz="0" w:space="0" w:color="auto"/>
        <w:left w:val="none" w:sz="0" w:space="0" w:color="auto"/>
        <w:bottom w:val="none" w:sz="0" w:space="0" w:color="auto"/>
        <w:right w:val="none" w:sz="0" w:space="0" w:color="auto"/>
      </w:divBdr>
    </w:div>
    <w:div w:id="420493789">
      <w:bodyDiv w:val="1"/>
      <w:marLeft w:val="0"/>
      <w:marRight w:val="0"/>
      <w:marTop w:val="0"/>
      <w:marBottom w:val="0"/>
      <w:divBdr>
        <w:top w:val="none" w:sz="0" w:space="0" w:color="auto"/>
        <w:left w:val="none" w:sz="0" w:space="0" w:color="auto"/>
        <w:bottom w:val="none" w:sz="0" w:space="0" w:color="auto"/>
        <w:right w:val="none" w:sz="0" w:space="0" w:color="auto"/>
      </w:divBdr>
    </w:div>
    <w:div w:id="420874369">
      <w:bodyDiv w:val="1"/>
      <w:marLeft w:val="0"/>
      <w:marRight w:val="0"/>
      <w:marTop w:val="0"/>
      <w:marBottom w:val="0"/>
      <w:divBdr>
        <w:top w:val="none" w:sz="0" w:space="0" w:color="auto"/>
        <w:left w:val="none" w:sz="0" w:space="0" w:color="auto"/>
        <w:bottom w:val="none" w:sz="0" w:space="0" w:color="auto"/>
        <w:right w:val="none" w:sz="0" w:space="0" w:color="auto"/>
      </w:divBdr>
    </w:div>
    <w:div w:id="423649211">
      <w:bodyDiv w:val="1"/>
      <w:marLeft w:val="0"/>
      <w:marRight w:val="0"/>
      <w:marTop w:val="0"/>
      <w:marBottom w:val="0"/>
      <w:divBdr>
        <w:top w:val="none" w:sz="0" w:space="0" w:color="auto"/>
        <w:left w:val="none" w:sz="0" w:space="0" w:color="auto"/>
        <w:bottom w:val="none" w:sz="0" w:space="0" w:color="auto"/>
        <w:right w:val="none" w:sz="0" w:space="0" w:color="auto"/>
      </w:divBdr>
    </w:div>
    <w:div w:id="425077479">
      <w:bodyDiv w:val="1"/>
      <w:marLeft w:val="0"/>
      <w:marRight w:val="0"/>
      <w:marTop w:val="0"/>
      <w:marBottom w:val="0"/>
      <w:divBdr>
        <w:top w:val="none" w:sz="0" w:space="0" w:color="auto"/>
        <w:left w:val="none" w:sz="0" w:space="0" w:color="auto"/>
        <w:bottom w:val="none" w:sz="0" w:space="0" w:color="auto"/>
        <w:right w:val="none" w:sz="0" w:space="0" w:color="auto"/>
      </w:divBdr>
    </w:div>
    <w:div w:id="426460037">
      <w:bodyDiv w:val="1"/>
      <w:marLeft w:val="0"/>
      <w:marRight w:val="0"/>
      <w:marTop w:val="0"/>
      <w:marBottom w:val="0"/>
      <w:divBdr>
        <w:top w:val="none" w:sz="0" w:space="0" w:color="auto"/>
        <w:left w:val="none" w:sz="0" w:space="0" w:color="auto"/>
        <w:bottom w:val="none" w:sz="0" w:space="0" w:color="auto"/>
        <w:right w:val="none" w:sz="0" w:space="0" w:color="auto"/>
      </w:divBdr>
    </w:div>
    <w:div w:id="426580772">
      <w:bodyDiv w:val="1"/>
      <w:marLeft w:val="0"/>
      <w:marRight w:val="0"/>
      <w:marTop w:val="0"/>
      <w:marBottom w:val="0"/>
      <w:divBdr>
        <w:top w:val="none" w:sz="0" w:space="0" w:color="auto"/>
        <w:left w:val="none" w:sz="0" w:space="0" w:color="auto"/>
        <w:bottom w:val="none" w:sz="0" w:space="0" w:color="auto"/>
        <w:right w:val="none" w:sz="0" w:space="0" w:color="auto"/>
      </w:divBdr>
    </w:div>
    <w:div w:id="428744763">
      <w:bodyDiv w:val="1"/>
      <w:marLeft w:val="0"/>
      <w:marRight w:val="0"/>
      <w:marTop w:val="0"/>
      <w:marBottom w:val="0"/>
      <w:divBdr>
        <w:top w:val="none" w:sz="0" w:space="0" w:color="auto"/>
        <w:left w:val="none" w:sz="0" w:space="0" w:color="auto"/>
        <w:bottom w:val="none" w:sz="0" w:space="0" w:color="auto"/>
        <w:right w:val="none" w:sz="0" w:space="0" w:color="auto"/>
      </w:divBdr>
    </w:div>
    <w:div w:id="430048037">
      <w:bodyDiv w:val="1"/>
      <w:marLeft w:val="0"/>
      <w:marRight w:val="0"/>
      <w:marTop w:val="0"/>
      <w:marBottom w:val="0"/>
      <w:divBdr>
        <w:top w:val="none" w:sz="0" w:space="0" w:color="auto"/>
        <w:left w:val="none" w:sz="0" w:space="0" w:color="auto"/>
        <w:bottom w:val="none" w:sz="0" w:space="0" w:color="auto"/>
        <w:right w:val="none" w:sz="0" w:space="0" w:color="auto"/>
      </w:divBdr>
    </w:div>
    <w:div w:id="431558939">
      <w:bodyDiv w:val="1"/>
      <w:marLeft w:val="0"/>
      <w:marRight w:val="0"/>
      <w:marTop w:val="0"/>
      <w:marBottom w:val="0"/>
      <w:divBdr>
        <w:top w:val="none" w:sz="0" w:space="0" w:color="auto"/>
        <w:left w:val="none" w:sz="0" w:space="0" w:color="auto"/>
        <w:bottom w:val="none" w:sz="0" w:space="0" w:color="auto"/>
        <w:right w:val="none" w:sz="0" w:space="0" w:color="auto"/>
      </w:divBdr>
    </w:div>
    <w:div w:id="433550853">
      <w:bodyDiv w:val="1"/>
      <w:marLeft w:val="0"/>
      <w:marRight w:val="0"/>
      <w:marTop w:val="0"/>
      <w:marBottom w:val="0"/>
      <w:divBdr>
        <w:top w:val="none" w:sz="0" w:space="0" w:color="auto"/>
        <w:left w:val="none" w:sz="0" w:space="0" w:color="auto"/>
        <w:bottom w:val="none" w:sz="0" w:space="0" w:color="auto"/>
        <w:right w:val="none" w:sz="0" w:space="0" w:color="auto"/>
      </w:divBdr>
    </w:div>
    <w:div w:id="434517638">
      <w:bodyDiv w:val="1"/>
      <w:marLeft w:val="0"/>
      <w:marRight w:val="0"/>
      <w:marTop w:val="0"/>
      <w:marBottom w:val="0"/>
      <w:divBdr>
        <w:top w:val="none" w:sz="0" w:space="0" w:color="auto"/>
        <w:left w:val="none" w:sz="0" w:space="0" w:color="auto"/>
        <w:bottom w:val="none" w:sz="0" w:space="0" w:color="auto"/>
        <w:right w:val="none" w:sz="0" w:space="0" w:color="auto"/>
      </w:divBdr>
    </w:div>
    <w:div w:id="436369888">
      <w:bodyDiv w:val="1"/>
      <w:marLeft w:val="0"/>
      <w:marRight w:val="0"/>
      <w:marTop w:val="0"/>
      <w:marBottom w:val="0"/>
      <w:divBdr>
        <w:top w:val="none" w:sz="0" w:space="0" w:color="auto"/>
        <w:left w:val="none" w:sz="0" w:space="0" w:color="auto"/>
        <w:bottom w:val="none" w:sz="0" w:space="0" w:color="auto"/>
        <w:right w:val="none" w:sz="0" w:space="0" w:color="auto"/>
      </w:divBdr>
    </w:div>
    <w:div w:id="436676690">
      <w:bodyDiv w:val="1"/>
      <w:marLeft w:val="0"/>
      <w:marRight w:val="0"/>
      <w:marTop w:val="0"/>
      <w:marBottom w:val="0"/>
      <w:divBdr>
        <w:top w:val="none" w:sz="0" w:space="0" w:color="auto"/>
        <w:left w:val="none" w:sz="0" w:space="0" w:color="auto"/>
        <w:bottom w:val="none" w:sz="0" w:space="0" w:color="auto"/>
        <w:right w:val="none" w:sz="0" w:space="0" w:color="auto"/>
      </w:divBdr>
    </w:div>
    <w:div w:id="436944785">
      <w:bodyDiv w:val="1"/>
      <w:marLeft w:val="0"/>
      <w:marRight w:val="0"/>
      <w:marTop w:val="0"/>
      <w:marBottom w:val="0"/>
      <w:divBdr>
        <w:top w:val="none" w:sz="0" w:space="0" w:color="auto"/>
        <w:left w:val="none" w:sz="0" w:space="0" w:color="auto"/>
        <w:bottom w:val="none" w:sz="0" w:space="0" w:color="auto"/>
        <w:right w:val="none" w:sz="0" w:space="0" w:color="auto"/>
      </w:divBdr>
    </w:div>
    <w:div w:id="437874258">
      <w:bodyDiv w:val="1"/>
      <w:marLeft w:val="0"/>
      <w:marRight w:val="0"/>
      <w:marTop w:val="0"/>
      <w:marBottom w:val="0"/>
      <w:divBdr>
        <w:top w:val="none" w:sz="0" w:space="0" w:color="auto"/>
        <w:left w:val="none" w:sz="0" w:space="0" w:color="auto"/>
        <w:bottom w:val="none" w:sz="0" w:space="0" w:color="auto"/>
        <w:right w:val="none" w:sz="0" w:space="0" w:color="auto"/>
      </w:divBdr>
    </w:div>
    <w:div w:id="439450113">
      <w:bodyDiv w:val="1"/>
      <w:marLeft w:val="0"/>
      <w:marRight w:val="0"/>
      <w:marTop w:val="0"/>
      <w:marBottom w:val="0"/>
      <w:divBdr>
        <w:top w:val="none" w:sz="0" w:space="0" w:color="auto"/>
        <w:left w:val="none" w:sz="0" w:space="0" w:color="auto"/>
        <w:bottom w:val="none" w:sz="0" w:space="0" w:color="auto"/>
        <w:right w:val="none" w:sz="0" w:space="0" w:color="auto"/>
      </w:divBdr>
    </w:div>
    <w:div w:id="440958173">
      <w:bodyDiv w:val="1"/>
      <w:marLeft w:val="0"/>
      <w:marRight w:val="0"/>
      <w:marTop w:val="0"/>
      <w:marBottom w:val="0"/>
      <w:divBdr>
        <w:top w:val="none" w:sz="0" w:space="0" w:color="auto"/>
        <w:left w:val="none" w:sz="0" w:space="0" w:color="auto"/>
        <w:bottom w:val="none" w:sz="0" w:space="0" w:color="auto"/>
        <w:right w:val="none" w:sz="0" w:space="0" w:color="auto"/>
      </w:divBdr>
    </w:div>
    <w:div w:id="441191359">
      <w:bodyDiv w:val="1"/>
      <w:marLeft w:val="0"/>
      <w:marRight w:val="0"/>
      <w:marTop w:val="0"/>
      <w:marBottom w:val="0"/>
      <w:divBdr>
        <w:top w:val="none" w:sz="0" w:space="0" w:color="auto"/>
        <w:left w:val="none" w:sz="0" w:space="0" w:color="auto"/>
        <w:bottom w:val="none" w:sz="0" w:space="0" w:color="auto"/>
        <w:right w:val="none" w:sz="0" w:space="0" w:color="auto"/>
      </w:divBdr>
      <w:divsChild>
        <w:div w:id="2127507997">
          <w:marLeft w:val="0"/>
          <w:marRight w:val="0"/>
          <w:marTop w:val="450"/>
          <w:marBottom w:val="300"/>
          <w:divBdr>
            <w:top w:val="none" w:sz="0" w:space="0" w:color="auto"/>
            <w:left w:val="none" w:sz="0" w:space="0" w:color="auto"/>
            <w:bottom w:val="none" w:sz="0" w:space="0" w:color="auto"/>
            <w:right w:val="none" w:sz="0" w:space="0" w:color="auto"/>
          </w:divBdr>
        </w:div>
      </w:divsChild>
    </w:div>
    <w:div w:id="441459873">
      <w:bodyDiv w:val="1"/>
      <w:marLeft w:val="0"/>
      <w:marRight w:val="0"/>
      <w:marTop w:val="0"/>
      <w:marBottom w:val="0"/>
      <w:divBdr>
        <w:top w:val="none" w:sz="0" w:space="0" w:color="auto"/>
        <w:left w:val="none" w:sz="0" w:space="0" w:color="auto"/>
        <w:bottom w:val="none" w:sz="0" w:space="0" w:color="auto"/>
        <w:right w:val="none" w:sz="0" w:space="0" w:color="auto"/>
      </w:divBdr>
    </w:div>
    <w:div w:id="447165931">
      <w:bodyDiv w:val="1"/>
      <w:marLeft w:val="0"/>
      <w:marRight w:val="0"/>
      <w:marTop w:val="0"/>
      <w:marBottom w:val="0"/>
      <w:divBdr>
        <w:top w:val="none" w:sz="0" w:space="0" w:color="auto"/>
        <w:left w:val="none" w:sz="0" w:space="0" w:color="auto"/>
        <w:bottom w:val="none" w:sz="0" w:space="0" w:color="auto"/>
        <w:right w:val="none" w:sz="0" w:space="0" w:color="auto"/>
      </w:divBdr>
    </w:div>
    <w:div w:id="449589796">
      <w:bodyDiv w:val="1"/>
      <w:marLeft w:val="0"/>
      <w:marRight w:val="0"/>
      <w:marTop w:val="0"/>
      <w:marBottom w:val="0"/>
      <w:divBdr>
        <w:top w:val="none" w:sz="0" w:space="0" w:color="auto"/>
        <w:left w:val="none" w:sz="0" w:space="0" w:color="auto"/>
        <w:bottom w:val="none" w:sz="0" w:space="0" w:color="auto"/>
        <w:right w:val="none" w:sz="0" w:space="0" w:color="auto"/>
      </w:divBdr>
    </w:div>
    <w:div w:id="449671425">
      <w:bodyDiv w:val="1"/>
      <w:marLeft w:val="0"/>
      <w:marRight w:val="0"/>
      <w:marTop w:val="0"/>
      <w:marBottom w:val="0"/>
      <w:divBdr>
        <w:top w:val="none" w:sz="0" w:space="0" w:color="auto"/>
        <w:left w:val="none" w:sz="0" w:space="0" w:color="auto"/>
        <w:bottom w:val="none" w:sz="0" w:space="0" w:color="auto"/>
        <w:right w:val="none" w:sz="0" w:space="0" w:color="auto"/>
      </w:divBdr>
    </w:div>
    <w:div w:id="450319620">
      <w:bodyDiv w:val="1"/>
      <w:marLeft w:val="0"/>
      <w:marRight w:val="0"/>
      <w:marTop w:val="0"/>
      <w:marBottom w:val="0"/>
      <w:divBdr>
        <w:top w:val="none" w:sz="0" w:space="0" w:color="auto"/>
        <w:left w:val="none" w:sz="0" w:space="0" w:color="auto"/>
        <w:bottom w:val="none" w:sz="0" w:space="0" w:color="auto"/>
        <w:right w:val="none" w:sz="0" w:space="0" w:color="auto"/>
      </w:divBdr>
    </w:div>
    <w:div w:id="451677453">
      <w:bodyDiv w:val="1"/>
      <w:marLeft w:val="0"/>
      <w:marRight w:val="0"/>
      <w:marTop w:val="0"/>
      <w:marBottom w:val="0"/>
      <w:divBdr>
        <w:top w:val="none" w:sz="0" w:space="0" w:color="auto"/>
        <w:left w:val="none" w:sz="0" w:space="0" w:color="auto"/>
        <w:bottom w:val="none" w:sz="0" w:space="0" w:color="auto"/>
        <w:right w:val="none" w:sz="0" w:space="0" w:color="auto"/>
      </w:divBdr>
    </w:div>
    <w:div w:id="452090548">
      <w:bodyDiv w:val="1"/>
      <w:marLeft w:val="0"/>
      <w:marRight w:val="0"/>
      <w:marTop w:val="0"/>
      <w:marBottom w:val="0"/>
      <w:divBdr>
        <w:top w:val="none" w:sz="0" w:space="0" w:color="auto"/>
        <w:left w:val="none" w:sz="0" w:space="0" w:color="auto"/>
        <w:bottom w:val="none" w:sz="0" w:space="0" w:color="auto"/>
        <w:right w:val="none" w:sz="0" w:space="0" w:color="auto"/>
      </w:divBdr>
    </w:div>
    <w:div w:id="452603148">
      <w:bodyDiv w:val="1"/>
      <w:marLeft w:val="0"/>
      <w:marRight w:val="0"/>
      <w:marTop w:val="0"/>
      <w:marBottom w:val="0"/>
      <w:divBdr>
        <w:top w:val="none" w:sz="0" w:space="0" w:color="auto"/>
        <w:left w:val="none" w:sz="0" w:space="0" w:color="auto"/>
        <w:bottom w:val="none" w:sz="0" w:space="0" w:color="auto"/>
        <w:right w:val="none" w:sz="0" w:space="0" w:color="auto"/>
      </w:divBdr>
    </w:div>
    <w:div w:id="452793582">
      <w:bodyDiv w:val="1"/>
      <w:marLeft w:val="0"/>
      <w:marRight w:val="0"/>
      <w:marTop w:val="0"/>
      <w:marBottom w:val="0"/>
      <w:divBdr>
        <w:top w:val="none" w:sz="0" w:space="0" w:color="auto"/>
        <w:left w:val="none" w:sz="0" w:space="0" w:color="auto"/>
        <w:bottom w:val="none" w:sz="0" w:space="0" w:color="auto"/>
        <w:right w:val="none" w:sz="0" w:space="0" w:color="auto"/>
      </w:divBdr>
    </w:div>
    <w:div w:id="457652462">
      <w:bodyDiv w:val="1"/>
      <w:marLeft w:val="0"/>
      <w:marRight w:val="0"/>
      <w:marTop w:val="0"/>
      <w:marBottom w:val="0"/>
      <w:divBdr>
        <w:top w:val="none" w:sz="0" w:space="0" w:color="auto"/>
        <w:left w:val="none" w:sz="0" w:space="0" w:color="auto"/>
        <w:bottom w:val="none" w:sz="0" w:space="0" w:color="auto"/>
        <w:right w:val="none" w:sz="0" w:space="0" w:color="auto"/>
      </w:divBdr>
    </w:div>
    <w:div w:id="457771055">
      <w:bodyDiv w:val="1"/>
      <w:marLeft w:val="0"/>
      <w:marRight w:val="0"/>
      <w:marTop w:val="0"/>
      <w:marBottom w:val="0"/>
      <w:divBdr>
        <w:top w:val="none" w:sz="0" w:space="0" w:color="auto"/>
        <w:left w:val="none" w:sz="0" w:space="0" w:color="auto"/>
        <w:bottom w:val="none" w:sz="0" w:space="0" w:color="auto"/>
        <w:right w:val="none" w:sz="0" w:space="0" w:color="auto"/>
      </w:divBdr>
    </w:div>
    <w:div w:id="458105764">
      <w:bodyDiv w:val="1"/>
      <w:marLeft w:val="0"/>
      <w:marRight w:val="0"/>
      <w:marTop w:val="0"/>
      <w:marBottom w:val="0"/>
      <w:divBdr>
        <w:top w:val="none" w:sz="0" w:space="0" w:color="auto"/>
        <w:left w:val="none" w:sz="0" w:space="0" w:color="auto"/>
        <w:bottom w:val="none" w:sz="0" w:space="0" w:color="auto"/>
        <w:right w:val="none" w:sz="0" w:space="0" w:color="auto"/>
      </w:divBdr>
    </w:div>
    <w:div w:id="458843986">
      <w:bodyDiv w:val="1"/>
      <w:marLeft w:val="0"/>
      <w:marRight w:val="0"/>
      <w:marTop w:val="0"/>
      <w:marBottom w:val="0"/>
      <w:divBdr>
        <w:top w:val="none" w:sz="0" w:space="0" w:color="auto"/>
        <w:left w:val="none" w:sz="0" w:space="0" w:color="auto"/>
        <w:bottom w:val="none" w:sz="0" w:space="0" w:color="auto"/>
        <w:right w:val="none" w:sz="0" w:space="0" w:color="auto"/>
      </w:divBdr>
    </w:div>
    <w:div w:id="459031308">
      <w:bodyDiv w:val="1"/>
      <w:marLeft w:val="0"/>
      <w:marRight w:val="0"/>
      <w:marTop w:val="0"/>
      <w:marBottom w:val="0"/>
      <w:divBdr>
        <w:top w:val="none" w:sz="0" w:space="0" w:color="auto"/>
        <w:left w:val="none" w:sz="0" w:space="0" w:color="auto"/>
        <w:bottom w:val="none" w:sz="0" w:space="0" w:color="auto"/>
        <w:right w:val="none" w:sz="0" w:space="0" w:color="auto"/>
      </w:divBdr>
    </w:div>
    <w:div w:id="459231068">
      <w:bodyDiv w:val="1"/>
      <w:marLeft w:val="0"/>
      <w:marRight w:val="0"/>
      <w:marTop w:val="0"/>
      <w:marBottom w:val="0"/>
      <w:divBdr>
        <w:top w:val="none" w:sz="0" w:space="0" w:color="auto"/>
        <w:left w:val="none" w:sz="0" w:space="0" w:color="auto"/>
        <w:bottom w:val="none" w:sz="0" w:space="0" w:color="auto"/>
        <w:right w:val="none" w:sz="0" w:space="0" w:color="auto"/>
      </w:divBdr>
    </w:div>
    <w:div w:id="459418135">
      <w:bodyDiv w:val="1"/>
      <w:marLeft w:val="0"/>
      <w:marRight w:val="0"/>
      <w:marTop w:val="0"/>
      <w:marBottom w:val="0"/>
      <w:divBdr>
        <w:top w:val="none" w:sz="0" w:space="0" w:color="auto"/>
        <w:left w:val="none" w:sz="0" w:space="0" w:color="auto"/>
        <w:bottom w:val="none" w:sz="0" w:space="0" w:color="auto"/>
        <w:right w:val="none" w:sz="0" w:space="0" w:color="auto"/>
      </w:divBdr>
    </w:div>
    <w:div w:id="464350742">
      <w:bodyDiv w:val="1"/>
      <w:marLeft w:val="0"/>
      <w:marRight w:val="0"/>
      <w:marTop w:val="0"/>
      <w:marBottom w:val="0"/>
      <w:divBdr>
        <w:top w:val="none" w:sz="0" w:space="0" w:color="auto"/>
        <w:left w:val="none" w:sz="0" w:space="0" w:color="auto"/>
        <w:bottom w:val="none" w:sz="0" w:space="0" w:color="auto"/>
        <w:right w:val="none" w:sz="0" w:space="0" w:color="auto"/>
      </w:divBdr>
    </w:div>
    <w:div w:id="468326070">
      <w:bodyDiv w:val="1"/>
      <w:marLeft w:val="0"/>
      <w:marRight w:val="0"/>
      <w:marTop w:val="0"/>
      <w:marBottom w:val="0"/>
      <w:divBdr>
        <w:top w:val="none" w:sz="0" w:space="0" w:color="auto"/>
        <w:left w:val="none" w:sz="0" w:space="0" w:color="auto"/>
        <w:bottom w:val="none" w:sz="0" w:space="0" w:color="auto"/>
        <w:right w:val="none" w:sz="0" w:space="0" w:color="auto"/>
      </w:divBdr>
    </w:div>
    <w:div w:id="469248088">
      <w:bodyDiv w:val="1"/>
      <w:marLeft w:val="0"/>
      <w:marRight w:val="0"/>
      <w:marTop w:val="0"/>
      <w:marBottom w:val="0"/>
      <w:divBdr>
        <w:top w:val="none" w:sz="0" w:space="0" w:color="auto"/>
        <w:left w:val="none" w:sz="0" w:space="0" w:color="auto"/>
        <w:bottom w:val="none" w:sz="0" w:space="0" w:color="auto"/>
        <w:right w:val="none" w:sz="0" w:space="0" w:color="auto"/>
      </w:divBdr>
    </w:div>
    <w:div w:id="470440836">
      <w:bodyDiv w:val="1"/>
      <w:marLeft w:val="0"/>
      <w:marRight w:val="0"/>
      <w:marTop w:val="0"/>
      <w:marBottom w:val="0"/>
      <w:divBdr>
        <w:top w:val="none" w:sz="0" w:space="0" w:color="auto"/>
        <w:left w:val="none" w:sz="0" w:space="0" w:color="auto"/>
        <w:bottom w:val="none" w:sz="0" w:space="0" w:color="auto"/>
        <w:right w:val="none" w:sz="0" w:space="0" w:color="auto"/>
      </w:divBdr>
    </w:div>
    <w:div w:id="473451307">
      <w:bodyDiv w:val="1"/>
      <w:marLeft w:val="0"/>
      <w:marRight w:val="0"/>
      <w:marTop w:val="0"/>
      <w:marBottom w:val="0"/>
      <w:divBdr>
        <w:top w:val="none" w:sz="0" w:space="0" w:color="auto"/>
        <w:left w:val="none" w:sz="0" w:space="0" w:color="auto"/>
        <w:bottom w:val="none" w:sz="0" w:space="0" w:color="auto"/>
        <w:right w:val="none" w:sz="0" w:space="0" w:color="auto"/>
      </w:divBdr>
    </w:div>
    <w:div w:id="473642204">
      <w:bodyDiv w:val="1"/>
      <w:marLeft w:val="0"/>
      <w:marRight w:val="0"/>
      <w:marTop w:val="0"/>
      <w:marBottom w:val="0"/>
      <w:divBdr>
        <w:top w:val="none" w:sz="0" w:space="0" w:color="auto"/>
        <w:left w:val="none" w:sz="0" w:space="0" w:color="auto"/>
        <w:bottom w:val="none" w:sz="0" w:space="0" w:color="auto"/>
        <w:right w:val="none" w:sz="0" w:space="0" w:color="auto"/>
      </w:divBdr>
    </w:div>
    <w:div w:id="474763811">
      <w:bodyDiv w:val="1"/>
      <w:marLeft w:val="0"/>
      <w:marRight w:val="0"/>
      <w:marTop w:val="0"/>
      <w:marBottom w:val="0"/>
      <w:divBdr>
        <w:top w:val="none" w:sz="0" w:space="0" w:color="auto"/>
        <w:left w:val="none" w:sz="0" w:space="0" w:color="auto"/>
        <w:bottom w:val="none" w:sz="0" w:space="0" w:color="auto"/>
        <w:right w:val="none" w:sz="0" w:space="0" w:color="auto"/>
      </w:divBdr>
    </w:div>
    <w:div w:id="475924598">
      <w:bodyDiv w:val="1"/>
      <w:marLeft w:val="0"/>
      <w:marRight w:val="0"/>
      <w:marTop w:val="0"/>
      <w:marBottom w:val="0"/>
      <w:divBdr>
        <w:top w:val="none" w:sz="0" w:space="0" w:color="auto"/>
        <w:left w:val="none" w:sz="0" w:space="0" w:color="auto"/>
        <w:bottom w:val="none" w:sz="0" w:space="0" w:color="auto"/>
        <w:right w:val="none" w:sz="0" w:space="0" w:color="auto"/>
      </w:divBdr>
    </w:div>
    <w:div w:id="476381717">
      <w:bodyDiv w:val="1"/>
      <w:marLeft w:val="0"/>
      <w:marRight w:val="0"/>
      <w:marTop w:val="0"/>
      <w:marBottom w:val="0"/>
      <w:divBdr>
        <w:top w:val="none" w:sz="0" w:space="0" w:color="auto"/>
        <w:left w:val="none" w:sz="0" w:space="0" w:color="auto"/>
        <w:bottom w:val="none" w:sz="0" w:space="0" w:color="auto"/>
        <w:right w:val="none" w:sz="0" w:space="0" w:color="auto"/>
      </w:divBdr>
    </w:div>
    <w:div w:id="479880124">
      <w:bodyDiv w:val="1"/>
      <w:marLeft w:val="0"/>
      <w:marRight w:val="0"/>
      <w:marTop w:val="0"/>
      <w:marBottom w:val="0"/>
      <w:divBdr>
        <w:top w:val="none" w:sz="0" w:space="0" w:color="auto"/>
        <w:left w:val="none" w:sz="0" w:space="0" w:color="auto"/>
        <w:bottom w:val="none" w:sz="0" w:space="0" w:color="auto"/>
        <w:right w:val="none" w:sz="0" w:space="0" w:color="auto"/>
      </w:divBdr>
    </w:div>
    <w:div w:id="482551216">
      <w:bodyDiv w:val="1"/>
      <w:marLeft w:val="0"/>
      <w:marRight w:val="0"/>
      <w:marTop w:val="0"/>
      <w:marBottom w:val="0"/>
      <w:divBdr>
        <w:top w:val="none" w:sz="0" w:space="0" w:color="auto"/>
        <w:left w:val="none" w:sz="0" w:space="0" w:color="auto"/>
        <w:bottom w:val="none" w:sz="0" w:space="0" w:color="auto"/>
        <w:right w:val="none" w:sz="0" w:space="0" w:color="auto"/>
      </w:divBdr>
    </w:div>
    <w:div w:id="483856514">
      <w:bodyDiv w:val="1"/>
      <w:marLeft w:val="0"/>
      <w:marRight w:val="0"/>
      <w:marTop w:val="0"/>
      <w:marBottom w:val="0"/>
      <w:divBdr>
        <w:top w:val="none" w:sz="0" w:space="0" w:color="auto"/>
        <w:left w:val="none" w:sz="0" w:space="0" w:color="auto"/>
        <w:bottom w:val="none" w:sz="0" w:space="0" w:color="auto"/>
        <w:right w:val="none" w:sz="0" w:space="0" w:color="auto"/>
      </w:divBdr>
    </w:div>
    <w:div w:id="484665397">
      <w:bodyDiv w:val="1"/>
      <w:marLeft w:val="0"/>
      <w:marRight w:val="0"/>
      <w:marTop w:val="0"/>
      <w:marBottom w:val="0"/>
      <w:divBdr>
        <w:top w:val="none" w:sz="0" w:space="0" w:color="auto"/>
        <w:left w:val="none" w:sz="0" w:space="0" w:color="auto"/>
        <w:bottom w:val="none" w:sz="0" w:space="0" w:color="auto"/>
        <w:right w:val="none" w:sz="0" w:space="0" w:color="auto"/>
      </w:divBdr>
    </w:div>
    <w:div w:id="485557376">
      <w:bodyDiv w:val="1"/>
      <w:marLeft w:val="0"/>
      <w:marRight w:val="0"/>
      <w:marTop w:val="0"/>
      <w:marBottom w:val="0"/>
      <w:divBdr>
        <w:top w:val="none" w:sz="0" w:space="0" w:color="auto"/>
        <w:left w:val="none" w:sz="0" w:space="0" w:color="auto"/>
        <w:bottom w:val="none" w:sz="0" w:space="0" w:color="auto"/>
        <w:right w:val="none" w:sz="0" w:space="0" w:color="auto"/>
      </w:divBdr>
    </w:div>
    <w:div w:id="487481683">
      <w:bodyDiv w:val="1"/>
      <w:marLeft w:val="0"/>
      <w:marRight w:val="0"/>
      <w:marTop w:val="0"/>
      <w:marBottom w:val="0"/>
      <w:divBdr>
        <w:top w:val="none" w:sz="0" w:space="0" w:color="auto"/>
        <w:left w:val="none" w:sz="0" w:space="0" w:color="auto"/>
        <w:bottom w:val="none" w:sz="0" w:space="0" w:color="auto"/>
        <w:right w:val="none" w:sz="0" w:space="0" w:color="auto"/>
      </w:divBdr>
    </w:div>
    <w:div w:id="490606917">
      <w:bodyDiv w:val="1"/>
      <w:marLeft w:val="0"/>
      <w:marRight w:val="0"/>
      <w:marTop w:val="0"/>
      <w:marBottom w:val="0"/>
      <w:divBdr>
        <w:top w:val="none" w:sz="0" w:space="0" w:color="auto"/>
        <w:left w:val="none" w:sz="0" w:space="0" w:color="auto"/>
        <w:bottom w:val="none" w:sz="0" w:space="0" w:color="auto"/>
        <w:right w:val="none" w:sz="0" w:space="0" w:color="auto"/>
      </w:divBdr>
    </w:div>
    <w:div w:id="491455043">
      <w:bodyDiv w:val="1"/>
      <w:marLeft w:val="0"/>
      <w:marRight w:val="0"/>
      <w:marTop w:val="0"/>
      <w:marBottom w:val="0"/>
      <w:divBdr>
        <w:top w:val="none" w:sz="0" w:space="0" w:color="auto"/>
        <w:left w:val="none" w:sz="0" w:space="0" w:color="auto"/>
        <w:bottom w:val="none" w:sz="0" w:space="0" w:color="auto"/>
        <w:right w:val="none" w:sz="0" w:space="0" w:color="auto"/>
      </w:divBdr>
    </w:div>
    <w:div w:id="491793189">
      <w:bodyDiv w:val="1"/>
      <w:marLeft w:val="0"/>
      <w:marRight w:val="0"/>
      <w:marTop w:val="0"/>
      <w:marBottom w:val="0"/>
      <w:divBdr>
        <w:top w:val="none" w:sz="0" w:space="0" w:color="auto"/>
        <w:left w:val="none" w:sz="0" w:space="0" w:color="auto"/>
        <w:bottom w:val="none" w:sz="0" w:space="0" w:color="auto"/>
        <w:right w:val="none" w:sz="0" w:space="0" w:color="auto"/>
      </w:divBdr>
    </w:div>
    <w:div w:id="496304471">
      <w:bodyDiv w:val="1"/>
      <w:marLeft w:val="0"/>
      <w:marRight w:val="0"/>
      <w:marTop w:val="0"/>
      <w:marBottom w:val="0"/>
      <w:divBdr>
        <w:top w:val="none" w:sz="0" w:space="0" w:color="auto"/>
        <w:left w:val="none" w:sz="0" w:space="0" w:color="auto"/>
        <w:bottom w:val="none" w:sz="0" w:space="0" w:color="auto"/>
        <w:right w:val="none" w:sz="0" w:space="0" w:color="auto"/>
      </w:divBdr>
    </w:div>
    <w:div w:id="499004300">
      <w:bodyDiv w:val="1"/>
      <w:marLeft w:val="0"/>
      <w:marRight w:val="0"/>
      <w:marTop w:val="0"/>
      <w:marBottom w:val="0"/>
      <w:divBdr>
        <w:top w:val="none" w:sz="0" w:space="0" w:color="auto"/>
        <w:left w:val="none" w:sz="0" w:space="0" w:color="auto"/>
        <w:bottom w:val="none" w:sz="0" w:space="0" w:color="auto"/>
        <w:right w:val="none" w:sz="0" w:space="0" w:color="auto"/>
      </w:divBdr>
    </w:div>
    <w:div w:id="499545471">
      <w:bodyDiv w:val="1"/>
      <w:marLeft w:val="0"/>
      <w:marRight w:val="0"/>
      <w:marTop w:val="0"/>
      <w:marBottom w:val="0"/>
      <w:divBdr>
        <w:top w:val="none" w:sz="0" w:space="0" w:color="auto"/>
        <w:left w:val="none" w:sz="0" w:space="0" w:color="auto"/>
        <w:bottom w:val="none" w:sz="0" w:space="0" w:color="auto"/>
        <w:right w:val="none" w:sz="0" w:space="0" w:color="auto"/>
      </w:divBdr>
    </w:div>
    <w:div w:id="500662124">
      <w:bodyDiv w:val="1"/>
      <w:marLeft w:val="0"/>
      <w:marRight w:val="0"/>
      <w:marTop w:val="0"/>
      <w:marBottom w:val="0"/>
      <w:divBdr>
        <w:top w:val="none" w:sz="0" w:space="0" w:color="auto"/>
        <w:left w:val="none" w:sz="0" w:space="0" w:color="auto"/>
        <w:bottom w:val="none" w:sz="0" w:space="0" w:color="auto"/>
        <w:right w:val="none" w:sz="0" w:space="0" w:color="auto"/>
      </w:divBdr>
    </w:div>
    <w:div w:id="501702953">
      <w:bodyDiv w:val="1"/>
      <w:marLeft w:val="0"/>
      <w:marRight w:val="0"/>
      <w:marTop w:val="0"/>
      <w:marBottom w:val="0"/>
      <w:divBdr>
        <w:top w:val="none" w:sz="0" w:space="0" w:color="auto"/>
        <w:left w:val="none" w:sz="0" w:space="0" w:color="auto"/>
        <w:bottom w:val="none" w:sz="0" w:space="0" w:color="auto"/>
        <w:right w:val="none" w:sz="0" w:space="0" w:color="auto"/>
      </w:divBdr>
    </w:div>
    <w:div w:id="502597129">
      <w:bodyDiv w:val="1"/>
      <w:marLeft w:val="0"/>
      <w:marRight w:val="0"/>
      <w:marTop w:val="0"/>
      <w:marBottom w:val="0"/>
      <w:divBdr>
        <w:top w:val="none" w:sz="0" w:space="0" w:color="auto"/>
        <w:left w:val="none" w:sz="0" w:space="0" w:color="auto"/>
        <w:bottom w:val="none" w:sz="0" w:space="0" w:color="auto"/>
        <w:right w:val="none" w:sz="0" w:space="0" w:color="auto"/>
      </w:divBdr>
      <w:divsChild>
        <w:div w:id="134104256">
          <w:marLeft w:val="0"/>
          <w:marRight w:val="0"/>
          <w:marTop w:val="0"/>
          <w:marBottom w:val="0"/>
          <w:divBdr>
            <w:top w:val="none" w:sz="0" w:space="0" w:color="auto"/>
            <w:left w:val="none" w:sz="0" w:space="0" w:color="auto"/>
            <w:bottom w:val="none" w:sz="0" w:space="0" w:color="auto"/>
            <w:right w:val="none" w:sz="0" w:space="0" w:color="auto"/>
          </w:divBdr>
        </w:div>
        <w:div w:id="140510601">
          <w:marLeft w:val="0"/>
          <w:marRight w:val="0"/>
          <w:marTop w:val="0"/>
          <w:marBottom w:val="0"/>
          <w:divBdr>
            <w:top w:val="none" w:sz="0" w:space="0" w:color="auto"/>
            <w:left w:val="none" w:sz="0" w:space="0" w:color="auto"/>
            <w:bottom w:val="none" w:sz="0" w:space="0" w:color="auto"/>
            <w:right w:val="none" w:sz="0" w:space="0" w:color="auto"/>
          </w:divBdr>
        </w:div>
        <w:div w:id="224688491">
          <w:marLeft w:val="0"/>
          <w:marRight w:val="0"/>
          <w:marTop w:val="0"/>
          <w:marBottom w:val="0"/>
          <w:divBdr>
            <w:top w:val="none" w:sz="0" w:space="0" w:color="auto"/>
            <w:left w:val="none" w:sz="0" w:space="0" w:color="auto"/>
            <w:bottom w:val="none" w:sz="0" w:space="0" w:color="auto"/>
            <w:right w:val="none" w:sz="0" w:space="0" w:color="auto"/>
          </w:divBdr>
        </w:div>
        <w:div w:id="439224121">
          <w:marLeft w:val="0"/>
          <w:marRight w:val="0"/>
          <w:marTop w:val="0"/>
          <w:marBottom w:val="0"/>
          <w:divBdr>
            <w:top w:val="none" w:sz="0" w:space="0" w:color="auto"/>
            <w:left w:val="none" w:sz="0" w:space="0" w:color="auto"/>
            <w:bottom w:val="none" w:sz="0" w:space="0" w:color="auto"/>
            <w:right w:val="none" w:sz="0" w:space="0" w:color="auto"/>
          </w:divBdr>
        </w:div>
        <w:div w:id="575283068">
          <w:marLeft w:val="0"/>
          <w:marRight w:val="0"/>
          <w:marTop w:val="0"/>
          <w:marBottom w:val="0"/>
          <w:divBdr>
            <w:top w:val="none" w:sz="0" w:space="0" w:color="auto"/>
            <w:left w:val="none" w:sz="0" w:space="0" w:color="auto"/>
            <w:bottom w:val="none" w:sz="0" w:space="0" w:color="auto"/>
            <w:right w:val="none" w:sz="0" w:space="0" w:color="auto"/>
          </w:divBdr>
        </w:div>
        <w:div w:id="676462685">
          <w:marLeft w:val="0"/>
          <w:marRight w:val="0"/>
          <w:marTop w:val="0"/>
          <w:marBottom w:val="0"/>
          <w:divBdr>
            <w:top w:val="none" w:sz="0" w:space="0" w:color="auto"/>
            <w:left w:val="none" w:sz="0" w:space="0" w:color="auto"/>
            <w:bottom w:val="none" w:sz="0" w:space="0" w:color="auto"/>
            <w:right w:val="none" w:sz="0" w:space="0" w:color="auto"/>
          </w:divBdr>
        </w:div>
        <w:div w:id="680353949">
          <w:marLeft w:val="0"/>
          <w:marRight w:val="0"/>
          <w:marTop w:val="0"/>
          <w:marBottom w:val="0"/>
          <w:divBdr>
            <w:top w:val="none" w:sz="0" w:space="0" w:color="auto"/>
            <w:left w:val="none" w:sz="0" w:space="0" w:color="auto"/>
            <w:bottom w:val="none" w:sz="0" w:space="0" w:color="auto"/>
            <w:right w:val="none" w:sz="0" w:space="0" w:color="auto"/>
          </w:divBdr>
        </w:div>
        <w:div w:id="984895350">
          <w:marLeft w:val="0"/>
          <w:marRight w:val="0"/>
          <w:marTop w:val="0"/>
          <w:marBottom w:val="0"/>
          <w:divBdr>
            <w:top w:val="none" w:sz="0" w:space="0" w:color="auto"/>
            <w:left w:val="none" w:sz="0" w:space="0" w:color="auto"/>
            <w:bottom w:val="none" w:sz="0" w:space="0" w:color="auto"/>
            <w:right w:val="none" w:sz="0" w:space="0" w:color="auto"/>
          </w:divBdr>
        </w:div>
        <w:div w:id="1504053413">
          <w:marLeft w:val="0"/>
          <w:marRight w:val="0"/>
          <w:marTop w:val="0"/>
          <w:marBottom w:val="0"/>
          <w:divBdr>
            <w:top w:val="none" w:sz="0" w:space="0" w:color="auto"/>
            <w:left w:val="none" w:sz="0" w:space="0" w:color="auto"/>
            <w:bottom w:val="none" w:sz="0" w:space="0" w:color="auto"/>
            <w:right w:val="none" w:sz="0" w:space="0" w:color="auto"/>
          </w:divBdr>
        </w:div>
        <w:div w:id="1639335425">
          <w:marLeft w:val="0"/>
          <w:marRight w:val="0"/>
          <w:marTop w:val="0"/>
          <w:marBottom w:val="0"/>
          <w:divBdr>
            <w:top w:val="none" w:sz="0" w:space="0" w:color="auto"/>
            <w:left w:val="none" w:sz="0" w:space="0" w:color="auto"/>
            <w:bottom w:val="none" w:sz="0" w:space="0" w:color="auto"/>
            <w:right w:val="none" w:sz="0" w:space="0" w:color="auto"/>
          </w:divBdr>
        </w:div>
      </w:divsChild>
    </w:div>
    <w:div w:id="505093666">
      <w:bodyDiv w:val="1"/>
      <w:marLeft w:val="0"/>
      <w:marRight w:val="0"/>
      <w:marTop w:val="0"/>
      <w:marBottom w:val="0"/>
      <w:divBdr>
        <w:top w:val="none" w:sz="0" w:space="0" w:color="auto"/>
        <w:left w:val="none" w:sz="0" w:space="0" w:color="auto"/>
        <w:bottom w:val="none" w:sz="0" w:space="0" w:color="auto"/>
        <w:right w:val="none" w:sz="0" w:space="0" w:color="auto"/>
      </w:divBdr>
    </w:div>
    <w:div w:id="506555473">
      <w:bodyDiv w:val="1"/>
      <w:marLeft w:val="0"/>
      <w:marRight w:val="0"/>
      <w:marTop w:val="0"/>
      <w:marBottom w:val="0"/>
      <w:divBdr>
        <w:top w:val="none" w:sz="0" w:space="0" w:color="auto"/>
        <w:left w:val="none" w:sz="0" w:space="0" w:color="auto"/>
        <w:bottom w:val="none" w:sz="0" w:space="0" w:color="auto"/>
        <w:right w:val="none" w:sz="0" w:space="0" w:color="auto"/>
      </w:divBdr>
    </w:div>
    <w:div w:id="506603051">
      <w:bodyDiv w:val="1"/>
      <w:marLeft w:val="0"/>
      <w:marRight w:val="0"/>
      <w:marTop w:val="0"/>
      <w:marBottom w:val="0"/>
      <w:divBdr>
        <w:top w:val="none" w:sz="0" w:space="0" w:color="auto"/>
        <w:left w:val="none" w:sz="0" w:space="0" w:color="auto"/>
        <w:bottom w:val="none" w:sz="0" w:space="0" w:color="auto"/>
        <w:right w:val="none" w:sz="0" w:space="0" w:color="auto"/>
      </w:divBdr>
    </w:div>
    <w:div w:id="506679594">
      <w:bodyDiv w:val="1"/>
      <w:marLeft w:val="0"/>
      <w:marRight w:val="0"/>
      <w:marTop w:val="0"/>
      <w:marBottom w:val="0"/>
      <w:divBdr>
        <w:top w:val="none" w:sz="0" w:space="0" w:color="auto"/>
        <w:left w:val="none" w:sz="0" w:space="0" w:color="auto"/>
        <w:bottom w:val="none" w:sz="0" w:space="0" w:color="auto"/>
        <w:right w:val="none" w:sz="0" w:space="0" w:color="auto"/>
      </w:divBdr>
    </w:div>
    <w:div w:id="511258387">
      <w:bodyDiv w:val="1"/>
      <w:marLeft w:val="0"/>
      <w:marRight w:val="0"/>
      <w:marTop w:val="0"/>
      <w:marBottom w:val="0"/>
      <w:divBdr>
        <w:top w:val="none" w:sz="0" w:space="0" w:color="auto"/>
        <w:left w:val="none" w:sz="0" w:space="0" w:color="auto"/>
        <w:bottom w:val="none" w:sz="0" w:space="0" w:color="auto"/>
        <w:right w:val="none" w:sz="0" w:space="0" w:color="auto"/>
      </w:divBdr>
    </w:div>
    <w:div w:id="513081482">
      <w:bodyDiv w:val="1"/>
      <w:marLeft w:val="0"/>
      <w:marRight w:val="0"/>
      <w:marTop w:val="0"/>
      <w:marBottom w:val="0"/>
      <w:divBdr>
        <w:top w:val="none" w:sz="0" w:space="0" w:color="auto"/>
        <w:left w:val="none" w:sz="0" w:space="0" w:color="auto"/>
        <w:bottom w:val="none" w:sz="0" w:space="0" w:color="auto"/>
        <w:right w:val="none" w:sz="0" w:space="0" w:color="auto"/>
      </w:divBdr>
    </w:div>
    <w:div w:id="516194126">
      <w:bodyDiv w:val="1"/>
      <w:marLeft w:val="0"/>
      <w:marRight w:val="0"/>
      <w:marTop w:val="0"/>
      <w:marBottom w:val="0"/>
      <w:divBdr>
        <w:top w:val="none" w:sz="0" w:space="0" w:color="auto"/>
        <w:left w:val="none" w:sz="0" w:space="0" w:color="auto"/>
        <w:bottom w:val="none" w:sz="0" w:space="0" w:color="auto"/>
        <w:right w:val="none" w:sz="0" w:space="0" w:color="auto"/>
      </w:divBdr>
    </w:div>
    <w:div w:id="521669043">
      <w:bodyDiv w:val="1"/>
      <w:marLeft w:val="0"/>
      <w:marRight w:val="0"/>
      <w:marTop w:val="0"/>
      <w:marBottom w:val="0"/>
      <w:divBdr>
        <w:top w:val="none" w:sz="0" w:space="0" w:color="auto"/>
        <w:left w:val="none" w:sz="0" w:space="0" w:color="auto"/>
        <w:bottom w:val="none" w:sz="0" w:space="0" w:color="auto"/>
        <w:right w:val="none" w:sz="0" w:space="0" w:color="auto"/>
      </w:divBdr>
    </w:div>
    <w:div w:id="523717009">
      <w:bodyDiv w:val="1"/>
      <w:marLeft w:val="0"/>
      <w:marRight w:val="0"/>
      <w:marTop w:val="0"/>
      <w:marBottom w:val="0"/>
      <w:divBdr>
        <w:top w:val="none" w:sz="0" w:space="0" w:color="auto"/>
        <w:left w:val="none" w:sz="0" w:space="0" w:color="auto"/>
        <w:bottom w:val="none" w:sz="0" w:space="0" w:color="auto"/>
        <w:right w:val="none" w:sz="0" w:space="0" w:color="auto"/>
      </w:divBdr>
    </w:div>
    <w:div w:id="523906834">
      <w:bodyDiv w:val="1"/>
      <w:marLeft w:val="0"/>
      <w:marRight w:val="0"/>
      <w:marTop w:val="0"/>
      <w:marBottom w:val="0"/>
      <w:divBdr>
        <w:top w:val="none" w:sz="0" w:space="0" w:color="auto"/>
        <w:left w:val="none" w:sz="0" w:space="0" w:color="auto"/>
        <w:bottom w:val="none" w:sz="0" w:space="0" w:color="auto"/>
        <w:right w:val="none" w:sz="0" w:space="0" w:color="auto"/>
      </w:divBdr>
    </w:div>
    <w:div w:id="525946510">
      <w:bodyDiv w:val="1"/>
      <w:marLeft w:val="0"/>
      <w:marRight w:val="0"/>
      <w:marTop w:val="0"/>
      <w:marBottom w:val="0"/>
      <w:divBdr>
        <w:top w:val="none" w:sz="0" w:space="0" w:color="auto"/>
        <w:left w:val="none" w:sz="0" w:space="0" w:color="auto"/>
        <w:bottom w:val="none" w:sz="0" w:space="0" w:color="auto"/>
        <w:right w:val="none" w:sz="0" w:space="0" w:color="auto"/>
      </w:divBdr>
    </w:div>
    <w:div w:id="528907952">
      <w:bodyDiv w:val="1"/>
      <w:marLeft w:val="0"/>
      <w:marRight w:val="0"/>
      <w:marTop w:val="0"/>
      <w:marBottom w:val="0"/>
      <w:divBdr>
        <w:top w:val="none" w:sz="0" w:space="0" w:color="auto"/>
        <w:left w:val="none" w:sz="0" w:space="0" w:color="auto"/>
        <w:bottom w:val="none" w:sz="0" w:space="0" w:color="auto"/>
        <w:right w:val="none" w:sz="0" w:space="0" w:color="auto"/>
      </w:divBdr>
    </w:div>
    <w:div w:id="528951744">
      <w:bodyDiv w:val="1"/>
      <w:marLeft w:val="0"/>
      <w:marRight w:val="0"/>
      <w:marTop w:val="0"/>
      <w:marBottom w:val="0"/>
      <w:divBdr>
        <w:top w:val="none" w:sz="0" w:space="0" w:color="auto"/>
        <w:left w:val="none" w:sz="0" w:space="0" w:color="auto"/>
        <w:bottom w:val="none" w:sz="0" w:space="0" w:color="auto"/>
        <w:right w:val="none" w:sz="0" w:space="0" w:color="auto"/>
      </w:divBdr>
    </w:div>
    <w:div w:id="531528512">
      <w:bodyDiv w:val="1"/>
      <w:marLeft w:val="0"/>
      <w:marRight w:val="0"/>
      <w:marTop w:val="0"/>
      <w:marBottom w:val="0"/>
      <w:divBdr>
        <w:top w:val="none" w:sz="0" w:space="0" w:color="auto"/>
        <w:left w:val="none" w:sz="0" w:space="0" w:color="auto"/>
        <w:bottom w:val="none" w:sz="0" w:space="0" w:color="auto"/>
        <w:right w:val="none" w:sz="0" w:space="0" w:color="auto"/>
      </w:divBdr>
    </w:div>
    <w:div w:id="534316062">
      <w:bodyDiv w:val="1"/>
      <w:marLeft w:val="0"/>
      <w:marRight w:val="0"/>
      <w:marTop w:val="0"/>
      <w:marBottom w:val="0"/>
      <w:divBdr>
        <w:top w:val="none" w:sz="0" w:space="0" w:color="auto"/>
        <w:left w:val="none" w:sz="0" w:space="0" w:color="auto"/>
        <w:bottom w:val="none" w:sz="0" w:space="0" w:color="auto"/>
        <w:right w:val="none" w:sz="0" w:space="0" w:color="auto"/>
      </w:divBdr>
    </w:div>
    <w:div w:id="535121333">
      <w:bodyDiv w:val="1"/>
      <w:marLeft w:val="0"/>
      <w:marRight w:val="0"/>
      <w:marTop w:val="0"/>
      <w:marBottom w:val="0"/>
      <w:divBdr>
        <w:top w:val="none" w:sz="0" w:space="0" w:color="auto"/>
        <w:left w:val="none" w:sz="0" w:space="0" w:color="auto"/>
        <w:bottom w:val="none" w:sz="0" w:space="0" w:color="auto"/>
        <w:right w:val="none" w:sz="0" w:space="0" w:color="auto"/>
      </w:divBdr>
    </w:div>
    <w:div w:id="537475912">
      <w:bodyDiv w:val="1"/>
      <w:marLeft w:val="0"/>
      <w:marRight w:val="0"/>
      <w:marTop w:val="0"/>
      <w:marBottom w:val="0"/>
      <w:divBdr>
        <w:top w:val="none" w:sz="0" w:space="0" w:color="auto"/>
        <w:left w:val="none" w:sz="0" w:space="0" w:color="auto"/>
        <w:bottom w:val="none" w:sz="0" w:space="0" w:color="auto"/>
        <w:right w:val="none" w:sz="0" w:space="0" w:color="auto"/>
      </w:divBdr>
    </w:div>
    <w:div w:id="537855514">
      <w:bodyDiv w:val="1"/>
      <w:marLeft w:val="0"/>
      <w:marRight w:val="0"/>
      <w:marTop w:val="0"/>
      <w:marBottom w:val="0"/>
      <w:divBdr>
        <w:top w:val="none" w:sz="0" w:space="0" w:color="auto"/>
        <w:left w:val="none" w:sz="0" w:space="0" w:color="auto"/>
        <w:bottom w:val="none" w:sz="0" w:space="0" w:color="auto"/>
        <w:right w:val="none" w:sz="0" w:space="0" w:color="auto"/>
      </w:divBdr>
    </w:div>
    <w:div w:id="538706484">
      <w:bodyDiv w:val="1"/>
      <w:marLeft w:val="0"/>
      <w:marRight w:val="0"/>
      <w:marTop w:val="0"/>
      <w:marBottom w:val="0"/>
      <w:divBdr>
        <w:top w:val="none" w:sz="0" w:space="0" w:color="auto"/>
        <w:left w:val="none" w:sz="0" w:space="0" w:color="auto"/>
        <w:bottom w:val="none" w:sz="0" w:space="0" w:color="auto"/>
        <w:right w:val="none" w:sz="0" w:space="0" w:color="auto"/>
      </w:divBdr>
    </w:div>
    <w:div w:id="539516743">
      <w:bodyDiv w:val="1"/>
      <w:marLeft w:val="0"/>
      <w:marRight w:val="0"/>
      <w:marTop w:val="0"/>
      <w:marBottom w:val="0"/>
      <w:divBdr>
        <w:top w:val="none" w:sz="0" w:space="0" w:color="auto"/>
        <w:left w:val="none" w:sz="0" w:space="0" w:color="auto"/>
        <w:bottom w:val="none" w:sz="0" w:space="0" w:color="auto"/>
        <w:right w:val="none" w:sz="0" w:space="0" w:color="auto"/>
      </w:divBdr>
    </w:div>
    <w:div w:id="541014445">
      <w:bodyDiv w:val="1"/>
      <w:marLeft w:val="0"/>
      <w:marRight w:val="0"/>
      <w:marTop w:val="0"/>
      <w:marBottom w:val="0"/>
      <w:divBdr>
        <w:top w:val="none" w:sz="0" w:space="0" w:color="auto"/>
        <w:left w:val="none" w:sz="0" w:space="0" w:color="auto"/>
        <w:bottom w:val="none" w:sz="0" w:space="0" w:color="auto"/>
        <w:right w:val="none" w:sz="0" w:space="0" w:color="auto"/>
      </w:divBdr>
    </w:div>
    <w:div w:id="541097217">
      <w:bodyDiv w:val="1"/>
      <w:marLeft w:val="0"/>
      <w:marRight w:val="0"/>
      <w:marTop w:val="0"/>
      <w:marBottom w:val="0"/>
      <w:divBdr>
        <w:top w:val="none" w:sz="0" w:space="0" w:color="auto"/>
        <w:left w:val="none" w:sz="0" w:space="0" w:color="auto"/>
        <w:bottom w:val="none" w:sz="0" w:space="0" w:color="auto"/>
        <w:right w:val="none" w:sz="0" w:space="0" w:color="auto"/>
      </w:divBdr>
    </w:div>
    <w:div w:id="541598322">
      <w:bodyDiv w:val="1"/>
      <w:marLeft w:val="0"/>
      <w:marRight w:val="0"/>
      <w:marTop w:val="0"/>
      <w:marBottom w:val="0"/>
      <w:divBdr>
        <w:top w:val="none" w:sz="0" w:space="0" w:color="auto"/>
        <w:left w:val="none" w:sz="0" w:space="0" w:color="auto"/>
        <w:bottom w:val="none" w:sz="0" w:space="0" w:color="auto"/>
        <w:right w:val="none" w:sz="0" w:space="0" w:color="auto"/>
      </w:divBdr>
    </w:div>
    <w:div w:id="541986674">
      <w:bodyDiv w:val="1"/>
      <w:marLeft w:val="0"/>
      <w:marRight w:val="0"/>
      <w:marTop w:val="0"/>
      <w:marBottom w:val="0"/>
      <w:divBdr>
        <w:top w:val="none" w:sz="0" w:space="0" w:color="auto"/>
        <w:left w:val="none" w:sz="0" w:space="0" w:color="auto"/>
        <w:bottom w:val="none" w:sz="0" w:space="0" w:color="auto"/>
        <w:right w:val="none" w:sz="0" w:space="0" w:color="auto"/>
      </w:divBdr>
    </w:div>
    <w:div w:id="542718381">
      <w:bodyDiv w:val="1"/>
      <w:marLeft w:val="0"/>
      <w:marRight w:val="0"/>
      <w:marTop w:val="0"/>
      <w:marBottom w:val="0"/>
      <w:divBdr>
        <w:top w:val="none" w:sz="0" w:space="0" w:color="auto"/>
        <w:left w:val="none" w:sz="0" w:space="0" w:color="auto"/>
        <w:bottom w:val="none" w:sz="0" w:space="0" w:color="auto"/>
        <w:right w:val="none" w:sz="0" w:space="0" w:color="auto"/>
      </w:divBdr>
    </w:div>
    <w:div w:id="543448388">
      <w:bodyDiv w:val="1"/>
      <w:marLeft w:val="0"/>
      <w:marRight w:val="0"/>
      <w:marTop w:val="0"/>
      <w:marBottom w:val="0"/>
      <w:divBdr>
        <w:top w:val="none" w:sz="0" w:space="0" w:color="auto"/>
        <w:left w:val="none" w:sz="0" w:space="0" w:color="auto"/>
        <w:bottom w:val="none" w:sz="0" w:space="0" w:color="auto"/>
        <w:right w:val="none" w:sz="0" w:space="0" w:color="auto"/>
      </w:divBdr>
    </w:div>
    <w:div w:id="544946240">
      <w:bodyDiv w:val="1"/>
      <w:marLeft w:val="0"/>
      <w:marRight w:val="0"/>
      <w:marTop w:val="0"/>
      <w:marBottom w:val="0"/>
      <w:divBdr>
        <w:top w:val="none" w:sz="0" w:space="0" w:color="auto"/>
        <w:left w:val="none" w:sz="0" w:space="0" w:color="auto"/>
        <w:bottom w:val="none" w:sz="0" w:space="0" w:color="auto"/>
        <w:right w:val="none" w:sz="0" w:space="0" w:color="auto"/>
      </w:divBdr>
    </w:div>
    <w:div w:id="546649299">
      <w:bodyDiv w:val="1"/>
      <w:marLeft w:val="0"/>
      <w:marRight w:val="0"/>
      <w:marTop w:val="0"/>
      <w:marBottom w:val="0"/>
      <w:divBdr>
        <w:top w:val="none" w:sz="0" w:space="0" w:color="auto"/>
        <w:left w:val="none" w:sz="0" w:space="0" w:color="auto"/>
        <w:bottom w:val="none" w:sz="0" w:space="0" w:color="auto"/>
        <w:right w:val="none" w:sz="0" w:space="0" w:color="auto"/>
      </w:divBdr>
    </w:div>
    <w:div w:id="547692339">
      <w:bodyDiv w:val="1"/>
      <w:marLeft w:val="0"/>
      <w:marRight w:val="0"/>
      <w:marTop w:val="0"/>
      <w:marBottom w:val="0"/>
      <w:divBdr>
        <w:top w:val="none" w:sz="0" w:space="0" w:color="auto"/>
        <w:left w:val="none" w:sz="0" w:space="0" w:color="auto"/>
        <w:bottom w:val="none" w:sz="0" w:space="0" w:color="auto"/>
        <w:right w:val="none" w:sz="0" w:space="0" w:color="auto"/>
      </w:divBdr>
    </w:div>
    <w:div w:id="548689764">
      <w:bodyDiv w:val="1"/>
      <w:marLeft w:val="0"/>
      <w:marRight w:val="0"/>
      <w:marTop w:val="0"/>
      <w:marBottom w:val="0"/>
      <w:divBdr>
        <w:top w:val="none" w:sz="0" w:space="0" w:color="auto"/>
        <w:left w:val="none" w:sz="0" w:space="0" w:color="auto"/>
        <w:bottom w:val="none" w:sz="0" w:space="0" w:color="auto"/>
        <w:right w:val="none" w:sz="0" w:space="0" w:color="auto"/>
      </w:divBdr>
    </w:div>
    <w:div w:id="550505596">
      <w:bodyDiv w:val="1"/>
      <w:marLeft w:val="0"/>
      <w:marRight w:val="0"/>
      <w:marTop w:val="0"/>
      <w:marBottom w:val="0"/>
      <w:divBdr>
        <w:top w:val="none" w:sz="0" w:space="0" w:color="auto"/>
        <w:left w:val="none" w:sz="0" w:space="0" w:color="auto"/>
        <w:bottom w:val="none" w:sz="0" w:space="0" w:color="auto"/>
        <w:right w:val="none" w:sz="0" w:space="0" w:color="auto"/>
      </w:divBdr>
    </w:div>
    <w:div w:id="555311793">
      <w:bodyDiv w:val="1"/>
      <w:marLeft w:val="0"/>
      <w:marRight w:val="0"/>
      <w:marTop w:val="0"/>
      <w:marBottom w:val="0"/>
      <w:divBdr>
        <w:top w:val="none" w:sz="0" w:space="0" w:color="auto"/>
        <w:left w:val="none" w:sz="0" w:space="0" w:color="auto"/>
        <w:bottom w:val="none" w:sz="0" w:space="0" w:color="auto"/>
        <w:right w:val="none" w:sz="0" w:space="0" w:color="auto"/>
      </w:divBdr>
    </w:div>
    <w:div w:id="555360150">
      <w:bodyDiv w:val="1"/>
      <w:marLeft w:val="0"/>
      <w:marRight w:val="0"/>
      <w:marTop w:val="0"/>
      <w:marBottom w:val="0"/>
      <w:divBdr>
        <w:top w:val="none" w:sz="0" w:space="0" w:color="auto"/>
        <w:left w:val="none" w:sz="0" w:space="0" w:color="auto"/>
        <w:bottom w:val="none" w:sz="0" w:space="0" w:color="auto"/>
        <w:right w:val="none" w:sz="0" w:space="0" w:color="auto"/>
      </w:divBdr>
    </w:div>
    <w:div w:id="557282633">
      <w:bodyDiv w:val="1"/>
      <w:marLeft w:val="0"/>
      <w:marRight w:val="0"/>
      <w:marTop w:val="0"/>
      <w:marBottom w:val="0"/>
      <w:divBdr>
        <w:top w:val="none" w:sz="0" w:space="0" w:color="auto"/>
        <w:left w:val="none" w:sz="0" w:space="0" w:color="auto"/>
        <w:bottom w:val="none" w:sz="0" w:space="0" w:color="auto"/>
        <w:right w:val="none" w:sz="0" w:space="0" w:color="auto"/>
      </w:divBdr>
    </w:div>
    <w:div w:id="557790541">
      <w:bodyDiv w:val="1"/>
      <w:marLeft w:val="0"/>
      <w:marRight w:val="0"/>
      <w:marTop w:val="0"/>
      <w:marBottom w:val="0"/>
      <w:divBdr>
        <w:top w:val="none" w:sz="0" w:space="0" w:color="auto"/>
        <w:left w:val="none" w:sz="0" w:space="0" w:color="auto"/>
        <w:bottom w:val="none" w:sz="0" w:space="0" w:color="auto"/>
        <w:right w:val="none" w:sz="0" w:space="0" w:color="auto"/>
      </w:divBdr>
    </w:div>
    <w:div w:id="561142799">
      <w:bodyDiv w:val="1"/>
      <w:marLeft w:val="0"/>
      <w:marRight w:val="0"/>
      <w:marTop w:val="0"/>
      <w:marBottom w:val="0"/>
      <w:divBdr>
        <w:top w:val="none" w:sz="0" w:space="0" w:color="auto"/>
        <w:left w:val="none" w:sz="0" w:space="0" w:color="auto"/>
        <w:bottom w:val="none" w:sz="0" w:space="0" w:color="auto"/>
        <w:right w:val="none" w:sz="0" w:space="0" w:color="auto"/>
      </w:divBdr>
    </w:div>
    <w:div w:id="562104926">
      <w:bodyDiv w:val="1"/>
      <w:marLeft w:val="0"/>
      <w:marRight w:val="0"/>
      <w:marTop w:val="0"/>
      <w:marBottom w:val="0"/>
      <w:divBdr>
        <w:top w:val="none" w:sz="0" w:space="0" w:color="auto"/>
        <w:left w:val="none" w:sz="0" w:space="0" w:color="auto"/>
        <w:bottom w:val="none" w:sz="0" w:space="0" w:color="auto"/>
        <w:right w:val="none" w:sz="0" w:space="0" w:color="auto"/>
      </w:divBdr>
    </w:div>
    <w:div w:id="562522633">
      <w:bodyDiv w:val="1"/>
      <w:marLeft w:val="0"/>
      <w:marRight w:val="0"/>
      <w:marTop w:val="0"/>
      <w:marBottom w:val="0"/>
      <w:divBdr>
        <w:top w:val="none" w:sz="0" w:space="0" w:color="auto"/>
        <w:left w:val="none" w:sz="0" w:space="0" w:color="auto"/>
        <w:bottom w:val="none" w:sz="0" w:space="0" w:color="auto"/>
        <w:right w:val="none" w:sz="0" w:space="0" w:color="auto"/>
      </w:divBdr>
    </w:div>
    <w:div w:id="562911753">
      <w:bodyDiv w:val="1"/>
      <w:marLeft w:val="0"/>
      <w:marRight w:val="0"/>
      <w:marTop w:val="0"/>
      <w:marBottom w:val="0"/>
      <w:divBdr>
        <w:top w:val="none" w:sz="0" w:space="0" w:color="auto"/>
        <w:left w:val="none" w:sz="0" w:space="0" w:color="auto"/>
        <w:bottom w:val="none" w:sz="0" w:space="0" w:color="auto"/>
        <w:right w:val="none" w:sz="0" w:space="0" w:color="auto"/>
      </w:divBdr>
    </w:div>
    <w:div w:id="563952305">
      <w:bodyDiv w:val="1"/>
      <w:marLeft w:val="0"/>
      <w:marRight w:val="0"/>
      <w:marTop w:val="0"/>
      <w:marBottom w:val="0"/>
      <w:divBdr>
        <w:top w:val="none" w:sz="0" w:space="0" w:color="auto"/>
        <w:left w:val="none" w:sz="0" w:space="0" w:color="auto"/>
        <w:bottom w:val="none" w:sz="0" w:space="0" w:color="auto"/>
        <w:right w:val="none" w:sz="0" w:space="0" w:color="auto"/>
      </w:divBdr>
    </w:div>
    <w:div w:id="565187100">
      <w:bodyDiv w:val="1"/>
      <w:marLeft w:val="0"/>
      <w:marRight w:val="0"/>
      <w:marTop w:val="0"/>
      <w:marBottom w:val="0"/>
      <w:divBdr>
        <w:top w:val="none" w:sz="0" w:space="0" w:color="auto"/>
        <w:left w:val="none" w:sz="0" w:space="0" w:color="auto"/>
        <w:bottom w:val="none" w:sz="0" w:space="0" w:color="auto"/>
        <w:right w:val="none" w:sz="0" w:space="0" w:color="auto"/>
      </w:divBdr>
    </w:div>
    <w:div w:id="566644735">
      <w:bodyDiv w:val="1"/>
      <w:marLeft w:val="0"/>
      <w:marRight w:val="0"/>
      <w:marTop w:val="0"/>
      <w:marBottom w:val="0"/>
      <w:divBdr>
        <w:top w:val="none" w:sz="0" w:space="0" w:color="auto"/>
        <w:left w:val="none" w:sz="0" w:space="0" w:color="auto"/>
        <w:bottom w:val="none" w:sz="0" w:space="0" w:color="auto"/>
        <w:right w:val="none" w:sz="0" w:space="0" w:color="auto"/>
      </w:divBdr>
    </w:div>
    <w:div w:id="573012183">
      <w:bodyDiv w:val="1"/>
      <w:marLeft w:val="0"/>
      <w:marRight w:val="0"/>
      <w:marTop w:val="0"/>
      <w:marBottom w:val="0"/>
      <w:divBdr>
        <w:top w:val="none" w:sz="0" w:space="0" w:color="auto"/>
        <w:left w:val="none" w:sz="0" w:space="0" w:color="auto"/>
        <w:bottom w:val="none" w:sz="0" w:space="0" w:color="auto"/>
        <w:right w:val="none" w:sz="0" w:space="0" w:color="auto"/>
      </w:divBdr>
    </w:div>
    <w:div w:id="573970328">
      <w:bodyDiv w:val="1"/>
      <w:marLeft w:val="0"/>
      <w:marRight w:val="0"/>
      <w:marTop w:val="0"/>
      <w:marBottom w:val="0"/>
      <w:divBdr>
        <w:top w:val="none" w:sz="0" w:space="0" w:color="auto"/>
        <w:left w:val="none" w:sz="0" w:space="0" w:color="auto"/>
        <w:bottom w:val="none" w:sz="0" w:space="0" w:color="auto"/>
        <w:right w:val="none" w:sz="0" w:space="0" w:color="auto"/>
      </w:divBdr>
    </w:div>
    <w:div w:id="574902756">
      <w:bodyDiv w:val="1"/>
      <w:marLeft w:val="0"/>
      <w:marRight w:val="0"/>
      <w:marTop w:val="0"/>
      <w:marBottom w:val="0"/>
      <w:divBdr>
        <w:top w:val="none" w:sz="0" w:space="0" w:color="auto"/>
        <w:left w:val="none" w:sz="0" w:space="0" w:color="auto"/>
        <w:bottom w:val="none" w:sz="0" w:space="0" w:color="auto"/>
        <w:right w:val="none" w:sz="0" w:space="0" w:color="auto"/>
      </w:divBdr>
    </w:div>
    <w:div w:id="575482483">
      <w:bodyDiv w:val="1"/>
      <w:marLeft w:val="0"/>
      <w:marRight w:val="0"/>
      <w:marTop w:val="0"/>
      <w:marBottom w:val="0"/>
      <w:divBdr>
        <w:top w:val="none" w:sz="0" w:space="0" w:color="auto"/>
        <w:left w:val="none" w:sz="0" w:space="0" w:color="auto"/>
        <w:bottom w:val="none" w:sz="0" w:space="0" w:color="auto"/>
        <w:right w:val="none" w:sz="0" w:space="0" w:color="auto"/>
      </w:divBdr>
    </w:div>
    <w:div w:id="577786778">
      <w:bodyDiv w:val="1"/>
      <w:marLeft w:val="0"/>
      <w:marRight w:val="0"/>
      <w:marTop w:val="0"/>
      <w:marBottom w:val="0"/>
      <w:divBdr>
        <w:top w:val="none" w:sz="0" w:space="0" w:color="auto"/>
        <w:left w:val="none" w:sz="0" w:space="0" w:color="auto"/>
        <w:bottom w:val="none" w:sz="0" w:space="0" w:color="auto"/>
        <w:right w:val="none" w:sz="0" w:space="0" w:color="auto"/>
      </w:divBdr>
    </w:div>
    <w:div w:id="580985388">
      <w:bodyDiv w:val="1"/>
      <w:marLeft w:val="0"/>
      <w:marRight w:val="0"/>
      <w:marTop w:val="0"/>
      <w:marBottom w:val="0"/>
      <w:divBdr>
        <w:top w:val="none" w:sz="0" w:space="0" w:color="auto"/>
        <w:left w:val="none" w:sz="0" w:space="0" w:color="auto"/>
        <w:bottom w:val="none" w:sz="0" w:space="0" w:color="auto"/>
        <w:right w:val="none" w:sz="0" w:space="0" w:color="auto"/>
      </w:divBdr>
    </w:div>
    <w:div w:id="582686973">
      <w:bodyDiv w:val="1"/>
      <w:marLeft w:val="0"/>
      <w:marRight w:val="0"/>
      <w:marTop w:val="0"/>
      <w:marBottom w:val="0"/>
      <w:divBdr>
        <w:top w:val="none" w:sz="0" w:space="0" w:color="auto"/>
        <w:left w:val="none" w:sz="0" w:space="0" w:color="auto"/>
        <w:bottom w:val="none" w:sz="0" w:space="0" w:color="auto"/>
        <w:right w:val="none" w:sz="0" w:space="0" w:color="auto"/>
      </w:divBdr>
    </w:div>
    <w:div w:id="582758847">
      <w:bodyDiv w:val="1"/>
      <w:marLeft w:val="0"/>
      <w:marRight w:val="0"/>
      <w:marTop w:val="0"/>
      <w:marBottom w:val="0"/>
      <w:divBdr>
        <w:top w:val="none" w:sz="0" w:space="0" w:color="auto"/>
        <w:left w:val="none" w:sz="0" w:space="0" w:color="auto"/>
        <w:bottom w:val="none" w:sz="0" w:space="0" w:color="auto"/>
        <w:right w:val="none" w:sz="0" w:space="0" w:color="auto"/>
      </w:divBdr>
    </w:div>
    <w:div w:id="584653839">
      <w:bodyDiv w:val="1"/>
      <w:marLeft w:val="0"/>
      <w:marRight w:val="0"/>
      <w:marTop w:val="0"/>
      <w:marBottom w:val="0"/>
      <w:divBdr>
        <w:top w:val="none" w:sz="0" w:space="0" w:color="auto"/>
        <w:left w:val="none" w:sz="0" w:space="0" w:color="auto"/>
        <w:bottom w:val="none" w:sz="0" w:space="0" w:color="auto"/>
        <w:right w:val="none" w:sz="0" w:space="0" w:color="auto"/>
      </w:divBdr>
    </w:div>
    <w:div w:id="587466830">
      <w:bodyDiv w:val="1"/>
      <w:marLeft w:val="0"/>
      <w:marRight w:val="0"/>
      <w:marTop w:val="0"/>
      <w:marBottom w:val="0"/>
      <w:divBdr>
        <w:top w:val="none" w:sz="0" w:space="0" w:color="auto"/>
        <w:left w:val="none" w:sz="0" w:space="0" w:color="auto"/>
        <w:bottom w:val="none" w:sz="0" w:space="0" w:color="auto"/>
        <w:right w:val="none" w:sz="0" w:space="0" w:color="auto"/>
      </w:divBdr>
      <w:divsChild>
        <w:div w:id="16616190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266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150394">
      <w:bodyDiv w:val="1"/>
      <w:marLeft w:val="0"/>
      <w:marRight w:val="0"/>
      <w:marTop w:val="0"/>
      <w:marBottom w:val="0"/>
      <w:divBdr>
        <w:top w:val="none" w:sz="0" w:space="0" w:color="auto"/>
        <w:left w:val="none" w:sz="0" w:space="0" w:color="auto"/>
        <w:bottom w:val="none" w:sz="0" w:space="0" w:color="auto"/>
        <w:right w:val="none" w:sz="0" w:space="0" w:color="auto"/>
      </w:divBdr>
    </w:div>
    <w:div w:id="591672239">
      <w:bodyDiv w:val="1"/>
      <w:marLeft w:val="0"/>
      <w:marRight w:val="0"/>
      <w:marTop w:val="0"/>
      <w:marBottom w:val="0"/>
      <w:divBdr>
        <w:top w:val="none" w:sz="0" w:space="0" w:color="auto"/>
        <w:left w:val="none" w:sz="0" w:space="0" w:color="auto"/>
        <w:bottom w:val="none" w:sz="0" w:space="0" w:color="auto"/>
        <w:right w:val="none" w:sz="0" w:space="0" w:color="auto"/>
      </w:divBdr>
    </w:div>
    <w:div w:id="592398405">
      <w:bodyDiv w:val="1"/>
      <w:marLeft w:val="0"/>
      <w:marRight w:val="0"/>
      <w:marTop w:val="0"/>
      <w:marBottom w:val="0"/>
      <w:divBdr>
        <w:top w:val="none" w:sz="0" w:space="0" w:color="auto"/>
        <w:left w:val="none" w:sz="0" w:space="0" w:color="auto"/>
        <w:bottom w:val="none" w:sz="0" w:space="0" w:color="auto"/>
        <w:right w:val="none" w:sz="0" w:space="0" w:color="auto"/>
      </w:divBdr>
    </w:div>
    <w:div w:id="594242542">
      <w:bodyDiv w:val="1"/>
      <w:marLeft w:val="0"/>
      <w:marRight w:val="0"/>
      <w:marTop w:val="0"/>
      <w:marBottom w:val="0"/>
      <w:divBdr>
        <w:top w:val="none" w:sz="0" w:space="0" w:color="auto"/>
        <w:left w:val="none" w:sz="0" w:space="0" w:color="auto"/>
        <w:bottom w:val="none" w:sz="0" w:space="0" w:color="auto"/>
        <w:right w:val="none" w:sz="0" w:space="0" w:color="auto"/>
      </w:divBdr>
      <w:divsChild>
        <w:div w:id="1206991931">
          <w:marLeft w:val="0"/>
          <w:marRight w:val="0"/>
          <w:marTop w:val="0"/>
          <w:marBottom w:val="0"/>
          <w:divBdr>
            <w:top w:val="none" w:sz="0" w:space="0" w:color="auto"/>
            <w:left w:val="none" w:sz="0" w:space="0" w:color="auto"/>
            <w:bottom w:val="none" w:sz="0" w:space="0" w:color="auto"/>
            <w:right w:val="none" w:sz="0" w:space="0" w:color="auto"/>
          </w:divBdr>
          <w:divsChild>
            <w:div w:id="15813806">
              <w:marLeft w:val="0"/>
              <w:marRight w:val="0"/>
              <w:marTop w:val="0"/>
              <w:marBottom w:val="0"/>
              <w:divBdr>
                <w:top w:val="none" w:sz="0" w:space="0" w:color="auto"/>
                <w:left w:val="none" w:sz="0" w:space="0" w:color="auto"/>
                <w:bottom w:val="none" w:sz="0" w:space="0" w:color="auto"/>
                <w:right w:val="none" w:sz="0" w:space="0" w:color="auto"/>
              </w:divBdr>
              <w:divsChild>
                <w:div w:id="78408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4752552">
      <w:bodyDiv w:val="1"/>
      <w:marLeft w:val="0"/>
      <w:marRight w:val="0"/>
      <w:marTop w:val="0"/>
      <w:marBottom w:val="0"/>
      <w:divBdr>
        <w:top w:val="none" w:sz="0" w:space="0" w:color="auto"/>
        <w:left w:val="none" w:sz="0" w:space="0" w:color="auto"/>
        <w:bottom w:val="none" w:sz="0" w:space="0" w:color="auto"/>
        <w:right w:val="none" w:sz="0" w:space="0" w:color="auto"/>
      </w:divBdr>
    </w:div>
    <w:div w:id="596593490">
      <w:bodyDiv w:val="1"/>
      <w:marLeft w:val="0"/>
      <w:marRight w:val="0"/>
      <w:marTop w:val="0"/>
      <w:marBottom w:val="0"/>
      <w:divBdr>
        <w:top w:val="none" w:sz="0" w:space="0" w:color="auto"/>
        <w:left w:val="none" w:sz="0" w:space="0" w:color="auto"/>
        <w:bottom w:val="none" w:sz="0" w:space="0" w:color="auto"/>
        <w:right w:val="none" w:sz="0" w:space="0" w:color="auto"/>
      </w:divBdr>
    </w:div>
    <w:div w:id="596868206">
      <w:bodyDiv w:val="1"/>
      <w:marLeft w:val="0"/>
      <w:marRight w:val="0"/>
      <w:marTop w:val="0"/>
      <w:marBottom w:val="0"/>
      <w:divBdr>
        <w:top w:val="none" w:sz="0" w:space="0" w:color="auto"/>
        <w:left w:val="none" w:sz="0" w:space="0" w:color="auto"/>
        <w:bottom w:val="none" w:sz="0" w:space="0" w:color="auto"/>
        <w:right w:val="none" w:sz="0" w:space="0" w:color="auto"/>
      </w:divBdr>
    </w:div>
    <w:div w:id="596986588">
      <w:bodyDiv w:val="1"/>
      <w:marLeft w:val="0"/>
      <w:marRight w:val="0"/>
      <w:marTop w:val="0"/>
      <w:marBottom w:val="0"/>
      <w:divBdr>
        <w:top w:val="none" w:sz="0" w:space="0" w:color="auto"/>
        <w:left w:val="none" w:sz="0" w:space="0" w:color="auto"/>
        <w:bottom w:val="none" w:sz="0" w:space="0" w:color="auto"/>
        <w:right w:val="none" w:sz="0" w:space="0" w:color="auto"/>
      </w:divBdr>
    </w:div>
    <w:div w:id="597058761">
      <w:bodyDiv w:val="1"/>
      <w:marLeft w:val="0"/>
      <w:marRight w:val="0"/>
      <w:marTop w:val="0"/>
      <w:marBottom w:val="0"/>
      <w:divBdr>
        <w:top w:val="none" w:sz="0" w:space="0" w:color="auto"/>
        <w:left w:val="none" w:sz="0" w:space="0" w:color="auto"/>
        <w:bottom w:val="none" w:sz="0" w:space="0" w:color="auto"/>
        <w:right w:val="none" w:sz="0" w:space="0" w:color="auto"/>
      </w:divBdr>
    </w:div>
    <w:div w:id="597375581">
      <w:bodyDiv w:val="1"/>
      <w:marLeft w:val="0"/>
      <w:marRight w:val="0"/>
      <w:marTop w:val="0"/>
      <w:marBottom w:val="0"/>
      <w:divBdr>
        <w:top w:val="none" w:sz="0" w:space="0" w:color="auto"/>
        <w:left w:val="none" w:sz="0" w:space="0" w:color="auto"/>
        <w:bottom w:val="none" w:sz="0" w:space="0" w:color="auto"/>
        <w:right w:val="none" w:sz="0" w:space="0" w:color="auto"/>
      </w:divBdr>
    </w:div>
    <w:div w:id="597838054">
      <w:bodyDiv w:val="1"/>
      <w:marLeft w:val="0"/>
      <w:marRight w:val="0"/>
      <w:marTop w:val="0"/>
      <w:marBottom w:val="0"/>
      <w:divBdr>
        <w:top w:val="none" w:sz="0" w:space="0" w:color="auto"/>
        <w:left w:val="none" w:sz="0" w:space="0" w:color="auto"/>
        <w:bottom w:val="none" w:sz="0" w:space="0" w:color="auto"/>
        <w:right w:val="none" w:sz="0" w:space="0" w:color="auto"/>
      </w:divBdr>
    </w:div>
    <w:div w:id="599945448">
      <w:bodyDiv w:val="1"/>
      <w:marLeft w:val="0"/>
      <w:marRight w:val="0"/>
      <w:marTop w:val="0"/>
      <w:marBottom w:val="0"/>
      <w:divBdr>
        <w:top w:val="none" w:sz="0" w:space="0" w:color="auto"/>
        <w:left w:val="none" w:sz="0" w:space="0" w:color="auto"/>
        <w:bottom w:val="none" w:sz="0" w:space="0" w:color="auto"/>
        <w:right w:val="none" w:sz="0" w:space="0" w:color="auto"/>
      </w:divBdr>
    </w:div>
    <w:div w:id="600721513">
      <w:bodyDiv w:val="1"/>
      <w:marLeft w:val="0"/>
      <w:marRight w:val="0"/>
      <w:marTop w:val="0"/>
      <w:marBottom w:val="0"/>
      <w:divBdr>
        <w:top w:val="none" w:sz="0" w:space="0" w:color="auto"/>
        <w:left w:val="none" w:sz="0" w:space="0" w:color="auto"/>
        <w:bottom w:val="none" w:sz="0" w:space="0" w:color="auto"/>
        <w:right w:val="none" w:sz="0" w:space="0" w:color="auto"/>
      </w:divBdr>
    </w:div>
    <w:div w:id="601959390">
      <w:bodyDiv w:val="1"/>
      <w:marLeft w:val="0"/>
      <w:marRight w:val="0"/>
      <w:marTop w:val="0"/>
      <w:marBottom w:val="0"/>
      <w:divBdr>
        <w:top w:val="none" w:sz="0" w:space="0" w:color="auto"/>
        <w:left w:val="none" w:sz="0" w:space="0" w:color="auto"/>
        <w:bottom w:val="none" w:sz="0" w:space="0" w:color="auto"/>
        <w:right w:val="none" w:sz="0" w:space="0" w:color="auto"/>
      </w:divBdr>
    </w:div>
    <w:div w:id="602110587">
      <w:bodyDiv w:val="1"/>
      <w:marLeft w:val="0"/>
      <w:marRight w:val="0"/>
      <w:marTop w:val="0"/>
      <w:marBottom w:val="0"/>
      <w:divBdr>
        <w:top w:val="none" w:sz="0" w:space="0" w:color="auto"/>
        <w:left w:val="none" w:sz="0" w:space="0" w:color="auto"/>
        <w:bottom w:val="none" w:sz="0" w:space="0" w:color="auto"/>
        <w:right w:val="none" w:sz="0" w:space="0" w:color="auto"/>
      </w:divBdr>
    </w:div>
    <w:div w:id="604267583">
      <w:bodyDiv w:val="1"/>
      <w:marLeft w:val="0"/>
      <w:marRight w:val="0"/>
      <w:marTop w:val="0"/>
      <w:marBottom w:val="0"/>
      <w:divBdr>
        <w:top w:val="none" w:sz="0" w:space="0" w:color="auto"/>
        <w:left w:val="none" w:sz="0" w:space="0" w:color="auto"/>
        <w:bottom w:val="none" w:sz="0" w:space="0" w:color="auto"/>
        <w:right w:val="none" w:sz="0" w:space="0" w:color="auto"/>
      </w:divBdr>
    </w:div>
    <w:div w:id="604733055">
      <w:bodyDiv w:val="1"/>
      <w:marLeft w:val="0"/>
      <w:marRight w:val="0"/>
      <w:marTop w:val="0"/>
      <w:marBottom w:val="0"/>
      <w:divBdr>
        <w:top w:val="none" w:sz="0" w:space="0" w:color="auto"/>
        <w:left w:val="none" w:sz="0" w:space="0" w:color="auto"/>
        <w:bottom w:val="none" w:sz="0" w:space="0" w:color="auto"/>
        <w:right w:val="none" w:sz="0" w:space="0" w:color="auto"/>
      </w:divBdr>
    </w:div>
    <w:div w:id="605889172">
      <w:bodyDiv w:val="1"/>
      <w:marLeft w:val="0"/>
      <w:marRight w:val="0"/>
      <w:marTop w:val="0"/>
      <w:marBottom w:val="0"/>
      <w:divBdr>
        <w:top w:val="none" w:sz="0" w:space="0" w:color="auto"/>
        <w:left w:val="none" w:sz="0" w:space="0" w:color="auto"/>
        <w:bottom w:val="none" w:sz="0" w:space="0" w:color="auto"/>
        <w:right w:val="none" w:sz="0" w:space="0" w:color="auto"/>
      </w:divBdr>
    </w:div>
    <w:div w:id="606081549">
      <w:bodyDiv w:val="1"/>
      <w:marLeft w:val="0"/>
      <w:marRight w:val="0"/>
      <w:marTop w:val="0"/>
      <w:marBottom w:val="0"/>
      <w:divBdr>
        <w:top w:val="none" w:sz="0" w:space="0" w:color="auto"/>
        <w:left w:val="none" w:sz="0" w:space="0" w:color="auto"/>
        <w:bottom w:val="none" w:sz="0" w:space="0" w:color="auto"/>
        <w:right w:val="none" w:sz="0" w:space="0" w:color="auto"/>
      </w:divBdr>
    </w:div>
    <w:div w:id="609363771">
      <w:bodyDiv w:val="1"/>
      <w:marLeft w:val="0"/>
      <w:marRight w:val="0"/>
      <w:marTop w:val="0"/>
      <w:marBottom w:val="0"/>
      <w:divBdr>
        <w:top w:val="none" w:sz="0" w:space="0" w:color="auto"/>
        <w:left w:val="none" w:sz="0" w:space="0" w:color="auto"/>
        <w:bottom w:val="none" w:sz="0" w:space="0" w:color="auto"/>
        <w:right w:val="none" w:sz="0" w:space="0" w:color="auto"/>
      </w:divBdr>
    </w:div>
    <w:div w:id="609897090">
      <w:bodyDiv w:val="1"/>
      <w:marLeft w:val="0"/>
      <w:marRight w:val="0"/>
      <w:marTop w:val="0"/>
      <w:marBottom w:val="0"/>
      <w:divBdr>
        <w:top w:val="none" w:sz="0" w:space="0" w:color="auto"/>
        <w:left w:val="none" w:sz="0" w:space="0" w:color="auto"/>
        <w:bottom w:val="none" w:sz="0" w:space="0" w:color="auto"/>
        <w:right w:val="none" w:sz="0" w:space="0" w:color="auto"/>
      </w:divBdr>
    </w:div>
    <w:div w:id="611212143">
      <w:bodyDiv w:val="1"/>
      <w:marLeft w:val="0"/>
      <w:marRight w:val="0"/>
      <w:marTop w:val="0"/>
      <w:marBottom w:val="0"/>
      <w:divBdr>
        <w:top w:val="none" w:sz="0" w:space="0" w:color="auto"/>
        <w:left w:val="none" w:sz="0" w:space="0" w:color="auto"/>
        <w:bottom w:val="none" w:sz="0" w:space="0" w:color="auto"/>
        <w:right w:val="none" w:sz="0" w:space="0" w:color="auto"/>
      </w:divBdr>
    </w:div>
    <w:div w:id="612128107">
      <w:bodyDiv w:val="1"/>
      <w:marLeft w:val="0"/>
      <w:marRight w:val="0"/>
      <w:marTop w:val="0"/>
      <w:marBottom w:val="0"/>
      <w:divBdr>
        <w:top w:val="none" w:sz="0" w:space="0" w:color="auto"/>
        <w:left w:val="none" w:sz="0" w:space="0" w:color="auto"/>
        <w:bottom w:val="none" w:sz="0" w:space="0" w:color="auto"/>
        <w:right w:val="none" w:sz="0" w:space="0" w:color="auto"/>
      </w:divBdr>
    </w:div>
    <w:div w:id="612443201">
      <w:bodyDiv w:val="1"/>
      <w:marLeft w:val="0"/>
      <w:marRight w:val="0"/>
      <w:marTop w:val="0"/>
      <w:marBottom w:val="0"/>
      <w:divBdr>
        <w:top w:val="none" w:sz="0" w:space="0" w:color="auto"/>
        <w:left w:val="none" w:sz="0" w:space="0" w:color="auto"/>
        <w:bottom w:val="none" w:sz="0" w:space="0" w:color="auto"/>
        <w:right w:val="none" w:sz="0" w:space="0" w:color="auto"/>
      </w:divBdr>
    </w:div>
    <w:div w:id="612904627">
      <w:bodyDiv w:val="1"/>
      <w:marLeft w:val="0"/>
      <w:marRight w:val="0"/>
      <w:marTop w:val="0"/>
      <w:marBottom w:val="0"/>
      <w:divBdr>
        <w:top w:val="none" w:sz="0" w:space="0" w:color="auto"/>
        <w:left w:val="none" w:sz="0" w:space="0" w:color="auto"/>
        <w:bottom w:val="none" w:sz="0" w:space="0" w:color="auto"/>
        <w:right w:val="none" w:sz="0" w:space="0" w:color="auto"/>
      </w:divBdr>
    </w:div>
    <w:div w:id="619187667">
      <w:bodyDiv w:val="1"/>
      <w:marLeft w:val="0"/>
      <w:marRight w:val="0"/>
      <w:marTop w:val="0"/>
      <w:marBottom w:val="0"/>
      <w:divBdr>
        <w:top w:val="none" w:sz="0" w:space="0" w:color="auto"/>
        <w:left w:val="none" w:sz="0" w:space="0" w:color="auto"/>
        <w:bottom w:val="none" w:sz="0" w:space="0" w:color="auto"/>
        <w:right w:val="none" w:sz="0" w:space="0" w:color="auto"/>
      </w:divBdr>
    </w:div>
    <w:div w:id="619841461">
      <w:bodyDiv w:val="1"/>
      <w:marLeft w:val="0"/>
      <w:marRight w:val="0"/>
      <w:marTop w:val="0"/>
      <w:marBottom w:val="0"/>
      <w:divBdr>
        <w:top w:val="none" w:sz="0" w:space="0" w:color="auto"/>
        <w:left w:val="none" w:sz="0" w:space="0" w:color="auto"/>
        <w:bottom w:val="none" w:sz="0" w:space="0" w:color="auto"/>
        <w:right w:val="none" w:sz="0" w:space="0" w:color="auto"/>
      </w:divBdr>
    </w:div>
    <w:div w:id="621693684">
      <w:bodyDiv w:val="1"/>
      <w:marLeft w:val="0"/>
      <w:marRight w:val="0"/>
      <w:marTop w:val="0"/>
      <w:marBottom w:val="0"/>
      <w:divBdr>
        <w:top w:val="none" w:sz="0" w:space="0" w:color="auto"/>
        <w:left w:val="none" w:sz="0" w:space="0" w:color="auto"/>
        <w:bottom w:val="none" w:sz="0" w:space="0" w:color="auto"/>
        <w:right w:val="none" w:sz="0" w:space="0" w:color="auto"/>
      </w:divBdr>
    </w:div>
    <w:div w:id="621770513">
      <w:bodyDiv w:val="1"/>
      <w:marLeft w:val="0"/>
      <w:marRight w:val="0"/>
      <w:marTop w:val="0"/>
      <w:marBottom w:val="0"/>
      <w:divBdr>
        <w:top w:val="none" w:sz="0" w:space="0" w:color="auto"/>
        <w:left w:val="none" w:sz="0" w:space="0" w:color="auto"/>
        <w:bottom w:val="none" w:sz="0" w:space="0" w:color="auto"/>
        <w:right w:val="none" w:sz="0" w:space="0" w:color="auto"/>
      </w:divBdr>
    </w:div>
    <w:div w:id="623005557">
      <w:bodyDiv w:val="1"/>
      <w:marLeft w:val="0"/>
      <w:marRight w:val="0"/>
      <w:marTop w:val="0"/>
      <w:marBottom w:val="0"/>
      <w:divBdr>
        <w:top w:val="none" w:sz="0" w:space="0" w:color="auto"/>
        <w:left w:val="none" w:sz="0" w:space="0" w:color="auto"/>
        <w:bottom w:val="none" w:sz="0" w:space="0" w:color="auto"/>
        <w:right w:val="none" w:sz="0" w:space="0" w:color="auto"/>
      </w:divBdr>
    </w:div>
    <w:div w:id="623852485">
      <w:bodyDiv w:val="1"/>
      <w:marLeft w:val="0"/>
      <w:marRight w:val="0"/>
      <w:marTop w:val="0"/>
      <w:marBottom w:val="0"/>
      <w:divBdr>
        <w:top w:val="none" w:sz="0" w:space="0" w:color="auto"/>
        <w:left w:val="none" w:sz="0" w:space="0" w:color="auto"/>
        <w:bottom w:val="none" w:sz="0" w:space="0" w:color="auto"/>
        <w:right w:val="none" w:sz="0" w:space="0" w:color="auto"/>
      </w:divBdr>
    </w:div>
    <w:div w:id="624389955">
      <w:bodyDiv w:val="1"/>
      <w:marLeft w:val="0"/>
      <w:marRight w:val="0"/>
      <w:marTop w:val="0"/>
      <w:marBottom w:val="0"/>
      <w:divBdr>
        <w:top w:val="none" w:sz="0" w:space="0" w:color="auto"/>
        <w:left w:val="none" w:sz="0" w:space="0" w:color="auto"/>
        <w:bottom w:val="none" w:sz="0" w:space="0" w:color="auto"/>
        <w:right w:val="none" w:sz="0" w:space="0" w:color="auto"/>
      </w:divBdr>
    </w:div>
    <w:div w:id="625232159">
      <w:bodyDiv w:val="1"/>
      <w:marLeft w:val="0"/>
      <w:marRight w:val="0"/>
      <w:marTop w:val="0"/>
      <w:marBottom w:val="0"/>
      <w:divBdr>
        <w:top w:val="none" w:sz="0" w:space="0" w:color="auto"/>
        <w:left w:val="none" w:sz="0" w:space="0" w:color="auto"/>
        <w:bottom w:val="none" w:sz="0" w:space="0" w:color="auto"/>
        <w:right w:val="none" w:sz="0" w:space="0" w:color="auto"/>
      </w:divBdr>
      <w:divsChild>
        <w:div w:id="4065526">
          <w:marLeft w:val="0"/>
          <w:marRight w:val="0"/>
          <w:marTop w:val="0"/>
          <w:marBottom w:val="0"/>
          <w:divBdr>
            <w:top w:val="none" w:sz="0" w:space="0" w:color="auto"/>
            <w:left w:val="none" w:sz="0" w:space="0" w:color="auto"/>
            <w:bottom w:val="none" w:sz="0" w:space="0" w:color="auto"/>
            <w:right w:val="none" w:sz="0" w:space="0" w:color="auto"/>
          </w:divBdr>
        </w:div>
        <w:div w:id="83262062">
          <w:marLeft w:val="0"/>
          <w:marRight w:val="0"/>
          <w:marTop w:val="0"/>
          <w:marBottom w:val="0"/>
          <w:divBdr>
            <w:top w:val="none" w:sz="0" w:space="0" w:color="auto"/>
            <w:left w:val="none" w:sz="0" w:space="0" w:color="auto"/>
            <w:bottom w:val="none" w:sz="0" w:space="0" w:color="auto"/>
            <w:right w:val="none" w:sz="0" w:space="0" w:color="auto"/>
          </w:divBdr>
        </w:div>
        <w:div w:id="274947600">
          <w:marLeft w:val="0"/>
          <w:marRight w:val="0"/>
          <w:marTop w:val="0"/>
          <w:marBottom w:val="0"/>
          <w:divBdr>
            <w:top w:val="none" w:sz="0" w:space="0" w:color="auto"/>
            <w:left w:val="none" w:sz="0" w:space="0" w:color="auto"/>
            <w:bottom w:val="none" w:sz="0" w:space="0" w:color="auto"/>
            <w:right w:val="none" w:sz="0" w:space="0" w:color="auto"/>
          </w:divBdr>
        </w:div>
        <w:div w:id="560948907">
          <w:marLeft w:val="0"/>
          <w:marRight w:val="0"/>
          <w:marTop w:val="0"/>
          <w:marBottom w:val="0"/>
          <w:divBdr>
            <w:top w:val="none" w:sz="0" w:space="0" w:color="auto"/>
            <w:left w:val="none" w:sz="0" w:space="0" w:color="auto"/>
            <w:bottom w:val="none" w:sz="0" w:space="0" w:color="auto"/>
            <w:right w:val="none" w:sz="0" w:space="0" w:color="auto"/>
          </w:divBdr>
        </w:div>
        <w:div w:id="1250041427">
          <w:marLeft w:val="0"/>
          <w:marRight w:val="0"/>
          <w:marTop w:val="0"/>
          <w:marBottom w:val="0"/>
          <w:divBdr>
            <w:top w:val="none" w:sz="0" w:space="0" w:color="auto"/>
            <w:left w:val="none" w:sz="0" w:space="0" w:color="auto"/>
            <w:bottom w:val="none" w:sz="0" w:space="0" w:color="auto"/>
            <w:right w:val="none" w:sz="0" w:space="0" w:color="auto"/>
          </w:divBdr>
        </w:div>
        <w:div w:id="1393456367">
          <w:marLeft w:val="0"/>
          <w:marRight w:val="0"/>
          <w:marTop w:val="0"/>
          <w:marBottom w:val="0"/>
          <w:divBdr>
            <w:top w:val="none" w:sz="0" w:space="0" w:color="auto"/>
            <w:left w:val="none" w:sz="0" w:space="0" w:color="auto"/>
            <w:bottom w:val="none" w:sz="0" w:space="0" w:color="auto"/>
            <w:right w:val="none" w:sz="0" w:space="0" w:color="auto"/>
          </w:divBdr>
        </w:div>
        <w:div w:id="1729107714">
          <w:marLeft w:val="0"/>
          <w:marRight w:val="0"/>
          <w:marTop w:val="0"/>
          <w:marBottom w:val="0"/>
          <w:divBdr>
            <w:top w:val="none" w:sz="0" w:space="0" w:color="auto"/>
            <w:left w:val="none" w:sz="0" w:space="0" w:color="auto"/>
            <w:bottom w:val="none" w:sz="0" w:space="0" w:color="auto"/>
            <w:right w:val="none" w:sz="0" w:space="0" w:color="auto"/>
          </w:divBdr>
        </w:div>
      </w:divsChild>
    </w:div>
    <w:div w:id="628129550">
      <w:bodyDiv w:val="1"/>
      <w:marLeft w:val="0"/>
      <w:marRight w:val="0"/>
      <w:marTop w:val="0"/>
      <w:marBottom w:val="0"/>
      <w:divBdr>
        <w:top w:val="none" w:sz="0" w:space="0" w:color="auto"/>
        <w:left w:val="none" w:sz="0" w:space="0" w:color="auto"/>
        <w:bottom w:val="none" w:sz="0" w:space="0" w:color="auto"/>
        <w:right w:val="none" w:sz="0" w:space="0" w:color="auto"/>
      </w:divBdr>
    </w:div>
    <w:div w:id="628170502">
      <w:bodyDiv w:val="1"/>
      <w:marLeft w:val="0"/>
      <w:marRight w:val="0"/>
      <w:marTop w:val="0"/>
      <w:marBottom w:val="0"/>
      <w:divBdr>
        <w:top w:val="none" w:sz="0" w:space="0" w:color="auto"/>
        <w:left w:val="none" w:sz="0" w:space="0" w:color="auto"/>
        <w:bottom w:val="none" w:sz="0" w:space="0" w:color="auto"/>
        <w:right w:val="none" w:sz="0" w:space="0" w:color="auto"/>
      </w:divBdr>
    </w:div>
    <w:div w:id="628899487">
      <w:bodyDiv w:val="1"/>
      <w:marLeft w:val="0"/>
      <w:marRight w:val="0"/>
      <w:marTop w:val="0"/>
      <w:marBottom w:val="0"/>
      <w:divBdr>
        <w:top w:val="none" w:sz="0" w:space="0" w:color="auto"/>
        <w:left w:val="none" w:sz="0" w:space="0" w:color="auto"/>
        <w:bottom w:val="none" w:sz="0" w:space="0" w:color="auto"/>
        <w:right w:val="none" w:sz="0" w:space="0" w:color="auto"/>
      </w:divBdr>
    </w:div>
    <w:div w:id="629746150">
      <w:bodyDiv w:val="1"/>
      <w:marLeft w:val="0"/>
      <w:marRight w:val="0"/>
      <w:marTop w:val="0"/>
      <w:marBottom w:val="0"/>
      <w:divBdr>
        <w:top w:val="none" w:sz="0" w:space="0" w:color="auto"/>
        <w:left w:val="none" w:sz="0" w:space="0" w:color="auto"/>
        <w:bottom w:val="none" w:sz="0" w:space="0" w:color="auto"/>
        <w:right w:val="none" w:sz="0" w:space="0" w:color="auto"/>
      </w:divBdr>
    </w:div>
    <w:div w:id="632564820">
      <w:bodyDiv w:val="1"/>
      <w:marLeft w:val="0"/>
      <w:marRight w:val="0"/>
      <w:marTop w:val="0"/>
      <w:marBottom w:val="0"/>
      <w:divBdr>
        <w:top w:val="none" w:sz="0" w:space="0" w:color="auto"/>
        <w:left w:val="none" w:sz="0" w:space="0" w:color="auto"/>
        <w:bottom w:val="none" w:sz="0" w:space="0" w:color="auto"/>
        <w:right w:val="none" w:sz="0" w:space="0" w:color="auto"/>
      </w:divBdr>
    </w:div>
    <w:div w:id="633022807">
      <w:bodyDiv w:val="1"/>
      <w:marLeft w:val="0"/>
      <w:marRight w:val="0"/>
      <w:marTop w:val="0"/>
      <w:marBottom w:val="0"/>
      <w:divBdr>
        <w:top w:val="none" w:sz="0" w:space="0" w:color="auto"/>
        <w:left w:val="none" w:sz="0" w:space="0" w:color="auto"/>
        <w:bottom w:val="none" w:sz="0" w:space="0" w:color="auto"/>
        <w:right w:val="none" w:sz="0" w:space="0" w:color="auto"/>
      </w:divBdr>
    </w:div>
    <w:div w:id="634869026">
      <w:bodyDiv w:val="1"/>
      <w:marLeft w:val="0"/>
      <w:marRight w:val="0"/>
      <w:marTop w:val="0"/>
      <w:marBottom w:val="0"/>
      <w:divBdr>
        <w:top w:val="none" w:sz="0" w:space="0" w:color="auto"/>
        <w:left w:val="none" w:sz="0" w:space="0" w:color="auto"/>
        <w:bottom w:val="none" w:sz="0" w:space="0" w:color="auto"/>
        <w:right w:val="none" w:sz="0" w:space="0" w:color="auto"/>
      </w:divBdr>
      <w:divsChild>
        <w:div w:id="48111746">
          <w:marLeft w:val="0"/>
          <w:marRight w:val="0"/>
          <w:marTop w:val="0"/>
          <w:marBottom w:val="0"/>
          <w:divBdr>
            <w:top w:val="none" w:sz="0" w:space="0" w:color="auto"/>
            <w:left w:val="none" w:sz="0" w:space="0" w:color="auto"/>
            <w:bottom w:val="none" w:sz="0" w:space="0" w:color="auto"/>
            <w:right w:val="none" w:sz="0" w:space="0" w:color="auto"/>
          </w:divBdr>
          <w:divsChild>
            <w:div w:id="1786463183">
              <w:marLeft w:val="0"/>
              <w:marRight w:val="0"/>
              <w:marTop w:val="0"/>
              <w:marBottom w:val="0"/>
              <w:divBdr>
                <w:top w:val="none" w:sz="0" w:space="0" w:color="auto"/>
                <w:left w:val="none" w:sz="0" w:space="0" w:color="auto"/>
                <w:bottom w:val="none" w:sz="0" w:space="0" w:color="auto"/>
                <w:right w:val="none" w:sz="0" w:space="0" w:color="auto"/>
              </w:divBdr>
              <w:divsChild>
                <w:div w:id="757753619">
                  <w:marLeft w:val="4245"/>
                  <w:marRight w:val="0"/>
                  <w:marTop w:val="0"/>
                  <w:marBottom w:val="0"/>
                  <w:divBdr>
                    <w:top w:val="none" w:sz="0" w:space="0" w:color="auto"/>
                    <w:left w:val="none" w:sz="0" w:space="0" w:color="auto"/>
                    <w:bottom w:val="none" w:sz="0" w:space="0" w:color="auto"/>
                    <w:right w:val="none" w:sz="0" w:space="0" w:color="auto"/>
                  </w:divBdr>
                  <w:divsChild>
                    <w:div w:id="1512529371">
                      <w:marLeft w:val="4200"/>
                      <w:marRight w:val="0"/>
                      <w:marTop w:val="2175"/>
                      <w:marBottom w:val="0"/>
                      <w:divBdr>
                        <w:top w:val="none" w:sz="0" w:space="0" w:color="auto"/>
                        <w:left w:val="none" w:sz="0" w:space="0" w:color="auto"/>
                        <w:bottom w:val="none" w:sz="0" w:space="0" w:color="auto"/>
                        <w:right w:val="none" w:sz="0" w:space="0" w:color="auto"/>
                      </w:divBdr>
                      <w:divsChild>
                        <w:div w:id="1252658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4990085">
      <w:bodyDiv w:val="1"/>
      <w:marLeft w:val="0"/>
      <w:marRight w:val="0"/>
      <w:marTop w:val="0"/>
      <w:marBottom w:val="0"/>
      <w:divBdr>
        <w:top w:val="none" w:sz="0" w:space="0" w:color="auto"/>
        <w:left w:val="none" w:sz="0" w:space="0" w:color="auto"/>
        <w:bottom w:val="none" w:sz="0" w:space="0" w:color="auto"/>
        <w:right w:val="none" w:sz="0" w:space="0" w:color="auto"/>
      </w:divBdr>
    </w:div>
    <w:div w:id="635835460">
      <w:bodyDiv w:val="1"/>
      <w:marLeft w:val="0"/>
      <w:marRight w:val="0"/>
      <w:marTop w:val="0"/>
      <w:marBottom w:val="0"/>
      <w:divBdr>
        <w:top w:val="none" w:sz="0" w:space="0" w:color="auto"/>
        <w:left w:val="none" w:sz="0" w:space="0" w:color="auto"/>
        <w:bottom w:val="none" w:sz="0" w:space="0" w:color="auto"/>
        <w:right w:val="none" w:sz="0" w:space="0" w:color="auto"/>
      </w:divBdr>
    </w:div>
    <w:div w:id="637077359">
      <w:bodyDiv w:val="1"/>
      <w:marLeft w:val="0"/>
      <w:marRight w:val="0"/>
      <w:marTop w:val="0"/>
      <w:marBottom w:val="0"/>
      <w:divBdr>
        <w:top w:val="none" w:sz="0" w:space="0" w:color="auto"/>
        <w:left w:val="none" w:sz="0" w:space="0" w:color="auto"/>
        <w:bottom w:val="none" w:sz="0" w:space="0" w:color="auto"/>
        <w:right w:val="none" w:sz="0" w:space="0" w:color="auto"/>
      </w:divBdr>
    </w:div>
    <w:div w:id="638148749">
      <w:bodyDiv w:val="1"/>
      <w:marLeft w:val="0"/>
      <w:marRight w:val="0"/>
      <w:marTop w:val="0"/>
      <w:marBottom w:val="0"/>
      <w:divBdr>
        <w:top w:val="none" w:sz="0" w:space="0" w:color="auto"/>
        <w:left w:val="none" w:sz="0" w:space="0" w:color="auto"/>
        <w:bottom w:val="none" w:sz="0" w:space="0" w:color="auto"/>
        <w:right w:val="none" w:sz="0" w:space="0" w:color="auto"/>
      </w:divBdr>
    </w:div>
    <w:div w:id="644815315">
      <w:bodyDiv w:val="1"/>
      <w:marLeft w:val="0"/>
      <w:marRight w:val="0"/>
      <w:marTop w:val="0"/>
      <w:marBottom w:val="0"/>
      <w:divBdr>
        <w:top w:val="none" w:sz="0" w:space="0" w:color="auto"/>
        <w:left w:val="none" w:sz="0" w:space="0" w:color="auto"/>
        <w:bottom w:val="none" w:sz="0" w:space="0" w:color="auto"/>
        <w:right w:val="none" w:sz="0" w:space="0" w:color="auto"/>
      </w:divBdr>
    </w:div>
    <w:div w:id="645475643">
      <w:bodyDiv w:val="1"/>
      <w:marLeft w:val="0"/>
      <w:marRight w:val="0"/>
      <w:marTop w:val="0"/>
      <w:marBottom w:val="0"/>
      <w:divBdr>
        <w:top w:val="none" w:sz="0" w:space="0" w:color="auto"/>
        <w:left w:val="none" w:sz="0" w:space="0" w:color="auto"/>
        <w:bottom w:val="none" w:sz="0" w:space="0" w:color="auto"/>
        <w:right w:val="none" w:sz="0" w:space="0" w:color="auto"/>
      </w:divBdr>
    </w:div>
    <w:div w:id="647326169">
      <w:bodyDiv w:val="1"/>
      <w:marLeft w:val="0"/>
      <w:marRight w:val="0"/>
      <w:marTop w:val="0"/>
      <w:marBottom w:val="0"/>
      <w:divBdr>
        <w:top w:val="none" w:sz="0" w:space="0" w:color="auto"/>
        <w:left w:val="none" w:sz="0" w:space="0" w:color="auto"/>
        <w:bottom w:val="none" w:sz="0" w:space="0" w:color="auto"/>
        <w:right w:val="none" w:sz="0" w:space="0" w:color="auto"/>
      </w:divBdr>
    </w:div>
    <w:div w:id="647366559">
      <w:bodyDiv w:val="1"/>
      <w:marLeft w:val="0"/>
      <w:marRight w:val="0"/>
      <w:marTop w:val="0"/>
      <w:marBottom w:val="0"/>
      <w:divBdr>
        <w:top w:val="none" w:sz="0" w:space="0" w:color="auto"/>
        <w:left w:val="none" w:sz="0" w:space="0" w:color="auto"/>
        <w:bottom w:val="none" w:sz="0" w:space="0" w:color="auto"/>
        <w:right w:val="none" w:sz="0" w:space="0" w:color="auto"/>
      </w:divBdr>
    </w:div>
    <w:div w:id="648360082">
      <w:bodyDiv w:val="1"/>
      <w:marLeft w:val="0"/>
      <w:marRight w:val="0"/>
      <w:marTop w:val="0"/>
      <w:marBottom w:val="0"/>
      <w:divBdr>
        <w:top w:val="none" w:sz="0" w:space="0" w:color="auto"/>
        <w:left w:val="none" w:sz="0" w:space="0" w:color="auto"/>
        <w:bottom w:val="none" w:sz="0" w:space="0" w:color="auto"/>
        <w:right w:val="none" w:sz="0" w:space="0" w:color="auto"/>
      </w:divBdr>
    </w:div>
    <w:div w:id="649484010">
      <w:bodyDiv w:val="1"/>
      <w:marLeft w:val="0"/>
      <w:marRight w:val="0"/>
      <w:marTop w:val="0"/>
      <w:marBottom w:val="0"/>
      <w:divBdr>
        <w:top w:val="none" w:sz="0" w:space="0" w:color="auto"/>
        <w:left w:val="none" w:sz="0" w:space="0" w:color="auto"/>
        <w:bottom w:val="none" w:sz="0" w:space="0" w:color="auto"/>
        <w:right w:val="none" w:sz="0" w:space="0" w:color="auto"/>
      </w:divBdr>
    </w:div>
    <w:div w:id="652485012">
      <w:bodyDiv w:val="1"/>
      <w:marLeft w:val="0"/>
      <w:marRight w:val="0"/>
      <w:marTop w:val="0"/>
      <w:marBottom w:val="0"/>
      <w:divBdr>
        <w:top w:val="none" w:sz="0" w:space="0" w:color="auto"/>
        <w:left w:val="none" w:sz="0" w:space="0" w:color="auto"/>
        <w:bottom w:val="none" w:sz="0" w:space="0" w:color="auto"/>
        <w:right w:val="none" w:sz="0" w:space="0" w:color="auto"/>
      </w:divBdr>
    </w:div>
    <w:div w:id="654603816">
      <w:bodyDiv w:val="1"/>
      <w:marLeft w:val="0"/>
      <w:marRight w:val="0"/>
      <w:marTop w:val="0"/>
      <w:marBottom w:val="0"/>
      <w:divBdr>
        <w:top w:val="none" w:sz="0" w:space="0" w:color="auto"/>
        <w:left w:val="none" w:sz="0" w:space="0" w:color="auto"/>
        <w:bottom w:val="none" w:sz="0" w:space="0" w:color="auto"/>
        <w:right w:val="none" w:sz="0" w:space="0" w:color="auto"/>
      </w:divBdr>
    </w:div>
    <w:div w:id="659848440">
      <w:bodyDiv w:val="1"/>
      <w:marLeft w:val="0"/>
      <w:marRight w:val="0"/>
      <w:marTop w:val="0"/>
      <w:marBottom w:val="0"/>
      <w:divBdr>
        <w:top w:val="none" w:sz="0" w:space="0" w:color="auto"/>
        <w:left w:val="none" w:sz="0" w:space="0" w:color="auto"/>
        <w:bottom w:val="none" w:sz="0" w:space="0" w:color="auto"/>
        <w:right w:val="none" w:sz="0" w:space="0" w:color="auto"/>
      </w:divBdr>
    </w:div>
    <w:div w:id="660742323">
      <w:bodyDiv w:val="1"/>
      <w:marLeft w:val="0"/>
      <w:marRight w:val="0"/>
      <w:marTop w:val="0"/>
      <w:marBottom w:val="0"/>
      <w:divBdr>
        <w:top w:val="none" w:sz="0" w:space="0" w:color="auto"/>
        <w:left w:val="none" w:sz="0" w:space="0" w:color="auto"/>
        <w:bottom w:val="none" w:sz="0" w:space="0" w:color="auto"/>
        <w:right w:val="none" w:sz="0" w:space="0" w:color="auto"/>
      </w:divBdr>
    </w:div>
    <w:div w:id="663430936">
      <w:bodyDiv w:val="1"/>
      <w:marLeft w:val="0"/>
      <w:marRight w:val="0"/>
      <w:marTop w:val="0"/>
      <w:marBottom w:val="0"/>
      <w:divBdr>
        <w:top w:val="none" w:sz="0" w:space="0" w:color="auto"/>
        <w:left w:val="none" w:sz="0" w:space="0" w:color="auto"/>
        <w:bottom w:val="none" w:sz="0" w:space="0" w:color="auto"/>
        <w:right w:val="none" w:sz="0" w:space="0" w:color="auto"/>
      </w:divBdr>
    </w:div>
    <w:div w:id="664363592">
      <w:bodyDiv w:val="1"/>
      <w:marLeft w:val="0"/>
      <w:marRight w:val="0"/>
      <w:marTop w:val="0"/>
      <w:marBottom w:val="0"/>
      <w:divBdr>
        <w:top w:val="none" w:sz="0" w:space="0" w:color="auto"/>
        <w:left w:val="none" w:sz="0" w:space="0" w:color="auto"/>
        <w:bottom w:val="none" w:sz="0" w:space="0" w:color="auto"/>
        <w:right w:val="none" w:sz="0" w:space="0" w:color="auto"/>
      </w:divBdr>
    </w:div>
    <w:div w:id="664434097">
      <w:bodyDiv w:val="1"/>
      <w:marLeft w:val="0"/>
      <w:marRight w:val="0"/>
      <w:marTop w:val="0"/>
      <w:marBottom w:val="0"/>
      <w:divBdr>
        <w:top w:val="none" w:sz="0" w:space="0" w:color="auto"/>
        <w:left w:val="none" w:sz="0" w:space="0" w:color="auto"/>
        <w:bottom w:val="none" w:sz="0" w:space="0" w:color="auto"/>
        <w:right w:val="none" w:sz="0" w:space="0" w:color="auto"/>
      </w:divBdr>
    </w:div>
    <w:div w:id="669018420">
      <w:bodyDiv w:val="1"/>
      <w:marLeft w:val="0"/>
      <w:marRight w:val="0"/>
      <w:marTop w:val="0"/>
      <w:marBottom w:val="0"/>
      <w:divBdr>
        <w:top w:val="none" w:sz="0" w:space="0" w:color="auto"/>
        <w:left w:val="none" w:sz="0" w:space="0" w:color="auto"/>
        <w:bottom w:val="none" w:sz="0" w:space="0" w:color="auto"/>
        <w:right w:val="none" w:sz="0" w:space="0" w:color="auto"/>
      </w:divBdr>
    </w:div>
    <w:div w:id="672991383">
      <w:bodyDiv w:val="1"/>
      <w:marLeft w:val="0"/>
      <w:marRight w:val="0"/>
      <w:marTop w:val="0"/>
      <w:marBottom w:val="0"/>
      <w:divBdr>
        <w:top w:val="none" w:sz="0" w:space="0" w:color="auto"/>
        <w:left w:val="none" w:sz="0" w:space="0" w:color="auto"/>
        <w:bottom w:val="none" w:sz="0" w:space="0" w:color="auto"/>
        <w:right w:val="none" w:sz="0" w:space="0" w:color="auto"/>
      </w:divBdr>
    </w:div>
    <w:div w:id="674113360">
      <w:bodyDiv w:val="1"/>
      <w:marLeft w:val="0"/>
      <w:marRight w:val="0"/>
      <w:marTop w:val="0"/>
      <w:marBottom w:val="0"/>
      <w:divBdr>
        <w:top w:val="none" w:sz="0" w:space="0" w:color="auto"/>
        <w:left w:val="none" w:sz="0" w:space="0" w:color="auto"/>
        <w:bottom w:val="none" w:sz="0" w:space="0" w:color="auto"/>
        <w:right w:val="none" w:sz="0" w:space="0" w:color="auto"/>
      </w:divBdr>
    </w:div>
    <w:div w:id="678772121">
      <w:bodyDiv w:val="1"/>
      <w:marLeft w:val="0"/>
      <w:marRight w:val="0"/>
      <w:marTop w:val="0"/>
      <w:marBottom w:val="0"/>
      <w:divBdr>
        <w:top w:val="none" w:sz="0" w:space="0" w:color="auto"/>
        <w:left w:val="none" w:sz="0" w:space="0" w:color="auto"/>
        <w:bottom w:val="none" w:sz="0" w:space="0" w:color="auto"/>
        <w:right w:val="none" w:sz="0" w:space="0" w:color="auto"/>
      </w:divBdr>
    </w:div>
    <w:div w:id="680279152">
      <w:bodyDiv w:val="1"/>
      <w:marLeft w:val="0"/>
      <w:marRight w:val="0"/>
      <w:marTop w:val="0"/>
      <w:marBottom w:val="0"/>
      <w:divBdr>
        <w:top w:val="none" w:sz="0" w:space="0" w:color="auto"/>
        <w:left w:val="none" w:sz="0" w:space="0" w:color="auto"/>
        <w:bottom w:val="none" w:sz="0" w:space="0" w:color="auto"/>
        <w:right w:val="none" w:sz="0" w:space="0" w:color="auto"/>
      </w:divBdr>
    </w:div>
    <w:div w:id="681517300">
      <w:bodyDiv w:val="1"/>
      <w:marLeft w:val="0"/>
      <w:marRight w:val="0"/>
      <w:marTop w:val="0"/>
      <w:marBottom w:val="0"/>
      <w:divBdr>
        <w:top w:val="none" w:sz="0" w:space="0" w:color="auto"/>
        <w:left w:val="none" w:sz="0" w:space="0" w:color="auto"/>
        <w:bottom w:val="none" w:sz="0" w:space="0" w:color="auto"/>
        <w:right w:val="none" w:sz="0" w:space="0" w:color="auto"/>
      </w:divBdr>
    </w:div>
    <w:div w:id="682171062">
      <w:bodyDiv w:val="1"/>
      <w:marLeft w:val="0"/>
      <w:marRight w:val="0"/>
      <w:marTop w:val="0"/>
      <w:marBottom w:val="0"/>
      <w:divBdr>
        <w:top w:val="none" w:sz="0" w:space="0" w:color="auto"/>
        <w:left w:val="none" w:sz="0" w:space="0" w:color="auto"/>
        <w:bottom w:val="none" w:sz="0" w:space="0" w:color="auto"/>
        <w:right w:val="none" w:sz="0" w:space="0" w:color="auto"/>
      </w:divBdr>
    </w:div>
    <w:div w:id="683245104">
      <w:bodyDiv w:val="1"/>
      <w:marLeft w:val="0"/>
      <w:marRight w:val="0"/>
      <w:marTop w:val="0"/>
      <w:marBottom w:val="0"/>
      <w:divBdr>
        <w:top w:val="none" w:sz="0" w:space="0" w:color="auto"/>
        <w:left w:val="none" w:sz="0" w:space="0" w:color="auto"/>
        <w:bottom w:val="none" w:sz="0" w:space="0" w:color="auto"/>
        <w:right w:val="none" w:sz="0" w:space="0" w:color="auto"/>
      </w:divBdr>
    </w:div>
    <w:div w:id="685716889">
      <w:bodyDiv w:val="1"/>
      <w:marLeft w:val="0"/>
      <w:marRight w:val="0"/>
      <w:marTop w:val="0"/>
      <w:marBottom w:val="0"/>
      <w:divBdr>
        <w:top w:val="none" w:sz="0" w:space="0" w:color="auto"/>
        <w:left w:val="none" w:sz="0" w:space="0" w:color="auto"/>
        <w:bottom w:val="none" w:sz="0" w:space="0" w:color="auto"/>
        <w:right w:val="none" w:sz="0" w:space="0" w:color="auto"/>
      </w:divBdr>
    </w:div>
    <w:div w:id="686175672">
      <w:bodyDiv w:val="1"/>
      <w:marLeft w:val="0"/>
      <w:marRight w:val="0"/>
      <w:marTop w:val="0"/>
      <w:marBottom w:val="0"/>
      <w:divBdr>
        <w:top w:val="none" w:sz="0" w:space="0" w:color="auto"/>
        <w:left w:val="none" w:sz="0" w:space="0" w:color="auto"/>
        <w:bottom w:val="none" w:sz="0" w:space="0" w:color="auto"/>
        <w:right w:val="none" w:sz="0" w:space="0" w:color="auto"/>
      </w:divBdr>
      <w:divsChild>
        <w:div w:id="1256741468">
          <w:marLeft w:val="0"/>
          <w:marRight w:val="0"/>
          <w:marTop w:val="0"/>
          <w:marBottom w:val="0"/>
          <w:divBdr>
            <w:top w:val="none" w:sz="0" w:space="0" w:color="auto"/>
            <w:left w:val="none" w:sz="0" w:space="0" w:color="auto"/>
            <w:bottom w:val="none" w:sz="0" w:space="0" w:color="auto"/>
            <w:right w:val="none" w:sz="0" w:space="0" w:color="auto"/>
          </w:divBdr>
          <w:divsChild>
            <w:div w:id="529685389">
              <w:marLeft w:val="0"/>
              <w:marRight w:val="0"/>
              <w:marTop w:val="0"/>
              <w:marBottom w:val="0"/>
              <w:divBdr>
                <w:top w:val="none" w:sz="0" w:space="0" w:color="auto"/>
                <w:left w:val="none" w:sz="0" w:space="0" w:color="auto"/>
                <w:bottom w:val="none" w:sz="0" w:space="0" w:color="auto"/>
                <w:right w:val="none" w:sz="0" w:space="0" w:color="auto"/>
              </w:divBdr>
              <w:divsChild>
                <w:div w:id="2129547457">
                  <w:marLeft w:val="4245"/>
                  <w:marRight w:val="0"/>
                  <w:marTop w:val="0"/>
                  <w:marBottom w:val="0"/>
                  <w:divBdr>
                    <w:top w:val="none" w:sz="0" w:space="0" w:color="auto"/>
                    <w:left w:val="none" w:sz="0" w:space="0" w:color="auto"/>
                    <w:bottom w:val="none" w:sz="0" w:space="0" w:color="auto"/>
                    <w:right w:val="none" w:sz="0" w:space="0" w:color="auto"/>
                  </w:divBdr>
                  <w:divsChild>
                    <w:div w:id="335695450">
                      <w:marLeft w:val="4200"/>
                      <w:marRight w:val="0"/>
                      <w:marTop w:val="2175"/>
                      <w:marBottom w:val="0"/>
                      <w:divBdr>
                        <w:top w:val="none" w:sz="0" w:space="0" w:color="auto"/>
                        <w:left w:val="none" w:sz="0" w:space="0" w:color="auto"/>
                        <w:bottom w:val="none" w:sz="0" w:space="0" w:color="auto"/>
                        <w:right w:val="none" w:sz="0" w:space="0" w:color="auto"/>
                      </w:divBdr>
                      <w:divsChild>
                        <w:div w:id="16655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7175588">
      <w:bodyDiv w:val="1"/>
      <w:marLeft w:val="0"/>
      <w:marRight w:val="0"/>
      <w:marTop w:val="0"/>
      <w:marBottom w:val="0"/>
      <w:divBdr>
        <w:top w:val="none" w:sz="0" w:space="0" w:color="auto"/>
        <w:left w:val="none" w:sz="0" w:space="0" w:color="auto"/>
        <w:bottom w:val="none" w:sz="0" w:space="0" w:color="auto"/>
        <w:right w:val="none" w:sz="0" w:space="0" w:color="auto"/>
      </w:divBdr>
    </w:div>
    <w:div w:id="690842012">
      <w:bodyDiv w:val="1"/>
      <w:marLeft w:val="0"/>
      <w:marRight w:val="0"/>
      <w:marTop w:val="0"/>
      <w:marBottom w:val="0"/>
      <w:divBdr>
        <w:top w:val="none" w:sz="0" w:space="0" w:color="auto"/>
        <w:left w:val="none" w:sz="0" w:space="0" w:color="auto"/>
        <w:bottom w:val="none" w:sz="0" w:space="0" w:color="auto"/>
        <w:right w:val="none" w:sz="0" w:space="0" w:color="auto"/>
      </w:divBdr>
    </w:div>
    <w:div w:id="691152515">
      <w:bodyDiv w:val="1"/>
      <w:marLeft w:val="0"/>
      <w:marRight w:val="0"/>
      <w:marTop w:val="0"/>
      <w:marBottom w:val="0"/>
      <w:divBdr>
        <w:top w:val="none" w:sz="0" w:space="0" w:color="auto"/>
        <w:left w:val="none" w:sz="0" w:space="0" w:color="auto"/>
        <w:bottom w:val="none" w:sz="0" w:space="0" w:color="auto"/>
        <w:right w:val="none" w:sz="0" w:space="0" w:color="auto"/>
      </w:divBdr>
    </w:div>
    <w:div w:id="691494534">
      <w:bodyDiv w:val="1"/>
      <w:marLeft w:val="0"/>
      <w:marRight w:val="0"/>
      <w:marTop w:val="0"/>
      <w:marBottom w:val="0"/>
      <w:divBdr>
        <w:top w:val="none" w:sz="0" w:space="0" w:color="auto"/>
        <w:left w:val="none" w:sz="0" w:space="0" w:color="auto"/>
        <w:bottom w:val="none" w:sz="0" w:space="0" w:color="auto"/>
        <w:right w:val="none" w:sz="0" w:space="0" w:color="auto"/>
      </w:divBdr>
    </w:div>
    <w:div w:id="691540734">
      <w:bodyDiv w:val="1"/>
      <w:marLeft w:val="0"/>
      <w:marRight w:val="0"/>
      <w:marTop w:val="0"/>
      <w:marBottom w:val="0"/>
      <w:divBdr>
        <w:top w:val="none" w:sz="0" w:space="0" w:color="auto"/>
        <w:left w:val="none" w:sz="0" w:space="0" w:color="auto"/>
        <w:bottom w:val="none" w:sz="0" w:space="0" w:color="auto"/>
        <w:right w:val="none" w:sz="0" w:space="0" w:color="auto"/>
      </w:divBdr>
    </w:div>
    <w:div w:id="691688734">
      <w:bodyDiv w:val="1"/>
      <w:marLeft w:val="0"/>
      <w:marRight w:val="0"/>
      <w:marTop w:val="0"/>
      <w:marBottom w:val="0"/>
      <w:divBdr>
        <w:top w:val="none" w:sz="0" w:space="0" w:color="auto"/>
        <w:left w:val="none" w:sz="0" w:space="0" w:color="auto"/>
        <w:bottom w:val="none" w:sz="0" w:space="0" w:color="auto"/>
        <w:right w:val="none" w:sz="0" w:space="0" w:color="auto"/>
      </w:divBdr>
    </w:div>
    <w:div w:id="694968370">
      <w:bodyDiv w:val="1"/>
      <w:marLeft w:val="0"/>
      <w:marRight w:val="0"/>
      <w:marTop w:val="0"/>
      <w:marBottom w:val="0"/>
      <w:divBdr>
        <w:top w:val="none" w:sz="0" w:space="0" w:color="auto"/>
        <w:left w:val="none" w:sz="0" w:space="0" w:color="auto"/>
        <w:bottom w:val="none" w:sz="0" w:space="0" w:color="auto"/>
        <w:right w:val="none" w:sz="0" w:space="0" w:color="auto"/>
      </w:divBdr>
    </w:div>
    <w:div w:id="695228402">
      <w:bodyDiv w:val="1"/>
      <w:marLeft w:val="0"/>
      <w:marRight w:val="0"/>
      <w:marTop w:val="0"/>
      <w:marBottom w:val="0"/>
      <w:divBdr>
        <w:top w:val="none" w:sz="0" w:space="0" w:color="auto"/>
        <w:left w:val="none" w:sz="0" w:space="0" w:color="auto"/>
        <w:bottom w:val="none" w:sz="0" w:space="0" w:color="auto"/>
        <w:right w:val="none" w:sz="0" w:space="0" w:color="auto"/>
      </w:divBdr>
    </w:div>
    <w:div w:id="696077327">
      <w:bodyDiv w:val="1"/>
      <w:marLeft w:val="0"/>
      <w:marRight w:val="0"/>
      <w:marTop w:val="0"/>
      <w:marBottom w:val="0"/>
      <w:divBdr>
        <w:top w:val="none" w:sz="0" w:space="0" w:color="auto"/>
        <w:left w:val="none" w:sz="0" w:space="0" w:color="auto"/>
        <w:bottom w:val="none" w:sz="0" w:space="0" w:color="auto"/>
        <w:right w:val="none" w:sz="0" w:space="0" w:color="auto"/>
      </w:divBdr>
    </w:div>
    <w:div w:id="697194538">
      <w:bodyDiv w:val="1"/>
      <w:marLeft w:val="0"/>
      <w:marRight w:val="0"/>
      <w:marTop w:val="0"/>
      <w:marBottom w:val="0"/>
      <w:divBdr>
        <w:top w:val="none" w:sz="0" w:space="0" w:color="auto"/>
        <w:left w:val="none" w:sz="0" w:space="0" w:color="auto"/>
        <w:bottom w:val="none" w:sz="0" w:space="0" w:color="auto"/>
        <w:right w:val="none" w:sz="0" w:space="0" w:color="auto"/>
      </w:divBdr>
    </w:div>
    <w:div w:id="699480065">
      <w:bodyDiv w:val="1"/>
      <w:marLeft w:val="0"/>
      <w:marRight w:val="0"/>
      <w:marTop w:val="0"/>
      <w:marBottom w:val="0"/>
      <w:divBdr>
        <w:top w:val="none" w:sz="0" w:space="0" w:color="auto"/>
        <w:left w:val="none" w:sz="0" w:space="0" w:color="auto"/>
        <w:bottom w:val="none" w:sz="0" w:space="0" w:color="auto"/>
        <w:right w:val="none" w:sz="0" w:space="0" w:color="auto"/>
      </w:divBdr>
    </w:div>
    <w:div w:id="702438614">
      <w:bodyDiv w:val="1"/>
      <w:marLeft w:val="0"/>
      <w:marRight w:val="0"/>
      <w:marTop w:val="0"/>
      <w:marBottom w:val="0"/>
      <w:divBdr>
        <w:top w:val="none" w:sz="0" w:space="0" w:color="auto"/>
        <w:left w:val="none" w:sz="0" w:space="0" w:color="auto"/>
        <w:bottom w:val="none" w:sz="0" w:space="0" w:color="auto"/>
        <w:right w:val="none" w:sz="0" w:space="0" w:color="auto"/>
      </w:divBdr>
    </w:div>
    <w:div w:id="706832369">
      <w:bodyDiv w:val="1"/>
      <w:marLeft w:val="0"/>
      <w:marRight w:val="0"/>
      <w:marTop w:val="0"/>
      <w:marBottom w:val="0"/>
      <w:divBdr>
        <w:top w:val="none" w:sz="0" w:space="0" w:color="auto"/>
        <w:left w:val="none" w:sz="0" w:space="0" w:color="auto"/>
        <w:bottom w:val="none" w:sz="0" w:space="0" w:color="auto"/>
        <w:right w:val="none" w:sz="0" w:space="0" w:color="auto"/>
      </w:divBdr>
    </w:div>
    <w:div w:id="706950627">
      <w:bodyDiv w:val="1"/>
      <w:marLeft w:val="0"/>
      <w:marRight w:val="0"/>
      <w:marTop w:val="0"/>
      <w:marBottom w:val="0"/>
      <w:divBdr>
        <w:top w:val="none" w:sz="0" w:space="0" w:color="auto"/>
        <w:left w:val="none" w:sz="0" w:space="0" w:color="auto"/>
        <w:bottom w:val="none" w:sz="0" w:space="0" w:color="auto"/>
        <w:right w:val="none" w:sz="0" w:space="0" w:color="auto"/>
      </w:divBdr>
    </w:div>
    <w:div w:id="708652850">
      <w:bodyDiv w:val="1"/>
      <w:marLeft w:val="0"/>
      <w:marRight w:val="0"/>
      <w:marTop w:val="0"/>
      <w:marBottom w:val="0"/>
      <w:divBdr>
        <w:top w:val="none" w:sz="0" w:space="0" w:color="auto"/>
        <w:left w:val="none" w:sz="0" w:space="0" w:color="auto"/>
        <w:bottom w:val="none" w:sz="0" w:space="0" w:color="auto"/>
        <w:right w:val="none" w:sz="0" w:space="0" w:color="auto"/>
      </w:divBdr>
    </w:div>
    <w:div w:id="708989998">
      <w:bodyDiv w:val="1"/>
      <w:marLeft w:val="0"/>
      <w:marRight w:val="0"/>
      <w:marTop w:val="0"/>
      <w:marBottom w:val="0"/>
      <w:divBdr>
        <w:top w:val="none" w:sz="0" w:space="0" w:color="auto"/>
        <w:left w:val="none" w:sz="0" w:space="0" w:color="auto"/>
        <w:bottom w:val="none" w:sz="0" w:space="0" w:color="auto"/>
        <w:right w:val="none" w:sz="0" w:space="0" w:color="auto"/>
      </w:divBdr>
    </w:div>
    <w:div w:id="708993477">
      <w:bodyDiv w:val="1"/>
      <w:marLeft w:val="0"/>
      <w:marRight w:val="0"/>
      <w:marTop w:val="0"/>
      <w:marBottom w:val="0"/>
      <w:divBdr>
        <w:top w:val="none" w:sz="0" w:space="0" w:color="auto"/>
        <w:left w:val="none" w:sz="0" w:space="0" w:color="auto"/>
        <w:bottom w:val="none" w:sz="0" w:space="0" w:color="auto"/>
        <w:right w:val="none" w:sz="0" w:space="0" w:color="auto"/>
      </w:divBdr>
    </w:div>
    <w:div w:id="709231212">
      <w:bodyDiv w:val="1"/>
      <w:marLeft w:val="0"/>
      <w:marRight w:val="0"/>
      <w:marTop w:val="0"/>
      <w:marBottom w:val="0"/>
      <w:divBdr>
        <w:top w:val="none" w:sz="0" w:space="0" w:color="auto"/>
        <w:left w:val="none" w:sz="0" w:space="0" w:color="auto"/>
        <w:bottom w:val="none" w:sz="0" w:space="0" w:color="auto"/>
        <w:right w:val="none" w:sz="0" w:space="0" w:color="auto"/>
      </w:divBdr>
    </w:div>
    <w:div w:id="709492934">
      <w:bodyDiv w:val="1"/>
      <w:marLeft w:val="0"/>
      <w:marRight w:val="0"/>
      <w:marTop w:val="0"/>
      <w:marBottom w:val="0"/>
      <w:divBdr>
        <w:top w:val="none" w:sz="0" w:space="0" w:color="auto"/>
        <w:left w:val="none" w:sz="0" w:space="0" w:color="auto"/>
        <w:bottom w:val="none" w:sz="0" w:space="0" w:color="auto"/>
        <w:right w:val="none" w:sz="0" w:space="0" w:color="auto"/>
      </w:divBdr>
    </w:div>
    <w:div w:id="711225337">
      <w:bodyDiv w:val="1"/>
      <w:marLeft w:val="0"/>
      <w:marRight w:val="0"/>
      <w:marTop w:val="0"/>
      <w:marBottom w:val="0"/>
      <w:divBdr>
        <w:top w:val="none" w:sz="0" w:space="0" w:color="auto"/>
        <w:left w:val="none" w:sz="0" w:space="0" w:color="auto"/>
        <w:bottom w:val="none" w:sz="0" w:space="0" w:color="auto"/>
        <w:right w:val="none" w:sz="0" w:space="0" w:color="auto"/>
      </w:divBdr>
    </w:div>
    <w:div w:id="711997020">
      <w:bodyDiv w:val="1"/>
      <w:marLeft w:val="0"/>
      <w:marRight w:val="0"/>
      <w:marTop w:val="0"/>
      <w:marBottom w:val="0"/>
      <w:divBdr>
        <w:top w:val="none" w:sz="0" w:space="0" w:color="auto"/>
        <w:left w:val="none" w:sz="0" w:space="0" w:color="auto"/>
        <w:bottom w:val="none" w:sz="0" w:space="0" w:color="auto"/>
        <w:right w:val="none" w:sz="0" w:space="0" w:color="auto"/>
      </w:divBdr>
    </w:div>
    <w:div w:id="712461120">
      <w:bodyDiv w:val="1"/>
      <w:marLeft w:val="0"/>
      <w:marRight w:val="0"/>
      <w:marTop w:val="0"/>
      <w:marBottom w:val="0"/>
      <w:divBdr>
        <w:top w:val="none" w:sz="0" w:space="0" w:color="auto"/>
        <w:left w:val="none" w:sz="0" w:space="0" w:color="auto"/>
        <w:bottom w:val="none" w:sz="0" w:space="0" w:color="auto"/>
        <w:right w:val="none" w:sz="0" w:space="0" w:color="auto"/>
      </w:divBdr>
    </w:div>
    <w:div w:id="714089033">
      <w:bodyDiv w:val="1"/>
      <w:marLeft w:val="0"/>
      <w:marRight w:val="0"/>
      <w:marTop w:val="0"/>
      <w:marBottom w:val="0"/>
      <w:divBdr>
        <w:top w:val="none" w:sz="0" w:space="0" w:color="auto"/>
        <w:left w:val="none" w:sz="0" w:space="0" w:color="auto"/>
        <w:bottom w:val="none" w:sz="0" w:space="0" w:color="auto"/>
        <w:right w:val="none" w:sz="0" w:space="0" w:color="auto"/>
      </w:divBdr>
    </w:div>
    <w:div w:id="715006216">
      <w:bodyDiv w:val="1"/>
      <w:marLeft w:val="0"/>
      <w:marRight w:val="0"/>
      <w:marTop w:val="0"/>
      <w:marBottom w:val="0"/>
      <w:divBdr>
        <w:top w:val="none" w:sz="0" w:space="0" w:color="auto"/>
        <w:left w:val="none" w:sz="0" w:space="0" w:color="auto"/>
        <w:bottom w:val="none" w:sz="0" w:space="0" w:color="auto"/>
        <w:right w:val="none" w:sz="0" w:space="0" w:color="auto"/>
      </w:divBdr>
    </w:div>
    <w:div w:id="715204393">
      <w:bodyDiv w:val="1"/>
      <w:marLeft w:val="0"/>
      <w:marRight w:val="0"/>
      <w:marTop w:val="0"/>
      <w:marBottom w:val="0"/>
      <w:divBdr>
        <w:top w:val="none" w:sz="0" w:space="0" w:color="auto"/>
        <w:left w:val="none" w:sz="0" w:space="0" w:color="auto"/>
        <w:bottom w:val="none" w:sz="0" w:space="0" w:color="auto"/>
        <w:right w:val="none" w:sz="0" w:space="0" w:color="auto"/>
      </w:divBdr>
    </w:div>
    <w:div w:id="715659576">
      <w:bodyDiv w:val="1"/>
      <w:marLeft w:val="0"/>
      <w:marRight w:val="0"/>
      <w:marTop w:val="0"/>
      <w:marBottom w:val="0"/>
      <w:divBdr>
        <w:top w:val="none" w:sz="0" w:space="0" w:color="auto"/>
        <w:left w:val="none" w:sz="0" w:space="0" w:color="auto"/>
        <w:bottom w:val="none" w:sz="0" w:space="0" w:color="auto"/>
        <w:right w:val="none" w:sz="0" w:space="0" w:color="auto"/>
      </w:divBdr>
    </w:div>
    <w:div w:id="715861999">
      <w:bodyDiv w:val="1"/>
      <w:marLeft w:val="0"/>
      <w:marRight w:val="0"/>
      <w:marTop w:val="0"/>
      <w:marBottom w:val="0"/>
      <w:divBdr>
        <w:top w:val="none" w:sz="0" w:space="0" w:color="auto"/>
        <w:left w:val="none" w:sz="0" w:space="0" w:color="auto"/>
        <w:bottom w:val="none" w:sz="0" w:space="0" w:color="auto"/>
        <w:right w:val="none" w:sz="0" w:space="0" w:color="auto"/>
      </w:divBdr>
    </w:div>
    <w:div w:id="716466002">
      <w:bodyDiv w:val="1"/>
      <w:marLeft w:val="0"/>
      <w:marRight w:val="0"/>
      <w:marTop w:val="0"/>
      <w:marBottom w:val="0"/>
      <w:divBdr>
        <w:top w:val="none" w:sz="0" w:space="0" w:color="auto"/>
        <w:left w:val="none" w:sz="0" w:space="0" w:color="auto"/>
        <w:bottom w:val="none" w:sz="0" w:space="0" w:color="auto"/>
        <w:right w:val="none" w:sz="0" w:space="0" w:color="auto"/>
      </w:divBdr>
    </w:div>
    <w:div w:id="717357472">
      <w:bodyDiv w:val="1"/>
      <w:marLeft w:val="0"/>
      <w:marRight w:val="0"/>
      <w:marTop w:val="0"/>
      <w:marBottom w:val="0"/>
      <w:divBdr>
        <w:top w:val="none" w:sz="0" w:space="0" w:color="auto"/>
        <w:left w:val="none" w:sz="0" w:space="0" w:color="auto"/>
        <w:bottom w:val="none" w:sz="0" w:space="0" w:color="auto"/>
        <w:right w:val="none" w:sz="0" w:space="0" w:color="auto"/>
      </w:divBdr>
    </w:div>
    <w:div w:id="718164183">
      <w:bodyDiv w:val="1"/>
      <w:marLeft w:val="0"/>
      <w:marRight w:val="0"/>
      <w:marTop w:val="0"/>
      <w:marBottom w:val="0"/>
      <w:divBdr>
        <w:top w:val="none" w:sz="0" w:space="0" w:color="auto"/>
        <w:left w:val="none" w:sz="0" w:space="0" w:color="auto"/>
        <w:bottom w:val="none" w:sz="0" w:space="0" w:color="auto"/>
        <w:right w:val="none" w:sz="0" w:space="0" w:color="auto"/>
      </w:divBdr>
    </w:div>
    <w:div w:id="718632298">
      <w:bodyDiv w:val="1"/>
      <w:marLeft w:val="0"/>
      <w:marRight w:val="0"/>
      <w:marTop w:val="0"/>
      <w:marBottom w:val="0"/>
      <w:divBdr>
        <w:top w:val="none" w:sz="0" w:space="0" w:color="auto"/>
        <w:left w:val="none" w:sz="0" w:space="0" w:color="auto"/>
        <w:bottom w:val="none" w:sz="0" w:space="0" w:color="auto"/>
        <w:right w:val="none" w:sz="0" w:space="0" w:color="auto"/>
      </w:divBdr>
    </w:div>
    <w:div w:id="718747655">
      <w:bodyDiv w:val="1"/>
      <w:marLeft w:val="0"/>
      <w:marRight w:val="0"/>
      <w:marTop w:val="0"/>
      <w:marBottom w:val="0"/>
      <w:divBdr>
        <w:top w:val="none" w:sz="0" w:space="0" w:color="auto"/>
        <w:left w:val="none" w:sz="0" w:space="0" w:color="auto"/>
        <w:bottom w:val="none" w:sz="0" w:space="0" w:color="auto"/>
        <w:right w:val="none" w:sz="0" w:space="0" w:color="auto"/>
      </w:divBdr>
    </w:div>
    <w:div w:id="721176156">
      <w:bodyDiv w:val="1"/>
      <w:marLeft w:val="0"/>
      <w:marRight w:val="0"/>
      <w:marTop w:val="0"/>
      <w:marBottom w:val="0"/>
      <w:divBdr>
        <w:top w:val="none" w:sz="0" w:space="0" w:color="auto"/>
        <w:left w:val="none" w:sz="0" w:space="0" w:color="auto"/>
        <w:bottom w:val="none" w:sz="0" w:space="0" w:color="auto"/>
        <w:right w:val="none" w:sz="0" w:space="0" w:color="auto"/>
      </w:divBdr>
    </w:div>
    <w:div w:id="722606647">
      <w:bodyDiv w:val="1"/>
      <w:marLeft w:val="0"/>
      <w:marRight w:val="0"/>
      <w:marTop w:val="0"/>
      <w:marBottom w:val="0"/>
      <w:divBdr>
        <w:top w:val="none" w:sz="0" w:space="0" w:color="auto"/>
        <w:left w:val="none" w:sz="0" w:space="0" w:color="auto"/>
        <w:bottom w:val="none" w:sz="0" w:space="0" w:color="auto"/>
        <w:right w:val="none" w:sz="0" w:space="0" w:color="auto"/>
      </w:divBdr>
    </w:div>
    <w:div w:id="723025463">
      <w:bodyDiv w:val="1"/>
      <w:marLeft w:val="0"/>
      <w:marRight w:val="0"/>
      <w:marTop w:val="0"/>
      <w:marBottom w:val="0"/>
      <w:divBdr>
        <w:top w:val="none" w:sz="0" w:space="0" w:color="auto"/>
        <w:left w:val="none" w:sz="0" w:space="0" w:color="auto"/>
        <w:bottom w:val="none" w:sz="0" w:space="0" w:color="auto"/>
        <w:right w:val="none" w:sz="0" w:space="0" w:color="auto"/>
      </w:divBdr>
    </w:div>
    <w:div w:id="727069997">
      <w:bodyDiv w:val="1"/>
      <w:marLeft w:val="0"/>
      <w:marRight w:val="0"/>
      <w:marTop w:val="0"/>
      <w:marBottom w:val="0"/>
      <w:divBdr>
        <w:top w:val="none" w:sz="0" w:space="0" w:color="auto"/>
        <w:left w:val="none" w:sz="0" w:space="0" w:color="auto"/>
        <w:bottom w:val="none" w:sz="0" w:space="0" w:color="auto"/>
        <w:right w:val="none" w:sz="0" w:space="0" w:color="auto"/>
      </w:divBdr>
    </w:div>
    <w:div w:id="729496742">
      <w:bodyDiv w:val="1"/>
      <w:marLeft w:val="0"/>
      <w:marRight w:val="0"/>
      <w:marTop w:val="0"/>
      <w:marBottom w:val="0"/>
      <w:divBdr>
        <w:top w:val="none" w:sz="0" w:space="0" w:color="auto"/>
        <w:left w:val="none" w:sz="0" w:space="0" w:color="auto"/>
        <w:bottom w:val="none" w:sz="0" w:space="0" w:color="auto"/>
        <w:right w:val="none" w:sz="0" w:space="0" w:color="auto"/>
      </w:divBdr>
    </w:div>
    <w:div w:id="729763827">
      <w:bodyDiv w:val="1"/>
      <w:marLeft w:val="0"/>
      <w:marRight w:val="0"/>
      <w:marTop w:val="0"/>
      <w:marBottom w:val="0"/>
      <w:divBdr>
        <w:top w:val="none" w:sz="0" w:space="0" w:color="auto"/>
        <w:left w:val="none" w:sz="0" w:space="0" w:color="auto"/>
        <w:bottom w:val="none" w:sz="0" w:space="0" w:color="auto"/>
        <w:right w:val="none" w:sz="0" w:space="0" w:color="auto"/>
      </w:divBdr>
    </w:div>
    <w:div w:id="732043085">
      <w:bodyDiv w:val="1"/>
      <w:marLeft w:val="0"/>
      <w:marRight w:val="0"/>
      <w:marTop w:val="0"/>
      <w:marBottom w:val="0"/>
      <w:divBdr>
        <w:top w:val="none" w:sz="0" w:space="0" w:color="auto"/>
        <w:left w:val="none" w:sz="0" w:space="0" w:color="auto"/>
        <w:bottom w:val="none" w:sz="0" w:space="0" w:color="auto"/>
        <w:right w:val="none" w:sz="0" w:space="0" w:color="auto"/>
      </w:divBdr>
    </w:div>
    <w:div w:id="733309691">
      <w:bodyDiv w:val="1"/>
      <w:marLeft w:val="0"/>
      <w:marRight w:val="0"/>
      <w:marTop w:val="0"/>
      <w:marBottom w:val="0"/>
      <w:divBdr>
        <w:top w:val="none" w:sz="0" w:space="0" w:color="auto"/>
        <w:left w:val="none" w:sz="0" w:space="0" w:color="auto"/>
        <w:bottom w:val="none" w:sz="0" w:space="0" w:color="auto"/>
        <w:right w:val="none" w:sz="0" w:space="0" w:color="auto"/>
      </w:divBdr>
    </w:div>
    <w:div w:id="734471651">
      <w:bodyDiv w:val="1"/>
      <w:marLeft w:val="0"/>
      <w:marRight w:val="0"/>
      <w:marTop w:val="0"/>
      <w:marBottom w:val="0"/>
      <w:divBdr>
        <w:top w:val="none" w:sz="0" w:space="0" w:color="auto"/>
        <w:left w:val="none" w:sz="0" w:space="0" w:color="auto"/>
        <w:bottom w:val="none" w:sz="0" w:space="0" w:color="auto"/>
        <w:right w:val="none" w:sz="0" w:space="0" w:color="auto"/>
      </w:divBdr>
    </w:div>
    <w:div w:id="734546168">
      <w:bodyDiv w:val="1"/>
      <w:marLeft w:val="0"/>
      <w:marRight w:val="0"/>
      <w:marTop w:val="0"/>
      <w:marBottom w:val="0"/>
      <w:divBdr>
        <w:top w:val="none" w:sz="0" w:space="0" w:color="auto"/>
        <w:left w:val="none" w:sz="0" w:space="0" w:color="auto"/>
        <w:bottom w:val="none" w:sz="0" w:space="0" w:color="auto"/>
        <w:right w:val="none" w:sz="0" w:space="0" w:color="auto"/>
      </w:divBdr>
    </w:div>
    <w:div w:id="735780498">
      <w:bodyDiv w:val="1"/>
      <w:marLeft w:val="0"/>
      <w:marRight w:val="0"/>
      <w:marTop w:val="0"/>
      <w:marBottom w:val="0"/>
      <w:divBdr>
        <w:top w:val="none" w:sz="0" w:space="0" w:color="auto"/>
        <w:left w:val="none" w:sz="0" w:space="0" w:color="auto"/>
        <w:bottom w:val="none" w:sz="0" w:space="0" w:color="auto"/>
        <w:right w:val="none" w:sz="0" w:space="0" w:color="auto"/>
      </w:divBdr>
    </w:div>
    <w:div w:id="737168464">
      <w:bodyDiv w:val="1"/>
      <w:marLeft w:val="0"/>
      <w:marRight w:val="0"/>
      <w:marTop w:val="0"/>
      <w:marBottom w:val="0"/>
      <w:divBdr>
        <w:top w:val="none" w:sz="0" w:space="0" w:color="auto"/>
        <w:left w:val="none" w:sz="0" w:space="0" w:color="auto"/>
        <w:bottom w:val="none" w:sz="0" w:space="0" w:color="auto"/>
        <w:right w:val="none" w:sz="0" w:space="0" w:color="auto"/>
      </w:divBdr>
    </w:div>
    <w:div w:id="739249538">
      <w:bodyDiv w:val="1"/>
      <w:marLeft w:val="0"/>
      <w:marRight w:val="0"/>
      <w:marTop w:val="0"/>
      <w:marBottom w:val="0"/>
      <w:divBdr>
        <w:top w:val="none" w:sz="0" w:space="0" w:color="auto"/>
        <w:left w:val="none" w:sz="0" w:space="0" w:color="auto"/>
        <w:bottom w:val="none" w:sz="0" w:space="0" w:color="auto"/>
        <w:right w:val="none" w:sz="0" w:space="0" w:color="auto"/>
      </w:divBdr>
    </w:div>
    <w:div w:id="741952898">
      <w:bodyDiv w:val="1"/>
      <w:marLeft w:val="0"/>
      <w:marRight w:val="0"/>
      <w:marTop w:val="0"/>
      <w:marBottom w:val="0"/>
      <w:divBdr>
        <w:top w:val="none" w:sz="0" w:space="0" w:color="auto"/>
        <w:left w:val="none" w:sz="0" w:space="0" w:color="auto"/>
        <w:bottom w:val="none" w:sz="0" w:space="0" w:color="auto"/>
        <w:right w:val="none" w:sz="0" w:space="0" w:color="auto"/>
      </w:divBdr>
    </w:div>
    <w:div w:id="744643603">
      <w:bodyDiv w:val="1"/>
      <w:marLeft w:val="0"/>
      <w:marRight w:val="0"/>
      <w:marTop w:val="0"/>
      <w:marBottom w:val="0"/>
      <w:divBdr>
        <w:top w:val="none" w:sz="0" w:space="0" w:color="auto"/>
        <w:left w:val="none" w:sz="0" w:space="0" w:color="auto"/>
        <w:bottom w:val="none" w:sz="0" w:space="0" w:color="auto"/>
        <w:right w:val="none" w:sz="0" w:space="0" w:color="auto"/>
      </w:divBdr>
    </w:div>
    <w:div w:id="746920515">
      <w:bodyDiv w:val="1"/>
      <w:marLeft w:val="0"/>
      <w:marRight w:val="0"/>
      <w:marTop w:val="0"/>
      <w:marBottom w:val="0"/>
      <w:divBdr>
        <w:top w:val="none" w:sz="0" w:space="0" w:color="auto"/>
        <w:left w:val="none" w:sz="0" w:space="0" w:color="auto"/>
        <w:bottom w:val="none" w:sz="0" w:space="0" w:color="auto"/>
        <w:right w:val="none" w:sz="0" w:space="0" w:color="auto"/>
      </w:divBdr>
    </w:div>
    <w:div w:id="747578282">
      <w:bodyDiv w:val="1"/>
      <w:marLeft w:val="0"/>
      <w:marRight w:val="0"/>
      <w:marTop w:val="0"/>
      <w:marBottom w:val="0"/>
      <w:divBdr>
        <w:top w:val="none" w:sz="0" w:space="0" w:color="auto"/>
        <w:left w:val="none" w:sz="0" w:space="0" w:color="auto"/>
        <w:bottom w:val="none" w:sz="0" w:space="0" w:color="auto"/>
        <w:right w:val="none" w:sz="0" w:space="0" w:color="auto"/>
      </w:divBdr>
    </w:div>
    <w:div w:id="748310472">
      <w:bodyDiv w:val="1"/>
      <w:marLeft w:val="0"/>
      <w:marRight w:val="0"/>
      <w:marTop w:val="0"/>
      <w:marBottom w:val="0"/>
      <w:divBdr>
        <w:top w:val="none" w:sz="0" w:space="0" w:color="auto"/>
        <w:left w:val="none" w:sz="0" w:space="0" w:color="auto"/>
        <w:bottom w:val="none" w:sz="0" w:space="0" w:color="auto"/>
        <w:right w:val="none" w:sz="0" w:space="0" w:color="auto"/>
      </w:divBdr>
    </w:div>
    <w:div w:id="751123812">
      <w:bodyDiv w:val="1"/>
      <w:marLeft w:val="0"/>
      <w:marRight w:val="0"/>
      <w:marTop w:val="0"/>
      <w:marBottom w:val="0"/>
      <w:divBdr>
        <w:top w:val="none" w:sz="0" w:space="0" w:color="auto"/>
        <w:left w:val="none" w:sz="0" w:space="0" w:color="auto"/>
        <w:bottom w:val="none" w:sz="0" w:space="0" w:color="auto"/>
        <w:right w:val="none" w:sz="0" w:space="0" w:color="auto"/>
      </w:divBdr>
    </w:div>
    <w:div w:id="751195065">
      <w:bodyDiv w:val="1"/>
      <w:marLeft w:val="0"/>
      <w:marRight w:val="0"/>
      <w:marTop w:val="0"/>
      <w:marBottom w:val="0"/>
      <w:divBdr>
        <w:top w:val="none" w:sz="0" w:space="0" w:color="auto"/>
        <w:left w:val="none" w:sz="0" w:space="0" w:color="auto"/>
        <w:bottom w:val="none" w:sz="0" w:space="0" w:color="auto"/>
        <w:right w:val="none" w:sz="0" w:space="0" w:color="auto"/>
      </w:divBdr>
    </w:div>
    <w:div w:id="751661493">
      <w:bodyDiv w:val="1"/>
      <w:marLeft w:val="0"/>
      <w:marRight w:val="0"/>
      <w:marTop w:val="0"/>
      <w:marBottom w:val="0"/>
      <w:divBdr>
        <w:top w:val="none" w:sz="0" w:space="0" w:color="auto"/>
        <w:left w:val="none" w:sz="0" w:space="0" w:color="auto"/>
        <w:bottom w:val="none" w:sz="0" w:space="0" w:color="auto"/>
        <w:right w:val="none" w:sz="0" w:space="0" w:color="auto"/>
      </w:divBdr>
    </w:div>
    <w:div w:id="754127878">
      <w:bodyDiv w:val="1"/>
      <w:marLeft w:val="0"/>
      <w:marRight w:val="0"/>
      <w:marTop w:val="0"/>
      <w:marBottom w:val="0"/>
      <w:divBdr>
        <w:top w:val="none" w:sz="0" w:space="0" w:color="auto"/>
        <w:left w:val="none" w:sz="0" w:space="0" w:color="auto"/>
        <w:bottom w:val="none" w:sz="0" w:space="0" w:color="auto"/>
        <w:right w:val="none" w:sz="0" w:space="0" w:color="auto"/>
      </w:divBdr>
    </w:div>
    <w:div w:id="754322901">
      <w:bodyDiv w:val="1"/>
      <w:marLeft w:val="0"/>
      <w:marRight w:val="0"/>
      <w:marTop w:val="0"/>
      <w:marBottom w:val="0"/>
      <w:divBdr>
        <w:top w:val="none" w:sz="0" w:space="0" w:color="auto"/>
        <w:left w:val="none" w:sz="0" w:space="0" w:color="auto"/>
        <w:bottom w:val="none" w:sz="0" w:space="0" w:color="auto"/>
        <w:right w:val="none" w:sz="0" w:space="0" w:color="auto"/>
      </w:divBdr>
    </w:div>
    <w:div w:id="755172540">
      <w:bodyDiv w:val="1"/>
      <w:marLeft w:val="0"/>
      <w:marRight w:val="0"/>
      <w:marTop w:val="0"/>
      <w:marBottom w:val="0"/>
      <w:divBdr>
        <w:top w:val="none" w:sz="0" w:space="0" w:color="auto"/>
        <w:left w:val="none" w:sz="0" w:space="0" w:color="auto"/>
        <w:bottom w:val="none" w:sz="0" w:space="0" w:color="auto"/>
        <w:right w:val="none" w:sz="0" w:space="0" w:color="auto"/>
      </w:divBdr>
    </w:div>
    <w:div w:id="756831491">
      <w:bodyDiv w:val="1"/>
      <w:marLeft w:val="0"/>
      <w:marRight w:val="0"/>
      <w:marTop w:val="0"/>
      <w:marBottom w:val="0"/>
      <w:divBdr>
        <w:top w:val="none" w:sz="0" w:space="0" w:color="auto"/>
        <w:left w:val="none" w:sz="0" w:space="0" w:color="auto"/>
        <w:bottom w:val="none" w:sz="0" w:space="0" w:color="auto"/>
        <w:right w:val="none" w:sz="0" w:space="0" w:color="auto"/>
      </w:divBdr>
    </w:div>
    <w:div w:id="757216832">
      <w:bodyDiv w:val="1"/>
      <w:marLeft w:val="0"/>
      <w:marRight w:val="0"/>
      <w:marTop w:val="0"/>
      <w:marBottom w:val="0"/>
      <w:divBdr>
        <w:top w:val="none" w:sz="0" w:space="0" w:color="auto"/>
        <w:left w:val="none" w:sz="0" w:space="0" w:color="auto"/>
        <w:bottom w:val="none" w:sz="0" w:space="0" w:color="auto"/>
        <w:right w:val="none" w:sz="0" w:space="0" w:color="auto"/>
      </w:divBdr>
    </w:div>
    <w:div w:id="757407852">
      <w:bodyDiv w:val="1"/>
      <w:marLeft w:val="0"/>
      <w:marRight w:val="0"/>
      <w:marTop w:val="0"/>
      <w:marBottom w:val="0"/>
      <w:divBdr>
        <w:top w:val="none" w:sz="0" w:space="0" w:color="auto"/>
        <w:left w:val="none" w:sz="0" w:space="0" w:color="auto"/>
        <w:bottom w:val="none" w:sz="0" w:space="0" w:color="auto"/>
        <w:right w:val="none" w:sz="0" w:space="0" w:color="auto"/>
      </w:divBdr>
    </w:div>
    <w:div w:id="758450498">
      <w:bodyDiv w:val="1"/>
      <w:marLeft w:val="0"/>
      <w:marRight w:val="0"/>
      <w:marTop w:val="0"/>
      <w:marBottom w:val="0"/>
      <w:divBdr>
        <w:top w:val="none" w:sz="0" w:space="0" w:color="auto"/>
        <w:left w:val="none" w:sz="0" w:space="0" w:color="auto"/>
        <w:bottom w:val="none" w:sz="0" w:space="0" w:color="auto"/>
        <w:right w:val="none" w:sz="0" w:space="0" w:color="auto"/>
      </w:divBdr>
    </w:div>
    <w:div w:id="758454367">
      <w:bodyDiv w:val="1"/>
      <w:marLeft w:val="0"/>
      <w:marRight w:val="0"/>
      <w:marTop w:val="0"/>
      <w:marBottom w:val="0"/>
      <w:divBdr>
        <w:top w:val="none" w:sz="0" w:space="0" w:color="auto"/>
        <w:left w:val="none" w:sz="0" w:space="0" w:color="auto"/>
        <w:bottom w:val="none" w:sz="0" w:space="0" w:color="auto"/>
        <w:right w:val="none" w:sz="0" w:space="0" w:color="auto"/>
      </w:divBdr>
    </w:div>
    <w:div w:id="761268851">
      <w:bodyDiv w:val="1"/>
      <w:marLeft w:val="0"/>
      <w:marRight w:val="0"/>
      <w:marTop w:val="0"/>
      <w:marBottom w:val="0"/>
      <w:divBdr>
        <w:top w:val="none" w:sz="0" w:space="0" w:color="auto"/>
        <w:left w:val="none" w:sz="0" w:space="0" w:color="auto"/>
        <w:bottom w:val="none" w:sz="0" w:space="0" w:color="auto"/>
        <w:right w:val="none" w:sz="0" w:space="0" w:color="auto"/>
      </w:divBdr>
    </w:div>
    <w:div w:id="761339183">
      <w:bodyDiv w:val="1"/>
      <w:marLeft w:val="0"/>
      <w:marRight w:val="0"/>
      <w:marTop w:val="0"/>
      <w:marBottom w:val="0"/>
      <w:divBdr>
        <w:top w:val="none" w:sz="0" w:space="0" w:color="auto"/>
        <w:left w:val="none" w:sz="0" w:space="0" w:color="auto"/>
        <w:bottom w:val="none" w:sz="0" w:space="0" w:color="auto"/>
        <w:right w:val="none" w:sz="0" w:space="0" w:color="auto"/>
      </w:divBdr>
    </w:div>
    <w:div w:id="761341083">
      <w:bodyDiv w:val="1"/>
      <w:marLeft w:val="0"/>
      <w:marRight w:val="0"/>
      <w:marTop w:val="0"/>
      <w:marBottom w:val="0"/>
      <w:divBdr>
        <w:top w:val="none" w:sz="0" w:space="0" w:color="auto"/>
        <w:left w:val="none" w:sz="0" w:space="0" w:color="auto"/>
        <w:bottom w:val="none" w:sz="0" w:space="0" w:color="auto"/>
        <w:right w:val="none" w:sz="0" w:space="0" w:color="auto"/>
      </w:divBdr>
    </w:div>
    <w:div w:id="764039515">
      <w:bodyDiv w:val="1"/>
      <w:marLeft w:val="0"/>
      <w:marRight w:val="0"/>
      <w:marTop w:val="0"/>
      <w:marBottom w:val="0"/>
      <w:divBdr>
        <w:top w:val="none" w:sz="0" w:space="0" w:color="auto"/>
        <w:left w:val="none" w:sz="0" w:space="0" w:color="auto"/>
        <w:bottom w:val="none" w:sz="0" w:space="0" w:color="auto"/>
        <w:right w:val="none" w:sz="0" w:space="0" w:color="auto"/>
      </w:divBdr>
    </w:div>
    <w:div w:id="765657344">
      <w:bodyDiv w:val="1"/>
      <w:marLeft w:val="0"/>
      <w:marRight w:val="0"/>
      <w:marTop w:val="0"/>
      <w:marBottom w:val="0"/>
      <w:divBdr>
        <w:top w:val="none" w:sz="0" w:space="0" w:color="auto"/>
        <w:left w:val="none" w:sz="0" w:space="0" w:color="auto"/>
        <w:bottom w:val="none" w:sz="0" w:space="0" w:color="auto"/>
        <w:right w:val="none" w:sz="0" w:space="0" w:color="auto"/>
      </w:divBdr>
    </w:div>
    <w:div w:id="765662523">
      <w:bodyDiv w:val="1"/>
      <w:marLeft w:val="0"/>
      <w:marRight w:val="0"/>
      <w:marTop w:val="0"/>
      <w:marBottom w:val="0"/>
      <w:divBdr>
        <w:top w:val="none" w:sz="0" w:space="0" w:color="auto"/>
        <w:left w:val="none" w:sz="0" w:space="0" w:color="auto"/>
        <w:bottom w:val="none" w:sz="0" w:space="0" w:color="auto"/>
        <w:right w:val="none" w:sz="0" w:space="0" w:color="auto"/>
      </w:divBdr>
    </w:div>
    <w:div w:id="766198601">
      <w:bodyDiv w:val="1"/>
      <w:marLeft w:val="0"/>
      <w:marRight w:val="0"/>
      <w:marTop w:val="0"/>
      <w:marBottom w:val="0"/>
      <w:divBdr>
        <w:top w:val="none" w:sz="0" w:space="0" w:color="auto"/>
        <w:left w:val="none" w:sz="0" w:space="0" w:color="auto"/>
        <w:bottom w:val="none" w:sz="0" w:space="0" w:color="auto"/>
        <w:right w:val="none" w:sz="0" w:space="0" w:color="auto"/>
      </w:divBdr>
    </w:div>
    <w:div w:id="767239117">
      <w:bodyDiv w:val="1"/>
      <w:marLeft w:val="0"/>
      <w:marRight w:val="0"/>
      <w:marTop w:val="0"/>
      <w:marBottom w:val="0"/>
      <w:divBdr>
        <w:top w:val="none" w:sz="0" w:space="0" w:color="auto"/>
        <w:left w:val="none" w:sz="0" w:space="0" w:color="auto"/>
        <w:bottom w:val="none" w:sz="0" w:space="0" w:color="auto"/>
        <w:right w:val="none" w:sz="0" w:space="0" w:color="auto"/>
      </w:divBdr>
    </w:div>
    <w:div w:id="770585584">
      <w:bodyDiv w:val="1"/>
      <w:marLeft w:val="0"/>
      <w:marRight w:val="0"/>
      <w:marTop w:val="0"/>
      <w:marBottom w:val="0"/>
      <w:divBdr>
        <w:top w:val="none" w:sz="0" w:space="0" w:color="auto"/>
        <w:left w:val="none" w:sz="0" w:space="0" w:color="auto"/>
        <w:bottom w:val="none" w:sz="0" w:space="0" w:color="auto"/>
        <w:right w:val="none" w:sz="0" w:space="0" w:color="auto"/>
      </w:divBdr>
    </w:div>
    <w:div w:id="773553520">
      <w:bodyDiv w:val="1"/>
      <w:marLeft w:val="0"/>
      <w:marRight w:val="0"/>
      <w:marTop w:val="0"/>
      <w:marBottom w:val="0"/>
      <w:divBdr>
        <w:top w:val="none" w:sz="0" w:space="0" w:color="auto"/>
        <w:left w:val="none" w:sz="0" w:space="0" w:color="auto"/>
        <w:bottom w:val="none" w:sz="0" w:space="0" w:color="auto"/>
        <w:right w:val="none" w:sz="0" w:space="0" w:color="auto"/>
      </w:divBdr>
    </w:div>
    <w:div w:id="774330102">
      <w:bodyDiv w:val="1"/>
      <w:marLeft w:val="0"/>
      <w:marRight w:val="0"/>
      <w:marTop w:val="0"/>
      <w:marBottom w:val="0"/>
      <w:divBdr>
        <w:top w:val="none" w:sz="0" w:space="0" w:color="auto"/>
        <w:left w:val="none" w:sz="0" w:space="0" w:color="auto"/>
        <w:bottom w:val="none" w:sz="0" w:space="0" w:color="auto"/>
        <w:right w:val="none" w:sz="0" w:space="0" w:color="auto"/>
      </w:divBdr>
    </w:div>
    <w:div w:id="775909582">
      <w:bodyDiv w:val="1"/>
      <w:marLeft w:val="0"/>
      <w:marRight w:val="0"/>
      <w:marTop w:val="0"/>
      <w:marBottom w:val="0"/>
      <w:divBdr>
        <w:top w:val="none" w:sz="0" w:space="0" w:color="auto"/>
        <w:left w:val="none" w:sz="0" w:space="0" w:color="auto"/>
        <w:bottom w:val="none" w:sz="0" w:space="0" w:color="auto"/>
        <w:right w:val="none" w:sz="0" w:space="0" w:color="auto"/>
      </w:divBdr>
    </w:div>
    <w:div w:id="776019106">
      <w:bodyDiv w:val="1"/>
      <w:marLeft w:val="0"/>
      <w:marRight w:val="0"/>
      <w:marTop w:val="0"/>
      <w:marBottom w:val="0"/>
      <w:divBdr>
        <w:top w:val="none" w:sz="0" w:space="0" w:color="auto"/>
        <w:left w:val="none" w:sz="0" w:space="0" w:color="auto"/>
        <w:bottom w:val="none" w:sz="0" w:space="0" w:color="auto"/>
        <w:right w:val="none" w:sz="0" w:space="0" w:color="auto"/>
      </w:divBdr>
    </w:div>
    <w:div w:id="776293440">
      <w:bodyDiv w:val="1"/>
      <w:marLeft w:val="0"/>
      <w:marRight w:val="0"/>
      <w:marTop w:val="0"/>
      <w:marBottom w:val="0"/>
      <w:divBdr>
        <w:top w:val="none" w:sz="0" w:space="0" w:color="auto"/>
        <w:left w:val="none" w:sz="0" w:space="0" w:color="auto"/>
        <w:bottom w:val="none" w:sz="0" w:space="0" w:color="auto"/>
        <w:right w:val="none" w:sz="0" w:space="0" w:color="auto"/>
      </w:divBdr>
    </w:div>
    <w:div w:id="777333154">
      <w:bodyDiv w:val="1"/>
      <w:marLeft w:val="0"/>
      <w:marRight w:val="0"/>
      <w:marTop w:val="0"/>
      <w:marBottom w:val="0"/>
      <w:divBdr>
        <w:top w:val="none" w:sz="0" w:space="0" w:color="auto"/>
        <w:left w:val="none" w:sz="0" w:space="0" w:color="auto"/>
        <w:bottom w:val="none" w:sz="0" w:space="0" w:color="auto"/>
        <w:right w:val="none" w:sz="0" w:space="0" w:color="auto"/>
      </w:divBdr>
    </w:div>
    <w:div w:id="779573116">
      <w:bodyDiv w:val="1"/>
      <w:marLeft w:val="0"/>
      <w:marRight w:val="0"/>
      <w:marTop w:val="0"/>
      <w:marBottom w:val="0"/>
      <w:divBdr>
        <w:top w:val="none" w:sz="0" w:space="0" w:color="auto"/>
        <w:left w:val="none" w:sz="0" w:space="0" w:color="auto"/>
        <w:bottom w:val="none" w:sz="0" w:space="0" w:color="auto"/>
        <w:right w:val="none" w:sz="0" w:space="0" w:color="auto"/>
      </w:divBdr>
    </w:div>
    <w:div w:id="781532027">
      <w:bodyDiv w:val="1"/>
      <w:marLeft w:val="0"/>
      <w:marRight w:val="0"/>
      <w:marTop w:val="0"/>
      <w:marBottom w:val="0"/>
      <w:divBdr>
        <w:top w:val="none" w:sz="0" w:space="0" w:color="auto"/>
        <w:left w:val="none" w:sz="0" w:space="0" w:color="auto"/>
        <w:bottom w:val="none" w:sz="0" w:space="0" w:color="auto"/>
        <w:right w:val="none" w:sz="0" w:space="0" w:color="auto"/>
      </w:divBdr>
    </w:div>
    <w:div w:id="782919714">
      <w:bodyDiv w:val="1"/>
      <w:marLeft w:val="0"/>
      <w:marRight w:val="0"/>
      <w:marTop w:val="0"/>
      <w:marBottom w:val="0"/>
      <w:divBdr>
        <w:top w:val="none" w:sz="0" w:space="0" w:color="auto"/>
        <w:left w:val="none" w:sz="0" w:space="0" w:color="auto"/>
        <w:bottom w:val="none" w:sz="0" w:space="0" w:color="auto"/>
        <w:right w:val="none" w:sz="0" w:space="0" w:color="auto"/>
      </w:divBdr>
    </w:div>
    <w:div w:id="786850295">
      <w:bodyDiv w:val="1"/>
      <w:marLeft w:val="0"/>
      <w:marRight w:val="0"/>
      <w:marTop w:val="0"/>
      <w:marBottom w:val="0"/>
      <w:divBdr>
        <w:top w:val="none" w:sz="0" w:space="0" w:color="auto"/>
        <w:left w:val="none" w:sz="0" w:space="0" w:color="auto"/>
        <w:bottom w:val="none" w:sz="0" w:space="0" w:color="auto"/>
        <w:right w:val="none" w:sz="0" w:space="0" w:color="auto"/>
      </w:divBdr>
    </w:div>
    <w:div w:id="790897437">
      <w:bodyDiv w:val="1"/>
      <w:marLeft w:val="0"/>
      <w:marRight w:val="0"/>
      <w:marTop w:val="0"/>
      <w:marBottom w:val="0"/>
      <w:divBdr>
        <w:top w:val="none" w:sz="0" w:space="0" w:color="auto"/>
        <w:left w:val="none" w:sz="0" w:space="0" w:color="auto"/>
        <w:bottom w:val="none" w:sz="0" w:space="0" w:color="auto"/>
        <w:right w:val="none" w:sz="0" w:space="0" w:color="auto"/>
      </w:divBdr>
    </w:div>
    <w:div w:id="790972717">
      <w:bodyDiv w:val="1"/>
      <w:marLeft w:val="0"/>
      <w:marRight w:val="0"/>
      <w:marTop w:val="0"/>
      <w:marBottom w:val="0"/>
      <w:divBdr>
        <w:top w:val="none" w:sz="0" w:space="0" w:color="auto"/>
        <w:left w:val="none" w:sz="0" w:space="0" w:color="auto"/>
        <w:bottom w:val="none" w:sz="0" w:space="0" w:color="auto"/>
        <w:right w:val="none" w:sz="0" w:space="0" w:color="auto"/>
      </w:divBdr>
    </w:div>
    <w:div w:id="790976995">
      <w:bodyDiv w:val="1"/>
      <w:marLeft w:val="0"/>
      <w:marRight w:val="0"/>
      <w:marTop w:val="0"/>
      <w:marBottom w:val="0"/>
      <w:divBdr>
        <w:top w:val="none" w:sz="0" w:space="0" w:color="auto"/>
        <w:left w:val="none" w:sz="0" w:space="0" w:color="auto"/>
        <w:bottom w:val="none" w:sz="0" w:space="0" w:color="auto"/>
        <w:right w:val="none" w:sz="0" w:space="0" w:color="auto"/>
      </w:divBdr>
    </w:div>
    <w:div w:id="791747538">
      <w:bodyDiv w:val="1"/>
      <w:marLeft w:val="0"/>
      <w:marRight w:val="0"/>
      <w:marTop w:val="0"/>
      <w:marBottom w:val="0"/>
      <w:divBdr>
        <w:top w:val="none" w:sz="0" w:space="0" w:color="auto"/>
        <w:left w:val="none" w:sz="0" w:space="0" w:color="auto"/>
        <w:bottom w:val="none" w:sz="0" w:space="0" w:color="auto"/>
        <w:right w:val="none" w:sz="0" w:space="0" w:color="auto"/>
      </w:divBdr>
    </w:div>
    <w:div w:id="793251953">
      <w:bodyDiv w:val="1"/>
      <w:marLeft w:val="0"/>
      <w:marRight w:val="0"/>
      <w:marTop w:val="0"/>
      <w:marBottom w:val="0"/>
      <w:divBdr>
        <w:top w:val="none" w:sz="0" w:space="0" w:color="auto"/>
        <w:left w:val="none" w:sz="0" w:space="0" w:color="auto"/>
        <w:bottom w:val="none" w:sz="0" w:space="0" w:color="auto"/>
        <w:right w:val="none" w:sz="0" w:space="0" w:color="auto"/>
      </w:divBdr>
    </w:div>
    <w:div w:id="793257898">
      <w:bodyDiv w:val="1"/>
      <w:marLeft w:val="0"/>
      <w:marRight w:val="0"/>
      <w:marTop w:val="0"/>
      <w:marBottom w:val="0"/>
      <w:divBdr>
        <w:top w:val="none" w:sz="0" w:space="0" w:color="auto"/>
        <w:left w:val="none" w:sz="0" w:space="0" w:color="auto"/>
        <w:bottom w:val="none" w:sz="0" w:space="0" w:color="auto"/>
        <w:right w:val="none" w:sz="0" w:space="0" w:color="auto"/>
      </w:divBdr>
    </w:div>
    <w:div w:id="794638988">
      <w:bodyDiv w:val="1"/>
      <w:marLeft w:val="0"/>
      <w:marRight w:val="0"/>
      <w:marTop w:val="0"/>
      <w:marBottom w:val="0"/>
      <w:divBdr>
        <w:top w:val="none" w:sz="0" w:space="0" w:color="auto"/>
        <w:left w:val="none" w:sz="0" w:space="0" w:color="auto"/>
        <w:bottom w:val="none" w:sz="0" w:space="0" w:color="auto"/>
        <w:right w:val="none" w:sz="0" w:space="0" w:color="auto"/>
      </w:divBdr>
      <w:divsChild>
        <w:div w:id="988249578">
          <w:marLeft w:val="0"/>
          <w:marRight w:val="0"/>
          <w:marTop w:val="0"/>
          <w:marBottom w:val="0"/>
          <w:divBdr>
            <w:top w:val="none" w:sz="0" w:space="0" w:color="auto"/>
            <w:left w:val="none" w:sz="0" w:space="0" w:color="auto"/>
            <w:bottom w:val="none" w:sz="0" w:space="0" w:color="auto"/>
            <w:right w:val="none" w:sz="0" w:space="0" w:color="auto"/>
          </w:divBdr>
        </w:div>
      </w:divsChild>
    </w:div>
    <w:div w:id="796728304">
      <w:bodyDiv w:val="1"/>
      <w:marLeft w:val="0"/>
      <w:marRight w:val="0"/>
      <w:marTop w:val="0"/>
      <w:marBottom w:val="0"/>
      <w:divBdr>
        <w:top w:val="none" w:sz="0" w:space="0" w:color="auto"/>
        <w:left w:val="none" w:sz="0" w:space="0" w:color="auto"/>
        <w:bottom w:val="none" w:sz="0" w:space="0" w:color="auto"/>
        <w:right w:val="none" w:sz="0" w:space="0" w:color="auto"/>
      </w:divBdr>
    </w:div>
    <w:div w:id="797183799">
      <w:bodyDiv w:val="1"/>
      <w:marLeft w:val="0"/>
      <w:marRight w:val="0"/>
      <w:marTop w:val="0"/>
      <w:marBottom w:val="0"/>
      <w:divBdr>
        <w:top w:val="none" w:sz="0" w:space="0" w:color="auto"/>
        <w:left w:val="none" w:sz="0" w:space="0" w:color="auto"/>
        <w:bottom w:val="none" w:sz="0" w:space="0" w:color="auto"/>
        <w:right w:val="none" w:sz="0" w:space="0" w:color="auto"/>
      </w:divBdr>
    </w:div>
    <w:div w:id="798912165">
      <w:bodyDiv w:val="1"/>
      <w:marLeft w:val="0"/>
      <w:marRight w:val="0"/>
      <w:marTop w:val="0"/>
      <w:marBottom w:val="0"/>
      <w:divBdr>
        <w:top w:val="none" w:sz="0" w:space="0" w:color="auto"/>
        <w:left w:val="none" w:sz="0" w:space="0" w:color="auto"/>
        <w:bottom w:val="none" w:sz="0" w:space="0" w:color="auto"/>
        <w:right w:val="none" w:sz="0" w:space="0" w:color="auto"/>
      </w:divBdr>
    </w:div>
    <w:div w:id="805394285">
      <w:bodyDiv w:val="1"/>
      <w:marLeft w:val="0"/>
      <w:marRight w:val="0"/>
      <w:marTop w:val="0"/>
      <w:marBottom w:val="0"/>
      <w:divBdr>
        <w:top w:val="none" w:sz="0" w:space="0" w:color="auto"/>
        <w:left w:val="none" w:sz="0" w:space="0" w:color="auto"/>
        <w:bottom w:val="none" w:sz="0" w:space="0" w:color="auto"/>
        <w:right w:val="none" w:sz="0" w:space="0" w:color="auto"/>
      </w:divBdr>
    </w:div>
    <w:div w:id="805439963">
      <w:bodyDiv w:val="1"/>
      <w:marLeft w:val="0"/>
      <w:marRight w:val="0"/>
      <w:marTop w:val="0"/>
      <w:marBottom w:val="0"/>
      <w:divBdr>
        <w:top w:val="none" w:sz="0" w:space="0" w:color="auto"/>
        <w:left w:val="none" w:sz="0" w:space="0" w:color="auto"/>
        <w:bottom w:val="none" w:sz="0" w:space="0" w:color="auto"/>
        <w:right w:val="none" w:sz="0" w:space="0" w:color="auto"/>
      </w:divBdr>
    </w:div>
    <w:div w:id="806316279">
      <w:bodyDiv w:val="1"/>
      <w:marLeft w:val="0"/>
      <w:marRight w:val="0"/>
      <w:marTop w:val="0"/>
      <w:marBottom w:val="0"/>
      <w:divBdr>
        <w:top w:val="none" w:sz="0" w:space="0" w:color="auto"/>
        <w:left w:val="none" w:sz="0" w:space="0" w:color="auto"/>
        <w:bottom w:val="none" w:sz="0" w:space="0" w:color="auto"/>
        <w:right w:val="none" w:sz="0" w:space="0" w:color="auto"/>
      </w:divBdr>
    </w:div>
    <w:div w:id="809785448">
      <w:bodyDiv w:val="1"/>
      <w:marLeft w:val="0"/>
      <w:marRight w:val="0"/>
      <w:marTop w:val="0"/>
      <w:marBottom w:val="0"/>
      <w:divBdr>
        <w:top w:val="none" w:sz="0" w:space="0" w:color="auto"/>
        <w:left w:val="none" w:sz="0" w:space="0" w:color="auto"/>
        <w:bottom w:val="none" w:sz="0" w:space="0" w:color="auto"/>
        <w:right w:val="none" w:sz="0" w:space="0" w:color="auto"/>
      </w:divBdr>
    </w:div>
    <w:div w:id="810639519">
      <w:bodyDiv w:val="1"/>
      <w:marLeft w:val="0"/>
      <w:marRight w:val="0"/>
      <w:marTop w:val="0"/>
      <w:marBottom w:val="0"/>
      <w:divBdr>
        <w:top w:val="none" w:sz="0" w:space="0" w:color="auto"/>
        <w:left w:val="none" w:sz="0" w:space="0" w:color="auto"/>
        <w:bottom w:val="none" w:sz="0" w:space="0" w:color="auto"/>
        <w:right w:val="none" w:sz="0" w:space="0" w:color="auto"/>
      </w:divBdr>
    </w:div>
    <w:div w:id="811752582">
      <w:bodyDiv w:val="1"/>
      <w:marLeft w:val="0"/>
      <w:marRight w:val="0"/>
      <w:marTop w:val="0"/>
      <w:marBottom w:val="0"/>
      <w:divBdr>
        <w:top w:val="none" w:sz="0" w:space="0" w:color="auto"/>
        <w:left w:val="none" w:sz="0" w:space="0" w:color="auto"/>
        <w:bottom w:val="none" w:sz="0" w:space="0" w:color="auto"/>
        <w:right w:val="none" w:sz="0" w:space="0" w:color="auto"/>
      </w:divBdr>
    </w:div>
    <w:div w:id="812211613">
      <w:bodyDiv w:val="1"/>
      <w:marLeft w:val="0"/>
      <w:marRight w:val="0"/>
      <w:marTop w:val="0"/>
      <w:marBottom w:val="0"/>
      <w:divBdr>
        <w:top w:val="none" w:sz="0" w:space="0" w:color="auto"/>
        <w:left w:val="none" w:sz="0" w:space="0" w:color="auto"/>
        <w:bottom w:val="none" w:sz="0" w:space="0" w:color="auto"/>
        <w:right w:val="none" w:sz="0" w:space="0" w:color="auto"/>
      </w:divBdr>
    </w:div>
    <w:div w:id="812327898">
      <w:bodyDiv w:val="1"/>
      <w:marLeft w:val="0"/>
      <w:marRight w:val="0"/>
      <w:marTop w:val="0"/>
      <w:marBottom w:val="0"/>
      <w:divBdr>
        <w:top w:val="none" w:sz="0" w:space="0" w:color="auto"/>
        <w:left w:val="none" w:sz="0" w:space="0" w:color="auto"/>
        <w:bottom w:val="none" w:sz="0" w:space="0" w:color="auto"/>
        <w:right w:val="none" w:sz="0" w:space="0" w:color="auto"/>
      </w:divBdr>
    </w:div>
    <w:div w:id="812521842">
      <w:bodyDiv w:val="1"/>
      <w:marLeft w:val="0"/>
      <w:marRight w:val="0"/>
      <w:marTop w:val="0"/>
      <w:marBottom w:val="0"/>
      <w:divBdr>
        <w:top w:val="none" w:sz="0" w:space="0" w:color="auto"/>
        <w:left w:val="none" w:sz="0" w:space="0" w:color="auto"/>
        <w:bottom w:val="none" w:sz="0" w:space="0" w:color="auto"/>
        <w:right w:val="none" w:sz="0" w:space="0" w:color="auto"/>
      </w:divBdr>
    </w:div>
    <w:div w:id="816536957">
      <w:bodyDiv w:val="1"/>
      <w:marLeft w:val="0"/>
      <w:marRight w:val="0"/>
      <w:marTop w:val="0"/>
      <w:marBottom w:val="0"/>
      <w:divBdr>
        <w:top w:val="none" w:sz="0" w:space="0" w:color="auto"/>
        <w:left w:val="none" w:sz="0" w:space="0" w:color="auto"/>
        <w:bottom w:val="none" w:sz="0" w:space="0" w:color="auto"/>
        <w:right w:val="none" w:sz="0" w:space="0" w:color="auto"/>
      </w:divBdr>
    </w:div>
    <w:div w:id="816843668">
      <w:bodyDiv w:val="1"/>
      <w:marLeft w:val="0"/>
      <w:marRight w:val="0"/>
      <w:marTop w:val="0"/>
      <w:marBottom w:val="0"/>
      <w:divBdr>
        <w:top w:val="none" w:sz="0" w:space="0" w:color="auto"/>
        <w:left w:val="none" w:sz="0" w:space="0" w:color="auto"/>
        <w:bottom w:val="none" w:sz="0" w:space="0" w:color="auto"/>
        <w:right w:val="none" w:sz="0" w:space="0" w:color="auto"/>
      </w:divBdr>
    </w:div>
    <w:div w:id="817890408">
      <w:bodyDiv w:val="1"/>
      <w:marLeft w:val="0"/>
      <w:marRight w:val="0"/>
      <w:marTop w:val="0"/>
      <w:marBottom w:val="0"/>
      <w:divBdr>
        <w:top w:val="none" w:sz="0" w:space="0" w:color="auto"/>
        <w:left w:val="none" w:sz="0" w:space="0" w:color="auto"/>
        <w:bottom w:val="none" w:sz="0" w:space="0" w:color="auto"/>
        <w:right w:val="none" w:sz="0" w:space="0" w:color="auto"/>
      </w:divBdr>
    </w:div>
    <w:div w:id="818228886">
      <w:bodyDiv w:val="1"/>
      <w:marLeft w:val="0"/>
      <w:marRight w:val="0"/>
      <w:marTop w:val="0"/>
      <w:marBottom w:val="0"/>
      <w:divBdr>
        <w:top w:val="none" w:sz="0" w:space="0" w:color="auto"/>
        <w:left w:val="none" w:sz="0" w:space="0" w:color="auto"/>
        <w:bottom w:val="none" w:sz="0" w:space="0" w:color="auto"/>
        <w:right w:val="none" w:sz="0" w:space="0" w:color="auto"/>
      </w:divBdr>
    </w:div>
    <w:div w:id="819538812">
      <w:bodyDiv w:val="1"/>
      <w:marLeft w:val="0"/>
      <w:marRight w:val="0"/>
      <w:marTop w:val="0"/>
      <w:marBottom w:val="0"/>
      <w:divBdr>
        <w:top w:val="none" w:sz="0" w:space="0" w:color="auto"/>
        <w:left w:val="none" w:sz="0" w:space="0" w:color="auto"/>
        <w:bottom w:val="none" w:sz="0" w:space="0" w:color="auto"/>
        <w:right w:val="none" w:sz="0" w:space="0" w:color="auto"/>
      </w:divBdr>
    </w:div>
    <w:div w:id="823551399">
      <w:bodyDiv w:val="1"/>
      <w:marLeft w:val="0"/>
      <w:marRight w:val="0"/>
      <w:marTop w:val="0"/>
      <w:marBottom w:val="0"/>
      <w:divBdr>
        <w:top w:val="none" w:sz="0" w:space="0" w:color="auto"/>
        <w:left w:val="none" w:sz="0" w:space="0" w:color="auto"/>
        <w:bottom w:val="none" w:sz="0" w:space="0" w:color="auto"/>
        <w:right w:val="none" w:sz="0" w:space="0" w:color="auto"/>
      </w:divBdr>
    </w:div>
    <w:div w:id="825971749">
      <w:bodyDiv w:val="1"/>
      <w:marLeft w:val="0"/>
      <w:marRight w:val="0"/>
      <w:marTop w:val="0"/>
      <w:marBottom w:val="0"/>
      <w:divBdr>
        <w:top w:val="none" w:sz="0" w:space="0" w:color="auto"/>
        <w:left w:val="none" w:sz="0" w:space="0" w:color="auto"/>
        <w:bottom w:val="none" w:sz="0" w:space="0" w:color="auto"/>
        <w:right w:val="none" w:sz="0" w:space="0" w:color="auto"/>
      </w:divBdr>
    </w:div>
    <w:div w:id="828255649">
      <w:bodyDiv w:val="1"/>
      <w:marLeft w:val="0"/>
      <w:marRight w:val="0"/>
      <w:marTop w:val="0"/>
      <w:marBottom w:val="0"/>
      <w:divBdr>
        <w:top w:val="none" w:sz="0" w:space="0" w:color="auto"/>
        <w:left w:val="none" w:sz="0" w:space="0" w:color="auto"/>
        <w:bottom w:val="none" w:sz="0" w:space="0" w:color="auto"/>
        <w:right w:val="none" w:sz="0" w:space="0" w:color="auto"/>
      </w:divBdr>
    </w:div>
    <w:div w:id="828517557">
      <w:bodyDiv w:val="1"/>
      <w:marLeft w:val="0"/>
      <w:marRight w:val="0"/>
      <w:marTop w:val="0"/>
      <w:marBottom w:val="0"/>
      <w:divBdr>
        <w:top w:val="none" w:sz="0" w:space="0" w:color="auto"/>
        <w:left w:val="none" w:sz="0" w:space="0" w:color="auto"/>
        <w:bottom w:val="none" w:sz="0" w:space="0" w:color="auto"/>
        <w:right w:val="none" w:sz="0" w:space="0" w:color="auto"/>
      </w:divBdr>
    </w:div>
    <w:div w:id="828794272">
      <w:bodyDiv w:val="1"/>
      <w:marLeft w:val="0"/>
      <w:marRight w:val="0"/>
      <w:marTop w:val="0"/>
      <w:marBottom w:val="0"/>
      <w:divBdr>
        <w:top w:val="none" w:sz="0" w:space="0" w:color="auto"/>
        <w:left w:val="none" w:sz="0" w:space="0" w:color="auto"/>
        <w:bottom w:val="none" w:sz="0" w:space="0" w:color="auto"/>
        <w:right w:val="none" w:sz="0" w:space="0" w:color="auto"/>
      </w:divBdr>
    </w:div>
    <w:div w:id="829952679">
      <w:bodyDiv w:val="1"/>
      <w:marLeft w:val="0"/>
      <w:marRight w:val="0"/>
      <w:marTop w:val="0"/>
      <w:marBottom w:val="0"/>
      <w:divBdr>
        <w:top w:val="none" w:sz="0" w:space="0" w:color="auto"/>
        <w:left w:val="none" w:sz="0" w:space="0" w:color="auto"/>
        <w:bottom w:val="none" w:sz="0" w:space="0" w:color="auto"/>
        <w:right w:val="none" w:sz="0" w:space="0" w:color="auto"/>
      </w:divBdr>
    </w:div>
    <w:div w:id="831456435">
      <w:bodyDiv w:val="1"/>
      <w:marLeft w:val="0"/>
      <w:marRight w:val="0"/>
      <w:marTop w:val="0"/>
      <w:marBottom w:val="0"/>
      <w:divBdr>
        <w:top w:val="none" w:sz="0" w:space="0" w:color="auto"/>
        <w:left w:val="none" w:sz="0" w:space="0" w:color="auto"/>
        <w:bottom w:val="none" w:sz="0" w:space="0" w:color="auto"/>
        <w:right w:val="none" w:sz="0" w:space="0" w:color="auto"/>
      </w:divBdr>
    </w:div>
    <w:div w:id="831683994">
      <w:bodyDiv w:val="1"/>
      <w:marLeft w:val="0"/>
      <w:marRight w:val="0"/>
      <w:marTop w:val="0"/>
      <w:marBottom w:val="0"/>
      <w:divBdr>
        <w:top w:val="none" w:sz="0" w:space="0" w:color="auto"/>
        <w:left w:val="none" w:sz="0" w:space="0" w:color="auto"/>
        <w:bottom w:val="none" w:sz="0" w:space="0" w:color="auto"/>
        <w:right w:val="none" w:sz="0" w:space="0" w:color="auto"/>
      </w:divBdr>
    </w:div>
    <w:div w:id="832141260">
      <w:bodyDiv w:val="1"/>
      <w:marLeft w:val="0"/>
      <w:marRight w:val="0"/>
      <w:marTop w:val="0"/>
      <w:marBottom w:val="0"/>
      <w:divBdr>
        <w:top w:val="none" w:sz="0" w:space="0" w:color="auto"/>
        <w:left w:val="none" w:sz="0" w:space="0" w:color="auto"/>
        <w:bottom w:val="none" w:sz="0" w:space="0" w:color="auto"/>
        <w:right w:val="none" w:sz="0" w:space="0" w:color="auto"/>
      </w:divBdr>
    </w:div>
    <w:div w:id="832333753">
      <w:bodyDiv w:val="1"/>
      <w:marLeft w:val="0"/>
      <w:marRight w:val="0"/>
      <w:marTop w:val="0"/>
      <w:marBottom w:val="0"/>
      <w:divBdr>
        <w:top w:val="none" w:sz="0" w:space="0" w:color="auto"/>
        <w:left w:val="none" w:sz="0" w:space="0" w:color="auto"/>
        <w:bottom w:val="none" w:sz="0" w:space="0" w:color="auto"/>
        <w:right w:val="none" w:sz="0" w:space="0" w:color="auto"/>
      </w:divBdr>
    </w:div>
    <w:div w:id="832381809">
      <w:bodyDiv w:val="1"/>
      <w:marLeft w:val="0"/>
      <w:marRight w:val="0"/>
      <w:marTop w:val="0"/>
      <w:marBottom w:val="0"/>
      <w:divBdr>
        <w:top w:val="none" w:sz="0" w:space="0" w:color="auto"/>
        <w:left w:val="none" w:sz="0" w:space="0" w:color="auto"/>
        <w:bottom w:val="none" w:sz="0" w:space="0" w:color="auto"/>
        <w:right w:val="none" w:sz="0" w:space="0" w:color="auto"/>
      </w:divBdr>
    </w:div>
    <w:div w:id="835456803">
      <w:bodyDiv w:val="1"/>
      <w:marLeft w:val="0"/>
      <w:marRight w:val="0"/>
      <w:marTop w:val="0"/>
      <w:marBottom w:val="0"/>
      <w:divBdr>
        <w:top w:val="none" w:sz="0" w:space="0" w:color="auto"/>
        <w:left w:val="none" w:sz="0" w:space="0" w:color="auto"/>
        <w:bottom w:val="none" w:sz="0" w:space="0" w:color="auto"/>
        <w:right w:val="none" w:sz="0" w:space="0" w:color="auto"/>
      </w:divBdr>
    </w:div>
    <w:div w:id="841244219">
      <w:bodyDiv w:val="1"/>
      <w:marLeft w:val="0"/>
      <w:marRight w:val="0"/>
      <w:marTop w:val="0"/>
      <w:marBottom w:val="0"/>
      <w:divBdr>
        <w:top w:val="none" w:sz="0" w:space="0" w:color="auto"/>
        <w:left w:val="none" w:sz="0" w:space="0" w:color="auto"/>
        <w:bottom w:val="none" w:sz="0" w:space="0" w:color="auto"/>
        <w:right w:val="none" w:sz="0" w:space="0" w:color="auto"/>
      </w:divBdr>
      <w:divsChild>
        <w:div w:id="693075772">
          <w:marLeft w:val="0"/>
          <w:marRight w:val="0"/>
          <w:marTop w:val="0"/>
          <w:marBottom w:val="0"/>
          <w:divBdr>
            <w:top w:val="none" w:sz="0" w:space="0" w:color="auto"/>
            <w:left w:val="none" w:sz="0" w:space="0" w:color="auto"/>
            <w:bottom w:val="none" w:sz="0" w:space="0" w:color="auto"/>
            <w:right w:val="none" w:sz="0" w:space="0" w:color="auto"/>
          </w:divBdr>
          <w:divsChild>
            <w:div w:id="2101172878">
              <w:marLeft w:val="0"/>
              <w:marRight w:val="0"/>
              <w:marTop w:val="0"/>
              <w:marBottom w:val="0"/>
              <w:divBdr>
                <w:top w:val="none" w:sz="0" w:space="0" w:color="auto"/>
                <w:left w:val="none" w:sz="0" w:space="0" w:color="auto"/>
                <w:bottom w:val="none" w:sz="0" w:space="0" w:color="auto"/>
                <w:right w:val="none" w:sz="0" w:space="0" w:color="auto"/>
              </w:divBdr>
              <w:divsChild>
                <w:div w:id="87623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744559">
      <w:bodyDiv w:val="1"/>
      <w:marLeft w:val="0"/>
      <w:marRight w:val="0"/>
      <w:marTop w:val="0"/>
      <w:marBottom w:val="0"/>
      <w:divBdr>
        <w:top w:val="none" w:sz="0" w:space="0" w:color="auto"/>
        <w:left w:val="none" w:sz="0" w:space="0" w:color="auto"/>
        <w:bottom w:val="none" w:sz="0" w:space="0" w:color="auto"/>
        <w:right w:val="none" w:sz="0" w:space="0" w:color="auto"/>
      </w:divBdr>
    </w:div>
    <w:div w:id="843394796">
      <w:bodyDiv w:val="1"/>
      <w:marLeft w:val="0"/>
      <w:marRight w:val="0"/>
      <w:marTop w:val="0"/>
      <w:marBottom w:val="0"/>
      <w:divBdr>
        <w:top w:val="none" w:sz="0" w:space="0" w:color="auto"/>
        <w:left w:val="none" w:sz="0" w:space="0" w:color="auto"/>
        <w:bottom w:val="none" w:sz="0" w:space="0" w:color="auto"/>
        <w:right w:val="none" w:sz="0" w:space="0" w:color="auto"/>
      </w:divBdr>
    </w:div>
    <w:div w:id="844707139">
      <w:bodyDiv w:val="1"/>
      <w:marLeft w:val="0"/>
      <w:marRight w:val="0"/>
      <w:marTop w:val="0"/>
      <w:marBottom w:val="0"/>
      <w:divBdr>
        <w:top w:val="none" w:sz="0" w:space="0" w:color="auto"/>
        <w:left w:val="none" w:sz="0" w:space="0" w:color="auto"/>
        <w:bottom w:val="none" w:sz="0" w:space="0" w:color="auto"/>
        <w:right w:val="none" w:sz="0" w:space="0" w:color="auto"/>
      </w:divBdr>
    </w:div>
    <w:div w:id="845633839">
      <w:bodyDiv w:val="1"/>
      <w:marLeft w:val="0"/>
      <w:marRight w:val="0"/>
      <w:marTop w:val="0"/>
      <w:marBottom w:val="0"/>
      <w:divBdr>
        <w:top w:val="none" w:sz="0" w:space="0" w:color="auto"/>
        <w:left w:val="none" w:sz="0" w:space="0" w:color="auto"/>
        <w:bottom w:val="none" w:sz="0" w:space="0" w:color="auto"/>
        <w:right w:val="none" w:sz="0" w:space="0" w:color="auto"/>
      </w:divBdr>
    </w:div>
    <w:div w:id="848445214">
      <w:bodyDiv w:val="1"/>
      <w:marLeft w:val="0"/>
      <w:marRight w:val="0"/>
      <w:marTop w:val="0"/>
      <w:marBottom w:val="0"/>
      <w:divBdr>
        <w:top w:val="none" w:sz="0" w:space="0" w:color="auto"/>
        <w:left w:val="none" w:sz="0" w:space="0" w:color="auto"/>
        <w:bottom w:val="none" w:sz="0" w:space="0" w:color="auto"/>
        <w:right w:val="none" w:sz="0" w:space="0" w:color="auto"/>
      </w:divBdr>
    </w:div>
    <w:div w:id="850920727">
      <w:bodyDiv w:val="1"/>
      <w:marLeft w:val="0"/>
      <w:marRight w:val="0"/>
      <w:marTop w:val="0"/>
      <w:marBottom w:val="0"/>
      <w:divBdr>
        <w:top w:val="none" w:sz="0" w:space="0" w:color="auto"/>
        <w:left w:val="none" w:sz="0" w:space="0" w:color="auto"/>
        <w:bottom w:val="none" w:sz="0" w:space="0" w:color="auto"/>
        <w:right w:val="none" w:sz="0" w:space="0" w:color="auto"/>
      </w:divBdr>
    </w:div>
    <w:div w:id="851989945">
      <w:bodyDiv w:val="1"/>
      <w:marLeft w:val="0"/>
      <w:marRight w:val="0"/>
      <w:marTop w:val="0"/>
      <w:marBottom w:val="0"/>
      <w:divBdr>
        <w:top w:val="none" w:sz="0" w:space="0" w:color="auto"/>
        <w:left w:val="none" w:sz="0" w:space="0" w:color="auto"/>
        <w:bottom w:val="none" w:sz="0" w:space="0" w:color="auto"/>
        <w:right w:val="none" w:sz="0" w:space="0" w:color="auto"/>
      </w:divBdr>
    </w:div>
    <w:div w:id="852108117">
      <w:bodyDiv w:val="1"/>
      <w:marLeft w:val="0"/>
      <w:marRight w:val="0"/>
      <w:marTop w:val="0"/>
      <w:marBottom w:val="0"/>
      <w:divBdr>
        <w:top w:val="none" w:sz="0" w:space="0" w:color="auto"/>
        <w:left w:val="none" w:sz="0" w:space="0" w:color="auto"/>
        <w:bottom w:val="none" w:sz="0" w:space="0" w:color="auto"/>
        <w:right w:val="none" w:sz="0" w:space="0" w:color="auto"/>
      </w:divBdr>
    </w:div>
    <w:div w:id="852185046">
      <w:bodyDiv w:val="1"/>
      <w:marLeft w:val="0"/>
      <w:marRight w:val="0"/>
      <w:marTop w:val="0"/>
      <w:marBottom w:val="0"/>
      <w:divBdr>
        <w:top w:val="none" w:sz="0" w:space="0" w:color="auto"/>
        <w:left w:val="none" w:sz="0" w:space="0" w:color="auto"/>
        <w:bottom w:val="none" w:sz="0" w:space="0" w:color="auto"/>
        <w:right w:val="none" w:sz="0" w:space="0" w:color="auto"/>
      </w:divBdr>
    </w:div>
    <w:div w:id="853107581">
      <w:bodyDiv w:val="1"/>
      <w:marLeft w:val="0"/>
      <w:marRight w:val="0"/>
      <w:marTop w:val="0"/>
      <w:marBottom w:val="0"/>
      <w:divBdr>
        <w:top w:val="none" w:sz="0" w:space="0" w:color="auto"/>
        <w:left w:val="none" w:sz="0" w:space="0" w:color="auto"/>
        <w:bottom w:val="none" w:sz="0" w:space="0" w:color="auto"/>
        <w:right w:val="none" w:sz="0" w:space="0" w:color="auto"/>
      </w:divBdr>
    </w:div>
    <w:div w:id="855115450">
      <w:bodyDiv w:val="1"/>
      <w:marLeft w:val="0"/>
      <w:marRight w:val="0"/>
      <w:marTop w:val="0"/>
      <w:marBottom w:val="0"/>
      <w:divBdr>
        <w:top w:val="none" w:sz="0" w:space="0" w:color="auto"/>
        <w:left w:val="none" w:sz="0" w:space="0" w:color="auto"/>
        <w:bottom w:val="none" w:sz="0" w:space="0" w:color="auto"/>
        <w:right w:val="none" w:sz="0" w:space="0" w:color="auto"/>
      </w:divBdr>
    </w:div>
    <w:div w:id="855578534">
      <w:bodyDiv w:val="1"/>
      <w:marLeft w:val="0"/>
      <w:marRight w:val="0"/>
      <w:marTop w:val="0"/>
      <w:marBottom w:val="0"/>
      <w:divBdr>
        <w:top w:val="none" w:sz="0" w:space="0" w:color="auto"/>
        <w:left w:val="none" w:sz="0" w:space="0" w:color="auto"/>
        <w:bottom w:val="none" w:sz="0" w:space="0" w:color="auto"/>
        <w:right w:val="none" w:sz="0" w:space="0" w:color="auto"/>
      </w:divBdr>
    </w:div>
    <w:div w:id="856389907">
      <w:bodyDiv w:val="1"/>
      <w:marLeft w:val="0"/>
      <w:marRight w:val="0"/>
      <w:marTop w:val="0"/>
      <w:marBottom w:val="0"/>
      <w:divBdr>
        <w:top w:val="none" w:sz="0" w:space="0" w:color="auto"/>
        <w:left w:val="none" w:sz="0" w:space="0" w:color="auto"/>
        <w:bottom w:val="none" w:sz="0" w:space="0" w:color="auto"/>
        <w:right w:val="none" w:sz="0" w:space="0" w:color="auto"/>
      </w:divBdr>
    </w:div>
    <w:div w:id="857428708">
      <w:bodyDiv w:val="1"/>
      <w:marLeft w:val="0"/>
      <w:marRight w:val="0"/>
      <w:marTop w:val="0"/>
      <w:marBottom w:val="0"/>
      <w:divBdr>
        <w:top w:val="none" w:sz="0" w:space="0" w:color="auto"/>
        <w:left w:val="none" w:sz="0" w:space="0" w:color="auto"/>
        <w:bottom w:val="none" w:sz="0" w:space="0" w:color="auto"/>
        <w:right w:val="none" w:sz="0" w:space="0" w:color="auto"/>
      </w:divBdr>
    </w:div>
    <w:div w:id="857962296">
      <w:bodyDiv w:val="1"/>
      <w:marLeft w:val="0"/>
      <w:marRight w:val="0"/>
      <w:marTop w:val="0"/>
      <w:marBottom w:val="0"/>
      <w:divBdr>
        <w:top w:val="none" w:sz="0" w:space="0" w:color="auto"/>
        <w:left w:val="none" w:sz="0" w:space="0" w:color="auto"/>
        <w:bottom w:val="none" w:sz="0" w:space="0" w:color="auto"/>
        <w:right w:val="none" w:sz="0" w:space="0" w:color="auto"/>
      </w:divBdr>
    </w:div>
    <w:div w:id="858079247">
      <w:bodyDiv w:val="1"/>
      <w:marLeft w:val="0"/>
      <w:marRight w:val="0"/>
      <w:marTop w:val="0"/>
      <w:marBottom w:val="0"/>
      <w:divBdr>
        <w:top w:val="none" w:sz="0" w:space="0" w:color="auto"/>
        <w:left w:val="none" w:sz="0" w:space="0" w:color="auto"/>
        <w:bottom w:val="none" w:sz="0" w:space="0" w:color="auto"/>
        <w:right w:val="none" w:sz="0" w:space="0" w:color="auto"/>
      </w:divBdr>
    </w:div>
    <w:div w:id="860388800">
      <w:bodyDiv w:val="1"/>
      <w:marLeft w:val="0"/>
      <w:marRight w:val="0"/>
      <w:marTop w:val="0"/>
      <w:marBottom w:val="0"/>
      <w:divBdr>
        <w:top w:val="none" w:sz="0" w:space="0" w:color="auto"/>
        <w:left w:val="none" w:sz="0" w:space="0" w:color="auto"/>
        <w:bottom w:val="none" w:sz="0" w:space="0" w:color="auto"/>
        <w:right w:val="none" w:sz="0" w:space="0" w:color="auto"/>
      </w:divBdr>
      <w:divsChild>
        <w:div w:id="810681803">
          <w:marLeft w:val="450"/>
          <w:marRight w:val="0"/>
          <w:marTop w:val="0"/>
          <w:marBottom w:val="0"/>
          <w:divBdr>
            <w:top w:val="none" w:sz="0" w:space="0" w:color="auto"/>
            <w:left w:val="none" w:sz="0" w:space="0" w:color="auto"/>
            <w:bottom w:val="none" w:sz="0" w:space="0" w:color="auto"/>
            <w:right w:val="none" w:sz="0" w:space="0" w:color="auto"/>
          </w:divBdr>
        </w:div>
      </w:divsChild>
    </w:div>
    <w:div w:id="860893831">
      <w:bodyDiv w:val="1"/>
      <w:marLeft w:val="0"/>
      <w:marRight w:val="0"/>
      <w:marTop w:val="0"/>
      <w:marBottom w:val="0"/>
      <w:divBdr>
        <w:top w:val="none" w:sz="0" w:space="0" w:color="auto"/>
        <w:left w:val="none" w:sz="0" w:space="0" w:color="auto"/>
        <w:bottom w:val="none" w:sz="0" w:space="0" w:color="auto"/>
        <w:right w:val="none" w:sz="0" w:space="0" w:color="auto"/>
      </w:divBdr>
    </w:div>
    <w:div w:id="861362855">
      <w:bodyDiv w:val="1"/>
      <w:marLeft w:val="0"/>
      <w:marRight w:val="0"/>
      <w:marTop w:val="0"/>
      <w:marBottom w:val="0"/>
      <w:divBdr>
        <w:top w:val="none" w:sz="0" w:space="0" w:color="auto"/>
        <w:left w:val="none" w:sz="0" w:space="0" w:color="auto"/>
        <w:bottom w:val="none" w:sz="0" w:space="0" w:color="auto"/>
        <w:right w:val="none" w:sz="0" w:space="0" w:color="auto"/>
      </w:divBdr>
    </w:div>
    <w:div w:id="861549648">
      <w:bodyDiv w:val="1"/>
      <w:marLeft w:val="0"/>
      <w:marRight w:val="0"/>
      <w:marTop w:val="0"/>
      <w:marBottom w:val="0"/>
      <w:divBdr>
        <w:top w:val="none" w:sz="0" w:space="0" w:color="auto"/>
        <w:left w:val="none" w:sz="0" w:space="0" w:color="auto"/>
        <w:bottom w:val="none" w:sz="0" w:space="0" w:color="auto"/>
        <w:right w:val="none" w:sz="0" w:space="0" w:color="auto"/>
      </w:divBdr>
    </w:div>
    <w:div w:id="862979725">
      <w:bodyDiv w:val="1"/>
      <w:marLeft w:val="0"/>
      <w:marRight w:val="0"/>
      <w:marTop w:val="0"/>
      <w:marBottom w:val="0"/>
      <w:divBdr>
        <w:top w:val="none" w:sz="0" w:space="0" w:color="auto"/>
        <w:left w:val="none" w:sz="0" w:space="0" w:color="auto"/>
        <w:bottom w:val="none" w:sz="0" w:space="0" w:color="auto"/>
        <w:right w:val="none" w:sz="0" w:space="0" w:color="auto"/>
      </w:divBdr>
    </w:div>
    <w:div w:id="862983945">
      <w:bodyDiv w:val="1"/>
      <w:marLeft w:val="0"/>
      <w:marRight w:val="0"/>
      <w:marTop w:val="0"/>
      <w:marBottom w:val="0"/>
      <w:divBdr>
        <w:top w:val="none" w:sz="0" w:space="0" w:color="auto"/>
        <w:left w:val="none" w:sz="0" w:space="0" w:color="auto"/>
        <w:bottom w:val="none" w:sz="0" w:space="0" w:color="auto"/>
        <w:right w:val="none" w:sz="0" w:space="0" w:color="auto"/>
      </w:divBdr>
    </w:div>
    <w:div w:id="865674391">
      <w:bodyDiv w:val="1"/>
      <w:marLeft w:val="0"/>
      <w:marRight w:val="0"/>
      <w:marTop w:val="0"/>
      <w:marBottom w:val="0"/>
      <w:divBdr>
        <w:top w:val="none" w:sz="0" w:space="0" w:color="auto"/>
        <w:left w:val="none" w:sz="0" w:space="0" w:color="auto"/>
        <w:bottom w:val="none" w:sz="0" w:space="0" w:color="auto"/>
        <w:right w:val="none" w:sz="0" w:space="0" w:color="auto"/>
      </w:divBdr>
    </w:div>
    <w:div w:id="867794489">
      <w:bodyDiv w:val="1"/>
      <w:marLeft w:val="0"/>
      <w:marRight w:val="0"/>
      <w:marTop w:val="0"/>
      <w:marBottom w:val="0"/>
      <w:divBdr>
        <w:top w:val="none" w:sz="0" w:space="0" w:color="auto"/>
        <w:left w:val="none" w:sz="0" w:space="0" w:color="auto"/>
        <w:bottom w:val="none" w:sz="0" w:space="0" w:color="auto"/>
        <w:right w:val="none" w:sz="0" w:space="0" w:color="auto"/>
      </w:divBdr>
    </w:div>
    <w:div w:id="868448872">
      <w:bodyDiv w:val="1"/>
      <w:marLeft w:val="0"/>
      <w:marRight w:val="0"/>
      <w:marTop w:val="0"/>
      <w:marBottom w:val="0"/>
      <w:divBdr>
        <w:top w:val="none" w:sz="0" w:space="0" w:color="auto"/>
        <w:left w:val="none" w:sz="0" w:space="0" w:color="auto"/>
        <w:bottom w:val="none" w:sz="0" w:space="0" w:color="auto"/>
        <w:right w:val="none" w:sz="0" w:space="0" w:color="auto"/>
      </w:divBdr>
    </w:div>
    <w:div w:id="869805198">
      <w:bodyDiv w:val="1"/>
      <w:marLeft w:val="0"/>
      <w:marRight w:val="0"/>
      <w:marTop w:val="0"/>
      <w:marBottom w:val="0"/>
      <w:divBdr>
        <w:top w:val="none" w:sz="0" w:space="0" w:color="auto"/>
        <w:left w:val="none" w:sz="0" w:space="0" w:color="auto"/>
        <w:bottom w:val="none" w:sz="0" w:space="0" w:color="auto"/>
        <w:right w:val="none" w:sz="0" w:space="0" w:color="auto"/>
      </w:divBdr>
    </w:div>
    <w:div w:id="871846655">
      <w:bodyDiv w:val="1"/>
      <w:marLeft w:val="0"/>
      <w:marRight w:val="0"/>
      <w:marTop w:val="0"/>
      <w:marBottom w:val="0"/>
      <w:divBdr>
        <w:top w:val="none" w:sz="0" w:space="0" w:color="auto"/>
        <w:left w:val="none" w:sz="0" w:space="0" w:color="auto"/>
        <w:bottom w:val="none" w:sz="0" w:space="0" w:color="auto"/>
        <w:right w:val="none" w:sz="0" w:space="0" w:color="auto"/>
      </w:divBdr>
    </w:div>
    <w:div w:id="873268376">
      <w:bodyDiv w:val="1"/>
      <w:marLeft w:val="0"/>
      <w:marRight w:val="0"/>
      <w:marTop w:val="0"/>
      <w:marBottom w:val="0"/>
      <w:divBdr>
        <w:top w:val="none" w:sz="0" w:space="0" w:color="auto"/>
        <w:left w:val="none" w:sz="0" w:space="0" w:color="auto"/>
        <w:bottom w:val="none" w:sz="0" w:space="0" w:color="auto"/>
        <w:right w:val="none" w:sz="0" w:space="0" w:color="auto"/>
      </w:divBdr>
    </w:div>
    <w:div w:id="873273350">
      <w:bodyDiv w:val="1"/>
      <w:marLeft w:val="0"/>
      <w:marRight w:val="0"/>
      <w:marTop w:val="0"/>
      <w:marBottom w:val="0"/>
      <w:divBdr>
        <w:top w:val="none" w:sz="0" w:space="0" w:color="auto"/>
        <w:left w:val="none" w:sz="0" w:space="0" w:color="auto"/>
        <w:bottom w:val="none" w:sz="0" w:space="0" w:color="auto"/>
        <w:right w:val="none" w:sz="0" w:space="0" w:color="auto"/>
      </w:divBdr>
    </w:div>
    <w:div w:id="874661934">
      <w:bodyDiv w:val="1"/>
      <w:marLeft w:val="0"/>
      <w:marRight w:val="0"/>
      <w:marTop w:val="0"/>
      <w:marBottom w:val="0"/>
      <w:divBdr>
        <w:top w:val="none" w:sz="0" w:space="0" w:color="auto"/>
        <w:left w:val="none" w:sz="0" w:space="0" w:color="auto"/>
        <w:bottom w:val="none" w:sz="0" w:space="0" w:color="auto"/>
        <w:right w:val="none" w:sz="0" w:space="0" w:color="auto"/>
      </w:divBdr>
    </w:div>
    <w:div w:id="875125015">
      <w:bodyDiv w:val="1"/>
      <w:marLeft w:val="0"/>
      <w:marRight w:val="0"/>
      <w:marTop w:val="0"/>
      <w:marBottom w:val="0"/>
      <w:divBdr>
        <w:top w:val="none" w:sz="0" w:space="0" w:color="auto"/>
        <w:left w:val="none" w:sz="0" w:space="0" w:color="auto"/>
        <w:bottom w:val="none" w:sz="0" w:space="0" w:color="auto"/>
        <w:right w:val="none" w:sz="0" w:space="0" w:color="auto"/>
      </w:divBdr>
    </w:div>
    <w:div w:id="875770735">
      <w:bodyDiv w:val="1"/>
      <w:marLeft w:val="0"/>
      <w:marRight w:val="0"/>
      <w:marTop w:val="0"/>
      <w:marBottom w:val="0"/>
      <w:divBdr>
        <w:top w:val="none" w:sz="0" w:space="0" w:color="auto"/>
        <w:left w:val="none" w:sz="0" w:space="0" w:color="auto"/>
        <w:bottom w:val="none" w:sz="0" w:space="0" w:color="auto"/>
        <w:right w:val="none" w:sz="0" w:space="0" w:color="auto"/>
      </w:divBdr>
    </w:div>
    <w:div w:id="876965533">
      <w:bodyDiv w:val="1"/>
      <w:marLeft w:val="0"/>
      <w:marRight w:val="0"/>
      <w:marTop w:val="0"/>
      <w:marBottom w:val="0"/>
      <w:divBdr>
        <w:top w:val="none" w:sz="0" w:space="0" w:color="auto"/>
        <w:left w:val="none" w:sz="0" w:space="0" w:color="auto"/>
        <w:bottom w:val="none" w:sz="0" w:space="0" w:color="auto"/>
        <w:right w:val="none" w:sz="0" w:space="0" w:color="auto"/>
      </w:divBdr>
    </w:div>
    <w:div w:id="881674130">
      <w:bodyDiv w:val="1"/>
      <w:marLeft w:val="0"/>
      <w:marRight w:val="0"/>
      <w:marTop w:val="0"/>
      <w:marBottom w:val="0"/>
      <w:divBdr>
        <w:top w:val="none" w:sz="0" w:space="0" w:color="auto"/>
        <w:left w:val="none" w:sz="0" w:space="0" w:color="auto"/>
        <w:bottom w:val="none" w:sz="0" w:space="0" w:color="auto"/>
        <w:right w:val="none" w:sz="0" w:space="0" w:color="auto"/>
      </w:divBdr>
    </w:div>
    <w:div w:id="883761210">
      <w:bodyDiv w:val="1"/>
      <w:marLeft w:val="0"/>
      <w:marRight w:val="0"/>
      <w:marTop w:val="0"/>
      <w:marBottom w:val="0"/>
      <w:divBdr>
        <w:top w:val="none" w:sz="0" w:space="0" w:color="auto"/>
        <w:left w:val="none" w:sz="0" w:space="0" w:color="auto"/>
        <w:bottom w:val="none" w:sz="0" w:space="0" w:color="auto"/>
        <w:right w:val="none" w:sz="0" w:space="0" w:color="auto"/>
      </w:divBdr>
    </w:div>
    <w:div w:id="884833670">
      <w:bodyDiv w:val="1"/>
      <w:marLeft w:val="0"/>
      <w:marRight w:val="0"/>
      <w:marTop w:val="0"/>
      <w:marBottom w:val="0"/>
      <w:divBdr>
        <w:top w:val="none" w:sz="0" w:space="0" w:color="auto"/>
        <w:left w:val="none" w:sz="0" w:space="0" w:color="auto"/>
        <w:bottom w:val="none" w:sz="0" w:space="0" w:color="auto"/>
        <w:right w:val="none" w:sz="0" w:space="0" w:color="auto"/>
      </w:divBdr>
    </w:div>
    <w:div w:id="884951750">
      <w:bodyDiv w:val="1"/>
      <w:marLeft w:val="0"/>
      <w:marRight w:val="0"/>
      <w:marTop w:val="0"/>
      <w:marBottom w:val="0"/>
      <w:divBdr>
        <w:top w:val="none" w:sz="0" w:space="0" w:color="auto"/>
        <w:left w:val="none" w:sz="0" w:space="0" w:color="auto"/>
        <w:bottom w:val="none" w:sz="0" w:space="0" w:color="auto"/>
        <w:right w:val="none" w:sz="0" w:space="0" w:color="auto"/>
      </w:divBdr>
    </w:div>
    <w:div w:id="885946280">
      <w:bodyDiv w:val="1"/>
      <w:marLeft w:val="0"/>
      <w:marRight w:val="0"/>
      <w:marTop w:val="0"/>
      <w:marBottom w:val="0"/>
      <w:divBdr>
        <w:top w:val="none" w:sz="0" w:space="0" w:color="auto"/>
        <w:left w:val="none" w:sz="0" w:space="0" w:color="auto"/>
        <w:bottom w:val="none" w:sz="0" w:space="0" w:color="auto"/>
        <w:right w:val="none" w:sz="0" w:space="0" w:color="auto"/>
      </w:divBdr>
    </w:div>
    <w:div w:id="885994564">
      <w:bodyDiv w:val="1"/>
      <w:marLeft w:val="0"/>
      <w:marRight w:val="0"/>
      <w:marTop w:val="0"/>
      <w:marBottom w:val="0"/>
      <w:divBdr>
        <w:top w:val="none" w:sz="0" w:space="0" w:color="auto"/>
        <w:left w:val="none" w:sz="0" w:space="0" w:color="auto"/>
        <w:bottom w:val="none" w:sz="0" w:space="0" w:color="auto"/>
        <w:right w:val="none" w:sz="0" w:space="0" w:color="auto"/>
      </w:divBdr>
    </w:div>
    <w:div w:id="887188448">
      <w:bodyDiv w:val="1"/>
      <w:marLeft w:val="0"/>
      <w:marRight w:val="0"/>
      <w:marTop w:val="0"/>
      <w:marBottom w:val="0"/>
      <w:divBdr>
        <w:top w:val="none" w:sz="0" w:space="0" w:color="auto"/>
        <w:left w:val="none" w:sz="0" w:space="0" w:color="auto"/>
        <w:bottom w:val="none" w:sz="0" w:space="0" w:color="auto"/>
        <w:right w:val="none" w:sz="0" w:space="0" w:color="auto"/>
      </w:divBdr>
    </w:div>
    <w:div w:id="887382021">
      <w:bodyDiv w:val="1"/>
      <w:marLeft w:val="0"/>
      <w:marRight w:val="0"/>
      <w:marTop w:val="0"/>
      <w:marBottom w:val="0"/>
      <w:divBdr>
        <w:top w:val="none" w:sz="0" w:space="0" w:color="auto"/>
        <w:left w:val="none" w:sz="0" w:space="0" w:color="auto"/>
        <w:bottom w:val="none" w:sz="0" w:space="0" w:color="auto"/>
        <w:right w:val="none" w:sz="0" w:space="0" w:color="auto"/>
      </w:divBdr>
    </w:div>
    <w:div w:id="887882365">
      <w:bodyDiv w:val="1"/>
      <w:marLeft w:val="0"/>
      <w:marRight w:val="0"/>
      <w:marTop w:val="0"/>
      <w:marBottom w:val="0"/>
      <w:divBdr>
        <w:top w:val="none" w:sz="0" w:space="0" w:color="auto"/>
        <w:left w:val="none" w:sz="0" w:space="0" w:color="auto"/>
        <w:bottom w:val="none" w:sz="0" w:space="0" w:color="auto"/>
        <w:right w:val="none" w:sz="0" w:space="0" w:color="auto"/>
      </w:divBdr>
    </w:div>
    <w:div w:id="889070526">
      <w:bodyDiv w:val="1"/>
      <w:marLeft w:val="0"/>
      <w:marRight w:val="0"/>
      <w:marTop w:val="0"/>
      <w:marBottom w:val="0"/>
      <w:divBdr>
        <w:top w:val="none" w:sz="0" w:space="0" w:color="auto"/>
        <w:left w:val="none" w:sz="0" w:space="0" w:color="auto"/>
        <w:bottom w:val="none" w:sz="0" w:space="0" w:color="auto"/>
        <w:right w:val="none" w:sz="0" w:space="0" w:color="auto"/>
      </w:divBdr>
    </w:div>
    <w:div w:id="889147114">
      <w:bodyDiv w:val="1"/>
      <w:marLeft w:val="0"/>
      <w:marRight w:val="0"/>
      <w:marTop w:val="0"/>
      <w:marBottom w:val="0"/>
      <w:divBdr>
        <w:top w:val="none" w:sz="0" w:space="0" w:color="auto"/>
        <w:left w:val="none" w:sz="0" w:space="0" w:color="auto"/>
        <w:bottom w:val="none" w:sz="0" w:space="0" w:color="auto"/>
        <w:right w:val="none" w:sz="0" w:space="0" w:color="auto"/>
      </w:divBdr>
    </w:div>
    <w:div w:id="895436476">
      <w:bodyDiv w:val="1"/>
      <w:marLeft w:val="0"/>
      <w:marRight w:val="0"/>
      <w:marTop w:val="0"/>
      <w:marBottom w:val="0"/>
      <w:divBdr>
        <w:top w:val="none" w:sz="0" w:space="0" w:color="auto"/>
        <w:left w:val="none" w:sz="0" w:space="0" w:color="auto"/>
        <w:bottom w:val="none" w:sz="0" w:space="0" w:color="auto"/>
        <w:right w:val="none" w:sz="0" w:space="0" w:color="auto"/>
      </w:divBdr>
    </w:div>
    <w:div w:id="900678622">
      <w:bodyDiv w:val="1"/>
      <w:marLeft w:val="0"/>
      <w:marRight w:val="0"/>
      <w:marTop w:val="0"/>
      <w:marBottom w:val="0"/>
      <w:divBdr>
        <w:top w:val="none" w:sz="0" w:space="0" w:color="auto"/>
        <w:left w:val="none" w:sz="0" w:space="0" w:color="auto"/>
        <w:bottom w:val="none" w:sz="0" w:space="0" w:color="auto"/>
        <w:right w:val="none" w:sz="0" w:space="0" w:color="auto"/>
      </w:divBdr>
    </w:div>
    <w:div w:id="901794545">
      <w:bodyDiv w:val="1"/>
      <w:marLeft w:val="0"/>
      <w:marRight w:val="0"/>
      <w:marTop w:val="0"/>
      <w:marBottom w:val="0"/>
      <w:divBdr>
        <w:top w:val="none" w:sz="0" w:space="0" w:color="auto"/>
        <w:left w:val="none" w:sz="0" w:space="0" w:color="auto"/>
        <w:bottom w:val="none" w:sz="0" w:space="0" w:color="auto"/>
        <w:right w:val="none" w:sz="0" w:space="0" w:color="auto"/>
      </w:divBdr>
    </w:div>
    <w:div w:id="903414686">
      <w:bodyDiv w:val="1"/>
      <w:marLeft w:val="0"/>
      <w:marRight w:val="0"/>
      <w:marTop w:val="0"/>
      <w:marBottom w:val="0"/>
      <w:divBdr>
        <w:top w:val="none" w:sz="0" w:space="0" w:color="auto"/>
        <w:left w:val="none" w:sz="0" w:space="0" w:color="auto"/>
        <w:bottom w:val="none" w:sz="0" w:space="0" w:color="auto"/>
        <w:right w:val="none" w:sz="0" w:space="0" w:color="auto"/>
      </w:divBdr>
    </w:div>
    <w:div w:id="905577200">
      <w:bodyDiv w:val="1"/>
      <w:marLeft w:val="0"/>
      <w:marRight w:val="0"/>
      <w:marTop w:val="0"/>
      <w:marBottom w:val="0"/>
      <w:divBdr>
        <w:top w:val="none" w:sz="0" w:space="0" w:color="auto"/>
        <w:left w:val="none" w:sz="0" w:space="0" w:color="auto"/>
        <w:bottom w:val="none" w:sz="0" w:space="0" w:color="auto"/>
        <w:right w:val="none" w:sz="0" w:space="0" w:color="auto"/>
      </w:divBdr>
    </w:div>
    <w:div w:id="908073772">
      <w:bodyDiv w:val="1"/>
      <w:marLeft w:val="0"/>
      <w:marRight w:val="0"/>
      <w:marTop w:val="0"/>
      <w:marBottom w:val="0"/>
      <w:divBdr>
        <w:top w:val="none" w:sz="0" w:space="0" w:color="auto"/>
        <w:left w:val="none" w:sz="0" w:space="0" w:color="auto"/>
        <w:bottom w:val="none" w:sz="0" w:space="0" w:color="auto"/>
        <w:right w:val="none" w:sz="0" w:space="0" w:color="auto"/>
      </w:divBdr>
    </w:div>
    <w:div w:id="909003226">
      <w:bodyDiv w:val="1"/>
      <w:marLeft w:val="0"/>
      <w:marRight w:val="0"/>
      <w:marTop w:val="0"/>
      <w:marBottom w:val="0"/>
      <w:divBdr>
        <w:top w:val="none" w:sz="0" w:space="0" w:color="auto"/>
        <w:left w:val="none" w:sz="0" w:space="0" w:color="auto"/>
        <w:bottom w:val="none" w:sz="0" w:space="0" w:color="auto"/>
        <w:right w:val="none" w:sz="0" w:space="0" w:color="auto"/>
      </w:divBdr>
    </w:div>
    <w:div w:id="913316221">
      <w:bodyDiv w:val="1"/>
      <w:marLeft w:val="0"/>
      <w:marRight w:val="0"/>
      <w:marTop w:val="0"/>
      <w:marBottom w:val="0"/>
      <w:divBdr>
        <w:top w:val="none" w:sz="0" w:space="0" w:color="auto"/>
        <w:left w:val="none" w:sz="0" w:space="0" w:color="auto"/>
        <w:bottom w:val="none" w:sz="0" w:space="0" w:color="auto"/>
        <w:right w:val="none" w:sz="0" w:space="0" w:color="auto"/>
      </w:divBdr>
    </w:div>
    <w:div w:id="913973441">
      <w:bodyDiv w:val="1"/>
      <w:marLeft w:val="0"/>
      <w:marRight w:val="0"/>
      <w:marTop w:val="0"/>
      <w:marBottom w:val="0"/>
      <w:divBdr>
        <w:top w:val="none" w:sz="0" w:space="0" w:color="auto"/>
        <w:left w:val="none" w:sz="0" w:space="0" w:color="auto"/>
        <w:bottom w:val="none" w:sz="0" w:space="0" w:color="auto"/>
        <w:right w:val="none" w:sz="0" w:space="0" w:color="auto"/>
      </w:divBdr>
    </w:div>
    <w:div w:id="915630748">
      <w:bodyDiv w:val="1"/>
      <w:marLeft w:val="0"/>
      <w:marRight w:val="0"/>
      <w:marTop w:val="0"/>
      <w:marBottom w:val="0"/>
      <w:divBdr>
        <w:top w:val="none" w:sz="0" w:space="0" w:color="auto"/>
        <w:left w:val="none" w:sz="0" w:space="0" w:color="auto"/>
        <w:bottom w:val="none" w:sz="0" w:space="0" w:color="auto"/>
        <w:right w:val="none" w:sz="0" w:space="0" w:color="auto"/>
      </w:divBdr>
    </w:div>
    <w:div w:id="915671655">
      <w:bodyDiv w:val="1"/>
      <w:marLeft w:val="0"/>
      <w:marRight w:val="0"/>
      <w:marTop w:val="0"/>
      <w:marBottom w:val="0"/>
      <w:divBdr>
        <w:top w:val="none" w:sz="0" w:space="0" w:color="auto"/>
        <w:left w:val="none" w:sz="0" w:space="0" w:color="auto"/>
        <w:bottom w:val="none" w:sz="0" w:space="0" w:color="auto"/>
        <w:right w:val="none" w:sz="0" w:space="0" w:color="auto"/>
      </w:divBdr>
      <w:divsChild>
        <w:div w:id="1747650649">
          <w:marLeft w:val="0"/>
          <w:marRight w:val="0"/>
          <w:marTop w:val="0"/>
          <w:marBottom w:val="0"/>
          <w:divBdr>
            <w:top w:val="none" w:sz="0" w:space="0" w:color="auto"/>
            <w:left w:val="none" w:sz="0" w:space="0" w:color="auto"/>
            <w:bottom w:val="none" w:sz="0" w:space="0" w:color="auto"/>
            <w:right w:val="none" w:sz="0" w:space="0" w:color="auto"/>
          </w:divBdr>
        </w:div>
        <w:div w:id="1441610909">
          <w:marLeft w:val="0"/>
          <w:marRight w:val="0"/>
          <w:marTop w:val="0"/>
          <w:marBottom w:val="0"/>
          <w:divBdr>
            <w:top w:val="none" w:sz="0" w:space="0" w:color="auto"/>
            <w:left w:val="none" w:sz="0" w:space="0" w:color="auto"/>
            <w:bottom w:val="none" w:sz="0" w:space="0" w:color="auto"/>
            <w:right w:val="none" w:sz="0" w:space="0" w:color="auto"/>
          </w:divBdr>
        </w:div>
        <w:div w:id="1861895892">
          <w:marLeft w:val="0"/>
          <w:marRight w:val="0"/>
          <w:marTop w:val="0"/>
          <w:marBottom w:val="0"/>
          <w:divBdr>
            <w:top w:val="none" w:sz="0" w:space="0" w:color="auto"/>
            <w:left w:val="none" w:sz="0" w:space="0" w:color="auto"/>
            <w:bottom w:val="none" w:sz="0" w:space="0" w:color="auto"/>
            <w:right w:val="none" w:sz="0" w:space="0" w:color="auto"/>
          </w:divBdr>
        </w:div>
        <w:div w:id="1070615468">
          <w:marLeft w:val="0"/>
          <w:marRight w:val="0"/>
          <w:marTop w:val="0"/>
          <w:marBottom w:val="0"/>
          <w:divBdr>
            <w:top w:val="none" w:sz="0" w:space="0" w:color="auto"/>
            <w:left w:val="none" w:sz="0" w:space="0" w:color="auto"/>
            <w:bottom w:val="none" w:sz="0" w:space="0" w:color="auto"/>
            <w:right w:val="none" w:sz="0" w:space="0" w:color="auto"/>
          </w:divBdr>
        </w:div>
        <w:div w:id="698627378">
          <w:marLeft w:val="0"/>
          <w:marRight w:val="0"/>
          <w:marTop w:val="0"/>
          <w:marBottom w:val="0"/>
          <w:divBdr>
            <w:top w:val="none" w:sz="0" w:space="0" w:color="auto"/>
            <w:left w:val="none" w:sz="0" w:space="0" w:color="auto"/>
            <w:bottom w:val="none" w:sz="0" w:space="0" w:color="auto"/>
            <w:right w:val="none" w:sz="0" w:space="0" w:color="auto"/>
          </w:divBdr>
        </w:div>
        <w:div w:id="1228807023">
          <w:marLeft w:val="0"/>
          <w:marRight w:val="0"/>
          <w:marTop w:val="0"/>
          <w:marBottom w:val="0"/>
          <w:divBdr>
            <w:top w:val="none" w:sz="0" w:space="0" w:color="auto"/>
            <w:left w:val="none" w:sz="0" w:space="0" w:color="auto"/>
            <w:bottom w:val="none" w:sz="0" w:space="0" w:color="auto"/>
            <w:right w:val="none" w:sz="0" w:space="0" w:color="auto"/>
          </w:divBdr>
        </w:div>
        <w:div w:id="1945990554">
          <w:marLeft w:val="0"/>
          <w:marRight w:val="0"/>
          <w:marTop w:val="0"/>
          <w:marBottom w:val="0"/>
          <w:divBdr>
            <w:top w:val="none" w:sz="0" w:space="0" w:color="auto"/>
            <w:left w:val="none" w:sz="0" w:space="0" w:color="auto"/>
            <w:bottom w:val="none" w:sz="0" w:space="0" w:color="auto"/>
            <w:right w:val="none" w:sz="0" w:space="0" w:color="auto"/>
          </w:divBdr>
        </w:div>
        <w:div w:id="1048603486">
          <w:marLeft w:val="0"/>
          <w:marRight w:val="0"/>
          <w:marTop w:val="0"/>
          <w:marBottom w:val="0"/>
          <w:divBdr>
            <w:top w:val="none" w:sz="0" w:space="0" w:color="auto"/>
            <w:left w:val="none" w:sz="0" w:space="0" w:color="auto"/>
            <w:bottom w:val="none" w:sz="0" w:space="0" w:color="auto"/>
            <w:right w:val="none" w:sz="0" w:space="0" w:color="auto"/>
          </w:divBdr>
        </w:div>
        <w:div w:id="748622335">
          <w:marLeft w:val="0"/>
          <w:marRight w:val="0"/>
          <w:marTop w:val="0"/>
          <w:marBottom w:val="0"/>
          <w:divBdr>
            <w:top w:val="none" w:sz="0" w:space="0" w:color="auto"/>
            <w:left w:val="none" w:sz="0" w:space="0" w:color="auto"/>
            <w:bottom w:val="none" w:sz="0" w:space="0" w:color="auto"/>
            <w:right w:val="none" w:sz="0" w:space="0" w:color="auto"/>
          </w:divBdr>
        </w:div>
        <w:div w:id="1889293186">
          <w:marLeft w:val="0"/>
          <w:marRight w:val="0"/>
          <w:marTop w:val="0"/>
          <w:marBottom w:val="0"/>
          <w:divBdr>
            <w:top w:val="none" w:sz="0" w:space="0" w:color="auto"/>
            <w:left w:val="none" w:sz="0" w:space="0" w:color="auto"/>
            <w:bottom w:val="none" w:sz="0" w:space="0" w:color="auto"/>
            <w:right w:val="none" w:sz="0" w:space="0" w:color="auto"/>
          </w:divBdr>
        </w:div>
        <w:div w:id="1147089699">
          <w:marLeft w:val="0"/>
          <w:marRight w:val="0"/>
          <w:marTop w:val="0"/>
          <w:marBottom w:val="0"/>
          <w:divBdr>
            <w:top w:val="none" w:sz="0" w:space="0" w:color="auto"/>
            <w:left w:val="none" w:sz="0" w:space="0" w:color="auto"/>
            <w:bottom w:val="none" w:sz="0" w:space="0" w:color="auto"/>
            <w:right w:val="none" w:sz="0" w:space="0" w:color="auto"/>
          </w:divBdr>
        </w:div>
        <w:div w:id="1575117103">
          <w:marLeft w:val="0"/>
          <w:marRight w:val="0"/>
          <w:marTop w:val="0"/>
          <w:marBottom w:val="0"/>
          <w:divBdr>
            <w:top w:val="none" w:sz="0" w:space="0" w:color="auto"/>
            <w:left w:val="none" w:sz="0" w:space="0" w:color="auto"/>
            <w:bottom w:val="none" w:sz="0" w:space="0" w:color="auto"/>
            <w:right w:val="none" w:sz="0" w:space="0" w:color="auto"/>
          </w:divBdr>
        </w:div>
        <w:div w:id="1824664720">
          <w:marLeft w:val="0"/>
          <w:marRight w:val="0"/>
          <w:marTop w:val="0"/>
          <w:marBottom w:val="0"/>
          <w:divBdr>
            <w:top w:val="none" w:sz="0" w:space="0" w:color="auto"/>
            <w:left w:val="none" w:sz="0" w:space="0" w:color="auto"/>
            <w:bottom w:val="none" w:sz="0" w:space="0" w:color="auto"/>
            <w:right w:val="none" w:sz="0" w:space="0" w:color="auto"/>
          </w:divBdr>
        </w:div>
      </w:divsChild>
    </w:div>
    <w:div w:id="915821426">
      <w:bodyDiv w:val="1"/>
      <w:marLeft w:val="0"/>
      <w:marRight w:val="0"/>
      <w:marTop w:val="0"/>
      <w:marBottom w:val="0"/>
      <w:divBdr>
        <w:top w:val="none" w:sz="0" w:space="0" w:color="auto"/>
        <w:left w:val="none" w:sz="0" w:space="0" w:color="auto"/>
        <w:bottom w:val="none" w:sz="0" w:space="0" w:color="auto"/>
        <w:right w:val="none" w:sz="0" w:space="0" w:color="auto"/>
      </w:divBdr>
    </w:div>
    <w:div w:id="917783843">
      <w:bodyDiv w:val="1"/>
      <w:marLeft w:val="0"/>
      <w:marRight w:val="0"/>
      <w:marTop w:val="0"/>
      <w:marBottom w:val="0"/>
      <w:divBdr>
        <w:top w:val="none" w:sz="0" w:space="0" w:color="auto"/>
        <w:left w:val="none" w:sz="0" w:space="0" w:color="auto"/>
        <w:bottom w:val="none" w:sz="0" w:space="0" w:color="auto"/>
        <w:right w:val="none" w:sz="0" w:space="0" w:color="auto"/>
      </w:divBdr>
    </w:div>
    <w:div w:id="918445874">
      <w:bodyDiv w:val="1"/>
      <w:marLeft w:val="0"/>
      <w:marRight w:val="0"/>
      <w:marTop w:val="0"/>
      <w:marBottom w:val="0"/>
      <w:divBdr>
        <w:top w:val="none" w:sz="0" w:space="0" w:color="auto"/>
        <w:left w:val="none" w:sz="0" w:space="0" w:color="auto"/>
        <w:bottom w:val="none" w:sz="0" w:space="0" w:color="auto"/>
        <w:right w:val="none" w:sz="0" w:space="0" w:color="auto"/>
      </w:divBdr>
    </w:div>
    <w:div w:id="919217843">
      <w:bodyDiv w:val="1"/>
      <w:marLeft w:val="0"/>
      <w:marRight w:val="0"/>
      <w:marTop w:val="0"/>
      <w:marBottom w:val="0"/>
      <w:divBdr>
        <w:top w:val="none" w:sz="0" w:space="0" w:color="auto"/>
        <w:left w:val="none" w:sz="0" w:space="0" w:color="auto"/>
        <w:bottom w:val="none" w:sz="0" w:space="0" w:color="auto"/>
        <w:right w:val="none" w:sz="0" w:space="0" w:color="auto"/>
      </w:divBdr>
    </w:div>
    <w:div w:id="920718849">
      <w:bodyDiv w:val="1"/>
      <w:marLeft w:val="0"/>
      <w:marRight w:val="0"/>
      <w:marTop w:val="0"/>
      <w:marBottom w:val="0"/>
      <w:divBdr>
        <w:top w:val="none" w:sz="0" w:space="0" w:color="auto"/>
        <w:left w:val="none" w:sz="0" w:space="0" w:color="auto"/>
        <w:bottom w:val="none" w:sz="0" w:space="0" w:color="auto"/>
        <w:right w:val="none" w:sz="0" w:space="0" w:color="auto"/>
      </w:divBdr>
    </w:div>
    <w:div w:id="923807966">
      <w:bodyDiv w:val="1"/>
      <w:marLeft w:val="0"/>
      <w:marRight w:val="0"/>
      <w:marTop w:val="0"/>
      <w:marBottom w:val="0"/>
      <w:divBdr>
        <w:top w:val="none" w:sz="0" w:space="0" w:color="auto"/>
        <w:left w:val="none" w:sz="0" w:space="0" w:color="auto"/>
        <w:bottom w:val="none" w:sz="0" w:space="0" w:color="auto"/>
        <w:right w:val="none" w:sz="0" w:space="0" w:color="auto"/>
      </w:divBdr>
    </w:div>
    <w:div w:id="924654885">
      <w:bodyDiv w:val="1"/>
      <w:marLeft w:val="0"/>
      <w:marRight w:val="0"/>
      <w:marTop w:val="0"/>
      <w:marBottom w:val="0"/>
      <w:divBdr>
        <w:top w:val="none" w:sz="0" w:space="0" w:color="auto"/>
        <w:left w:val="none" w:sz="0" w:space="0" w:color="auto"/>
        <w:bottom w:val="none" w:sz="0" w:space="0" w:color="auto"/>
        <w:right w:val="none" w:sz="0" w:space="0" w:color="auto"/>
      </w:divBdr>
    </w:div>
    <w:div w:id="925461980">
      <w:bodyDiv w:val="1"/>
      <w:marLeft w:val="0"/>
      <w:marRight w:val="0"/>
      <w:marTop w:val="0"/>
      <w:marBottom w:val="0"/>
      <w:divBdr>
        <w:top w:val="none" w:sz="0" w:space="0" w:color="auto"/>
        <w:left w:val="none" w:sz="0" w:space="0" w:color="auto"/>
        <w:bottom w:val="none" w:sz="0" w:space="0" w:color="auto"/>
        <w:right w:val="none" w:sz="0" w:space="0" w:color="auto"/>
      </w:divBdr>
    </w:div>
    <w:div w:id="925725962">
      <w:bodyDiv w:val="1"/>
      <w:marLeft w:val="0"/>
      <w:marRight w:val="0"/>
      <w:marTop w:val="0"/>
      <w:marBottom w:val="0"/>
      <w:divBdr>
        <w:top w:val="none" w:sz="0" w:space="0" w:color="auto"/>
        <w:left w:val="none" w:sz="0" w:space="0" w:color="auto"/>
        <w:bottom w:val="none" w:sz="0" w:space="0" w:color="auto"/>
        <w:right w:val="none" w:sz="0" w:space="0" w:color="auto"/>
      </w:divBdr>
    </w:div>
    <w:div w:id="926042753">
      <w:bodyDiv w:val="1"/>
      <w:marLeft w:val="0"/>
      <w:marRight w:val="0"/>
      <w:marTop w:val="0"/>
      <w:marBottom w:val="0"/>
      <w:divBdr>
        <w:top w:val="none" w:sz="0" w:space="0" w:color="auto"/>
        <w:left w:val="none" w:sz="0" w:space="0" w:color="auto"/>
        <w:bottom w:val="none" w:sz="0" w:space="0" w:color="auto"/>
        <w:right w:val="none" w:sz="0" w:space="0" w:color="auto"/>
      </w:divBdr>
    </w:div>
    <w:div w:id="926114712">
      <w:bodyDiv w:val="1"/>
      <w:marLeft w:val="0"/>
      <w:marRight w:val="0"/>
      <w:marTop w:val="0"/>
      <w:marBottom w:val="0"/>
      <w:divBdr>
        <w:top w:val="none" w:sz="0" w:space="0" w:color="auto"/>
        <w:left w:val="none" w:sz="0" w:space="0" w:color="auto"/>
        <w:bottom w:val="none" w:sz="0" w:space="0" w:color="auto"/>
        <w:right w:val="none" w:sz="0" w:space="0" w:color="auto"/>
      </w:divBdr>
    </w:div>
    <w:div w:id="926695074">
      <w:bodyDiv w:val="1"/>
      <w:marLeft w:val="0"/>
      <w:marRight w:val="0"/>
      <w:marTop w:val="0"/>
      <w:marBottom w:val="0"/>
      <w:divBdr>
        <w:top w:val="none" w:sz="0" w:space="0" w:color="auto"/>
        <w:left w:val="none" w:sz="0" w:space="0" w:color="auto"/>
        <w:bottom w:val="none" w:sz="0" w:space="0" w:color="auto"/>
        <w:right w:val="none" w:sz="0" w:space="0" w:color="auto"/>
      </w:divBdr>
    </w:div>
    <w:div w:id="927887432">
      <w:bodyDiv w:val="1"/>
      <w:marLeft w:val="0"/>
      <w:marRight w:val="0"/>
      <w:marTop w:val="0"/>
      <w:marBottom w:val="0"/>
      <w:divBdr>
        <w:top w:val="none" w:sz="0" w:space="0" w:color="auto"/>
        <w:left w:val="none" w:sz="0" w:space="0" w:color="auto"/>
        <w:bottom w:val="none" w:sz="0" w:space="0" w:color="auto"/>
        <w:right w:val="none" w:sz="0" w:space="0" w:color="auto"/>
      </w:divBdr>
    </w:div>
    <w:div w:id="928779688">
      <w:bodyDiv w:val="1"/>
      <w:marLeft w:val="0"/>
      <w:marRight w:val="0"/>
      <w:marTop w:val="0"/>
      <w:marBottom w:val="0"/>
      <w:divBdr>
        <w:top w:val="none" w:sz="0" w:space="0" w:color="auto"/>
        <w:left w:val="none" w:sz="0" w:space="0" w:color="auto"/>
        <w:bottom w:val="none" w:sz="0" w:space="0" w:color="auto"/>
        <w:right w:val="none" w:sz="0" w:space="0" w:color="auto"/>
      </w:divBdr>
    </w:div>
    <w:div w:id="930629675">
      <w:bodyDiv w:val="1"/>
      <w:marLeft w:val="0"/>
      <w:marRight w:val="0"/>
      <w:marTop w:val="0"/>
      <w:marBottom w:val="0"/>
      <w:divBdr>
        <w:top w:val="none" w:sz="0" w:space="0" w:color="auto"/>
        <w:left w:val="none" w:sz="0" w:space="0" w:color="auto"/>
        <w:bottom w:val="none" w:sz="0" w:space="0" w:color="auto"/>
        <w:right w:val="none" w:sz="0" w:space="0" w:color="auto"/>
      </w:divBdr>
    </w:div>
    <w:div w:id="932012201">
      <w:bodyDiv w:val="1"/>
      <w:marLeft w:val="0"/>
      <w:marRight w:val="0"/>
      <w:marTop w:val="0"/>
      <w:marBottom w:val="0"/>
      <w:divBdr>
        <w:top w:val="none" w:sz="0" w:space="0" w:color="auto"/>
        <w:left w:val="none" w:sz="0" w:space="0" w:color="auto"/>
        <w:bottom w:val="none" w:sz="0" w:space="0" w:color="auto"/>
        <w:right w:val="none" w:sz="0" w:space="0" w:color="auto"/>
      </w:divBdr>
      <w:divsChild>
        <w:div w:id="624510609">
          <w:marLeft w:val="0"/>
          <w:marRight w:val="0"/>
          <w:marTop w:val="0"/>
          <w:marBottom w:val="0"/>
          <w:divBdr>
            <w:top w:val="none" w:sz="0" w:space="0" w:color="auto"/>
            <w:left w:val="none" w:sz="0" w:space="0" w:color="auto"/>
            <w:bottom w:val="none" w:sz="0" w:space="0" w:color="auto"/>
            <w:right w:val="none" w:sz="0" w:space="0" w:color="auto"/>
          </w:divBdr>
          <w:divsChild>
            <w:div w:id="578560687">
              <w:marLeft w:val="0"/>
              <w:marRight w:val="0"/>
              <w:marTop w:val="0"/>
              <w:marBottom w:val="0"/>
              <w:divBdr>
                <w:top w:val="none" w:sz="0" w:space="0" w:color="auto"/>
                <w:left w:val="none" w:sz="0" w:space="0" w:color="auto"/>
                <w:bottom w:val="none" w:sz="0" w:space="0" w:color="auto"/>
                <w:right w:val="none" w:sz="0" w:space="0" w:color="auto"/>
              </w:divBdr>
              <w:divsChild>
                <w:div w:id="1219635297">
                  <w:marLeft w:val="4245"/>
                  <w:marRight w:val="0"/>
                  <w:marTop w:val="0"/>
                  <w:marBottom w:val="0"/>
                  <w:divBdr>
                    <w:top w:val="none" w:sz="0" w:space="0" w:color="auto"/>
                    <w:left w:val="none" w:sz="0" w:space="0" w:color="auto"/>
                    <w:bottom w:val="none" w:sz="0" w:space="0" w:color="auto"/>
                    <w:right w:val="none" w:sz="0" w:space="0" w:color="auto"/>
                  </w:divBdr>
                  <w:divsChild>
                    <w:div w:id="464735106">
                      <w:marLeft w:val="4200"/>
                      <w:marRight w:val="0"/>
                      <w:marTop w:val="2175"/>
                      <w:marBottom w:val="0"/>
                      <w:divBdr>
                        <w:top w:val="none" w:sz="0" w:space="0" w:color="auto"/>
                        <w:left w:val="none" w:sz="0" w:space="0" w:color="auto"/>
                        <w:bottom w:val="none" w:sz="0" w:space="0" w:color="auto"/>
                        <w:right w:val="none" w:sz="0" w:space="0" w:color="auto"/>
                      </w:divBdr>
                      <w:divsChild>
                        <w:div w:id="211551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2250099">
      <w:bodyDiv w:val="1"/>
      <w:marLeft w:val="0"/>
      <w:marRight w:val="0"/>
      <w:marTop w:val="0"/>
      <w:marBottom w:val="0"/>
      <w:divBdr>
        <w:top w:val="none" w:sz="0" w:space="0" w:color="auto"/>
        <w:left w:val="none" w:sz="0" w:space="0" w:color="auto"/>
        <w:bottom w:val="none" w:sz="0" w:space="0" w:color="auto"/>
        <w:right w:val="none" w:sz="0" w:space="0" w:color="auto"/>
      </w:divBdr>
    </w:div>
    <w:div w:id="933441578">
      <w:bodyDiv w:val="1"/>
      <w:marLeft w:val="0"/>
      <w:marRight w:val="0"/>
      <w:marTop w:val="0"/>
      <w:marBottom w:val="0"/>
      <w:divBdr>
        <w:top w:val="none" w:sz="0" w:space="0" w:color="auto"/>
        <w:left w:val="none" w:sz="0" w:space="0" w:color="auto"/>
        <w:bottom w:val="none" w:sz="0" w:space="0" w:color="auto"/>
        <w:right w:val="none" w:sz="0" w:space="0" w:color="auto"/>
      </w:divBdr>
    </w:div>
    <w:div w:id="935674523">
      <w:bodyDiv w:val="1"/>
      <w:marLeft w:val="0"/>
      <w:marRight w:val="0"/>
      <w:marTop w:val="0"/>
      <w:marBottom w:val="0"/>
      <w:divBdr>
        <w:top w:val="none" w:sz="0" w:space="0" w:color="auto"/>
        <w:left w:val="none" w:sz="0" w:space="0" w:color="auto"/>
        <w:bottom w:val="none" w:sz="0" w:space="0" w:color="auto"/>
        <w:right w:val="none" w:sz="0" w:space="0" w:color="auto"/>
      </w:divBdr>
    </w:div>
    <w:div w:id="937063932">
      <w:bodyDiv w:val="1"/>
      <w:marLeft w:val="0"/>
      <w:marRight w:val="0"/>
      <w:marTop w:val="0"/>
      <w:marBottom w:val="0"/>
      <w:divBdr>
        <w:top w:val="none" w:sz="0" w:space="0" w:color="auto"/>
        <w:left w:val="none" w:sz="0" w:space="0" w:color="auto"/>
        <w:bottom w:val="none" w:sz="0" w:space="0" w:color="auto"/>
        <w:right w:val="none" w:sz="0" w:space="0" w:color="auto"/>
      </w:divBdr>
    </w:div>
    <w:div w:id="937182470">
      <w:bodyDiv w:val="1"/>
      <w:marLeft w:val="0"/>
      <w:marRight w:val="0"/>
      <w:marTop w:val="0"/>
      <w:marBottom w:val="0"/>
      <w:divBdr>
        <w:top w:val="none" w:sz="0" w:space="0" w:color="auto"/>
        <w:left w:val="none" w:sz="0" w:space="0" w:color="auto"/>
        <w:bottom w:val="none" w:sz="0" w:space="0" w:color="auto"/>
        <w:right w:val="none" w:sz="0" w:space="0" w:color="auto"/>
      </w:divBdr>
    </w:div>
    <w:div w:id="937954306">
      <w:bodyDiv w:val="1"/>
      <w:marLeft w:val="0"/>
      <w:marRight w:val="0"/>
      <w:marTop w:val="0"/>
      <w:marBottom w:val="0"/>
      <w:divBdr>
        <w:top w:val="none" w:sz="0" w:space="0" w:color="auto"/>
        <w:left w:val="none" w:sz="0" w:space="0" w:color="auto"/>
        <w:bottom w:val="none" w:sz="0" w:space="0" w:color="auto"/>
        <w:right w:val="none" w:sz="0" w:space="0" w:color="auto"/>
      </w:divBdr>
    </w:div>
    <w:div w:id="939996775">
      <w:bodyDiv w:val="1"/>
      <w:marLeft w:val="0"/>
      <w:marRight w:val="0"/>
      <w:marTop w:val="0"/>
      <w:marBottom w:val="0"/>
      <w:divBdr>
        <w:top w:val="none" w:sz="0" w:space="0" w:color="auto"/>
        <w:left w:val="none" w:sz="0" w:space="0" w:color="auto"/>
        <w:bottom w:val="none" w:sz="0" w:space="0" w:color="auto"/>
        <w:right w:val="none" w:sz="0" w:space="0" w:color="auto"/>
      </w:divBdr>
    </w:div>
    <w:div w:id="940911876">
      <w:bodyDiv w:val="1"/>
      <w:marLeft w:val="0"/>
      <w:marRight w:val="0"/>
      <w:marTop w:val="0"/>
      <w:marBottom w:val="0"/>
      <w:divBdr>
        <w:top w:val="none" w:sz="0" w:space="0" w:color="auto"/>
        <w:left w:val="none" w:sz="0" w:space="0" w:color="auto"/>
        <w:bottom w:val="none" w:sz="0" w:space="0" w:color="auto"/>
        <w:right w:val="none" w:sz="0" w:space="0" w:color="auto"/>
      </w:divBdr>
    </w:div>
    <w:div w:id="941457181">
      <w:bodyDiv w:val="1"/>
      <w:marLeft w:val="0"/>
      <w:marRight w:val="0"/>
      <w:marTop w:val="0"/>
      <w:marBottom w:val="0"/>
      <w:divBdr>
        <w:top w:val="none" w:sz="0" w:space="0" w:color="auto"/>
        <w:left w:val="none" w:sz="0" w:space="0" w:color="auto"/>
        <w:bottom w:val="none" w:sz="0" w:space="0" w:color="auto"/>
        <w:right w:val="none" w:sz="0" w:space="0" w:color="auto"/>
      </w:divBdr>
    </w:div>
    <w:div w:id="941649213">
      <w:bodyDiv w:val="1"/>
      <w:marLeft w:val="0"/>
      <w:marRight w:val="0"/>
      <w:marTop w:val="0"/>
      <w:marBottom w:val="0"/>
      <w:divBdr>
        <w:top w:val="none" w:sz="0" w:space="0" w:color="auto"/>
        <w:left w:val="none" w:sz="0" w:space="0" w:color="auto"/>
        <w:bottom w:val="none" w:sz="0" w:space="0" w:color="auto"/>
        <w:right w:val="none" w:sz="0" w:space="0" w:color="auto"/>
      </w:divBdr>
    </w:div>
    <w:div w:id="943194447">
      <w:bodyDiv w:val="1"/>
      <w:marLeft w:val="0"/>
      <w:marRight w:val="0"/>
      <w:marTop w:val="0"/>
      <w:marBottom w:val="0"/>
      <w:divBdr>
        <w:top w:val="none" w:sz="0" w:space="0" w:color="auto"/>
        <w:left w:val="none" w:sz="0" w:space="0" w:color="auto"/>
        <w:bottom w:val="none" w:sz="0" w:space="0" w:color="auto"/>
        <w:right w:val="none" w:sz="0" w:space="0" w:color="auto"/>
      </w:divBdr>
    </w:div>
    <w:div w:id="945815675">
      <w:bodyDiv w:val="1"/>
      <w:marLeft w:val="0"/>
      <w:marRight w:val="0"/>
      <w:marTop w:val="0"/>
      <w:marBottom w:val="0"/>
      <w:divBdr>
        <w:top w:val="none" w:sz="0" w:space="0" w:color="auto"/>
        <w:left w:val="none" w:sz="0" w:space="0" w:color="auto"/>
        <w:bottom w:val="none" w:sz="0" w:space="0" w:color="auto"/>
        <w:right w:val="none" w:sz="0" w:space="0" w:color="auto"/>
      </w:divBdr>
    </w:div>
    <w:div w:id="947591385">
      <w:bodyDiv w:val="1"/>
      <w:marLeft w:val="0"/>
      <w:marRight w:val="0"/>
      <w:marTop w:val="0"/>
      <w:marBottom w:val="0"/>
      <w:divBdr>
        <w:top w:val="none" w:sz="0" w:space="0" w:color="auto"/>
        <w:left w:val="none" w:sz="0" w:space="0" w:color="auto"/>
        <w:bottom w:val="none" w:sz="0" w:space="0" w:color="auto"/>
        <w:right w:val="none" w:sz="0" w:space="0" w:color="auto"/>
      </w:divBdr>
    </w:div>
    <w:div w:id="948704462">
      <w:bodyDiv w:val="1"/>
      <w:marLeft w:val="0"/>
      <w:marRight w:val="0"/>
      <w:marTop w:val="0"/>
      <w:marBottom w:val="0"/>
      <w:divBdr>
        <w:top w:val="none" w:sz="0" w:space="0" w:color="auto"/>
        <w:left w:val="none" w:sz="0" w:space="0" w:color="auto"/>
        <w:bottom w:val="none" w:sz="0" w:space="0" w:color="auto"/>
        <w:right w:val="none" w:sz="0" w:space="0" w:color="auto"/>
      </w:divBdr>
    </w:div>
    <w:div w:id="948705752">
      <w:bodyDiv w:val="1"/>
      <w:marLeft w:val="0"/>
      <w:marRight w:val="0"/>
      <w:marTop w:val="0"/>
      <w:marBottom w:val="0"/>
      <w:divBdr>
        <w:top w:val="none" w:sz="0" w:space="0" w:color="auto"/>
        <w:left w:val="none" w:sz="0" w:space="0" w:color="auto"/>
        <w:bottom w:val="none" w:sz="0" w:space="0" w:color="auto"/>
        <w:right w:val="none" w:sz="0" w:space="0" w:color="auto"/>
      </w:divBdr>
    </w:div>
    <w:div w:id="948968585">
      <w:bodyDiv w:val="1"/>
      <w:marLeft w:val="0"/>
      <w:marRight w:val="0"/>
      <w:marTop w:val="0"/>
      <w:marBottom w:val="0"/>
      <w:divBdr>
        <w:top w:val="none" w:sz="0" w:space="0" w:color="auto"/>
        <w:left w:val="none" w:sz="0" w:space="0" w:color="auto"/>
        <w:bottom w:val="none" w:sz="0" w:space="0" w:color="auto"/>
        <w:right w:val="none" w:sz="0" w:space="0" w:color="auto"/>
      </w:divBdr>
      <w:divsChild>
        <w:div w:id="1660183650">
          <w:marLeft w:val="0"/>
          <w:marRight w:val="0"/>
          <w:marTop w:val="0"/>
          <w:marBottom w:val="0"/>
          <w:divBdr>
            <w:top w:val="none" w:sz="0" w:space="0" w:color="auto"/>
            <w:left w:val="none" w:sz="0" w:space="0" w:color="auto"/>
            <w:bottom w:val="none" w:sz="0" w:space="0" w:color="auto"/>
            <w:right w:val="none" w:sz="0" w:space="0" w:color="auto"/>
          </w:divBdr>
          <w:divsChild>
            <w:div w:id="227110485">
              <w:marLeft w:val="-2928"/>
              <w:marRight w:val="0"/>
              <w:marTop w:val="0"/>
              <w:marBottom w:val="144"/>
              <w:divBdr>
                <w:top w:val="none" w:sz="0" w:space="0" w:color="auto"/>
                <w:left w:val="none" w:sz="0" w:space="0" w:color="auto"/>
                <w:bottom w:val="none" w:sz="0" w:space="0" w:color="auto"/>
                <w:right w:val="none" w:sz="0" w:space="0" w:color="auto"/>
              </w:divBdr>
              <w:divsChild>
                <w:div w:id="1258372264">
                  <w:marLeft w:val="2928"/>
                  <w:marRight w:val="0"/>
                  <w:marTop w:val="720"/>
                  <w:marBottom w:val="0"/>
                  <w:divBdr>
                    <w:top w:val="single" w:sz="6" w:space="0" w:color="AAAAAA"/>
                    <w:left w:val="single" w:sz="6" w:space="0" w:color="AAAAAA"/>
                    <w:bottom w:val="single" w:sz="6" w:space="0" w:color="AAAAAA"/>
                    <w:right w:val="none" w:sz="0" w:space="0" w:color="auto"/>
                  </w:divBdr>
                  <w:divsChild>
                    <w:div w:id="108214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9974296">
      <w:bodyDiv w:val="1"/>
      <w:marLeft w:val="0"/>
      <w:marRight w:val="0"/>
      <w:marTop w:val="0"/>
      <w:marBottom w:val="0"/>
      <w:divBdr>
        <w:top w:val="none" w:sz="0" w:space="0" w:color="auto"/>
        <w:left w:val="none" w:sz="0" w:space="0" w:color="auto"/>
        <w:bottom w:val="none" w:sz="0" w:space="0" w:color="auto"/>
        <w:right w:val="none" w:sz="0" w:space="0" w:color="auto"/>
      </w:divBdr>
    </w:div>
    <w:div w:id="951328010">
      <w:bodyDiv w:val="1"/>
      <w:marLeft w:val="0"/>
      <w:marRight w:val="0"/>
      <w:marTop w:val="0"/>
      <w:marBottom w:val="0"/>
      <w:divBdr>
        <w:top w:val="none" w:sz="0" w:space="0" w:color="auto"/>
        <w:left w:val="none" w:sz="0" w:space="0" w:color="auto"/>
        <w:bottom w:val="none" w:sz="0" w:space="0" w:color="auto"/>
        <w:right w:val="none" w:sz="0" w:space="0" w:color="auto"/>
      </w:divBdr>
    </w:div>
    <w:div w:id="952203082">
      <w:bodyDiv w:val="1"/>
      <w:marLeft w:val="0"/>
      <w:marRight w:val="0"/>
      <w:marTop w:val="0"/>
      <w:marBottom w:val="0"/>
      <w:divBdr>
        <w:top w:val="none" w:sz="0" w:space="0" w:color="auto"/>
        <w:left w:val="none" w:sz="0" w:space="0" w:color="auto"/>
        <w:bottom w:val="none" w:sz="0" w:space="0" w:color="auto"/>
        <w:right w:val="none" w:sz="0" w:space="0" w:color="auto"/>
      </w:divBdr>
    </w:div>
    <w:div w:id="952397023">
      <w:bodyDiv w:val="1"/>
      <w:marLeft w:val="0"/>
      <w:marRight w:val="0"/>
      <w:marTop w:val="0"/>
      <w:marBottom w:val="0"/>
      <w:divBdr>
        <w:top w:val="none" w:sz="0" w:space="0" w:color="auto"/>
        <w:left w:val="none" w:sz="0" w:space="0" w:color="auto"/>
        <w:bottom w:val="none" w:sz="0" w:space="0" w:color="auto"/>
        <w:right w:val="none" w:sz="0" w:space="0" w:color="auto"/>
      </w:divBdr>
    </w:div>
    <w:div w:id="953558541">
      <w:bodyDiv w:val="1"/>
      <w:marLeft w:val="0"/>
      <w:marRight w:val="0"/>
      <w:marTop w:val="0"/>
      <w:marBottom w:val="0"/>
      <w:divBdr>
        <w:top w:val="none" w:sz="0" w:space="0" w:color="auto"/>
        <w:left w:val="none" w:sz="0" w:space="0" w:color="auto"/>
        <w:bottom w:val="none" w:sz="0" w:space="0" w:color="auto"/>
        <w:right w:val="none" w:sz="0" w:space="0" w:color="auto"/>
      </w:divBdr>
    </w:div>
    <w:div w:id="958216891">
      <w:bodyDiv w:val="1"/>
      <w:marLeft w:val="0"/>
      <w:marRight w:val="0"/>
      <w:marTop w:val="0"/>
      <w:marBottom w:val="0"/>
      <w:divBdr>
        <w:top w:val="none" w:sz="0" w:space="0" w:color="auto"/>
        <w:left w:val="none" w:sz="0" w:space="0" w:color="auto"/>
        <w:bottom w:val="none" w:sz="0" w:space="0" w:color="auto"/>
        <w:right w:val="none" w:sz="0" w:space="0" w:color="auto"/>
      </w:divBdr>
    </w:div>
    <w:div w:id="959650990">
      <w:bodyDiv w:val="1"/>
      <w:marLeft w:val="0"/>
      <w:marRight w:val="0"/>
      <w:marTop w:val="0"/>
      <w:marBottom w:val="0"/>
      <w:divBdr>
        <w:top w:val="none" w:sz="0" w:space="0" w:color="auto"/>
        <w:left w:val="none" w:sz="0" w:space="0" w:color="auto"/>
        <w:bottom w:val="none" w:sz="0" w:space="0" w:color="auto"/>
        <w:right w:val="none" w:sz="0" w:space="0" w:color="auto"/>
      </w:divBdr>
    </w:div>
    <w:div w:id="960066630">
      <w:bodyDiv w:val="1"/>
      <w:marLeft w:val="0"/>
      <w:marRight w:val="0"/>
      <w:marTop w:val="0"/>
      <w:marBottom w:val="0"/>
      <w:divBdr>
        <w:top w:val="none" w:sz="0" w:space="0" w:color="auto"/>
        <w:left w:val="none" w:sz="0" w:space="0" w:color="auto"/>
        <w:bottom w:val="none" w:sz="0" w:space="0" w:color="auto"/>
        <w:right w:val="none" w:sz="0" w:space="0" w:color="auto"/>
      </w:divBdr>
    </w:div>
    <w:div w:id="965501037">
      <w:bodyDiv w:val="1"/>
      <w:marLeft w:val="0"/>
      <w:marRight w:val="0"/>
      <w:marTop w:val="0"/>
      <w:marBottom w:val="0"/>
      <w:divBdr>
        <w:top w:val="none" w:sz="0" w:space="0" w:color="auto"/>
        <w:left w:val="none" w:sz="0" w:space="0" w:color="auto"/>
        <w:bottom w:val="none" w:sz="0" w:space="0" w:color="auto"/>
        <w:right w:val="none" w:sz="0" w:space="0" w:color="auto"/>
      </w:divBdr>
    </w:div>
    <w:div w:id="965506264">
      <w:bodyDiv w:val="1"/>
      <w:marLeft w:val="0"/>
      <w:marRight w:val="0"/>
      <w:marTop w:val="0"/>
      <w:marBottom w:val="0"/>
      <w:divBdr>
        <w:top w:val="none" w:sz="0" w:space="0" w:color="auto"/>
        <w:left w:val="none" w:sz="0" w:space="0" w:color="auto"/>
        <w:bottom w:val="none" w:sz="0" w:space="0" w:color="auto"/>
        <w:right w:val="none" w:sz="0" w:space="0" w:color="auto"/>
      </w:divBdr>
    </w:div>
    <w:div w:id="967201118">
      <w:bodyDiv w:val="1"/>
      <w:marLeft w:val="0"/>
      <w:marRight w:val="0"/>
      <w:marTop w:val="0"/>
      <w:marBottom w:val="0"/>
      <w:divBdr>
        <w:top w:val="none" w:sz="0" w:space="0" w:color="auto"/>
        <w:left w:val="none" w:sz="0" w:space="0" w:color="auto"/>
        <w:bottom w:val="none" w:sz="0" w:space="0" w:color="auto"/>
        <w:right w:val="none" w:sz="0" w:space="0" w:color="auto"/>
      </w:divBdr>
    </w:div>
    <w:div w:id="968128781">
      <w:bodyDiv w:val="1"/>
      <w:marLeft w:val="0"/>
      <w:marRight w:val="0"/>
      <w:marTop w:val="0"/>
      <w:marBottom w:val="0"/>
      <w:divBdr>
        <w:top w:val="none" w:sz="0" w:space="0" w:color="auto"/>
        <w:left w:val="none" w:sz="0" w:space="0" w:color="auto"/>
        <w:bottom w:val="none" w:sz="0" w:space="0" w:color="auto"/>
        <w:right w:val="none" w:sz="0" w:space="0" w:color="auto"/>
      </w:divBdr>
    </w:div>
    <w:div w:id="968166094">
      <w:bodyDiv w:val="1"/>
      <w:marLeft w:val="0"/>
      <w:marRight w:val="0"/>
      <w:marTop w:val="0"/>
      <w:marBottom w:val="0"/>
      <w:divBdr>
        <w:top w:val="none" w:sz="0" w:space="0" w:color="auto"/>
        <w:left w:val="none" w:sz="0" w:space="0" w:color="auto"/>
        <w:bottom w:val="none" w:sz="0" w:space="0" w:color="auto"/>
        <w:right w:val="none" w:sz="0" w:space="0" w:color="auto"/>
      </w:divBdr>
    </w:div>
    <w:div w:id="970090917">
      <w:bodyDiv w:val="1"/>
      <w:marLeft w:val="0"/>
      <w:marRight w:val="0"/>
      <w:marTop w:val="0"/>
      <w:marBottom w:val="0"/>
      <w:divBdr>
        <w:top w:val="none" w:sz="0" w:space="0" w:color="auto"/>
        <w:left w:val="none" w:sz="0" w:space="0" w:color="auto"/>
        <w:bottom w:val="none" w:sz="0" w:space="0" w:color="auto"/>
        <w:right w:val="none" w:sz="0" w:space="0" w:color="auto"/>
      </w:divBdr>
    </w:div>
    <w:div w:id="970552752">
      <w:bodyDiv w:val="1"/>
      <w:marLeft w:val="0"/>
      <w:marRight w:val="0"/>
      <w:marTop w:val="0"/>
      <w:marBottom w:val="0"/>
      <w:divBdr>
        <w:top w:val="none" w:sz="0" w:space="0" w:color="auto"/>
        <w:left w:val="none" w:sz="0" w:space="0" w:color="auto"/>
        <w:bottom w:val="none" w:sz="0" w:space="0" w:color="auto"/>
        <w:right w:val="none" w:sz="0" w:space="0" w:color="auto"/>
      </w:divBdr>
    </w:div>
    <w:div w:id="972173474">
      <w:bodyDiv w:val="1"/>
      <w:marLeft w:val="0"/>
      <w:marRight w:val="0"/>
      <w:marTop w:val="0"/>
      <w:marBottom w:val="0"/>
      <w:divBdr>
        <w:top w:val="none" w:sz="0" w:space="0" w:color="auto"/>
        <w:left w:val="none" w:sz="0" w:space="0" w:color="auto"/>
        <w:bottom w:val="none" w:sz="0" w:space="0" w:color="auto"/>
        <w:right w:val="none" w:sz="0" w:space="0" w:color="auto"/>
      </w:divBdr>
    </w:div>
    <w:div w:id="972446938">
      <w:bodyDiv w:val="1"/>
      <w:marLeft w:val="0"/>
      <w:marRight w:val="0"/>
      <w:marTop w:val="0"/>
      <w:marBottom w:val="0"/>
      <w:divBdr>
        <w:top w:val="none" w:sz="0" w:space="0" w:color="auto"/>
        <w:left w:val="none" w:sz="0" w:space="0" w:color="auto"/>
        <w:bottom w:val="none" w:sz="0" w:space="0" w:color="auto"/>
        <w:right w:val="none" w:sz="0" w:space="0" w:color="auto"/>
      </w:divBdr>
    </w:div>
    <w:div w:id="973144536">
      <w:bodyDiv w:val="1"/>
      <w:marLeft w:val="0"/>
      <w:marRight w:val="0"/>
      <w:marTop w:val="0"/>
      <w:marBottom w:val="0"/>
      <w:divBdr>
        <w:top w:val="none" w:sz="0" w:space="0" w:color="auto"/>
        <w:left w:val="none" w:sz="0" w:space="0" w:color="auto"/>
        <w:bottom w:val="none" w:sz="0" w:space="0" w:color="auto"/>
        <w:right w:val="none" w:sz="0" w:space="0" w:color="auto"/>
      </w:divBdr>
    </w:div>
    <w:div w:id="975136082">
      <w:bodyDiv w:val="1"/>
      <w:marLeft w:val="0"/>
      <w:marRight w:val="0"/>
      <w:marTop w:val="0"/>
      <w:marBottom w:val="0"/>
      <w:divBdr>
        <w:top w:val="none" w:sz="0" w:space="0" w:color="auto"/>
        <w:left w:val="none" w:sz="0" w:space="0" w:color="auto"/>
        <w:bottom w:val="none" w:sz="0" w:space="0" w:color="auto"/>
        <w:right w:val="none" w:sz="0" w:space="0" w:color="auto"/>
      </w:divBdr>
    </w:div>
    <w:div w:id="975601016">
      <w:bodyDiv w:val="1"/>
      <w:marLeft w:val="0"/>
      <w:marRight w:val="0"/>
      <w:marTop w:val="0"/>
      <w:marBottom w:val="0"/>
      <w:divBdr>
        <w:top w:val="none" w:sz="0" w:space="0" w:color="auto"/>
        <w:left w:val="none" w:sz="0" w:space="0" w:color="auto"/>
        <w:bottom w:val="none" w:sz="0" w:space="0" w:color="auto"/>
        <w:right w:val="none" w:sz="0" w:space="0" w:color="auto"/>
      </w:divBdr>
    </w:div>
    <w:div w:id="977999347">
      <w:bodyDiv w:val="1"/>
      <w:marLeft w:val="0"/>
      <w:marRight w:val="0"/>
      <w:marTop w:val="0"/>
      <w:marBottom w:val="0"/>
      <w:divBdr>
        <w:top w:val="none" w:sz="0" w:space="0" w:color="auto"/>
        <w:left w:val="none" w:sz="0" w:space="0" w:color="auto"/>
        <w:bottom w:val="none" w:sz="0" w:space="0" w:color="auto"/>
        <w:right w:val="none" w:sz="0" w:space="0" w:color="auto"/>
      </w:divBdr>
    </w:div>
    <w:div w:id="978151348">
      <w:bodyDiv w:val="1"/>
      <w:marLeft w:val="0"/>
      <w:marRight w:val="0"/>
      <w:marTop w:val="0"/>
      <w:marBottom w:val="0"/>
      <w:divBdr>
        <w:top w:val="none" w:sz="0" w:space="0" w:color="auto"/>
        <w:left w:val="none" w:sz="0" w:space="0" w:color="auto"/>
        <w:bottom w:val="none" w:sz="0" w:space="0" w:color="auto"/>
        <w:right w:val="none" w:sz="0" w:space="0" w:color="auto"/>
      </w:divBdr>
    </w:div>
    <w:div w:id="979193945">
      <w:bodyDiv w:val="1"/>
      <w:marLeft w:val="0"/>
      <w:marRight w:val="0"/>
      <w:marTop w:val="0"/>
      <w:marBottom w:val="0"/>
      <w:divBdr>
        <w:top w:val="none" w:sz="0" w:space="0" w:color="auto"/>
        <w:left w:val="none" w:sz="0" w:space="0" w:color="auto"/>
        <w:bottom w:val="none" w:sz="0" w:space="0" w:color="auto"/>
        <w:right w:val="none" w:sz="0" w:space="0" w:color="auto"/>
      </w:divBdr>
    </w:div>
    <w:div w:id="984894445">
      <w:bodyDiv w:val="1"/>
      <w:marLeft w:val="0"/>
      <w:marRight w:val="0"/>
      <w:marTop w:val="0"/>
      <w:marBottom w:val="0"/>
      <w:divBdr>
        <w:top w:val="none" w:sz="0" w:space="0" w:color="auto"/>
        <w:left w:val="none" w:sz="0" w:space="0" w:color="auto"/>
        <w:bottom w:val="none" w:sz="0" w:space="0" w:color="auto"/>
        <w:right w:val="none" w:sz="0" w:space="0" w:color="auto"/>
      </w:divBdr>
    </w:div>
    <w:div w:id="984966084">
      <w:bodyDiv w:val="1"/>
      <w:marLeft w:val="0"/>
      <w:marRight w:val="0"/>
      <w:marTop w:val="0"/>
      <w:marBottom w:val="0"/>
      <w:divBdr>
        <w:top w:val="none" w:sz="0" w:space="0" w:color="auto"/>
        <w:left w:val="none" w:sz="0" w:space="0" w:color="auto"/>
        <w:bottom w:val="none" w:sz="0" w:space="0" w:color="auto"/>
        <w:right w:val="none" w:sz="0" w:space="0" w:color="auto"/>
      </w:divBdr>
    </w:div>
    <w:div w:id="988827938">
      <w:bodyDiv w:val="1"/>
      <w:marLeft w:val="0"/>
      <w:marRight w:val="0"/>
      <w:marTop w:val="0"/>
      <w:marBottom w:val="0"/>
      <w:divBdr>
        <w:top w:val="none" w:sz="0" w:space="0" w:color="auto"/>
        <w:left w:val="none" w:sz="0" w:space="0" w:color="auto"/>
        <w:bottom w:val="none" w:sz="0" w:space="0" w:color="auto"/>
        <w:right w:val="none" w:sz="0" w:space="0" w:color="auto"/>
      </w:divBdr>
    </w:div>
    <w:div w:id="989557973">
      <w:bodyDiv w:val="1"/>
      <w:marLeft w:val="0"/>
      <w:marRight w:val="0"/>
      <w:marTop w:val="0"/>
      <w:marBottom w:val="0"/>
      <w:divBdr>
        <w:top w:val="none" w:sz="0" w:space="0" w:color="auto"/>
        <w:left w:val="none" w:sz="0" w:space="0" w:color="auto"/>
        <w:bottom w:val="none" w:sz="0" w:space="0" w:color="auto"/>
        <w:right w:val="none" w:sz="0" w:space="0" w:color="auto"/>
      </w:divBdr>
    </w:div>
    <w:div w:id="989676990">
      <w:bodyDiv w:val="1"/>
      <w:marLeft w:val="0"/>
      <w:marRight w:val="0"/>
      <w:marTop w:val="0"/>
      <w:marBottom w:val="0"/>
      <w:divBdr>
        <w:top w:val="none" w:sz="0" w:space="0" w:color="auto"/>
        <w:left w:val="none" w:sz="0" w:space="0" w:color="auto"/>
        <w:bottom w:val="none" w:sz="0" w:space="0" w:color="auto"/>
        <w:right w:val="none" w:sz="0" w:space="0" w:color="auto"/>
      </w:divBdr>
    </w:div>
    <w:div w:id="991567186">
      <w:bodyDiv w:val="1"/>
      <w:marLeft w:val="0"/>
      <w:marRight w:val="0"/>
      <w:marTop w:val="0"/>
      <w:marBottom w:val="0"/>
      <w:divBdr>
        <w:top w:val="none" w:sz="0" w:space="0" w:color="auto"/>
        <w:left w:val="none" w:sz="0" w:space="0" w:color="auto"/>
        <w:bottom w:val="none" w:sz="0" w:space="0" w:color="auto"/>
        <w:right w:val="none" w:sz="0" w:space="0" w:color="auto"/>
      </w:divBdr>
    </w:div>
    <w:div w:id="994604554">
      <w:bodyDiv w:val="1"/>
      <w:marLeft w:val="0"/>
      <w:marRight w:val="0"/>
      <w:marTop w:val="0"/>
      <w:marBottom w:val="0"/>
      <w:divBdr>
        <w:top w:val="none" w:sz="0" w:space="0" w:color="auto"/>
        <w:left w:val="none" w:sz="0" w:space="0" w:color="auto"/>
        <w:bottom w:val="none" w:sz="0" w:space="0" w:color="auto"/>
        <w:right w:val="none" w:sz="0" w:space="0" w:color="auto"/>
      </w:divBdr>
    </w:div>
    <w:div w:id="994912039">
      <w:bodyDiv w:val="1"/>
      <w:marLeft w:val="0"/>
      <w:marRight w:val="0"/>
      <w:marTop w:val="0"/>
      <w:marBottom w:val="0"/>
      <w:divBdr>
        <w:top w:val="none" w:sz="0" w:space="0" w:color="auto"/>
        <w:left w:val="none" w:sz="0" w:space="0" w:color="auto"/>
        <w:bottom w:val="none" w:sz="0" w:space="0" w:color="auto"/>
        <w:right w:val="none" w:sz="0" w:space="0" w:color="auto"/>
      </w:divBdr>
    </w:div>
    <w:div w:id="995767863">
      <w:bodyDiv w:val="1"/>
      <w:marLeft w:val="0"/>
      <w:marRight w:val="0"/>
      <w:marTop w:val="0"/>
      <w:marBottom w:val="0"/>
      <w:divBdr>
        <w:top w:val="none" w:sz="0" w:space="0" w:color="auto"/>
        <w:left w:val="none" w:sz="0" w:space="0" w:color="auto"/>
        <w:bottom w:val="none" w:sz="0" w:space="0" w:color="auto"/>
        <w:right w:val="none" w:sz="0" w:space="0" w:color="auto"/>
      </w:divBdr>
    </w:div>
    <w:div w:id="996761508">
      <w:bodyDiv w:val="1"/>
      <w:marLeft w:val="0"/>
      <w:marRight w:val="0"/>
      <w:marTop w:val="0"/>
      <w:marBottom w:val="0"/>
      <w:divBdr>
        <w:top w:val="none" w:sz="0" w:space="0" w:color="auto"/>
        <w:left w:val="none" w:sz="0" w:space="0" w:color="auto"/>
        <w:bottom w:val="none" w:sz="0" w:space="0" w:color="auto"/>
        <w:right w:val="none" w:sz="0" w:space="0" w:color="auto"/>
      </w:divBdr>
    </w:div>
    <w:div w:id="998000602">
      <w:bodyDiv w:val="1"/>
      <w:marLeft w:val="0"/>
      <w:marRight w:val="0"/>
      <w:marTop w:val="0"/>
      <w:marBottom w:val="0"/>
      <w:divBdr>
        <w:top w:val="none" w:sz="0" w:space="0" w:color="auto"/>
        <w:left w:val="none" w:sz="0" w:space="0" w:color="auto"/>
        <w:bottom w:val="none" w:sz="0" w:space="0" w:color="auto"/>
        <w:right w:val="none" w:sz="0" w:space="0" w:color="auto"/>
      </w:divBdr>
    </w:div>
    <w:div w:id="999045745">
      <w:bodyDiv w:val="1"/>
      <w:marLeft w:val="0"/>
      <w:marRight w:val="0"/>
      <w:marTop w:val="0"/>
      <w:marBottom w:val="0"/>
      <w:divBdr>
        <w:top w:val="none" w:sz="0" w:space="0" w:color="auto"/>
        <w:left w:val="none" w:sz="0" w:space="0" w:color="auto"/>
        <w:bottom w:val="none" w:sz="0" w:space="0" w:color="auto"/>
        <w:right w:val="none" w:sz="0" w:space="0" w:color="auto"/>
      </w:divBdr>
    </w:div>
    <w:div w:id="1000037814">
      <w:bodyDiv w:val="1"/>
      <w:marLeft w:val="0"/>
      <w:marRight w:val="0"/>
      <w:marTop w:val="0"/>
      <w:marBottom w:val="0"/>
      <w:divBdr>
        <w:top w:val="none" w:sz="0" w:space="0" w:color="auto"/>
        <w:left w:val="none" w:sz="0" w:space="0" w:color="auto"/>
        <w:bottom w:val="none" w:sz="0" w:space="0" w:color="auto"/>
        <w:right w:val="none" w:sz="0" w:space="0" w:color="auto"/>
      </w:divBdr>
    </w:div>
    <w:div w:id="1003243759">
      <w:bodyDiv w:val="1"/>
      <w:marLeft w:val="0"/>
      <w:marRight w:val="0"/>
      <w:marTop w:val="0"/>
      <w:marBottom w:val="0"/>
      <w:divBdr>
        <w:top w:val="none" w:sz="0" w:space="0" w:color="auto"/>
        <w:left w:val="none" w:sz="0" w:space="0" w:color="auto"/>
        <w:bottom w:val="none" w:sz="0" w:space="0" w:color="auto"/>
        <w:right w:val="none" w:sz="0" w:space="0" w:color="auto"/>
      </w:divBdr>
    </w:div>
    <w:div w:id="1003509762">
      <w:bodyDiv w:val="1"/>
      <w:marLeft w:val="0"/>
      <w:marRight w:val="0"/>
      <w:marTop w:val="0"/>
      <w:marBottom w:val="0"/>
      <w:divBdr>
        <w:top w:val="none" w:sz="0" w:space="0" w:color="auto"/>
        <w:left w:val="none" w:sz="0" w:space="0" w:color="auto"/>
        <w:bottom w:val="none" w:sz="0" w:space="0" w:color="auto"/>
        <w:right w:val="none" w:sz="0" w:space="0" w:color="auto"/>
      </w:divBdr>
    </w:div>
    <w:div w:id="1003751183">
      <w:bodyDiv w:val="1"/>
      <w:marLeft w:val="0"/>
      <w:marRight w:val="0"/>
      <w:marTop w:val="0"/>
      <w:marBottom w:val="0"/>
      <w:divBdr>
        <w:top w:val="none" w:sz="0" w:space="0" w:color="auto"/>
        <w:left w:val="none" w:sz="0" w:space="0" w:color="auto"/>
        <w:bottom w:val="none" w:sz="0" w:space="0" w:color="auto"/>
        <w:right w:val="none" w:sz="0" w:space="0" w:color="auto"/>
      </w:divBdr>
    </w:div>
    <w:div w:id="1005523433">
      <w:bodyDiv w:val="1"/>
      <w:marLeft w:val="0"/>
      <w:marRight w:val="0"/>
      <w:marTop w:val="0"/>
      <w:marBottom w:val="0"/>
      <w:divBdr>
        <w:top w:val="none" w:sz="0" w:space="0" w:color="auto"/>
        <w:left w:val="none" w:sz="0" w:space="0" w:color="auto"/>
        <w:bottom w:val="none" w:sz="0" w:space="0" w:color="auto"/>
        <w:right w:val="none" w:sz="0" w:space="0" w:color="auto"/>
      </w:divBdr>
    </w:div>
    <w:div w:id="1005742852">
      <w:bodyDiv w:val="1"/>
      <w:marLeft w:val="0"/>
      <w:marRight w:val="0"/>
      <w:marTop w:val="0"/>
      <w:marBottom w:val="0"/>
      <w:divBdr>
        <w:top w:val="none" w:sz="0" w:space="0" w:color="auto"/>
        <w:left w:val="none" w:sz="0" w:space="0" w:color="auto"/>
        <w:bottom w:val="none" w:sz="0" w:space="0" w:color="auto"/>
        <w:right w:val="none" w:sz="0" w:space="0" w:color="auto"/>
      </w:divBdr>
    </w:div>
    <w:div w:id="1007900209">
      <w:bodyDiv w:val="1"/>
      <w:marLeft w:val="0"/>
      <w:marRight w:val="0"/>
      <w:marTop w:val="0"/>
      <w:marBottom w:val="0"/>
      <w:divBdr>
        <w:top w:val="none" w:sz="0" w:space="0" w:color="auto"/>
        <w:left w:val="none" w:sz="0" w:space="0" w:color="auto"/>
        <w:bottom w:val="none" w:sz="0" w:space="0" w:color="auto"/>
        <w:right w:val="none" w:sz="0" w:space="0" w:color="auto"/>
      </w:divBdr>
    </w:div>
    <w:div w:id="1008605411">
      <w:bodyDiv w:val="1"/>
      <w:marLeft w:val="0"/>
      <w:marRight w:val="0"/>
      <w:marTop w:val="0"/>
      <w:marBottom w:val="0"/>
      <w:divBdr>
        <w:top w:val="none" w:sz="0" w:space="0" w:color="auto"/>
        <w:left w:val="none" w:sz="0" w:space="0" w:color="auto"/>
        <w:bottom w:val="none" w:sz="0" w:space="0" w:color="auto"/>
        <w:right w:val="none" w:sz="0" w:space="0" w:color="auto"/>
      </w:divBdr>
    </w:div>
    <w:div w:id="1009870457">
      <w:bodyDiv w:val="1"/>
      <w:marLeft w:val="0"/>
      <w:marRight w:val="0"/>
      <w:marTop w:val="0"/>
      <w:marBottom w:val="0"/>
      <w:divBdr>
        <w:top w:val="none" w:sz="0" w:space="0" w:color="auto"/>
        <w:left w:val="none" w:sz="0" w:space="0" w:color="auto"/>
        <w:bottom w:val="none" w:sz="0" w:space="0" w:color="auto"/>
        <w:right w:val="none" w:sz="0" w:space="0" w:color="auto"/>
      </w:divBdr>
    </w:div>
    <w:div w:id="1012301614">
      <w:bodyDiv w:val="1"/>
      <w:marLeft w:val="0"/>
      <w:marRight w:val="0"/>
      <w:marTop w:val="0"/>
      <w:marBottom w:val="0"/>
      <w:divBdr>
        <w:top w:val="none" w:sz="0" w:space="0" w:color="auto"/>
        <w:left w:val="none" w:sz="0" w:space="0" w:color="auto"/>
        <w:bottom w:val="none" w:sz="0" w:space="0" w:color="auto"/>
        <w:right w:val="none" w:sz="0" w:space="0" w:color="auto"/>
      </w:divBdr>
    </w:div>
    <w:div w:id="1014117018">
      <w:bodyDiv w:val="1"/>
      <w:marLeft w:val="0"/>
      <w:marRight w:val="0"/>
      <w:marTop w:val="0"/>
      <w:marBottom w:val="0"/>
      <w:divBdr>
        <w:top w:val="none" w:sz="0" w:space="0" w:color="auto"/>
        <w:left w:val="none" w:sz="0" w:space="0" w:color="auto"/>
        <w:bottom w:val="none" w:sz="0" w:space="0" w:color="auto"/>
        <w:right w:val="none" w:sz="0" w:space="0" w:color="auto"/>
      </w:divBdr>
    </w:div>
    <w:div w:id="1014651649">
      <w:bodyDiv w:val="1"/>
      <w:marLeft w:val="0"/>
      <w:marRight w:val="0"/>
      <w:marTop w:val="0"/>
      <w:marBottom w:val="0"/>
      <w:divBdr>
        <w:top w:val="none" w:sz="0" w:space="0" w:color="auto"/>
        <w:left w:val="none" w:sz="0" w:space="0" w:color="auto"/>
        <w:bottom w:val="none" w:sz="0" w:space="0" w:color="auto"/>
        <w:right w:val="none" w:sz="0" w:space="0" w:color="auto"/>
      </w:divBdr>
    </w:div>
    <w:div w:id="1019507054">
      <w:bodyDiv w:val="1"/>
      <w:marLeft w:val="0"/>
      <w:marRight w:val="0"/>
      <w:marTop w:val="0"/>
      <w:marBottom w:val="0"/>
      <w:divBdr>
        <w:top w:val="none" w:sz="0" w:space="0" w:color="auto"/>
        <w:left w:val="none" w:sz="0" w:space="0" w:color="auto"/>
        <w:bottom w:val="none" w:sz="0" w:space="0" w:color="auto"/>
        <w:right w:val="none" w:sz="0" w:space="0" w:color="auto"/>
      </w:divBdr>
    </w:div>
    <w:div w:id="1019889438">
      <w:bodyDiv w:val="1"/>
      <w:marLeft w:val="0"/>
      <w:marRight w:val="0"/>
      <w:marTop w:val="0"/>
      <w:marBottom w:val="0"/>
      <w:divBdr>
        <w:top w:val="none" w:sz="0" w:space="0" w:color="auto"/>
        <w:left w:val="none" w:sz="0" w:space="0" w:color="auto"/>
        <w:bottom w:val="none" w:sz="0" w:space="0" w:color="auto"/>
        <w:right w:val="none" w:sz="0" w:space="0" w:color="auto"/>
      </w:divBdr>
    </w:div>
    <w:div w:id="1020819461">
      <w:bodyDiv w:val="1"/>
      <w:marLeft w:val="0"/>
      <w:marRight w:val="0"/>
      <w:marTop w:val="0"/>
      <w:marBottom w:val="0"/>
      <w:divBdr>
        <w:top w:val="none" w:sz="0" w:space="0" w:color="auto"/>
        <w:left w:val="none" w:sz="0" w:space="0" w:color="auto"/>
        <w:bottom w:val="none" w:sz="0" w:space="0" w:color="auto"/>
        <w:right w:val="none" w:sz="0" w:space="0" w:color="auto"/>
      </w:divBdr>
    </w:div>
    <w:div w:id="1025520467">
      <w:bodyDiv w:val="1"/>
      <w:marLeft w:val="0"/>
      <w:marRight w:val="0"/>
      <w:marTop w:val="0"/>
      <w:marBottom w:val="0"/>
      <w:divBdr>
        <w:top w:val="none" w:sz="0" w:space="0" w:color="auto"/>
        <w:left w:val="none" w:sz="0" w:space="0" w:color="auto"/>
        <w:bottom w:val="none" w:sz="0" w:space="0" w:color="auto"/>
        <w:right w:val="none" w:sz="0" w:space="0" w:color="auto"/>
      </w:divBdr>
    </w:div>
    <w:div w:id="1026640061">
      <w:bodyDiv w:val="1"/>
      <w:marLeft w:val="0"/>
      <w:marRight w:val="0"/>
      <w:marTop w:val="0"/>
      <w:marBottom w:val="0"/>
      <w:divBdr>
        <w:top w:val="none" w:sz="0" w:space="0" w:color="auto"/>
        <w:left w:val="none" w:sz="0" w:space="0" w:color="auto"/>
        <w:bottom w:val="none" w:sz="0" w:space="0" w:color="auto"/>
        <w:right w:val="none" w:sz="0" w:space="0" w:color="auto"/>
      </w:divBdr>
    </w:div>
    <w:div w:id="1028488700">
      <w:bodyDiv w:val="1"/>
      <w:marLeft w:val="0"/>
      <w:marRight w:val="0"/>
      <w:marTop w:val="0"/>
      <w:marBottom w:val="0"/>
      <w:divBdr>
        <w:top w:val="none" w:sz="0" w:space="0" w:color="auto"/>
        <w:left w:val="none" w:sz="0" w:space="0" w:color="auto"/>
        <w:bottom w:val="none" w:sz="0" w:space="0" w:color="auto"/>
        <w:right w:val="none" w:sz="0" w:space="0" w:color="auto"/>
      </w:divBdr>
    </w:div>
    <w:div w:id="1028994560">
      <w:bodyDiv w:val="1"/>
      <w:marLeft w:val="0"/>
      <w:marRight w:val="0"/>
      <w:marTop w:val="0"/>
      <w:marBottom w:val="0"/>
      <w:divBdr>
        <w:top w:val="none" w:sz="0" w:space="0" w:color="auto"/>
        <w:left w:val="none" w:sz="0" w:space="0" w:color="auto"/>
        <w:bottom w:val="none" w:sz="0" w:space="0" w:color="auto"/>
        <w:right w:val="none" w:sz="0" w:space="0" w:color="auto"/>
      </w:divBdr>
    </w:div>
    <w:div w:id="1029913226">
      <w:bodyDiv w:val="1"/>
      <w:marLeft w:val="0"/>
      <w:marRight w:val="0"/>
      <w:marTop w:val="0"/>
      <w:marBottom w:val="0"/>
      <w:divBdr>
        <w:top w:val="none" w:sz="0" w:space="0" w:color="auto"/>
        <w:left w:val="none" w:sz="0" w:space="0" w:color="auto"/>
        <w:bottom w:val="none" w:sz="0" w:space="0" w:color="auto"/>
        <w:right w:val="none" w:sz="0" w:space="0" w:color="auto"/>
      </w:divBdr>
    </w:div>
    <w:div w:id="1030108520">
      <w:bodyDiv w:val="1"/>
      <w:marLeft w:val="0"/>
      <w:marRight w:val="0"/>
      <w:marTop w:val="0"/>
      <w:marBottom w:val="0"/>
      <w:divBdr>
        <w:top w:val="none" w:sz="0" w:space="0" w:color="auto"/>
        <w:left w:val="none" w:sz="0" w:space="0" w:color="auto"/>
        <w:bottom w:val="none" w:sz="0" w:space="0" w:color="auto"/>
        <w:right w:val="none" w:sz="0" w:space="0" w:color="auto"/>
      </w:divBdr>
    </w:div>
    <w:div w:id="1031034806">
      <w:bodyDiv w:val="1"/>
      <w:marLeft w:val="0"/>
      <w:marRight w:val="0"/>
      <w:marTop w:val="0"/>
      <w:marBottom w:val="0"/>
      <w:divBdr>
        <w:top w:val="none" w:sz="0" w:space="0" w:color="auto"/>
        <w:left w:val="none" w:sz="0" w:space="0" w:color="auto"/>
        <w:bottom w:val="none" w:sz="0" w:space="0" w:color="auto"/>
        <w:right w:val="none" w:sz="0" w:space="0" w:color="auto"/>
      </w:divBdr>
    </w:div>
    <w:div w:id="1031416628">
      <w:bodyDiv w:val="1"/>
      <w:marLeft w:val="0"/>
      <w:marRight w:val="0"/>
      <w:marTop w:val="0"/>
      <w:marBottom w:val="0"/>
      <w:divBdr>
        <w:top w:val="none" w:sz="0" w:space="0" w:color="auto"/>
        <w:left w:val="none" w:sz="0" w:space="0" w:color="auto"/>
        <w:bottom w:val="none" w:sz="0" w:space="0" w:color="auto"/>
        <w:right w:val="none" w:sz="0" w:space="0" w:color="auto"/>
      </w:divBdr>
    </w:div>
    <w:div w:id="1031490015">
      <w:bodyDiv w:val="1"/>
      <w:marLeft w:val="0"/>
      <w:marRight w:val="0"/>
      <w:marTop w:val="0"/>
      <w:marBottom w:val="0"/>
      <w:divBdr>
        <w:top w:val="none" w:sz="0" w:space="0" w:color="auto"/>
        <w:left w:val="none" w:sz="0" w:space="0" w:color="auto"/>
        <w:bottom w:val="none" w:sz="0" w:space="0" w:color="auto"/>
        <w:right w:val="none" w:sz="0" w:space="0" w:color="auto"/>
      </w:divBdr>
    </w:div>
    <w:div w:id="1031492550">
      <w:bodyDiv w:val="1"/>
      <w:marLeft w:val="0"/>
      <w:marRight w:val="0"/>
      <w:marTop w:val="0"/>
      <w:marBottom w:val="0"/>
      <w:divBdr>
        <w:top w:val="none" w:sz="0" w:space="0" w:color="auto"/>
        <w:left w:val="none" w:sz="0" w:space="0" w:color="auto"/>
        <w:bottom w:val="none" w:sz="0" w:space="0" w:color="auto"/>
        <w:right w:val="none" w:sz="0" w:space="0" w:color="auto"/>
      </w:divBdr>
    </w:div>
    <w:div w:id="1031959883">
      <w:bodyDiv w:val="1"/>
      <w:marLeft w:val="0"/>
      <w:marRight w:val="0"/>
      <w:marTop w:val="0"/>
      <w:marBottom w:val="0"/>
      <w:divBdr>
        <w:top w:val="none" w:sz="0" w:space="0" w:color="auto"/>
        <w:left w:val="none" w:sz="0" w:space="0" w:color="auto"/>
        <w:bottom w:val="none" w:sz="0" w:space="0" w:color="auto"/>
        <w:right w:val="none" w:sz="0" w:space="0" w:color="auto"/>
      </w:divBdr>
    </w:div>
    <w:div w:id="1032606763">
      <w:bodyDiv w:val="1"/>
      <w:marLeft w:val="0"/>
      <w:marRight w:val="0"/>
      <w:marTop w:val="0"/>
      <w:marBottom w:val="0"/>
      <w:divBdr>
        <w:top w:val="none" w:sz="0" w:space="0" w:color="auto"/>
        <w:left w:val="none" w:sz="0" w:space="0" w:color="auto"/>
        <w:bottom w:val="none" w:sz="0" w:space="0" w:color="auto"/>
        <w:right w:val="none" w:sz="0" w:space="0" w:color="auto"/>
      </w:divBdr>
    </w:div>
    <w:div w:id="1033576251">
      <w:bodyDiv w:val="1"/>
      <w:marLeft w:val="0"/>
      <w:marRight w:val="0"/>
      <w:marTop w:val="0"/>
      <w:marBottom w:val="0"/>
      <w:divBdr>
        <w:top w:val="none" w:sz="0" w:space="0" w:color="auto"/>
        <w:left w:val="none" w:sz="0" w:space="0" w:color="auto"/>
        <w:bottom w:val="none" w:sz="0" w:space="0" w:color="auto"/>
        <w:right w:val="none" w:sz="0" w:space="0" w:color="auto"/>
      </w:divBdr>
    </w:div>
    <w:div w:id="1037504457">
      <w:bodyDiv w:val="1"/>
      <w:marLeft w:val="0"/>
      <w:marRight w:val="0"/>
      <w:marTop w:val="0"/>
      <w:marBottom w:val="0"/>
      <w:divBdr>
        <w:top w:val="none" w:sz="0" w:space="0" w:color="auto"/>
        <w:left w:val="none" w:sz="0" w:space="0" w:color="auto"/>
        <w:bottom w:val="none" w:sz="0" w:space="0" w:color="auto"/>
        <w:right w:val="none" w:sz="0" w:space="0" w:color="auto"/>
      </w:divBdr>
    </w:div>
    <w:div w:id="1039630104">
      <w:bodyDiv w:val="1"/>
      <w:marLeft w:val="0"/>
      <w:marRight w:val="0"/>
      <w:marTop w:val="0"/>
      <w:marBottom w:val="0"/>
      <w:divBdr>
        <w:top w:val="none" w:sz="0" w:space="0" w:color="auto"/>
        <w:left w:val="none" w:sz="0" w:space="0" w:color="auto"/>
        <w:bottom w:val="none" w:sz="0" w:space="0" w:color="auto"/>
        <w:right w:val="none" w:sz="0" w:space="0" w:color="auto"/>
      </w:divBdr>
    </w:div>
    <w:div w:id="1044250835">
      <w:bodyDiv w:val="1"/>
      <w:marLeft w:val="0"/>
      <w:marRight w:val="0"/>
      <w:marTop w:val="0"/>
      <w:marBottom w:val="0"/>
      <w:divBdr>
        <w:top w:val="none" w:sz="0" w:space="0" w:color="auto"/>
        <w:left w:val="none" w:sz="0" w:space="0" w:color="auto"/>
        <w:bottom w:val="none" w:sz="0" w:space="0" w:color="auto"/>
        <w:right w:val="none" w:sz="0" w:space="0" w:color="auto"/>
      </w:divBdr>
    </w:div>
    <w:div w:id="1044671238">
      <w:bodyDiv w:val="1"/>
      <w:marLeft w:val="0"/>
      <w:marRight w:val="0"/>
      <w:marTop w:val="0"/>
      <w:marBottom w:val="0"/>
      <w:divBdr>
        <w:top w:val="none" w:sz="0" w:space="0" w:color="auto"/>
        <w:left w:val="none" w:sz="0" w:space="0" w:color="auto"/>
        <w:bottom w:val="none" w:sz="0" w:space="0" w:color="auto"/>
        <w:right w:val="none" w:sz="0" w:space="0" w:color="auto"/>
      </w:divBdr>
    </w:div>
    <w:div w:id="1045563100">
      <w:bodyDiv w:val="1"/>
      <w:marLeft w:val="0"/>
      <w:marRight w:val="0"/>
      <w:marTop w:val="0"/>
      <w:marBottom w:val="0"/>
      <w:divBdr>
        <w:top w:val="none" w:sz="0" w:space="0" w:color="auto"/>
        <w:left w:val="none" w:sz="0" w:space="0" w:color="auto"/>
        <w:bottom w:val="none" w:sz="0" w:space="0" w:color="auto"/>
        <w:right w:val="none" w:sz="0" w:space="0" w:color="auto"/>
      </w:divBdr>
    </w:div>
    <w:div w:id="1046638789">
      <w:bodyDiv w:val="1"/>
      <w:marLeft w:val="0"/>
      <w:marRight w:val="0"/>
      <w:marTop w:val="0"/>
      <w:marBottom w:val="0"/>
      <w:divBdr>
        <w:top w:val="none" w:sz="0" w:space="0" w:color="auto"/>
        <w:left w:val="none" w:sz="0" w:space="0" w:color="auto"/>
        <w:bottom w:val="none" w:sz="0" w:space="0" w:color="auto"/>
        <w:right w:val="none" w:sz="0" w:space="0" w:color="auto"/>
      </w:divBdr>
      <w:divsChild>
        <w:div w:id="1174764808">
          <w:marLeft w:val="0"/>
          <w:marRight w:val="0"/>
          <w:marTop w:val="100"/>
          <w:marBottom w:val="100"/>
          <w:divBdr>
            <w:top w:val="none" w:sz="0" w:space="0" w:color="auto"/>
            <w:left w:val="none" w:sz="0" w:space="0" w:color="auto"/>
            <w:bottom w:val="none" w:sz="0" w:space="0" w:color="auto"/>
            <w:right w:val="none" w:sz="0" w:space="0" w:color="auto"/>
          </w:divBdr>
          <w:divsChild>
            <w:div w:id="1500004031">
              <w:marLeft w:val="5100"/>
              <w:marRight w:val="1050"/>
              <w:marTop w:val="0"/>
              <w:marBottom w:val="0"/>
              <w:divBdr>
                <w:top w:val="none" w:sz="0" w:space="0" w:color="auto"/>
                <w:left w:val="none" w:sz="0" w:space="0" w:color="auto"/>
                <w:bottom w:val="none" w:sz="0" w:space="0" w:color="auto"/>
                <w:right w:val="none" w:sz="0" w:space="0" w:color="auto"/>
              </w:divBdr>
              <w:divsChild>
                <w:div w:id="529488708">
                  <w:marLeft w:val="0"/>
                  <w:marRight w:val="0"/>
                  <w:marTop w:val="0"/>
                  <w:marBottom w:val="0"/>
                  <w:divBdr>
                    <w:top w:val="none" w:sz="0" w:space="0" w:color="auto"/>
                    <w:left w:val="none" w:sz="0" w:space="0" w:color="auto"/>
                    <w:bottom w:val="none" w:sz="0" w:space="0" w:color="auto"/>
                    <w:right w:val="none" w:sz="0" w:space="0" w:color="auto"/>
                  </w:divBdr>
                  <w:divsChild>
                    <w:div w:id="650140245">
                      <w:marLeft w:val="0"/>
                      <w:marRight w:val="0"/>
                      <w:marTop w:val="0"/>
                      <w:marBottom w:val="0"/>
                      <w:divBdr>
                        <w:top w:val="single" w:sz="12" w:space="8" w:color="D5DAE1"/>
                        <w:left w:val="none" w:sz="0" w:space="0" w:color="auto"/>
                        <w:bottom w:val="none" w:sz="0" w:space="0" w:color="auto"/>
                        <w:right w:val="none" w:sz="0" w:space="0" w:color="auto"/>
                      </w:divBdr>
                      <w:divsChild>
                        <w:div w:id="789400896">
                          <w:marLeft w:val="0"/>
                          <w:marRight w:val="0"/>
                          <w:marTop w:val="0"/>
                          <w:marBottom w:val="0"/>
                          <w:divBdr>
                            <w:top w:val="none" w:sz="0" w:space="0" w:color="auto"/>
                            <w:left w:val="none" w:sz="0" w:space="0" w:color="auto"/>
                            <w:bottom w:val="single" w:sz="12" w:space="8" w:color="D5DAE1"/>
                            <w:right w:val="none" w:sz="0" w:space="0" w:color="auto"/>
                          </w:divBdr>
                        </w:div>
                      </w:divsChild>
                    </w:div>
                  </w:divsChild>
                </w:div>
              </w:divsChild>
            </w:div>
          </w:divsChild>
        </w:div>
      </w:divsChild>
    </w:div>
    <w:div w:id="1047680367">
      <w:bodyDiv w:val="1"/>
      <w:marLeft w:val="0"/>
      <w:marRight w:val="0"/>
      <w:marTop w:val="0"/>
      <w:marBottom w:val="0"/>
      <w:divBdr>
        <w:top w:val="none" w:sz="0" w:space="0" w:color="auto"/>
        <w:left w:val="none" w:sz="0" w:space="0" w:color="auto"/>
        <w:bottom w:val="none" w:sz="0" w:space="0" w:color="auto"/>
        <w:right w:val="none" w:sz="0" w:space="0" w:color="auto"/>
      </w:divBdr>
    </w:div>
    <w:div w:id="1053652822">
      <w:bodyDiv w:val="1"/>
      <w:marLeft w:val="0"/>
      <w:marRight w:val="0"/>
      <w:marTop w:val="0"/>
      <w:marBottom w:val="0"/>
      <w:divBdr>
        <w:top w:val="none" w:sz="0" w:space="0" w:color="auto"/>
        <w:left w:val="none" w:sz="0" w:space="0" w:color="auto"/>
        <w:bottom w:val="none" w:sz="0" w:space="0" w:color="auto"/>
        <w:right w:val="none" w:sz="0" w:space="0" w:color="auto"/>
      </w:divBdr>
    </w:div>
    <w:div w:id="1056778581">
      <w:bodyDiv w:val="1"/>
      <w:marLeft w:val="0"/>
      <w:marRight w:val="0"/>
      <w:marTop w:val="0"/>
      <w:marBottom w:val="0"/>
      <w:divBdr>
        <w:top w:val="none" w:sz="0" w:space="0" w:color="auto"/>
        <w:left w:val="none" w:sz="0" w:space="0" w:color="auto"/>
        <w:bottom w:val="none" w:sz="0" w:space="0" w:color="auto"/>
        <w:right w:val="none" w:sz="0" w:space="0" w:color="auto"/>
      </w:divBdr>
    </w:div>
    <w:div w:id="1057968403">
      <w:bodyDiv w:val="1"/>
      <w:marLeft w:val="0"/>
      <w:marRight w:val="0"/>
      <w:marTop w:val="0"/>
      <w:marBottom w:val="0"/>
      <w:divBdr>
        <w:top w:val="none" w:sz="0" w:space="0" w:color="auto"/>
        <w:left w:val="none" w:sz="0" w:space="0" w:color="auto"/>
        <w:bottom w:val="none" w:sz="0" w:space="0" w:color="auto"/>
        <w:right w:val="none" w:sz="0" w:space="0" w:color="auto"/>
      </w:divBdr>
    </w:div>
    <w:div w:id="1061051286">
      <w:bodyDiv w:val="1"/>
      <w:marLeft w:val="0"/>
      <w:marRight w:val="0"/>
      <w:marTop w:val="0"/>
      <w:marBottom w:val="0"/>
      <w:divBdr>
        <w:top w:val="none" w:sz="0" w:space="0" w:color="auto"/>
        <w:left w:val="none" w:sz="0" w:space="0" w:color="auto"/>
        <w:bottom w:val="none" w:sz="0" w:space="0" w:color="auto"/>
        <w:right w:val="none" w:sz="0" w:space="0" w:color="auto"/>
      </w:divBdr>
    </w:div>
    <w:div w:id="1061711050">
      <w:bodyDiv w:val="1"/>
      <w:marLeft w:val="0"/>
      <w:marRight w:val="0"/>
      <w:marTop w:val="0"/>
      <w:marBottom w:val="0"/>
      <w:divBdr>
        <w:top w:val="none" w:sz="0" w:space="0" w:color="auto"/>
        <w:left w:val="none" w:sz="0" w:space="0" w:color="auto"/>
        <w:bottom w:val="none" w:sz="0" w:space="0" w:color="auto"/>
        <w:right w:val="none" w:sz="0" w:space="0" w:color="auto"/>
      </w:divBdr>
    </w:div>
    <w:div w:id="1063990731">
      <w:bodyDiv w:val="1"/>
      <w:marLeft w:val="0"/>
      <w:marRight w:val="0"/>
      <w:marTop w:val="0"/>
      <w:marBottom w:val="0"/>
      <w:divBdr>
        <w:top w:val="none" w:sz="0" w:space="0" w:color="auto"/>
        <w:left w:val="none" w:sz="0" w:space="0" w:color="auto"/>
        <w:bottom w:val="none" w:sz="0" w:space="0" w:color="auto"/>
        <w:right w:val="none" w:sz="0" w:space="0" w:color="auto"/>
      </w:divBdr>
    </w:div>
    <w:div w:id="1067342307">
      <w:bodyDiv w:val="1"/>
      <w:marLeft w:val="0"/>
      <w:marRight w:val="0"/>
      <w:marTop w:val="0"/>
      <w:marBottom w:val="0"/>
      <w:divBdr>
        <w:top w:val="none" w:sz="0" w:space="0" w:color="auto"/>
        <w:left w:val="none" w:sz="0" w:space="0" w:color="auto"/>
        <w:bottom w:val="none" w:sz="0" w:space="0" w:color="auto"/>
        <w:right w:val="none" w:sz="0" w:space="0" w:color="auto"/>
      </w:divBdr>
    </w:div>
    <w:div w:id="1067876303">
      <w:bodyDiv w:val="1"/>
      <w:marLeft w:val="0"/>
      <w:marRight w:val="0"/>
      <w:marTop w:val="0"/>
      <w:marBottom w:val="0"/>
      <w:divBdr>
        <w:top w:val="none" w:sz="0" w:space="0" w:color="auto"/>
        <w:left w:val="none" w:sz="0" w:space="0" w:color="auto"/>
        <w:bottom w:val="none" w:sz="0" w:space="0" w:color="auto"/>
        <w:right w:val="none" w:sz="0" w:space="0" w:color="auto"/>
      </w:divBdr>
    </w:div>
    <w:div w:id="1069425230">
      <w:bodyDiv w:val="1"/>
      <w:marLeft w:val="0"/>
      <w:marRight w:val="0"/>
      <w:marTop w:val="0"/>
      <w:marBottom w:val="0"/>
      <w:divBdr>
        <w:top w:val="none" w:sz="0" w:space="0" w:color="auto"/>
        <w:left w:val="none" w:sz="0" w:space="0" w:color="auto"/>
        <w:bottom w:val="none" w:sz="0" w:space="0" w:color="auto"/>
        <w:right w:val="none" w:sz="0" w:space="0" w:color="auto"/>
      </w:divBdr>
    </w:div>
    <w:div w:id="1073087015">
      <w:bodyDiv w:val="1"/>
      <w:marLeft w:val="0"/>
      <w:marRight w:val="0"/>
      <w:marTop w:val="0"/>
      <w:marBottom w:val="0"/>
      <w:divBdr>
        <w:top w:val="none" w:sz="0" w:space="0" w:color="auto"/>
        <w:left w:val="none" w:sz="0" w:space="0" w:color="auto"/>
        <w:bottom w:val="none" w:sz="0" w:space="0" w:color="auto"/>
        <w:right w:val="none" w:sz="0" w:space="0" w:color="auto"/>
      </w:divBdr>
    </w:div>
    <w:div w:id="1073506965">
      <w:bodyDiv w:val="1"/>
      <w:marLeft w:val="0"/>
      <w:marRight w:val="0"/>
      <w:marTop w:val="0"/>
      <w:marBottom w:val="0"/>
      <w:divBdr>
        <w:top w:val="none" w:sz="0" w:space="0" w:color="auto"/>
        <w:left w:val="none" w:sz="0" w:space="0" w:color="auto"/>
        <w:bottom w:val="none" w:sz="0" w:space="0" w:color="auto"/>
        <w:right w:val="none" w:sz="0" w:space="0" w:color="auto"/>
      </w:divBdr>
    </w:div>
    <w:div w:id="1073509215">
      <w:bodyDiv w:val="1"/>
      <w:marLeft w:val="0"/>
      <w:marRight w:val="0"/>
      <w:marTop w:val="0"/>
      <w:marBottom w:val="0"/>
      <w:divBdr>
        <w:top w:val="none" w:sz="0" w:space="0" w:color="auto"/>
        <w:left w:val="none" w:sz="0" w:space="0" w:color="auto"/>
        <w:bottom w:val="none" w:sz="0" w:space="0" w:color="auto"/>
        <w:right w:val="none" w:sz="0" w:space="0" w:color="auto"/>
      </w:divBdr>
    </w:div>
    <w:div w:id="1075054863">
      <w:bodyDiv w:val="1"/>
      <w:marLeft w:val="0"/>
      <w:marRight w:val="0"/>
      <w:marTop w:val="0"/>
      <w:marBottom w:val="0"/>
      <w:divBdr>
        <w:top w:val="none" w:sz="0" w:space="0" w:color="auto"/>
        <w:left w:val="none" w:sz="0" w:space="0" w:color="auto"/>
        <w:bottom w:val="none" w:sz="0" w:space="0" w:color="auto"/>
        <w:right w:val="none" w:sz="0" w:space="0" w:color="auto"/>
      </w:divBdr>
    </w:div>
    <w:div w:id="1076122564">
      <w:bodyDiv w:val="1"/>
      <w:marLeft w:val="0"/>
      <w:marRight w:val="0"/>
      <w:marTop w:val="0"/>
      <w:marBottom w:val="0"/>
      <w:divBdr>
        <w:top w:val="none" w:sz="0" w:space="0" w:color="auto"/>
        <w:left w:val="none" w:sz="0" w:space="0" w:color="auto"/>
        <w:bottom w:val="none" w:sz="0" w:space="0" w:color="auto"/>
        <w:right w:val="none" w:sz="0" w:space="0" w:color="auto"/>
      </w:divBdr>
    </w:div>
    <w:div w:id="1079671753">
      <w:bodyDiv w:val="1"/>
      <w:marLeft w:val="0"/>
      <w:marRight w:val="0"/>
      <w:marTop w:val="0"/>
      <w:marBottom w:val="0"/>
      <w:divBdr>
        <w:top w:val="none" w:sz="0" w:space="0" w:color="auto"/>
        <w:left w:val="none" w:sz="0" w:space="0" w:color="auto"/>
        <w:bottom w:val="none" w:sz="0" w:space="0" w:color="auto"/>
        <w:right w:val="none" w:sz="0" w:space="0" w:color="auto"/>
      </w:divBdr>
    </w:div>
    <w:div w:id="1080105807">
      <w:bodyDiv w:val="1"/>
      <w:marLeft w:val="0"/>
      <w:marRight w:val="0"/>
      <w:marTop w:val="0"/>
      <w:marBottom w:val="0"/>
      <w:divBdr>
        <w:top w:val="none" w:sz="0" w:space="0" w:color="auto"/>
        <w:left w:val="none" w:sz="0" w:space="0" w:color="auto"/>
        <w:bottom w:val="none" w:sz="0" w:space="0" w:color="auto"/>
        <w:right w:val="none" w:sz="0" w:space="0" w:color="auto"/>
      </w:divBdr>
    </w:div>
    <w:div w:id="1082291759">
      <w:bodyDiv w:val="1"/>
      <w:marLeft w:val="0"/>
      <w:marRight w:val="0"/>
      <w:marTop w:val="0"/>
      <w:marBottom w:val="0"/>
      <w:divBdr>
        <w:top w:val="none" w:sz="0" w:space="0" w:color="auto"/>
        <w:left w:val="none" w:sz="0" w:space="0" w:color="auto"/>
        <w:bottom w:val="none" w:sz="0" w:space="0" w:color="auto"/>
        <w:right w:val="none" w:sz="0" w:space="0" w:color="auto"/>
      </w:divBdr>
    </w:div>
    <w:div w:id="1082485297">
      <w:bodyDiv w:val="1"/>
      <w:marLeft w:val="0"/>
      <w:marRight w:val="0"/>
      <w:marTop w:val="0"/>
      <w:marBottom w:val="0"/>
      <w:divBdr>
        <w:top w:val="none" w:sz="0" w:space="0" w:color="auto"/>
        <w:left w:val="none" w:sz="0" w:space="0" w:color="auto"/>
        <w:bottom w:val="none" w:sz="0" w:space="0" w:color="auto"/>
        <w:right w:val="none" w:sz="0" w:space="0" w:color="auto"/>
      </w:divBdr>
    </w:div>
    <w:div w:id="1082678807">
      <w:bodyDiv w:val="1"/>
      <w:marLeft w:val="0"/>
      <w:marRight w:val="0"/>
      <w:marTop w:val="0"/>
      <w:marBottom w:val="0"/>
      <w:divBdr>
        <w:top w:val="none" w:sz="0" w:space="0" w:color="auto"/>
        <w:left w:val="none" w:sz="0" w:space="0" w:color="auto"/>
        <w:bottom w:val="none" w:sz="0" w:space="0" w:color="auto"/>
        <w:right w:val="none" w:sz="0" w:space="0" w:color="auto"/>
      </w:divBdr>
    </w:div>
    <w:div w:id="1084184448">
      <w:bodyDiv w:val="1"/>
      <w:marLeft w:val="0"/>
      <w:marRight w:val="0"/>
      <w:marTop w:val="0"/>
      <w:marBottom w:val="0"/>
      <w:divBdr>
        <w:top w:val="none" w:sz="0" w:space="0" w:color="auto"/>
        <w:left w:val="none" w:sz="0" w:space="0" w:color="auto"/>
        <w:bottom w:val="none" w:sz="0" w:space="0" w:color="auto"/>
        <w:right w:val="none" w:sz="0" w:space="0" w:color="auto"/>
      </w:divBdr>
    </w:div>
    <w:div w:id="1086611000">
      <w:bodyDiv w:val="1"/>
      <w:marLeft w:val="0"/>
      <w:marRight w:val="0"/>
      <w:marTop w:val="0"/>
      <w:marBottom w:val="0"/>
      <w:divBdr>
        <w:top w:val="none" w:sz="0" w:space="0" w:color="auto"/>
        <w:left w:val="none" w:sz="0" w:space="0" w:color="auto"/>
        <w:bottom w:val="none" w:sz="0" w:space="0" w:color="auto"/>
        <w:right w:val="none" w:sz="0" w:space="0" w:color="auto"/>
      </w:divBdr>
    </w:div>
    <w:div w:id="1087533436">
      <w:bodyDiv w:val="1"/>
      <w:marLeft w:val="0"/>
      <w:marRight w:val="0"/>
      <w:marTop w:val="0"/>
      <w:marBottom w:val="0"/>
      <w:divBdr>
        <w:top w:val="none" w:sz="0" w:space="0" w:color="auto"/>
        <w:left w:val="none" w:sz="0" w:space="0" w:color="auto"/>
        <w:bottom w:val="none" w:sz="0" w:space="0" w:color="auto"/>
        <w:right w:val="none" w:sz="0" w:space="0" w:color="auto"/>
      </w:divBdr>
    </w:div>
    <w:div w:id="1087766821">
      <w:bodyDiv w:val="1"/>
      <w:marLeft w:val="0"/>
      <w:marRight w:val="0"/>
      <w:marTop w:val="0"/>
      <w:marBottom w:val="0"/>
      <w:divBdr>
        <w:top w:val="none" w:sz="0" w:space="0" w:color="auto"/>
        <w:left w:val="none" w:sz="0" w:space="0" w:color="auto"/>
        <w:bottom w:val="none" w:sz="0" w:space="0" w:color="auto"/>
        <w:right w:val="none" w:sz="0" w:space="0" w:color="auto"/>
      </w:divBdr>
    </w:div>
    <w:div w:id="1088696635">
      <w:bodyDiv w:val="1"/>
      <w:marLeft w:val="0"/>
      <w:marRight w:val="0"/>
      <w:marTop w:val="0"/>
      <w:marBottom w:val="0"/>
      <w:divBdr>
        <w:top w:val="none" w:sz="0" w:space="0" w:color="auto"/>
        <w:left w:val="none" w:sz="0" w:space="0" w:color="auto"/>
        <w:bottom w:val="none" w:sz="0" w:space="0" w:color="auto"/>
        <w:right w:val="none" w:sz="0" w:space="0" w:color="auto"/>
      </w:divBdr>
    </w:div>
    <w:div w:id="1090078952">
      <w:bodyDiv w:val="1"/>
      <w:marLeft w:val="0"/>
      <w:marRight w:val="0"/>
      <w:marTop w:val="0"/>
      <w:marBottom w:val="0"/>
      <w:divBdr>
        <w:top w:val="none" w:sz="0" w:space="0" w:color="auto"/>
        <w:left w:val="none" w:sz="0" w:space="0" w:color="auto"/>
        <w:bottom w:val="none" w:sz="0" w:space="0" w:color="auto"/>
        <w:right w:val="none" w:sz="0" w:space="0" w:color="auto"/>
      </w:divBdr>
    </w:div>
    <w:div w:id="1090586861">
      <w:bodyDiv w:val="1"/>
      <w:marLeft w:val="0"/>
      <w:marRight w:val="0"/>
      <w:marTop w:val="0"/>
      <w:marBottom w:val="0"/>
      <w:divBdr>
        <w:top w:val="none" w:sz="0" w:space="0" w:color="auto"/>
        <w:left w:val="none" w:sz="0" w:space="0" w:color="auto"/>
        <w:bottom w:val="none" w:sz="0" w:space="0" w:color="auto"/>
        <w:right w:val="none" w:sz="0" w:space="0" w:color="auto"/>
      </w:divBdr>
    </w:div>
    <w:div w:id="1091048031">
      <w:bodyDiv w:val="1"/>
      <w:marLeft w:val="0"/>
      <w:marRight w:val="0"/>
      <w:marTop w:val="0"/>
      <w:marBottom w:val="0"/>
      <w:divBdr>
        <w:top w:val="none" w:sz="0" w:space="0" w:color="auto"/>
        <w:left w:val="none" w:sz="0" w:space="0" w:color="auto"/>
        <w:bottom w:val="none" w:sz="0" w:space="0" w:color="auto"/>
        <w:right w:val="none" w:sz="0" w:space="0" w:color="auto"/>
      </w:divBdr>
    </w:div>
    <w:div w:id="1094861940">
      <w:bodyDiv w:val="1"/>
      <w:marLeft w:val="0"/>
      <w:marRight w:val="0"/>
      <w:marTop w:val="0"/>
      <w:marBottom w:val="0"/>
      <w:divBdr>
        <w:top w:val="none" w:sz="0" w:space="0" w:color="auto"/>
        <w:left w:val="none" w:sz="0" w:space="0" w:color="auto"/>
        <w:bottom w:val="none" w:sz="0" w:space="0" w:color="auto"/>
        <w:right w:val="none" w:sz="0" w:space="0" w:color="auto"/>
      </w:divBdr>
    </w:div>
    <w:div w:id="1097749835">
      <w:bodyDiv w:val="1"/>
      <w:marLeft w:val="0"/>
      <w:marRight w:val="0"/>
      <w:marTop w:val="0"/>
      <w:marBottom w:val="0"/>
      <w:divBdr>
        <w:top w:val="none" w:sz="0" w:space="0" w:color="auto"/>
        <w:left w:val="none" w:sz="0" w:space="0" w:color="auto"/>
        <w:bottom w:val="none" w:sz="0" w:space="0" w:color="auto"/>
        <w:right w:val="none" w:sz="0" w:space="0" w:color="auto"/>
      </w:divBdr>
    </w:div>
    <w:div w:id="1098209771">
      <w:bodyDiv w:val="1"/>
      <w:marLeft w:val="0"/>
      <w:marRight w:val="0"/>
      <w:marTop w:val="0"/>
      <w:marBottom w:val="0"/>
      <w:divBdr>
        <w:top w:val="none" w:sz="0" w:space="0" w:color="auto"/>
        <w:left w:val="none" w:sz="0" w:space="0" w:color="auto"/>
        <w:bottom w:val="none" w:sz="0" w:space="0" w:color="auto"/>
        <w:right w:val="none" w:sz="0" w:space="0" w:color="auto"/>
      </w:divBdr>
    </w:div>
    <w:div w:id="1098522778">
      <w:bodyDiv w:val="1"/>
      <w:marLeft w:val="0"/>
      <w:marRight w:val="0"/>
      <w:marTop w:val="0"/>
      <w:marBottom w:val="0"/>
      <w:divBdr>
        <w:top w:val="none" w:sz="0" w:space="0" w:color="auto"/>
        <w:left w:val="none" w:sz="0" w:space="0" w:color="auto"/>
        <w:bottom w:val="none" w:sz="0" w:space="0" w:color="auto"/>
        <w:right w:val="none" w:sz="0" w:space="0" w:color="auto"/>
      </w:divBdr>
    </w:div>
    <w:div w:id="1098983341">
      <w:bodyDiv w:val="1"/>
      <w:marLeft w:val="0"/>
      <w:marRight w:val="0"/>
      <w:marTop w:val="0"/>
      <w:marBottom w:val="0"/>
      <w:divBdr>
        <w:top w:val="none" w:sz="0" w:space="0" w:color="auto"/>
        <w:left w:val="none" w:sz="0" w:space="0" w:color="auto"/>
        <w:bottom w:val="none" w:sz="0" w:space="0" w:color="auto"/>
        <w:right w:val="none" w:sz="0" w:space="0" w:color="auto"/>
      </w:divBdr>
    </w:div>
    <w:div w:id="1099325938">
      <w:bodyDiv w:val="1"/>
      <w:marLeft w:val="0"/>
      <w:marRight w:val="0"/>
      <w:marTop w:val="0"/>
      <w:marBottom w:val="0"/>
      <w:divBdr>
        <w:top w:val="none" w:sz="0" w:space="0" w:color="auto"/>
        <w:left w:val="none" w:sz="0" w:space="0" w:color="auto"/>
        <w:bottom w:val="none" w:sz="0" w:space="0" w:color="auto"/>
        <w:right w:val="none" w:sz="0" w:space="0" w:color="auto"/>
      </w:divBdr>
    </w:div>
    <w:div w:id="1099449700">
      <w:bodyDiv w:val="1"/>
      <w:marLeft w:val="0"/>
      <w:marRight w:val="0"/>
      <w:marTop w:val="0"/>
      <w:marBottom w:val="0"/>
      <w:divBdr>
        <w:top w:val="none" w:sz="0" w:space="0" w:color="auto"/>
        <w:left w:val="none" w:sz="0" w:space="0" w:color="auto"/>
        <w:bottom w:val="none" w:sz="0" w:space="0" w:color="auto"/>
        <w:right w:val="none" w:sz="0" w:space="0" w:color="auto"/>
      </w:divBdr>
    </w:div>
    <w:div w:id="1100372147">
      <w:bodyDiv w:val="1"/>
      <w:marLeft w:val="0"/>
      <w:marRight w:val="0"/>
      <w:marTop w:val="0"/>
      <w:marBottom w:val="0"/>
      <w:divBdr>
        <w:top w:val="none" w:sz="0" w:space="0" w:color="auto"/>
        <w:left w:val="none" w:sz="0" w:space="0" w:color="auto"/>
        <w:bottom w:val="none" w:sz="0" w:space="0" w:color="auto"/>
        <w:right w:val="none" w:sz="0" w:space="0" w:color="auto"/>
      </w:divBdr>
    </w:div>
    <w:div w:id="1102609129">
      <w:bodyDiv w:val="1"/>
      <w:marLeft w:val="0"/>
      <w:marRight w:val="0"/>
      <w:marTop w:val="0"/>
      <w:marBottom w:val="0"/>
      <w:divBdr>
        <w:top w:val="none" w:sz="0" w:space="0" w:color="auto"/>
        <w:left w:val="none" w:sz="0" w:space="0" w:color="auto"/>
        <w:bottom w:val="none" w:sz="0" w:space="0" w:color="auto"/>
        <w:right w:val="none" w:sz="0" w:space="0" w:color="auto"/>
      </w:divBdr>
    </w:div>
    <w:div w:id="1103038322">
      <w:bodyDiv w:val="1"/>
      <w:marLeft w:val="0"/>
      <w:marRight w:val="0"/>
      <w:marTop w:val="0"/>
      <w:marBottom w:val="0"/>
      <w:divBdr>
        <w:top w:val="none" w:sz="0" w:space="0" w:color="auto"/>
        <w:left w:val="none" w:sz="0" w:space="0" w:color="auto"/>
        <w:bottom w:val="none" w:sz="0" w:space="0" w:color="auto"/>
        <w:right w:val="none" w:sz="0" w:space="0" w:color="auto"/>
      </w:divBdr>
    </w:div>
    <w:div w:id="1105156217">
      <w:bodyDiv w:val="1"/>
      <w:marLeft w:val="0"/>
      <w:marRight w:val="0"/>
      <w:marTop w:val="0"/>
      <w:marBottom w:val="0"/>
      <w:divBdr>
        <w:top w:val="none" w:sz="0" w:space="0" w:color="auto"/>
        <w:left w:val="none" w:sz="0" w:space="0" w:color="auto"/>
        <w:bottom w:val="none" w:sz="0" w:space="0" w:color="auto"/>
        <w:right w:val="none" w:sz="0" w:space="0" w:color="auto"/>
      </w:divBdr>
    </w:div>
    <w:div w:id="1105417466">
      <w:bodyDiv w:val="1"/>
      <w:marLeft w:val="0"/>
      <w:marRight w:val="0"/>
      <w:marTop w:val="0"/>
      <w:marBottom w:val="0"/>
      <w:divBdr>
        <w:top w:val="none" w:sz="0" w:space="0" w:color="auto"/>
        <w:left w:val="none" w:sz="0" w:space="0" w:color="auto"/>
        <w:bottom w:val="none" w:sz="0" w:space="0" w:color="auto"/>
        <w:right w:val="none" w:sz="0" w:space="0" w:color="auto"/>
      </w:divBdr>
    </w:div>
    <w:div w:id="1105419985">
      <w:bodyDiv w:val="1"/>
      <w:marLeft w:val="0"/>
      <w:marRight w:val="0"/>
      <w:marTop w:val="0"/>
      <w:marBottom w:val="0"/>
      <w:divBdr>
        <w:top w:val="none" w:sz="0" w:space="0" w:color="auto"/>
        <w:left w:val="none" w:sz="0" w:space="0" w:color="auto"/>
        <w:bottom w:val="none" w:sz="0" w:space="0" w:color="auto"/>
        <w:right w:val="none" w:sz="0" w:space="0" w:color="auto"/>
      </w:divBdr>
    </w:div>
    <w:div w:id="1108280315">
      <w:bodyDiv w:val="1"/>
      <w:marLeft w:val="0"/>
      <w:marRight w:val="0"/>
      <w:marTop w:val="0"/>
      <w:marBottom w:val="0"/>
      <w:divBdr>
        <w:top w:val="none" w:sz="0" w:space="0" w:color="auto"/>
        <w:left w:val="none" w:sz="0" w:space="0" w:color="auto"/>
        <w:bottom w:val="none" w:sz="0" w:space="0" w:color="auto"/>
        <w:right w:val="none" w:sz="0" w:space="0" w:color="auto"/>
      </w:divBdr>
    </w:div>
    <w:div w:id="1108935014">
      <w:bodyDiv w:val="1"/>
      <w:marLeft w:val="0"/>
      <w:marRight w:val="0"/>
      <w:marTop w:val="0"/>
      <w:marBottom w:val="0"/>
      <w:divBdr>
        <w:top w:val="none" w:sz="0" w:space="0" w:color="auto"/>
        <w:left w:val="none" w:sz="0" w:space="0" w:color="auto"/>
        <w:bottom w:val="none" w:sz="0" w:space="0" w:color="auto"/>
        <w:right w:val="none" w:sz="0" w:space="0" w:color="auto"/>
      </w:divBdr>
    </w:div>
    <w:div w:id="1113591836">
      <w:bodyDiv w:val="1"/>
      <w:marLeft w:val="0"/>
      <w:marRight w:val="0"/>
      <w:marTop w:val="0"/>
      <w:marBottom w:val="0"/>
      <w:divBdr>
        <w:top w:val="none" w:sz="0" w:space="0" w:color="auto"/>
        <w:left w:val="none" w:sz="0" w:space="0" w:color="auto"/>
        <w:bottom w:val="none" w:sz="0" w:space="0" w:color="auto"/>
        <w:right w:val="none" w:sz="0" w:space="0" w:color="auto"/>
      </w:divBdr>
    </w:div>
    <w:div w:id="1114596198">
      <w:bodyDiv w:val="1"/>
      <w:marLeft w:val="0"/>
      <w:marRight w:val="0"/>
      <w:marTop w:val="0"/>
      <w:marBottom w:val="0"/>
      <w:divBdr>
        <w:top w:val="none" w:sz="0" w:space="0" w:color="auto"/>
        <w:left w:val="none" w:sz="0" w:space="0" w:color="auto"/>
        <w:bottom w:val="none" w:sz="0" w:space="0" w:color="auto"/>
        <w:right w:val="none" w:sz="0" w:space="0" w:color="auto"/>
      </w:divBdr>
    </w:div>
    <w:div w:id="1114981505">
      <w:bodyDiv w:val="1"/>
      <w:marLeft w:val="0"/>
      <w:marRight w:val="0"/>
      <w:marTop w:val="0"/>
      <w:marBottom w:val="0"/>
      <w:divBdr>
        <w:top w:val="none" w:sz="0" w:space="0" w:color="auto"/>
        <w:left w:val="none" w:sz="0" w:space="0" w:color="auto"/>
        <w:bottom w:val="none" w:sz="0" w:space="0" w:color="auto"/>
        <w:right w:val="none" w:sz="0" w:space="0" w:color="auto"/>
      </w:divBdr>
    </w:div>
    <w:div w:id="1116022066">
      <w:bodyDiv w:val="1"/>
      <w:marLeft w:val="0"/>
      <w:marRight w:val="0"/>
      <w:marTop w:val="0"/>
      <w:marBottom w:val="0"/>
      <w:divBdr>
        <w:top w:val="none" w:sz="0" w:space="0" w:color="auto"/>
        <w:left w:val="none" w:sz="0" w:space="0" w:color="auto"/>
        <w:bottom w:val="none" w:sz="0" w:space="0" w:color="auto"/>
        <w:right w:val="none" w:sz="0" w:space="0" w:color="auto"/>
      </w:divBdr>
    </w:div>
    <w:div w:id="1116409038">
      <w:bodyDiv w:val="1"/>
      <w:marLeft w:val="0"/>
      <w:marRight w:val="0"/>
      <w:marTop w:val="0"/>
      <w:marBottom w:val="0"/>
      <w:divBdr>
        <w:top w:val="none" w:sz="0" w:space="0" w:color="auto"/>
        <w:left w:val="none" w:sz="0" w:space="0" w:color="auto"/>
        <w:bottom w:val="none" w:sz="0" w:space="0" w:color="auto"/>
        <w:right w:val="none" w:sz="0" w:space="0" w:color="auto"/>
      </w:divBdr>
    </w:div>
    <w:div w:id="1117680835">
      <w:bodyDiv w:val="1"/>
      <w:marLeft w:val="0"/>
      <w:marRight w:val="0"/>
      <w:marTop w:val="0"/>
      <w:marBottom w:val="0"/>
      <w:divBdr>
        <w:top w:val="none" w:sz="0" w:space="0" w:color="auto"/>
        <w:left w:val="none" w:sz="0" w:space="0" w:color="auto"/>
        <w:bottom w:val="none" w:sz="0" w:space="0" w:color="auto"/>
        <w:right w:val="none" w:sz="0" w:space="0" w:color="auto"/>
      </w:divBdr>
    </w:div>
    <w:div w:id="1117944086">
      <w:bodyDiv w:val="1"/>
      <w:marLeft w:val="0"/>
      <w:marRight w:val="0"/>
      <w:marTop w:val="0"/>
      <w:marBottom w:val="0"/>
      <w:divBdr>
        <w:top w:val="none" w:sz="0" w:space="0" w:color="auto"/>
        <w:left w:val="none" w:sz="0" w:space="0" w:color="auto"/>
        <w:bottom w:val="none" w:sz="0" w:space="0" w:color="auto"/>
        <w:right w:val="none" w:sz="0" w:space="0" w:color="auto"/>
      </w:divBdr>
    </w:div>
    <w:div w:id="1122772194">
      <w:bodyDiv w:val="1"/>
      <w:marLeft w:val="0"/>
      <w:marRight w:val="0"/>
      <w:marTop w:val="0"/>
      <w:marBottom w:val="0"/>
      <w:divBdr>
        <w:top w:val="none" w:sz="0" w:space="0" w:color="auto"/>
        <w:left w:val="none" w:sz="0" w:space="0" w:color="auto"/>
        <w:bottom w:val="none" w:sz="0" w:space="0" w:color="auto"/>
        <w:right w:val="none" w:sz="0" w:space="0" w:color="auto"/>
      </w:divBdr>
    </w:div>
    <w:div w:id="1123039091">
      <w:bodyDiv w:val="1"/>
      <w:marLeft w:val="0"/>
      <w:marRight w:val="0"/>
      <w:marTop w:val="0"/>
      <w:marBottom w:val="0"/>
      <w:divBdr>
        <w:top w:val="none" w:sz="0" w:space="0" w:color="auto"/>
        <w:left w:val="none" w:sz="0" w:space="0" w:color="auto"/>
        <w:bottom w:val="none" w:sz="0" w:space="0" w:color="auto"/>
        <w:right w:val="none" w:sz="0" w:space="0" w:color="auto"/>
      </w:divBdr>
    </w:div>
    <w:div w:id="1123578577">
      <w:bodyDiv w:val="1"/>
      <w:marLeft w:val="0"/>
      <w:marRight w:val="0"/>
      <w:marTop w:val="0"/>
      <w:marBottom w:val="0"/>
      <w:divBdr>
        <w:top w:val="none" w:sz="0" w:space="0" w:color="auto"/>
        <w:left w:val="none" w:sz="0" w:space="0" w:color="auto"/>
        <w:bottom w:val="none" w:sz="0" w:space="0" w:color="auto"/>
        <w:right w:val="none" w:sz="0" w:space="0" w:color="auto"/>
      </w:divBdr>
    </w:div>
    <w:div w:id="1128234626">
      <w:bodyDiv w:val="1"/>
      <w:marLeft w:val="0"/>
      <w:marRight w:val="0"/>
      <w:marTop w:val="0"/>
      <w:marBottom w:val="0"/>
      <w:divBdr>
        <w:top w:val="none" w:sz="0" w:space="0" w:color="auto"/>
        <w:left w:val="none" w:sz="0" w:space="0" w:color="auto"/>
        <w:bottom w:val="none" w:sz="0" w:space="0" w:color="auto"/>
        <w:right w:val="none" w:sz="0" w:space="0" w:color="auto"/>
      </w:divBdr>
    </w:div>
    <w:div w:id="1128283834">
      <w:bodyDiv w:val="1"/>
      <w:marLeft w:val="0"/>
      <w:marRight w:val="0"/>
      <w:marTop w:val="0"/>
      <w:marBottom w:val="0"/>
      <w:divBdr>
        <w:top w:val="none" w:sz="0" w:space="0" w:color="auto"/>
        <w:left w:val="none" w:sz="0" w:space="0" w:color="auto"/>
        <w:bottom w:val="none" w:sz="0" w:space="0" w:color="auto"/>
        <w:right w:val="none" w:sz="0" w:space="0" w:color="auto"/>
      </w:divBdr>
    </w:div>
    <w:div w:id="1128399328">
      <w:bodyDiv w:val="1"/>
      <w:marLeft w:val="0"/>
      <w:marRight w:val="0"/>
      <w:marTop w:val="0"/>
      <w:marBottom w:val="0"/>
      <w:divBdr>
        <w:top w:val="none" w:sz="0" w:space="0" w:color="auto"/>
        <w:left w:val="none" w:sz="0" w:space="0" w:color="auto"/>
        <w:bottom w:val="none" w:sz="0" w:space="0" w:color="auto"/>
        <w:right w:val="none" w:sz="0" w:space="0" w:color="auto"/>
      </w:divBdr>
    </w:div>
    <w:div w:id="1129669671">
      <w:bodyDiv w:val="1"/>
      <w:marLeft w:val="0"/>
      <w:marRight w:val="0"/>
      <w:marTop w:val="0"/>
      <w:marBottom w:val="0"/>
      <w:divBdr>
        <w:top w:val="none" w:sz="0" w:space="0" w:color="auto"/>
        <w:left w:val="none" w:sz="0" w:space="0" w:color="auto"/>
        <w:bottom w:val="none" w:sz="0" w:space="0" w:color="auto"/>
        <w:right w:val="none" w:sz="0" w:space="0" w:color="auto"/>
      </w:divBdr>
    </w:div>
    <w:div w:id="1132747124">
      <w:bodyDiv w:val="1"/>
      <w:marLeft w:val="0"/>
      <w:marRight w:val="0"/>
      <w:marTop w:val="0"/>
      <w:marBottom w:val="0"/>
      <w:divBdr>
        <w:top w:val="none" w:sz="0" w:space="0" w:color="auto"/>
        <w:left w:val="none" w:sz="0" w:space="0" w:color="auto"/>
        <w:bottom w:val="none" w:sz="0" w:space="0" w:color="auto"/>
        <w:right w:val="none" w:sz="0" w:space="0" w:color="auto"/>
      </w:divBdr>
    </w:div>
    <w:div w:id="1133450454">
      <w:bodyDiv w:val="1"/>
      <w:marLeft w:val="0"/>
      <w:marRight w:val="0"/>
      <w:marTop w:val="0"/>
      <w:marBottom w:val="0"/>
      <w:divBdr>
        <w:top w:val="none" w:sz="0" w:space="0" w:color="auto"/>
        <w:left w:val="none" w:sz="0" w:space="0" w:color="auto"/>
        <w:bottom w:val="none" w:sz="0" w:space="0" w:color="auto"/>
        <w:right w:val="none" w:sz="0" w:space="0" w:color="auto"/>
      </w:divBdr>
    </w:div>
    <w:div w:id="1135178466">
      <w:bodyDiv w:val="1"/>
      <w:marLeft w:val="0"/>
      <w:marRight w:val="0"/>
      <w:marTop w:val="0"/>
      <w:marBottom w:val="0"/>
      <w:divBdr>
        <w:top w:val="none" w:sz="0" w:space="0" w:color="auto"/>
        <w:left w:val="none" w:sz="0" w:space="0" w:color="auto"/>
        <w:bottom w:val="none" w:sz="0" w:space="0" w:color="auto"/>
        <w:right w:val="none" w:sz="0" w:space="0" w:color="auto"/>
      </w:divBdr>
    </w:div>
    <w:div w:id="1136753863">
      <w:bodyDiv w:val="1"/>
      <w:marLeft w:val="0"/>
      <w:marRight w:val="0"/>
      <w:marTop w:val="0"/>
      <w:marBottom w:val="0"/>
      <w:divBdr>
        <w:top w:val="none" w:sz="0" w:space="0" w:color="auto"/>
        <w:left w:val="none" w:sz="0" w:space="0" w:color="auto"/>
        <w:bottom w:val="none" w:sz="0" w:space="0" w:color="auto"/>
        <w:right w:val="none" w:sz="0" w:space="0" w:color="auto"/>
      </w:divBdr>
    </w:div>
    <w:div w:id="1136948066">
      <w:bodyDiv w:val="1"/>
      <w:marLeft w:val="0"/>
      <w:marRight w:val="0"/>
      <w:marTop w:val="0"/>
      <w:marBottom w:val="0"/>
      <w:divBdr>
        <w:top w:val="none" w:sz="0" w:space="0" w:color="auto"/>
        <w:left w:val="none" w:sz="0" w:space="0" w:color="auto"/>
        <w:bottom w:val="none" w:sz="0" w:space="0" w:color="auto"/>
        <w:right w:val="none" w:sz="0" w:space="0" w:color="auto"/>
      </w:divBdr>
    </w:div>
    <w:div w:id="1138061921">
      <w:bodyDiv w:val="1"/>
      <w:marLeft w:val="0"/>
      <w:marRight w:val="0"/>
      <w:marTop w:val="0"/>
      <w:marBottom w:val="0"/>
      <w:divBdr>
        <w:top w:val="none" w:sz="0" w:space="0" w:color="auto"/>
        <w:left w:val="none" w:sz="0" w:space="0" w:color="auto"/>
        <w:bottom w:val="none" w:sz="0" w:space="0" w:color="auto"/>
        <w:right w:val="none" w:sz="0" w:space="0" w:color="auto"/>
      </w:divBdr>
    </w:div>
    <w:div w:id="1139223075">
      <w:bodyDiv w:val="1"/>
      <w:marLeft w:val="0"/>
      <w:marRight w:val="0"/>
      <w:marTop w:val="0"/>
      <w:marBottom w:val="0"/>
      <w:divBdr>
        <w:top w:val="none" w:sz="0" w:space="0" w:color="auto"/>
        <w:left w:val="none" w:sz="0" w:space="0" w:color="auto"/>
        <w:bottom w:val="none" w:sz="0" w:space="0" w:color="auto"/>
        <w:right w:val="none" w:sz="0" w:space="0" w:color="auto"/>
      </w:divBdr>
    </w:div>
    <w:div w:id="1142230073">
      <w:bodyDiv w:val="1"/>
      <w:marLeft w:val="0"/>
      <w:marRight w:val="0"/>
      <w:marTop w:val="0"/>
      <w:marBottom w:val="0"/>
      <w:divBdr>
        <w:top w:val="none" w:sz="0" w:space="0" w:color="auto"/>
        <w:left w:val="none" w:sz="0" w:space="0" w:color="auto"/>
        <w:bottom w:val="none" w:sz="0" w:space="0" w:color="auto"/>
        <w:right w:val="none" w:sz="0" w:space="0" w:color="auto"/>
      </w:divBdr>
    </w:div>
    <w:div w:id="1146974698">
      <w:bodyDiv w:val="1"/>
      <w:marLeft w:val="0"/>
      <w:marRight w:val="0"/>
      <w:marTop w:val="0"/>
      <w:marBottom w:val="0"/>
      <w:divBdr>
        <w:top w:val="none" w:sz="0" w:space="0" w:color="auto"/>
        <w:left w:val="none" w:sz="0" w:space="0" w:color="auto"/>
        <w:bottom w:val="none" w:sz="0" w:space="0" w:color="auto"/>
        <w:right w:val="none" w:sz="0" w:space="0" w:color="auto"/>
      </w:divBdr>
    </w:div>
    <w:div w:id="1149327338">
      <w:bodyDiv w:val="1"/>
      <w:marLeft w:val="0"/>
      <w:marRight w:val="0"/>
      <w:marTop w:val="0"/>
      <w:marBottom w:val="0"/>
      <w:divBdr>
        <w:top w:val="none" w:sz="0" w:space="0" w:color="auto"/>
        <w:left w:val="none" w:sz="0" w:space="0" w:color="auto"/>
        <w:bottom w:val="none" w:sz="0" w:space="0" w:color="auto"/>
        <w:right w:val="none" w:sz="0" w:space="0" w:color="auto"/>
      </w:divBdr>
    </w:div>
    <w:div w:id="1149513220">
      <w:bodyDiv w:val="1"/>
      <w:marLeft w:val="0"/>
      <w:marRight w:val="0"/>
      <w:marTop w:val="0"/>
      <w:marBottom w:val="0"/>
      <w:divBdr>
        <w:top w:val="none" w:sz="0" w:space="0" w:color="auto"/>
        <w:left w:val="none" w:sz="0" w:space="0" w:color="auto"/>
        <w:bottom w:val="none" w:sz="0" w:space="0" w:color="auto"/>
        <w:right w:val="none" w:sz="0" w:space="0" w:color="auto"/>
      </w:divBdr>
    </w:div>
    <w:div w:id="1150633821">
      <w:bodyDiv w:val="1"/>
      <w:marLeft w:val="0"/>
      <w:marRight w:val="0"/>
      <w:marTop w:val="0"/>
      <w:marBottom w:val="0"/>
      <w:divBdr>
        <w:top w:val="none" w:sz="0" w:space="0" w:color="auto"/>
        <w:left w:val="none" w:sz="0" w:space="0" w:color="auto"/>
        <w:bottom w:val="none" w:sz="0" w:space="0" w:color="auto"/>
        <w:right w:val="none" w:sz="0" w:space="0" w:color="auto"/>
      </w:divBdr>
    </w:div>
    <w:div w:id="1151097822">
      <w:bodyDiv w:val="1"/>
      <w:marLeft w:val="0"/>
      <w:marRight w:val="0"/>
      <w:marTop w:val="0"/>
      <w:marBottom w:val="0"/>
      <w:divBdr>
        <w:top w:val="none" w:sz="0" w:space="0" w:color="auto"/>
        <w:left w:val="none" w:sz="0" w:space="0" w:color="auto"/>
        <w:bottom w:val="none" w:sz="0" w:space="0" w:color="auto"/>
        <w:right w:val="none" w:sz="0" w:space="0" w:color="auto"/>
      </w:divBdr>
    </w:div>
    <w:div w:id="1152478623">
      <w:bodyDiv w:val="1"/>
      <w:marLeft w:val="0"/>
      <w:marRight w:val="0"/>
      <w:marTop w:val="0"/>
      <w:marBottom w:val="0"/>
      <w:divBdr>
        <w:top w:val="none" w:sz="0" w:space="0" w:color="auto"/>
        <w:left w:val="none" w:sz="0" w:space="0" w:color="auto"/>
        <w:bottom w:val="none" w:sz="0" w:space="0" w:color="auto"/>
        <w:right w:val="none" w:sz="0" w:space="0" w:color="auto"/>
      </w:divBdr>
    </w:div>
    <w:div w:id="1152674155">
      <w:bodyDiv w:val="1"/>
      <w:marLeft w:val="0"/>
      <w:marRight w:val="0"/>
      <w:marTop w:val="0"/>
      <w:marBottom w:val="0"/>
      <w:divBdr>
        <w:top w:val="none" w:sz="0" w:space="0" w:color="auto"/>
        <w:left w:val="none" w:sz="0" w:space="0" w:color="auto"/>
        <w:bottom w:val="none" w:sz="0" w:space="0" w:color="auto"/>
        <w:right w:val="none" w:sz="0" w:space="0" w:color="auto"/>
      </w:divBdr>
    </w:div>
    <w:div w:id="1152985018">
      <w:bodyDiv w:val="1"/>
      <w:marLeft w:val="0"/>
      <w:marRight w:val="0"/>
      <w:marTop w:val="0"/>
      <w:marBottom w:val="0"/>
      <w:divBdr>
        <w:top w:val="none" w:sz="0" w:space="0" w:color="auto"/>
        <w:left w:val="none" w:sz="0" w:space="0" w:color="auto"/>
        <w:bottom w:val="none" w:sz="0" w:space="0" w:color="auto"/>
        <w:right w:val="none" w:sz="0" w:space="0" w:color="auto"/>
      </w:divBdr>
    </w:div>
    <w:div w:id="1153254302">
      <w:bodyDiv w:val="1"/>
      <w:marLeft w:val="0"/>
      <w:marRight w:val="0"/>
      <w:marTop w:val="0"/>
      <w:marBottom w:val="0"/>
      <w:divBdr>
        <w:top w:val="none" w:sz="0" w:space="0" w:color="auto"/>
        <w:left w:val="none" w:sz="0" w:space="0" w:color="auto"/>
        <w:bottom w:val="none" w:sz="0" w:space="0" w:color="auto"/>
        <w:right w:val="none" w:sz="0" w:space="0" w:color="auto"/>
      </w:divBdr>
    </w:div>
    <w:div w:id="1154025436">
      <w:bodyDiv w:val="1"/>
      <w:marLeft w:val="0"/>
      <w:marRight w:val="0"/>
      <w:marTop w:val="0"/>
      <w:marBottom w:val="0"/>
      <w:divBdr>
        <w:top w:val="none" w:sz="0" w:space="0" w:color="auto"/>
        <w:left w:val="none" w:sz="0" w:space="0" w:color="auto"/>
        <w:bottom w:val="none" w:sz="0" w:space="0" w:color="auto"/>
        <w:right w:val="none" w:sz="0" w:space="0" w:color="auto"/>
      </w:divBdr>
    </w:div>
    <w:div w:id="1156798566">
      <w:bodyDiv w:val="1"/>
      <w:marLeft w:val="0"/>
      <w:marRight w:val="0"/>
      <w:marTop w:val="0"/>
      <w:marBottom w:val="0"/>
      <w:divBdr>
        <w:top w:val="none" w:sz="0" w:space="0" w:color="auto"/>
        <w:left w:val="none" w:sz="0" w:space="0" w:color="auto"/>
        <w:bottom w:val="none" w:sz="0" w:space="0" w:color="auto"/>
        <w:right w:val="none" w:sz="0" w:space="0" w:color="auto"/>
      </w:divBdr>
    </w:div>
    <w:div w:id="1161845659">
      <w:bodyDiv w:val="1"/>
      <w:marLeft w:val="0"/>
      <w:marRight w:val="0"/>
      <w:marTop w:val="0"/>
      <w:marBottom w:val="0"/>
      <w:divBdr>
        <w:top w:val="none" w:sz="0" w:space="0" w:color="auto"/>
        <w:left w:val="none" w:sz="0" w:space="0" w:color="auto"/>
        <w:bottom w:val="none" w:sz="0" w:space="0" w:color="auto"/>
        <w:right w:val="none" w:sz="0" w:space="0" w:color="auto"/>
      </w:divBdr>
    </w:div>
    <w:div w:id="1165049586">
      <w:bodyDiv w:val="1"/>
      <w:marLeft w:val="0"/>
      <w:marRight w:val="0"/>
      <w:marTop w:val="0"/>
      <w:marBottom w:val="0"/>
      <w:divBdr>
        <w:top w:val="none" w:sz="0" w:space="0" w:color="auto"/>
        <w:left w:val="none" w:sz="0" w:space="0" w:color="auto"/>
        <w:bottom w:val="none" w:sz="0" w:space="0" w:color="auto"/>
        <w:right w:val="none" w:sz="0" w:space="0" w:color="auto"/>
      </w:divBdr>
      <w:divsChild>
        <w:div w:id="88239713">
          <w:marLeft w:val="0"/>
          <w:marRight w:val="0"/>
          <w:marTop w:val="0"/>
          <w:marBottom w:val="0"/>
          <w:divBdr>
            <w:top w:val="none" w:sz="0" w:space="0" w:color="auto"/>
            <w:left w:val="none" w:sz="0" w:space="0" w:color="auto"/>
            <w:bottom w:val="none" w:sz="0" w:space="0" w:color="auto"/>
            <w:right w:val="none" w:sz="0" w:space="0" w:color="auto"/>
          </w:divBdr>
        </w:div>
        <w:div w:id="435834608">
          <w:marLeft w:val="0"/>
          <w:marRight w:val="0"/>
          <w:marTop w:val="0"/>
          <w:marBottom w:val="0"/>
          <w:divBdr>
            <w:top w:val="none" w:sz="0" w:space="0" w:color="auto"/>
            <w:left w:val="none" w:sz="0" w:space="0" w:color="auto"/>
            <w:bottom w:val="none" w:sz="0" w:space="0" w:color="auto"/>
            <w:right w:val="none" w:sz="0" w:space="0" w:color="auto"/>
          </w:divBdr>
        </w:div>
        <w:div w:id="733166569">
          <w:marLeft w:val="0"/>
          <w:marRight w:val="0"/>
          <w:marTop w:val="0"/>
          <w:marBottom w:val="0"/>
          <w:divBdr>
            <w:top w:val="none" w:sz="0" w:space="0" w:color="auto"/>
            <w:left w:val="none" w:sz="0" w:space="0" w:color="auto"/>
            <w:bottom w:val="none" w:sz="0" w:space="0" w:color="auto"/>
            <w:right w:val="none" w:sz="0" w:space="0" w:color="auto"/>
          </w:divBdr>
        </w:div>
        <w:div w:id="1768695043">
          <w:marLeft w:val="0"/>
          <w:marRight w:val="0"/>
          <w:marTop w:val="0"/>
          <w:marBottom w:val="0"/>
          <w:divBdr>
            <w:top w:val="none" w:sz="0" w:space="0" w:color="auto"/>
            <w:left w:val="none" w:sz="0" w:space="0" w:color="auto"/>
            <w:bottom w:val="none" w:sz="0" w:space="0" w:color="auto"/>
            <w:right w:val="none" w:sz="0" w:space="0" w:color="auto"/>
          </w:divBdr>
        </w:div>
        <w:div w:id="1952207030">
          <w:marLeft w:val="0"/>
          <w:marRight w:val="0"/>
          <w:marTop w:val="0"/>
          <w:marBottom w:val="0"/>
          <w:divBdr>
            <w:top w:val="none" w:sz="0" w:space="0" w:color="auto"/>
            <w:left w:val="none" w:sz="0" w:space="0" w:color="auto"/>
            <w:bottom w:val="none" w:sz="0" w:space="0" w:color="auto"/>
            <w:right w:val="none" w:sz="0" w:space="0" w:color="auto"/>
          </w:divBdr>
        </w:div>
        <w:div w:id="2115437230">
          <w:marLeft w:val="0"/>
          <w:marRight w:val="0"/>
          <w:marTop w:val="0"/>
          <w:marBottom w:val="0"/>
          <w:divBdr>
            <w:top w:val="none" w:sz="0" w:space="0" w:color="auto"/>
            <w:left w:val="none" w:sz="0" w:space="0" w:color="auto"/>
            <w:bottom w:val="none" w:sz="0" w:space="0" w:color="auto"/>
            <w:right w:val="none" w:sz="0" w:space="0" w:color="auto"/>
          </w:divBdr>
        </w:div>
        <w:div w:id="2130195166">
          <w:marLeft w:val="0"/>
          <w:marRight w:val="0"/>
          <w:marTop w:val="0"/>
          <w:marBottom w:val="0"/>
          <w:divBdr>
            <w:top w:val="none" w:sz="0" w:space="0" w:color="auto"/>
            <w:left w:val="none" w:sz="0" w:space="0" w:color="auto"/>
            <w:bottom w:val="none" w:sz="0" w:space="0" w:color="auto"/>
            <w:right w:val="none" w:sz="0" w:space="0" w:color="auto"/>
          </w:divBdr>
        </w:div>
      </w:divsChild>
    </w:div>
    <w:div w:id="1165630016">
      <w:bodyDiv w:val="1"/>
      <w:marLeft w:val="0"/>
      <w:marRight w:val="0"/>
      <w:marTop w:val="0"/>
      <w:marBottom w:val="0"/>
      <w:divBdr>
        <w:top w:val="none" w:sz="0" w:space="0" w:color="auto"/>
        <w:left w:val="none" w:sz="0" w:space="0" w:color="auto"/>
        <w:bottom w:val="none" w:sz="0" w:space="0" w:color="auto"/>
        <w:right w:val="none" w:sz="0" w:space="0" w:color="auto"/>
      </w:divBdr>
    </w:div>
    <w:div w:id="1168180251">
      <w:bodyDiv w:val="1"/>
      <w:marLeft w:val="0"/>
      <w:marRight w:val="0"/>
      <w:marTop w:val="0"/>
      <w:marBottom w:val="0"/>
      <w:divBdr>
        <w:top w:val="none" w:sz="0" w:space="0" w:color="auto"/>
        <w:left w:val="none" w:sz="0" w:space="0" w:color="auto"/>
        <w:bottom w:val="none" w:sz="0" w:space="0" w:color="auto"/>
        <w:right w:val="none" w:sz="0" w:space="0" w:color="auto"/>
      </w:divBdr>
    </w:div>
    <w:div w:id="1170175191">
      <w:bodyDiv w:val="1"/>
      <w:marLeft w:val="0"/>
      <w:marRight w:val="0"/>
      <w:marTop w:val="0"/>
      <w:marBottom w:val="0"/>
      <w:divBdr>
        <w:top w:val="none" w:sz="0" w:space="0" w:color="auto"/>
        <w:left w:val="none" w:sz="0" w:space="0" w:color="auto"/>
        <w:bottom w:val="none" w:sz="0" w:space="0" w:color="auto"/>
        <w:right w:val="none" w:sz="0" w:space="0" w:color="auto"/>
      </w:divBdr>
    </w:div>
    <w:div w:id="1171531204">
      <w:bodyDiv w:val="1"/>
      <w:marLeft w:val="0"/>
      <w:marRight w:val="0"/>
      <w:marTop w:val="0"/>
      <w:marBottom w:val="0"/>
      <w:divBdr>
        <w:top w:val="none" w:sz="0" w:space="0" w:color="auto"/>
        <w:left w:val="none" w:sz="0" w:space="0" w:color="auto"/>
        <w:bottom w:val="none" w:sz="0" w:space="0" w:color="auto"/>
        <w:right w:val="none" w:sz="0" w:space="0" w:color="auto"/>
      </w:divBdr>
    </w:div>
    <w:div w:id="1172839358">
      <w:bodyDiv w:val="1"/>
      <w:marLeft w:val="0"/>
      <w:marRight w:val="0"/>
      <w:marTop w:val="0"/>
      <w:marBottom w:val="0"/>
      <w:divBdr>
        <w:top w:val="none" w:sz="0" w:space="0" w:color="auto"/>
        <w:left w:val="none" w:sz="0" w:space="0" w:color="auto"/>
        <w:bottom w:val="none" w:sz="0" w:space="0" w:color="auto"/>
        <w:right w:val="none" w:sz="0" w:space="0" w:color="auto"/>
      </w:divBdr>
    </w:div>
    <w:div w:id="1173450315">
      <w:bodyDiv w:val="1"/>
      <w:marLeft w:val="0"/>
      <w:marRight w:val="0"/>
      <w:marTop w:val="0"/>
      <w:marBottom w:val="0"/>
      <w:divBdr>
        <w:top w:val="none" w:sz="0" w:space="0" w:color="auto"/>
        <w:left w:val="none" w:sz="0" w:space="0" w:color="auto"/>
        <w:bottom w:val="none" w:sz="0" w:space="0" w:color="auto"/>
        <w:right w:val="none" w:sz="0" w:space="0" w:color="auto"/>
      </w:divBdr>
    </w:div>
    <w:div w:id="1174615734">
      <w:bodyDiv w:val="1"/>
      <w:marLeft w:val="0"/>
      <w:marRight w:val="0"/>
      <w:marTop w:val="0"/>
      <w:marBottom w:val="0"/>
      <w:divBdr>
        <w:top w:val="none" w:sz="0" w:space="0" w:color="auto"/>
        <w:left w:val="none" w:sz="0" w:space="0" w:color="auto"/>
        <w:bottom w:val="none" w:sz="0" w:space="0" w:color="auto"/>
        <w:right w:val="none" w:sz="0" w:space="0" w:color="auto"/>
      </w:divBdr>
    </w:div>
    <w:div w:id="1175805580">
      <w:bodyDiv w:val="1"/>
      <w:marLeft w:val="0"/>
      <w:marRight w:val="0"/>
      <w:marTop w:val="0"/>
      <w:marBottom w:val="0"/>
      <w:divBdr>
        <w:top w:val="none" w:sz="0" w:space="0" w:color="auto"/>
        <w:left w:val="none" w:sz="0" w:space="0" w:color="auto"/>
        <w:bottom w:val="none" w:sz="0" w:space="0" w:color="auto"/>
        <w:right w:val="none" w:sz="0" w:space="0" w:color="auto"/>
      </w:divBdr>
    </w:div>
    <w:div w:id="1175850138">
      <w:bodyDiv w:val="1"/>
      <w:marLeft w:val="0"/>
      <w:marRight w:val="0"/>
      <w:marTop w:val="0"/>
      <w:marBottom w:val="0"/>
      <w:divBdr>
        <w:top w:val="none" w:sz="0" w:space="0" w:color="auto"/>
        <w:left w:val="none" w:sz="0" w:space="0" w:color="auto"/>
        <w:bottom w:val="none" w:sz="0" w:space="0" w:color="auto"/>
        <w:right w:val="none" w:sz="0" w:space="0" w:color="auto"/>
      </w:divBdr>
    </w:div>
    <w:div w:id="1175850697">
      <w:bodyDiv w:val="1"/>
      <w:marLeft w:val="0"/>
      <w:marRight w:val="0"/>
      <w:marTop w:val="0"/>
      <w:marBottom w:val="0"/>
      <w:divBdr>
        <w:top w:val="none" w:sz="0" w:space="0" w:color="auto"/>
        <w:left w:val="none" w:sz="0" w:space="0" w:color="auto"/>
        <w:bottom w:val="none" w:sz="0" w:space="0" w:color="auto"/>
        <w:right w:val="none" w:sz="0" w:space="0" w:color="auto"/>
      </w:divBdr>
    </w:div>
    <w:div w:id="1175878649">
      <w:bodyDiv w:val="1"/>
      <w:marLeft w:val="0"/>
      <w:marRight w:val="0"/>
      <w:marTop w:val="0"/>
      <w:marBottom w:val="0"/>
      <w:divBdr>
        <w:top w:val="none" w:sz="0" w:space="0" w:color="auto"/>
        <w:left w:val="none" w:sz="0" w:space="0" w:color="auto"/>
        <w:bottom w:val="none" w:sz="0" w:space="0" w:color="auto"/>
        <w:right w:val="none" w:sz="0" w:space="0" w:color="auto"/>
      </w:divBdr>
    </w:div>
    <w:div w:id="1178077193">
      <w:bodyDiv w:val="1"/>
      <w:marLeft w:val="0"/>
      <w:marRight w:val="0"/>
      <w:marTop w:val="0"/>
      <w:marBottom w:val="0"/>
      <w:divBdr>
        <w:top w:val="none" w:sz="0" w:space="0" w:color="auto"/>
        <w:left w:val="none" w:sz="0" w:space="0" w:color="auto"/>
        <w:bottom w:val="none" w:sz="0" w:space="0" w:color="auto"/>
        <w:right w:val="none" w:sz="0" w:space="0" w:color="auto"/>
      </w:divBdr>
    </w:div>
    <w:div w:id="1180895671">
      <w:bodyDiv w:val="1"/>
      <w:marLeft w:val="0"/>
      <w:marRight w:val="0"/>
      <w:marTop w:val="0"/>
      <w:marBottom w:val="0"/>
      <w:divBdr>
        <w:top w:val="none" w:sz="0" w:space="0" w:color="auto"/>
        <w:left w:val="none" w:sz="0" w:space="0" w:color="auto"/>
        <w:bottom w:val="none" w:sz="0" w:space="0" w:color="auto"/>
        <w:right w:val="none" w:sz="0" w:space="0" w:color="auto"/>
      </w:divBdr>
    </w:div>
    <w:div w:id="1188255661">
      <w:bodyDiv w:val="1"/>
      <w:marLeft w:val="0"/>
      <w:marRight w:val="0"/>
      <w:marTop w:val="0"/>
      <w:marBottom w:val="0"/>
      <w:divBdr>
        <w:top w:val="none" w:sz="0" w:space="0" w:color="auto"/>
        <w:left w:val="none" w:sz="0" w:space="0" w:color="auto"/>
        <w:bottom w:val="none" w:sz="0" w:space="0" w:color="auto"/>
        <w:right w:val="none" w:sz="0" w:space="0" w:color="auto"/>
      </w:divBdr>
    </w:div>
    <w:div w:id="1188521096">
      <w:bodyDiv w:val="1"/>
      <w:marLeft w:val="0"/>
      <w:marRight w:val="0"/>
      <w:marTop w:val="0"/>
      <w:marBottom w:val="0"/>
      <w:divBdr>
        <w:top w:val="none" w:sz="0" w:space="0" w:color="auto"/>
        <w:left w:val="none" w:sz="0" w:space="0" w:color="auto"/>
        <w:bottom w:val="none" w:sz="0" w:space="0" w:color="auto"/>
        <w:right w:val="none" w:sz="0" w:space="0" w:color="auto"/>
      </w:divBdr>
    </w:div>
    <w:div w:id="1188762168">
      <w:bodyDiv w:val="1"/>
      <w:marLeft w:val="0"/>
      <w:marRight w:val="0"/>
      <w:marTop w:val="0"/>
      <w:marBottom w:val="0"/>
      <w:divBdr>
        <w:top w:val="none" w:sz="0" w:space="0" w:color="auto"/>
        <w:left w:val="none" w:sz="0" w:space="0" w:color="auto"/>
        <w:bottom w:val="none" w:sz="0" w:space="0" w:color="auto"/>
        <w:right w:val="none" w:sz="0" w:space="0" w:color="auto"/>
      </w:divBdr>
    </w:div>
    <w:div w:id="1191839863">
      <w:bodyDiv w:val="1"/>
      <w:marLeft w:val="0"/>
      <w:marRight w:val="0"/>
      <w:marTop w:val="0"/>
      <w:marBottom w:val="0"/>
      <w:divBdr>
        <w:top w:val="none" w:sz="0" w:space="0" w:color="auto"/>
        <w:left w:val="none" w:sz="0" w:space="0" w:color="auto"/>
        <w:bottom w:val="none" w:sz="0" w:space="0" w:color="auto"/>
        <w:right w:val="none" w:sz="0" w:space="0" w:color="auto"/>
      </w:divBdr>
    </w:div>
    <w:div w:id="1191993018">
      <w:bodyDiv w:val="1"/>
      <w:marLeft w:val="0"/>
      <w:marRight w:val="0"/>
      <w:marTop w:val="0"/>
      <w:marBottom w:val="0"/>
      <w:divBdr>
        <w:top w:val="none" w:sz="0" w:space="0" w:color="auto"/>
        <w:left w:val="none" w:sz="0" w:space="0" w:color="auto"/>
        <w:bottom w:val="none" w:sz="0" w:space="0" w:color="auto"/>
        <w:right w:val="none" w:sz="0" w:space="0" w:color="auto"/>
      </w:divBdr>
    </w:div>
    <w:div w:id="1192843802">
      <w:bodyDiv w:val="1"/>
      <w:marLeft w:val="0"/>
      <w:marRight w:val="0"/>
      <w:marTop w:val="0"/>
      <w:marBottom w:val="0"/>
      <w:divBdr>
        <w:top w:val="none" w:sz="0" w:space="0" w:color="auto"/>
        <w:left w:val="none" w:sz="0" w:space="0" w:color="auto"/>
        <w:bottom w:val="none" w:sz="0" w:space="0" w:color="auto"/>
        <w:right w:val="none" w:sz="0" w:space="0" w:color="auto"/>
      </w:divBdr>
    </w:div>
    <w:div w:id="1194346535">
      <w:bodyDiv w:val="1"/>
      <w:marLeft w:val="0"/>
      <w:marRight w:val="0"/>
      <w:marTop w:val="0"/>
      <w:marBottom w:val="0"/>
      <w:divBdr>
        <w:top w:val="none" w:sz="0" w:space="0" w:color="auto"/>
        <w:left w:val="none" w:sz="0" w:space="0" w:color="auto"/>
        <w:bottom w:val="none" w:sz="0" w:space="0" w:color="auto"/>
        <w:right w:val="none" w:sz="0" w:space="0" w:color="auto"/>
      </w:divBdr>
    </w:div>
    <w:div w:id="1198858061">
      <w:bodyDiv w:val="1"/>
      <w:marLeft w:val="0"/>
      <w:marRight w:val="0"/>
      <w:marTop w:val="0"/>
      <w:marBottom w:val="0"/>
      <w:divBdr>
        <w:top w:val="none" w:sz="0" w:space="0" w:color="auto"/>
        <w:left w:val="none" w:sz="0" w:space="0" w:color="auto"/>
        <w:bottom w:val="none" w:sz="0" w:space="0" w:color="auto"/>
        <w:right w:val="none" w:sz="0" w:space="0" w:color="auto"/>
      </w:divBdr>
    </w:div>
    <w:div w:id="1200782693">
      <w:bodyDiv w:val="1"/>
      <w:marLeft w:val="0"/>
      <w:marRight w:val="0"/>
      <w:marTop w:val="0"/>
      <w:marBottom w:val="0"/>
      <w:divBdr>
        <w:top w:val="none" w:sz="0" w:space="0" w:color="auto"/>
        <w:left w:val="none" w:sz="0" w:space="0" w:color="auto"/>
        <w:bottom w:val="none" w:sz="0" w:space="0" w:color="auto"/>
        <w:right w:val="none" w:sz="0" w:space="0" w:color="auto"/>
      </w:divBdr>
    </w:div>
    <w:div w:id="1201935160">
      <w:bodyDiv w:val="1"/>
      <w:marLeft w:val="0"/>
      <w:marRight w:val="0"/>
      <w:marTop w:val="0"/>
      <w:marBottom w:val="0"/>
      <w:divBdr>
        <w:top w:val="none" w:sz="0" w:space="0" w:color="auto"/>
        <w:left w:val="none" w:sz="0" w:space="0" w:color="auto"/>
        <w:bottom w:val="none" w:sz="0" w:space="0" w:color="auto"/>
        <w:right w:val="none" w:sz="0" w:space="0" w:color="auto"/>
      </w:divBdr>
    </w:div>
    <w:div w:id="1202597796">
      <w:bodyDiv w:val="1"/>
      <w:marLeft w:val="0"/>
      <w:marRight w:val="0"/>
      <w:marTop w:val="0"/>
      <w:marBottom w:val="0"/>
      <w:divBdr>
        <w:top w:val="none" w:sz="0" w:space="0" w:color="auto"/>
        <w:left w:val="none" w:sz="0" w:space="0" w:color="auto"/>
        <w:bottom w:val="none" w:sz="0" w:space="0" w:color="auto"/>
        <w:right w:val="none" w:sz="0" w:space="0" w:color="auto"/>
      </w:divBdr>
    </w:div>
    <w:div w:id="1204827598">
      <w:bodyDiv w:val="1"/>
      <w:marLeft w:val="0"/>
      <w:marRight w:val="0"/>
      <w:marTop w:val="0"/>
      <w:marBottom w:val="0"/>
      <w:divBdr>
        <w:top w:val="none" w:sz="0" w:space="0" w:color="auto"/>
        <w:left w:val="none" w:sz="0" w:space="0" w:color="auto"/>
        <w:bottom w:val="none" w:sz="0" w:space="0" w:color="auto"/>
        <w:right w:val="none" w:sz="0" w:space="0" w:color="auto"/>
      </w:divBdr>
    </w:div>
    <w:div w:id="1205366910">
      <w:bodyDiv w:val="1"/>
      <w:marLeft w:val="0"/>
      <w:marRight w:val="0"/>
      <w:marTop w:val="0"/>
      <w:marBottom w:val="0"/>
      <w:divBdr>
        <w:top w:val="none" w:sz="0" w:space="0" w:color="auto"/>
        <w:left w:val="none" w:sz="0" w:space="0" w:color="auto"/>
        <w:bottom w:val="none" w:sz="0" w:space="0" w:color="auto"/>
        <w:right w:val="none" w:sz="0" w:space="0" w:color="auto"/>
      </w:divBdr>
    </w:div>
    <w:div w:id="1207907451">
      <w:bodyDiv w:val="1"/>
      <w:marLeft w:val="0"/>
      <w:marRight w:val="0"/>
      <w:marTop w:val="0"/>
      <w:marBottom w:val="0"/>
      <w:divBdr>
        <w:top w:val="none" w:sz="0" w:space="0" w:color="auto"/>
        <w:left w:val="none" w:sz="0" w:space="0" w:color="auto"/>
        <w:bottom w:val="none" w:sz="0" w:space="0" w:color="auto"/>
        <w:right w:val="none" w:sz="0" w:space="0" w:color="auto"/>
      </w:divBdr>
    </w:div>
    <w:div w:id="1207911784">
      <w:bodyDiv w:val="1"/>
      <w:marLeft w:val="0"/>
      <w:marRight w:val="0"/>
      <w:marTop w:val="0"/>
      <w:marBottom w:val="0"/>
      <w:divBdr>
        <w:top w:val="none" w:sz="0" w:space="0" w:color="auto"/>
        <w:left w:val="none" w:sz="0" w:space="0" w:color="auto"/>
        <w:bottom w:val="none" w:sz="0" w:space="0" w:color="auto"/>
        <w:right w:val="none" w:sz="0" w:space="0" w:color="auto"/>
      </w:divBdr>
    </w:div>
    <w:div w:id="1208109911">
      <w:bodyDiv w:val="1"/>
      <w:marLeft w:val="0"/>
      <w:marRight w:val="0"/>
      <w:marTop w:val="0"/>
      <w:marBottom w:val="0"/>
      <w:divBdr>
        <w:top w:val="none" w:sz="0" w:space="0" w:color="auto"/>
        <w:left w:val="none" w:sz="0" w:space="0" w:color="auto"/>
        <w:bottom w:val="none" w:sz="0" w:space="0" w:color="auto"/>
        <w:right w:val="none" w:sz="0" w:space="0" w:color="auto"/>
      </w:divBdr>
    </w:div>
    <w:div w:id="1208296830">
      <w:bodyDiv w:val="1"/>
      <w:marLeft w:val="0"/>
      <w:marRight w:val="0"/>
      <w:marTop w:val="0"/>
      <w:marBottom w:val="0"/>
      <w:divBdr>
        <w:top w:val="none" w:sz="0" w:space="0" w:color="auto"/>
        <w:left w:val="none" w:sz="0" w:space="0" w:color="auto"/>
        <w:bottom w:val="none" w:sz="0" w:space="0" w:color="auto"/>
        <w:right w:val="none" w:sz="0" w:space="0" w:color="auto"/>
      </w:divBdr>
    </w:div>
    <w:div w:id="1209535350">
      <w:bodyDiv w:val="1"/>
      <w:marLeft w:val="0"/>
      <w:marRight w:val="0"/>
      <w:marTop w:val="0"/>
      <w:marBottom w:val="0"/>
      <w:divBdr>
        <w:top w:val="none" w:sz="0" w:space="0" w:color="auto"/>
        <w:left w:val="none" w:sz="0" w:space="0" w:color="auto"/>
        <w:bottom w:val="none" w:sz="0" w:space="0" w:color="auto"/>
        <w:right w:val="none" w:sz="0" w:space="0" w:color="auto"/>
      </w:divBdr>
    </w:div>
    <w:div w:id="1210918712">
      <w:bodyDiv w:val="1"/>
      <w:marLeft w:val="0"/>
      <w:marRight w:val="0"/>
      <w:marTop w:val="0"/>
      <w:marBottom w:val="0"/>
      <w:divBdr>
        <w:top w:val="none" w:sz="0" w:space="0" w:color="auto"/>
        <w:left w:val="none" w:sz="0" w:space="0" w:color="auto"/>
        <w:bottom w:val="none" w:sz="0" w:space="0" w:color="auto"/>
        <w:right w:val="none" w:sz="0" w:space="0" w:color="auto"/>
      </w:divBdr>
    </w:div>
    <w:div w:id="1212033831">
      <w:bodyDiv w:val="1"/>
      <w:marLeft w:val="0"/>
      <w:marRight w:val="0"/>
      <w:marTop w:val="0"/>
      <w:marBottom w:val="0"/>
      <w:divBdr>
        <w:top w:val="none" w:sz="0" w:space="0" w:color="auto"/>
        <w:left w:val="none" w:sz="0" w:space="0" w:color="auto"/>
        <w:bottom w:val="none" w:sz="0" w:space="0" w:color="auto"/>
        <w:right w:val="none" w:sz="0" w:space="0" w:color="auto"/>
      </w:divBdr>
    </w:div>
    <w:div w:id="1213038315">
      <w:bodyDiv w:val="1"/>
      <w:marLeft w:val="0"/>
      <w:marRight w:val="0"/>
      <w:marTop w:val="0"/>
      <w:marBottom w:val="0"/>
      <w:divBdr>
        <w:top w:val="none" w:sz="0" w:space="0" w:color="auto"/>
        <w:left w:val="none" w:sz="0" w:space="0" w:color="auto"/>
        <w:bottom w:val="none" w:sz="0" w:space="0" w:color="auto"/>
        <w:right w:val="none" w:sz="0" w:space="0" w:color="auto"/>
      </w:divBdr>
    </w:div>
    <w:div w:id="1214780381">
      <w:bodyDiv w:val="1"/>
      <w:marLeft w:val="0"/>
      <w:marRight w:val="0"/>
      <w:marTop w:val="0"/>
      <w:marBottom w:val="0"/>
      <w:divBdr>
        <w:top w:val="none" w:sz="0" w:space="0" w:color="auto"/>
        <w:left w:val="none" w:sz="0" w:space="0" w:color="auto"/>
        <w:bottom w:val="none" w:sz="0" w:space="0" w:color="auto"/>
        <w:right w:val="none" w:sz="0" w:space="0" w:color="auto"/>
      </w:divBdr>
    </w:div>
    <w:div w:id="1215507179">
      <w:bodyDiv w:val="1"/>
      <w:marLeft w:val="0"/>
      <w:marRight w:val="0"/>
      <w:marTop w:val="0"/>
      <w:marBottom w:val="0"/>
      <w:divBdr>
        <w:top w:val="none" w:sz="0" w:space="0" w:color="auto"/>
        <w:left w:val="none" w:sz="0" w:space="0" w:color="auto"/>
        <w:bottom w:val="none" w:sz="0" w:space="0" w:color="auto"/>
        <w:right w:val="none" w:sz="0" w:space="0" w:color="auto"/>
      </w:divBdr>
    </w:div>
    <w:div w:id="1218053470">
      <w:bodyDiv w:val="1"/>
      <w:marLeft w:val="0"/>
      <w:marRight w:val="0"/>
      <w:marTop w:val="0"/>
      <w:marBottom w:val="0"/>
      <w:divBdr>
        <w:top w:val="none" w:sz="0" w:space="0" w:color="auto"/>
        <w:left w:val="none" w:sz="0" w:space="0" w:color="auto"/>
        <w:bottom w:val="none" w:sz="0" w:space="0" w:color="auto"/>
        <w:right w:val="none" w:sz="0" w:space="0" w:color="auto"/>
      </w:divBdr>
    </w:div>
    <w:div w:id="1219172793">
      <w:bodyDiv w:val="1"/>
      <w:marLeft w:val="0"/>
      <w:marRight w:val="0"/>
      <w:marTop w:val="0"/>
      <w:marBottom w:val="0"/>
      <w:divBdr>
        <w:top w:val="none" w:sz="0" w:space="0" w:color="auto"/>
        <w:left w:val="none" w:sz="0" w:space="0" w:color="auto"/>
        <w:bottom w:val="none" w:sz="0" w:space="0" w:color="auto"/>
        <w:right w:val="none" w:sz="0" w:space="0" w:color="auto"/>
      </w:divBdr>
    </w:div>
    <w:div w:id="1219633972">
      <w:bodyDiv w:val="1"/>
      <w:marLeft w:val="0"/>
      <w:marRight w:val="0"/>
      <w:marTop w:val="0"/>
      <w:marBottom w:val="0"/>
      <w:divBdr>
        <w:top w:val="none" w:sz="0" w:space="0" w:color="auto"/>
        <w:left w:val="none" w:sz="0" w:space="0" w:color="auto"/>
        <w:bottom w:val="none" w:sz="0" w:space="0" w:color="auto"/>
        <w:right w:val="none" w:sz="0" w:space="0" w:color="auto"/>
      </w:divBdr>
    </w:div>
    <w:div w:id="1219635295">
      <w:bodyDiv w:val="1"/>
      <w:marLeft w:val="0"/>
      <w:marRight w:val="0"/>
      <w:marTop w:val="0"/>
      <w:marBottom w:val="0"/>
      <w:divBdr>
        <w:top w:val="none" w:sz="0" w:space="0" w:color="auto"/>
        <w:left w:val="none" w:sz="0" w:space="0" w:color="auto"/>
        <w:bottom w:val="none" w:sz="0" w:space="0" w:color="auto"/>
        <w:right w:val="none" w:sz="0" w:space="0" w:color="auto"/>
      </w:divBdr>
    </w:div>
    <w:div w:id="1219780259">
      <w:bodyDiv w:val="1"/>
      <w:marLeft w:val="0"/>
      <w:marRight w:val="0"/>
      <w:marTop w:val="0"/>
      <w:marBottom w:val="0"/>
      <w:divBdr>
        <w:top w:val="none" w:sz="0" w:space="0" w:color="auto"/>
        <w:left w:val="none" w:sz="0" w:space="0" w:color="auto"/>
        <w:bottom w:val="none" w:sz="0" w:space="0" w:color="auto"/>
        <w:right w:val="none" w:sz="0" w:space="0" w:color="auto"/>
      </w:divBdr>
    </w:div>
    <w:div w:id="1220552594">
      <w:bodyDiv w:val="1"/>
      <w:marLeft w:val="0"/>
      <w:marRight w:val="0"/>
      <w:marTop w:val="0"/>
      <w:marBottom w:val="0"/>
      <w:divBdr>
        <w:top w:val="none" w:sz="0" w:space="0" w:color="auto"/>
        <w:left w:val="none" w:sz="0" w:space="0" w:color="auto"/>
        <w:bottom w:val="none" w:sz="0" w:space="0" w:color="auto"/>
        <w:right w:val="none" w:sz="0" w:space="0" w:color="auto"/>
      </w:divBdr>
    </w:div>
    <w:div w:id="1221475633">
      <w:bodyDiv w:val="1"/>
      <w:marLeft w:val="0"/>
      <w:marRight w:val="0"/>
      <w:marTop w:val="0"/>
      <w:marBottom w:val="0"/>
      <w:divBdr>
        <w:top w:val="none" w:sz="0" w:space="0" w:color="auto"/>
        <w:left w:val="none" w:sz="0" w:space="0" w:color="auto"/>
        <w:bottom w:val="none" w:sz="0" w:space="0" w:color="auto"/>
        <w:right w:val="none" w:sz="0" w:space="0" w:color="auto"/>
      </w:divBdr>
    </w:div>
    <w:div w:id="1221668035">
      <w:bodyDiv w:val="1"/>
      <w:marLeft w:val="0"/>
      <w:marRight w:val="0"/>
      <w:marTop w:val="0"/>
      <w:marBottom w:val="0"/>
      <w:divBdr>
        <w:top w:val="none" w:sz="0" w:space="0" w:color="auto"/>
        <w:left w:val="none" w:sz="0" w:space="0" w:color="auto"/>
        <w:bottom w:val="none" w:sz="0" w:space="0" w:color="auto"/>
        <w:right w:val="none" w:sz="0" w:space="0" w:color="auto"/>
      </w:divBdr>
    </w:div>
    <w:div w:id="1226602391">
      <w:bodyDiv w:val="1"/>
      <w:marLeft w:val="0"/>
      <w:marRight w:val="0"/>
      <w:marTop w:val="0"/>
      <w:marBottom w:val="0"/>
      <w:divBdr>
        <w:top w:val="none" w:sz="0" w:space="0" w:color="auto"/>
        <w:left w:val="none" w:sz="0" w:space="0" w:color="auto"/>
        <w:bottom w:val="none" w:sz="0" w:space="0" w:color="auto"/>
        <w:right w:val="none" w:sz="0" w:space="0" w:color="auto"/>
      </w:divBdr>
    </w:div>
    <w:div w:id="1227649099">
      <w:bodyDiv w:val="1"/>
      <w:marLeft w:val="0"/>
      <w:marRight w:val="0"/>
      <w:marTop w:val="0"/>
      <w:marBottom w:val="0"/>
      <w:divBdr>
        <w:top w:val="none" w:sz="0" w:space="0" w:color="auto"/>
        <w:left w:val="none" w:sz="0" w:space="0" w:color="auto"/>
        <w:bottom w:val="none" w:sz="0" w:space="0" w:color="auto"/>
        <w:right w:val="none" w:sz="0" w:space="0" w:color="auto"/>
      </w:divBdr>
    </w:div>
    <w:div w:id="1228881970">
      <w:bodyDiv w:val="1"/>
      <w:marLeft w:val="0"/>
      <w:marRight w:val="0"/>
      <w:marTop w:val="0"/>
      <w:marBottom w:val="0"/>
      <w:divBdr>
        <w:top w:val="none" w:sz="0" w:space="0" w:color="auto"/>
        <w:left w:val="none" w:sz="0" w:space="0" w:color="auto"/>
        <w:bottom w:val="none" w:sz="0" w:space="0" w:color="auto"/>
        <w:right w:val="none" w:sz="0" w:space="0" w:color="auto"/>
      </w:divBdr>
    </w:div>
    <w:div w:id="1228959828">
      <w:bodyDiv w:val="1"/>
      <w:marLeft w:val="0"/>
      <w:marRight w:val="0"/>
      <w:marTop w:val="0"/>
      <w:marBottom w:val="0"/>
      <w:divBdr>
        <w:top w:val="none" w:sz="0" w:space="0" w:color="auto"/>
        <w:left w:val="none" w:sz="0" w:space="0" w:color="auto"/>
        <w:bottom w:val="none" w:sz="0" w:space="0" w:color="auto"/>
        <w:right w:val="none" w:sz="0" w:space="0" w:color="auto"/>
      </w:divBdr>
    </w:div>
    <w:div w:id="1233346392">
      <w:bodyDiv w:val="1"/>
      <w:marLeft w:val="0"/>
      <w:marRight w:val="0"/>
      <w:marTop w:val="0"/>
      <w:marBottom w:val="0"/>
      <w:divBdr>
        <w:top w:val="none" w:sz="0" w:space="0" w:color="auto"/>
        <w:left w:val="none" w:sz="0" w:space="0" w:color="auto"/>
        <w:bottom w:val="none" w:sz="0" w:space="0" w:color="auto"/>
        <w:right w:val="none" w:sz="0" w:space="0" w:color="auto"/>
      </w:divBdr>
    </w:div>
    <w:div w:id="1233614446">
      <w:bodyDiv w:val="1"/>
      <w:marLeft w:val="0"/>
      <w:marRight w:val="0"/>
      <w:marTop w:val="0"/>
      <w:marBottom w:val="0"/>
      <w:divBdr>
        <w:top w:val="none" w:sz="0" w:space="0" w:color="auto"/>
        <w:left w:val="none" w:sz="0" w:space="0" w:color="auto"/>
        <w:bottom w:val="none" w:sz="0" w:space="0" w:color="auto"/>
        <w:right w:val="none" w:sz="0" w:space="0" w:color="auto"/>
      </w:divBdr>
    </w:div>
    <w:div w:id="1237129370">
      <w:bodyDiv w:val="1"/>
      <w:marLeft w:val="0"/>
      <w:marRight w:val="0"/>
      <w:marTop w:val="0"/>
      <w:marBottom w:val="0"/>
      <w:divBdr>
        <w:top w:val="none" w:sz="0" w:space="0" w:color="auto"/>
        <w:left w:val="none" w:sz="0" w:space="0" w:color="auto"/>
        <w:bottom w:val="none" w:sz="0" w:space="0" w:color="auto"/>
        <w:right w:val="none" w:sz="0" w:space="0" w:color="auto"/>
      </w:divBdr>
    </w:div>
    <w:div w:id="1237790035">
      <w:bodyDiv w:val="1"/>
      <w:marLeft w:val="0"/>
      <w:marRight w:val="0"/>
      <w:marTop w:val="0"/>
      <w:marBottom w:val="0"/>
      <w:divBdr>
        <w:top w:val="none" w:sz="0" w:space="0" w:color="auto"/>
        <w:left w:val="none" w:sz="0" w:space="0" w:color="auto"/>
        <w:bottom w:val="none" w:sz="0" w:space="0" w:color="auto"/>
        <w:right w:val="none" w:sz="0" w:space="0" w:color="auto"/>
      </w:divBdr>
    </w:div>
    <w:div w:id="1237862477">
      <w:bodyDiv w:val="1"/>
      <w:marLeft w:val="0"/>
      <w:marRight w:val="0"/>
      <w:marTop w:val="0"/>
      <w:marBottom w:val="0"/>
      <w:divBdr>
        <w:top w:val="none" w:sz="0" w:space="0" w:color="auto"/>
        <w:left w:val="none" w:sz="0" w:space="0" w:color="auto"/>
        <w:bottom w:val="none" w:sz="0" w:space="0" w:color="auto"/>
        <w:right w:val="none" w:sz="0" w:space="0" w:color="auto"/>
      </w:divBdr>
    </w:div>
    <w:div w:id="1240599552">
      <w:bodyDiv w:val="1"/>
      <w:marLeft w:val="0"/>
      <w:marRight w:val="0"/>
      <w:marTop w:val="0"/>
      <w:marBottom w:val="0"/>
      <w:divBdr>
        <w:top w:val="none" w:sz="0" w:space="0" w:color="auto"/>
        <w:left w:val="none" w:sz="0" w:space="0" w:color="auto"/>
        <w:bottom w:val="none" w:sz="0" w:space="0" w:color="auto"/>
        <w:right w:val="none" w:sz="0" w:space="0" w:color="auto"/>
      </w:divBdr>
    </w:div>
    <w:div w:id="1241714645">
      <w:bodyDiv w:val="1"/>
      <w:marLeft w:val="0"/>
      <w:marRight w:val="0"/>
      <w:marTop w:val="0"/>
      <w:marBottom w:val="0"/>
      <w:divBdr>
        <w:top w:val="none" w:sz="0" w:space="0" w:color="auto"/>
        <w:left w:val="none" w:sz="0" w:space="0" w:color="auto"/>
        <w:bottom w:val="none" w:sz="0" w:space="0" w:color="auto"/>
        <w:right w:val="none" w:sz="0" w:space="0" w:color="auto"/>
      </w:divBdr>
    </w:div>
    <w:div w:id="1242056803">
      <w:bodyDiv w:val="1"/>
      <w:marLeft w:val="0"/>
      <w:marRight w:val="0"/>
      <w:marTop w:val="0"/>
      <w:marBottom w:val="0"/>
      <w:divBdr>
        <w:top w:val="none" w:sz="0" w:space="0" w:color="auto"/>
        <w:left w:val="none" w:sz="0" w:space="0" w:color="auto"/>
        <w:bottom w:val="none" w:sz="0" w:space="0" w:color="auto"/>
        <w:right w:val="none" w:sz="0" w:space="0" w:color="auto"/>
      </w:divBdr>
    </w:div>
    <w:div w:id="1242450090">
      <w:bodyDiv w:val="1"/>
      <w:marLeft w:val="0"/>
      <w:marRight w:val="0"/>
      <w:marTop w:val="0"/>
      <w:marBottom w:val="0"/>
      <w:divBdr>
        <w:top w:val="none" w:sz="0" w:space="0" w:color="auto"/>
        <w:left w:val="none" w:sz="0" w:space="0" w:color="auto"/>
        <w:bottom w:val="none" w:sz="0" w:space="0" w:color="auto"/>
        <w:right w:val="none" w:sz="0" w:space="0" w:color="auto"/>
      </w:divBdr>
    </w:div>
    <w:div w:id="1246650868">
      <w:bodyDiv w:val="1"/>
      <w:marLeft w:val="0"/>
      <w:marRight w:val="0"/>
      <w:marTop w:val="0"/>
      <w:marBottom w:val="0"/>
      <w:divBdr>
        <w:top w:val="none" w:sz="0" w:space="0" w:color="auto"/>
        <w:left w:val="none" w:sz="0" w:space="0" w:color="auto"/>
        <w:bottom w:val="none" w:sz="0" w:space="0" w:color="auto"/>
        <w:right w:val="none" w:sz="0" w:space="0" w:color="auto"/>
      </w:divBdr>
    </w:div>
    <w:div w:id="1253734442">
      <w:bodyDiv w:val="1"/>
      <w:marLeft w:val="0"/>
      <w:marRight w:val="0"/>
      <w:marTop w:val="0"/>
      <w:marBottom w:val="0"/>
      <w:divBdr>
        <w:top w:val="none" w:sz="0" w:space="0" w:color="auto"/>
        <w:left w:val="none" w:sz="0" w:space="0" w:color="auto"/>
        <w:bottom w:val="none" w:sz="0" w:space="0" w:color="auto"/>
        <w:right w:val="none" w:sz="0" w:space="0" w:color="auto"/>
      </w:divBdr>
    </w:div>
    <w:div w:id="1255284990">
      <w:bodyDiv w:val="1"/>
      <w:marLeft w:val="0"/>
      <w:marRight w:val="0"/>
      <w:marTop w:val="0"/>
      <w:marBottom w:val="0"/>
      <w:divBdr>
        <w:top w:val="none" w:sz="0" w:space="0" w:color="auto"/>
        <w:left w:val="none" w:sz="0" w:space="0" w:color="auto"/>
        <w:bottom w:val="none" w:sz="0" w:space="0" w:color="auto"/>
        <w:right w:val="none" w:sz="0" w:space="0" w:color="auto"/>
      </w:divBdr>
    </w:div>
    <w:div w:id="1256087664">
      <w:bodyDiv w:val="1"/>
      <w:marLeft w:val="0"/>
      <w:marRight w:val="0"/>
      <w:marTop w:val="0"/>
      <w:marBottom w:val="0"/>
      <w:divBdr>
        <w:top w:val="none" w:sz="0" w:space="0" w:color="auto"/>
        <w:left w:val="none" w:sz="0" w:space="0" w:color="auto"/>
        <w:bottom w:val="none" w:sz="0" w:space="0" w:color="auto"/>
        <w:right w:val="none" w:sz="0" w:space="0" w:color="auto"/>
      </w:divBdr>
    </w:div>
    <w:div w:id="1256090734">
      <w:bodyDiv w:val="1"/>
      <w:marLeft w:val="0"/>
      <w:marRight w:val="0"/>
      <w:marTop w:val="0"/>
      <w:marBottom w:val="0"/>
      <w:divBdr>
        <w:top w:val="none" w:sz="0" w:space="0" w:color="auto"/>
        <w:left w:val="none" w:sz="0" w:space="0" w:color="auto"/>
        <w:bottom w:val="none" w:sz="0" w:space="0" w:color="auto"/>
        <w:right w:val="none" w:sz="0" w:space="0" w:color="auto"/>
      </w:divBdr>
    </w:div>
    <w:div w:id="1257858160">
      <w:bodyDiv w:val="1"/>
      <w:marLeft w:val="0"/>
      <w:marRight w:val="0"/>
      <w:marTop w:val="0"/>
      <w:marBottom w:val="0"/>
      <w:divBdr>
        <w:top w:val="none" w:sz="0" w:space="0" w:color="auto"/>
        <w:left w:val="none" w:sz="0" w:space="0" w:color="auto"/>
        <w:bottom w:val="none" w:sz="0" w:space="0" w:color="auto"/>
        <w:right w:val="none" w:sz="0" w:space="0" w:color="auto"/>
      </w:divBdr>
    </w:div>
    <w:div w:id="1259290427">
      <w:bodyDiv w:val="1"/>
      <w:marLeft w:val="0"/>
      <w:marRight w:val="0"/>
      <w:marTop w:val="0"/>
      <w:marBottom w:val="0"/>
      <w:divBdr>
        <w:top w:val="none" w:sz="0" w:space="0" w:color="auto"/>
        <w:left w:val="none" w:sz="0" w:space="0" w:color="auto"/>
        <w:bottom w:val="none" w:sz="0" w:space="0" w:color="auto"/>
        <w:right w:val="none" w:sz="0" w:space="0" w:color="auto"/>
      </w:divBdr>
    </w:div>
    <w:div w:id="1261061581">
      <w:bodyDiv w:val="1"/>
      <w:marLeft w:val="0"/>
      <w:marRight w:val="0"/>
      <w:marTop w:val="0"/>
      <w:marBottom w:val="0"/>
      <w:divBdr>
        <w:top w:val="none" w:sz="0" w:space="0" w:color="auto"/>
        <w:left w:val="none" w:sz="0" w:space="0" w:color="auto"/>
        <w:bottom w:val="none" w:sz="0" w:space="0" w:color="auto"/>
        <w:right w:val="none" w:sz="0" w:space="0" w:color="auto"/>
      </w:divBdr>
    </w:div>
    <w:div w:id="1263344464">
      <w:bodyDiv w:val="1"/>
      <w:marLeft w:val="0"/>
      <w:marRight w:val="0"/>
      <w:marTop w:val="0"/>
      <w:marBottom w:val="0"/>
      <w:divBdr>
        <w:top w:val="none" w:sz="0" w:space="0" w:color="auto"/>
        <w:left w:val="none" w:sz="0" w:space="0" w:color="auto"/>
        <w:bottom w:val="none" w:sz="0" w:space="0" w:color="auto"/>
        <w:right w:val="none" w:sz="0" w:space="0" w:color="auto"/>
      </w:divBdr>
    </w:div>
    <w:div w:id="1268733055">
      <w:bodyDiv w:val="1"/>
      <w:marLeft w:val="0"/>
      <w:marRight w:val="0"/>
      <w:marTop w:val="0"/>
      <w:marBottom w:val="0"/>
      <w:divBdr>
        <w:top w:val="none" w:sz="0" w:space="0" w:color="auto"/>
        <w:left w:val="none" w:sz="0" w:space="0" w:color="auto"/>
        <w:bottom w:val="none" w:sz="0" w:space="0" w:color="auto"/>
        <w:right w:val="none" w:sz="0" w:space="0" w:color="auto"/>
      </w:divBdr>
    </w:div>
    <w:div w:id="1269198097">
      <w:bodyDiv w:val="1"/>
      <w:marLeft w:val="0"/>
      <w:marRight w:val="0"/>
      <w:marTop w:val="0"/>
      <w:marBottom w:val="0"/>
      <w:divBdr>
        <w:top w:val="none" w:sz="0" w:space="0" w:color="auto"/>
        <w:left w:val="none" w:sz="0" w:space="0" w:color="auto"/>
        <w:bottom w:val="none" w:sz="0" w:space="0" w:color="auto"/>
        <w:right w:val="none" w:sz="0" w:space="0" w:color="auto"/>
      </w:divBdr>
    </w:div>
    <w:div w:id="1269239736">
      <w:bodyDiv w:val="1"/>
      <w:marLeft w:val="0"/>
      <w:marRight w:val="0"/>
      <w:marTop w:val="0"/>
      <w:marBottom w:val="0"/>
      <w:divBdr>
        <w:top w:val="none" w:sz="0" w:space="0" w:color="auto"/>
        <w:left w:val="none" w:sz="0" w:space="0" w:color="auto"/>
        <w:bottom w:val="none" w:sz="0" w:space="0" w:color="auto"/>
        <w:right w:val="none" w:sz="0" w:space="0" w:color="auto"/>
      </w:divBdr>
    </w:div>
    <w:div w:id="1271359411">
      <w:bodyDiv w:val="1"/>
      <w:marLeft w:val="0"/>
      <w:marRight w:val="0"/>
      <w:marTop w:val="0"/>
      <w:marBottom w:val="0"/>
      <w:divBdr>
        <w:top w:val="none" w:sz="0" w:space="0" w:color="auto"/>
        <w:left w:val="none" w:sz="0" w:space="0" w:color="auto"/>
        <w:bottom w:val="none" w:sz="0" w:space="0" w:color="auto"/>
        <w:right w:val="none" w:sz="0" w:space="0" w:color="auto"/>
      </w:divBdr>
    </w:div>
    <w:div w:id="1274169372">
      <w:bodyDiv w:val="1"/>
      <w:marLeft w:val="0"/>
      <w:marRight w:val="0"/>
      <w:marTop w:val="0"/>
      <w:marBottom w:val="0"/>
      <w:divBdr>
        <w:top w:val="none" w:sz="0" w:space="0" w:color="auto"/>
        <w:left w:val="none" w:sz="0" w:space="0" w:color="auto"/>
        <w:bottom w:val="none" w:sz="0" w:space="0" w:color="auto"/>
        <w:right w:val="none" w:sz="0" w:space="0" w:color="auto"/>
      </w:divBdr>
    </w:div>
    <w:div w:id="1275553763">
      <w:bodyDiv w:val="1"/>
      <w:marLeft w:val="0"/>
      <w:marRight w:val="0"/>
      <w:marTop w:val="0"/>
      <w:marBottom w:val="0"/>
      <w:divBdr>
        <w:top w:val="none" w:sz="0" w:space="0" w:color="auto"/>
        <w:left w:val="none" w:sz="0" w:space="0" w:color="auto"/>
        <w:bottom w:val="none" w:sz="0" w:space="0" w:color="auto"/>
        <w:right w:val="none" w:sz="0" w:space="0" w:color="auto"/>
      </w:divBdr>
    </w:div>
    <w:div w:id="1279490018">
      <w:bodyDiv w:val="1"/>
      <w:marLeft w:val="0"/>
      <w:marRight w:val="0"/>
      <w:marTop w:val="0"/>
      <w:marBottom w:val="0"/>
      <w:divBdr>
        <w:top w:val="none" w:sz="0" w:space="0" w:color="auto"/>
        <w:left w:val="none" w:sz="0" w:space="0" w:color="auto"/>
        <w:bottom w:val="none" w:sz="0" w:space="0" w:color="auto"/>
        <w:right w:val="none" w:sz="0" w:space="0" w:color="auto"/>
      </w:divBdr>
    </w:div>
    <w:div w:id="1280912070">
      <w:bodyDiv w:val="1"/>
      <w:marLeft w:val="0"/>
      <w:marRight w:val="0"/>
      <w:marTop w:val="0"/>
      <w:marBottom w:val="0"/>
      <w:divBdr>
        <w:top w:val="none" w:sz="0" w:space="0" w:color="auto"/>
        <w:left w:val="none" w:sz="0" w:space="0" w:color="auto"/>
        <w:bottom w:val="none" w:sz="0" w:space="0" w:color="auto"/>
        <w:right w:val="none" w:sz="0" w:space="0" w:color="auto"/>
      </w:divBdr>
    </w:div>
    <w:div w:id="1281644491">
      <w:bodyDiv w:val="1"/>
      <w:marLeft w:val="0"/>
      <w:marRight w:val="0"/>
      <w:marTop w:val="0"/>
      <w:marBottom w:val="0"/>
      <w:divBdr>
        <w:top w:val="none" w:sz="0" w:space="0" w:color="auto"/>
        <w:left w:val="none" w:sz="0" w:space="0" w:color="auto"/>
        <w:bottom w:val="none" w:sz="0" w:space="0" w:color="auto"/>
        <w:right w:val="none" w:sz="0" w:space="0" w:color="auto"/>
      </w:divBdr>
    </w:div>
    <w:div w:id="1283146963">
      <w:bodyDiv w:val="1"/>
      <w:marLeft w:val="0"/>
      <w:marRight w:val="0"/>
      <w:marTop w:val="0"/>
      <w:marBottom w:val="0"/>
      <w:divBdr>
        <w:top w:val="none" w:sz="0" w:space="0" w:color="auto"/>
        <w:left w:val="none" w:sz="0" w:space="0" w:color="auto"/>
        <w:bottom w:val="none" w:sz="0" w:space="0" w:color="auto"/>
        <w:right w:val="none" w:sz="0" w:space="0" w:color="auto"/>
      </w:divBdr>
    </w:div>
    <w:div w:id="1286958847">
      <w:bodyDiv w:val="1"/>
      <w:marLeft w:val="0"/>
      <w:marRight w:val="0"/>
      <w:marTop w:val="0"/>
      <w:marBottom w:val="0"/>
      <w:divBdr>
        <w:top w:val="none" w:sz="0" w:space="0" w:color="auto"/>
        <w:left w:val="none" w:sz="0" w:space="0" w:color="auto"/>
        <w:bottom w:val="none" w:sz="0" w:space="0" w:color="auto"/>
        <w:right w:val="none" w:sz="0" w:space="0" w:color="auto"/>
      </w:divBdr>
    </w:div>
    <w:div w:id="1290354071">
      <w:bodyDiv w:val="1"/>
      <w:marLeft w:val="0"/>
      <w:marRight w:val="0"/>
      <w:marTop w:val="0"/>
      <w:marBottom w:val="0"/>
      <w:divBdr>
        <w:top w:val="none" w:sz="0" w:space="0" w:color="auto"/>
        <w:left w:val="none" w:sz="0" w:space="0" w:color="auto"/>
        <w:bottom w:val="none" w:sz="0" w:space="0" w:color="auto"/>
        <w:right w:val="none" w:sz="0" w:space="0" w:color="auto"/>
      </w:divBdr>
    </w:div>
    <w:div w:id="1291404357">
      <w:bodyDiv w:val="1"/>
      <w:marLeft w:val="0"/>
      <w:marRight w:val="0"/>
      <w:marTop w:val="0"/>
      <w:marBottom w:val="0"/>
      <w:divBdr>
        <w:top w:val="none" w:sz="0" w:space="0" w:color="auto"/>
        <w:left w:val="none" w:sz="0" w:space="0" w:color="auto"/>
        <w:bottom w:val="none" w:sz="0" w:space="0" w:color="auto"/>
        <w:right w:val="none" w:sz="0" w:space="0" w:color="auto"/>
      </w:divBdr>
    </w:div>
    <w:div w:id="1292596362">
      <w:bodyDiv w:val="1"/>
      <w:marLeft w:val="0"/>
      <w:marRight w:val="0"/>
      <w:marTop w:val="0"/>
      <w:marBottom w:val="0"/>
      <w:divBdr>
        <w:top w:val="none" w:sz="0" w:space="0" w:color="auto"/>
        <w:left w:val="none" w:sz="0" w:space="0" w:color="auto"/>
        <w:bottom w:val="none" w:sz="0" w:space="0" w:color="auto"/>
        <w:right w:val="none" w:sz="0" w:space="0" w:color="auto"/>
      </w:divBdr>
    </w:div>
    <w:div w:id="1293366199">
      <w:bodyDiv w:val="1"/>
      <w:marLeft w:val="0"/>
      <w:marRight w:val="0"/>
      <w:marTop w:val="0"/>
      <w:marBottom w:val="0"/>
      <w:divBdr>
        <w:top w:val="none" w:sz="0" w:space="0" w:color="auto"/>
        <w:left w:val="none" w:sz="0" w:space="0" w:color="auto"/>
        <w:bottom w:val="none" w:sz="0" w:space="0" w:color="auto"/>
        <w:right w:val="none" w:sz="0" w:space="0" w:color="auto"/>
      </w:divBdr>
    </w:div>
    <w:div w:id="1293366311">
      <w:bodyDiv w:val="1"/>
      <w:marLeft w:val="0"/>
      <w:marRight w:val="0"/>
      <w:marTop w:val="0"/>
      <w:marBottom w:val="0"/>
      <w:divBdr>
        <w:top w:val="none" w:sz="0" w:space="0" w:color="auto"/>
        <w:left w:val="none" w:sz="0" w:space="0" w:color="auto"/>
        <w:bottom w:val="none" w:sz="0" w:space="0" w:color="auto"/>
        <w:right w:val="none" w:sz="0" w:space="0" w:color="auto"/>
      </w:divBdr>
    </w:div>
    <w:div w:id="1293975314">
      <w:bodyDiv w:val="1"/>
      <w:marLeft w:val="0"/>
      <w:marRight w:val="0"/>
      <w:marTop w:val="0"/>
      <w:marBottom w:val="0"/>
      <w:divBdr>
        <w:top w:val="none" w:sz="0" w:space="0" w:color="auto"/>
        <w:left w:val="none" w:sz="0" w:space="0" w:color="auto"/>
        <w:bottom w:val="none" w:sz="0" w:space="0" w:color="auto"/>
        <w:right w:val="none" w:sz="0" w:space="0" w:color="auto"/>
      </w:divBdr>
    </w:div>
    <w:div w:id="1294291511">
      <w:bodyDiv w:val="1"/>
      <w:marLeft w:val="0"/>
      <w:marRight w:val="0"/>
      <w:marTop w:val="0"/>
      <w:marBottom w:val="0"/>
      <w:divBdr>
        <w:top w:val="none" w:sz="0" w:space="0" w:color="auto"/>
        <w:left w:val="none" w:sz="0" w:space="0" w:color="auto"/>
        <w:bottom w:val="none" w:sz="0" w:space="0" w:color="auto"/>
        <w:right w:val="none" w:sz="0" w:space="0" w:color="auto"/>
      </w:divBdr>
    </w:div>
    <w:div w:id="1295259177">
      <w:bodyDiv w:val="1"/>
      <w:marLeft w:val="0"/>
      <w:marRight w:val="0"/>
      <w:marTop w:val="0"/>
      <w:marBottom w:val="0"/>
      <w:divBdr>
        <w:top w:val="none" w:sz="0" w:space="0" w:color="auto"/>
        <w:left w:val="none" w:sz="0" w:space="0" w:color="auto"/>
        <w:bottom w:val="none" w:sz="0" w:space="0" w:color="auto"/>
        <w:right w:val="none" w:sz="0" w:space="0" w:color="auto"/>
      </w:divBdr>
    </w:div>
    <w:div w:id="1295793265">
      <w:bodyDiv w:val="1"/>
      <w:marLeft w:val="0"/>
      <w:marRight w:val="0"/>
      <w:marTop w:val="0"/>
      <w:marBottom w:val="0"/>
      <w:divBdr>
        <w:top w:val="none" w:sz="0" w:space="0" w:color="auto"/>
        <w:left w:val="none" w:sz="0" w:space="0" w:color="auto"/>
        <w:bottom w:val="none" w:sz="0" w:space="0" w:color="auto"/>
        <w:right w:val="none" w:sz="0" w:space="0" w:color="auto"/>
      </w:divBdr>
    </w:div>
    <w:div w:id="1297565111">
      <w:bodyDiv w:val="1"/>
      <w:marLeft w:val="0"/>
      <w:marRight w:val="0"/>
      <w:marTop w:val="0"/>
      <w:marBottom w:val="0"/>
      <w:divBdr>
        <w:top w:val="none" w:sz="0" w:space="0" w:color="auto"/>
        <w:left w:val="none" w:sz="0" w:space="0" w:color="auto"/>
        <w:bottom w:val="none" w:sz="0" w:space="0" w:color="auto"/>
        <w:right w:val="none" w:sz="0" w:space="0" w:color="auto"/>
      </w:divBdr>
    </w:div>
    <w:div w:id="1298684632">
      <w:bodyDiv w:val="1"/>
      <w:marLeft w:val="0"/>
      <w:marRight w:val="0"/>
      <w:marTop w:val="0"/>
      <w:marBottom w:val="0"/>
      <w:divBdr>
        <w:top w:val="none" w:sz="0" w:space="0" w:color="auto"/>
        <w:left w:val="none" w:sz="0" w:space="0" w:color="auto"/>
        <w:bottom w:val="none" w:sz="0" w:space="0" w:color="auto"/>
        <w:right w:val="none" w:sz="0" w:space="0" w:color="auto"/>
      </w:divBdr>
    </w:div>
    <w:div w:id="1299725191">
      <w:bodyDiv w:val="1"/>
      <w:marLeft w:val="0"/>
      <w:marRight w:val="0"/>
      <w:marTop w:val="0"/>
      <w:marBottom w:val="0"/>
      <w:divBdr>
        <w:top w:val="none" w:sz="0" w:space="0" w:color="auto"/>
        <w:left w:val="none" w:sz="0" w:space="0" w:color="auto"/>
        <w:bottom w:val="none" w:sz="0" w:space="0" w:color="auto"/>
        <w:right w:val="none" w:sz="0" w:space="0" w:color="auto"/>
      </w:divBdr>
    </w:div>
    <w:div w:id="1299795874">
      <w:bodyDiv w:val="1"/>
      <w:marLeft w:val="0"/>
      <w:marRight w:val="0"/>
      <w:marTop w:val="0"/>
      <w:marBottom w:val="0"/>
      <w:divBdr>
        <w:top w:val="none" w:sz="0" w:space="0" w:color="auto"/>
        <w:left w:val="none" w:sz="0" w:space="0" w:color="auto"/>
        <w:bottom w:val="none" w:sz="0" w:space="0" w:color="auto"/>
        <w:right w:val="none" w:sz="0" w:space="0" w:color="auto"/>
      </w:divBdr>
    </w:div>
    <w:div w:id="1300259415">
      <w:bodyDiv w:val="1"/>
      <w:marLeft w:val="0"/>
      <w:marRight w:val="0"/>
      <w:marTop w:val="0"/>
      <w:marBottom w:val="0"/>
      <w:divBdr>
        <w:top w:val="none" w:sz="0" w:space="0" w:color="auto"/>
        <w:left w:val="none" w:sz="0" w:space="0" w:color="auto"/>
        <w:bottom w:val="none" w:sz="0" w:space="0" w:color="auto"/>
        <w:right w:val="none" w:sz="0" w:space="0" w:color="auto"/>
      </w:divBdr>
    </w:div>
    <w:div w:id="1300696160">
      <w:bodyDiv w:val="1"/>
      <w:marLeft w:val="0"/>
      <w:marRight w:val="0"/>
      <w:marTop w:val="0"/>
      <w:marBottom w:val="0"/>
      <w:divBdr>
        <w:top w:val="none" w:sz="0" w:space="0" w:color="auto"/>
        <w:left w:val="none" w:sz="0" w:space="0" w:color="auto"/>
        <w:bottom w:val="none" w:sz="0" w:space="0" w:color="auto"/>
        <w:right w:val="none" w:sz="0" w:space="0" w:color="auto"/>
      </w:divBdr>
    </w:div>
    <w:div w:id="1301879308">
      <w:bodyDiv w:val="1"/>
      <w:marLeft w:val="0"/>
      <w:marRight w:val="0"/>
      <w:marTop w:val="0"/>
      <w:marBottom w:val="0"/>
      <w:divBdr>
        <w:top w:val="none" w:sz="0" w:space="0" w:color="auto"/>
        <w:left w:val="none" w:sz="0" w:space="0" w:color="auto"/>
        <w:bottom w:val="none" w:sz="0" w:space="0" w:color="auto"/>
        <w:right w:val="none" w:sz="0" w:space="0" w:color="auto"/>
      </w:divBdr>
    </w:div>
    <w:div w:id="1301957908">
      <w:bodyDiv w:val="1"/>
      <w:marLeft w:val="0"/>
      <w:marRight w:val="0"/>
      <w:marTop w:val="0"/>
      <w:marBottom w:val="0"/>
      <w:divBdr>
        <w:top w:val="none" w:sz="0" w:space="0" w:color="auto"/>
        <w:left w:val="none" w:sz="0" w:space="0" w:color="auto"/>
        <w:bottom w:val="none" w:sz="0" w:space="0" w:color="auto"/>
        <w:right w:val="none" w:sz="0" w:space="0" w:color="auto"/>
      </w:divBdr>
    </w:div>
    <w:div w:id="1302225948">
      <w:bodyDiv w:val="1"/>
      <w:marLeft w:val="0"/>
      <w:marRight w:val="0"/>
      <w:marTop w:val="0"/>
      <w:marBottom w:val="0"/>
      <w:divBdr>
        <w:top w:val="none" w:sz="0" w:space="0" w:color="auto"/>
        <w:left w:val="none" w:sz="0" w:space="0" w:color="auto"/>
        <w:bottom w:val="none" w:sz="0" w:space="0" w:color="auto"/>
        <w:right w:val="none" w:sz="0" w:space="0" w:color="auto"/>
      </w:divBdr>
    </w:div>
    <w:div w:id="1303123410">
      <w:bodyDiv w:val="1"/>
      <w:marLeft w:val="0"/>
      <w:marRight w:val="0"/>
      <w:marTop w:val="0"/>
      <w:marBottom w:val="0"/>
      <w:divBdr>
        <w:top w:val="none" w:sz="0" w:space="0" w:color="auto"/>
        <w:left w:val="none" w:sz="0" w:space="0" w:color="auto"/>
        <w:bottom w:val="none" w:sz="0" w:space="0" w:color="auto"/>
        <w:right w:val="none" w:sz="0" w:space="0" w:color="auto"/>
      </w:divBdr>
    </w:div>
    <w:div w:id="1303652568">
      <w:bodyDiv w:val="1"/>
      <w:marLeft w:val="0"/>
      <w:marRight w:val="0"/>
      <w:marTop w:val="0"/>
      <w:marBottom w:val="0"/>
      <w:divBdr>
        <w:top w:val="none" w:sz="0" w:space="0" w:color="auto"/>
        <w:left w:val="none" w:sz="0" w:space="0" w:color="auto"/>
        <w:bottom w:val="none" w:sz="0" w:space="0" w:color="auto"/>
        <w:right w:val="none" w:sz="0" w:space="0" w:color="auto"/>
      </w:divBdr>
    </w:div>
    <w:div w:id="1304038496">
      <w:bodyDiv w:val="1"/>
      <w:marLeft w:val="0"/>
      <w:marRight w:val="0"/>
      <w:marTop w:val="0"/>
      <w:marBottom w:val="0"/>
      <w:divBdr>
        <w:top w:val="none" w:sz="0" w:space="0" w:color="auto"/>
        <w:left w:val="none" w:sz="0" w:space="0" w:color="auto"/>
        <w:bottom w:val="none" w:sz="0" w:space="0" w:color="auto"/>
        <w:right w:val="none" w:sz="0" w:space="0" w:color="auto"/>
      </w:divBdr>
    </w:div>
    <w:div w:id="1305047068">
      <w:bodyDiv w:val="1"/>
      <w:marLeft w:val="0"/>
      <w:marRight w:val="0"/>
      <w:marTop w:val="0"/>
      <w:marBottom w:val="0"/>
      <w:divBdr>
        <w:top w:val="none" w:sz="0" w:space="0" w:color="auto"/>
        <w:left w:val="none" w:sz="0" w:space="0" w:color="auto"/>
        <w:bottom w:val="none" w:sz="0" w:space="0" w:color="auto"/>
        <w:right w:val="none" w:sz="0" w:space="0" w:color="auto"/>
      </w:divBdr>
    </w:div>
    <w:div w:id="1305694229">
      <w:bodyDiv w:val="1"/>
      <w:marLeft w:val="0"/>
      <w:marRight w:val="0"/>
      <w:marTop w:val="0"/>
      <w:marBottom w:val="0"/>
      <w:divBdr>
        <w:top w:val="none" w:sz="0" w:space="0" w:color="auto"/>
        <w:left w:val="none" w:sz="0" w:space="0" w:color="auto"/>
        <w:bottom w:val="none" w:sz="0" w:space="0" w:color="auto"/>
        <w:right w:val="none" w:sz="0" w:space="0" w:color="auto"/>
      </w:divBdr>
    </w:div>
    <w:div w:id="1306085154">
      <w:bodyDiv w:val="1"/>
      <w:marLeft w:val="0"/>
      <w:marRight w:val="0"/>
      <w:marTop w:val="0"/>
      <w:marBottom w:val="0"/>
      <w:divBdr>
        <w:top w:val="none" w:sz="0" w:space="0" w:color="auto"/>
        <w:left w:val="none" w:sz="0" w:space="0" w:color="auto"/>
        <w:bottom w:val="none" w:sz="0" w:space="0" w:color="auto"/>
        <w:right w:val="none" w:sz="0" w:space="0" w:color="auto"/>
      </w:divBdr>
    </w:div>
    <w:div w:id="1308977058">
      <w:bodyDiv w:val="1"/>
      <w:marLeft w:val="0"/>
      <w:marRight w:val="0"/>
      <w:marTop w:val="0"/>
      <w:marBottom w:val="0"/>
      <w:divBdr>
        <w:top w:val="none" w:sz="0" w:space="0" w:color="auto"/>
        <w:left w:val="none" w:sz="0" w:space="0" w:color="auto"/>
        <w:bottom w:val="none" w:sz="0" w:space="0" w:color="auto"/>
        <w:right w:val="none" w:sz="0" w:space="0" w:color="auto"/>
      </w:divBdr>
    </w:div>
    <w:div w:id="1313026501">
      <w:bodyDiv w:val="1"/>
      <w:marLeft w:val="0"/>
      <w:marRight w:val="0"/>
      <w:marTop w:val="0"/>
      <w:marBottom w:val="0"/>
      <w:divBdr>
        <w:top w:val="none" w:sz="0" w:space="0" w:color="auto"/>
        <w:left w:val="none" w:sz="0" w:space="0" w:color="auto"/>
        <w:bottom w:val="none" w:sz="0" w:space="0" w:color="auto"/>
        <w:right w:val="none" w:sz="0" w:space="0" w:color="auto"/>
      </w:divBdr>
    </w:div>
    <w:div w:id="1315337393">
      <w:bodyDiv w:val="1"/>
      <w:marLeft w:val="0"/>
      <w:marRight w:val="0"/>
      <w:marTop w:val="0"/>
      <w:marBottom w:val="0"/>
      <w:divBdr>
        <w:top w:val="none" w:sz="0" w:space="0" w:color="auto"/>
        <w:left w:val="none" w:sz="0" w:space="0" w:color="auto"/>
        <w:bottom w:val="none" w:sz="0" w:space="0" w:color="auto"/>
        <w:right w:val="none" w:sz="0" w:space="0" w:color="auto"/>
      </w:divBdr>
    </w:div>
    <w:div w:id="1319844921">
      <w:bodyDiv w:val="1"/>
      <w:marLeft w:val="0"/>
      <w:marRight w:val="0"/>
      <w:marTop w:val="0"/>
      <w:marBottom w:val="0"/>
      <w:divBdr>
        <w:top w:val="none" w:sz="0" w:space="0" w:color="auto"/>
        <w:left w:val="none" w:sz="0" w:space="0" w:color="auto"/>
        <w:bottom w:val="none" w:sz="0" w:space="0" w:color="auto"/>
        <w:right w:val="none" w:sz="0" w:space="0" w:color="auto"/>
      </w:divBdr>
    </w:div>
    <w:div w:id="1321428384">
      <w:bodyDiv w:val="1"/>
      <w:marLeft w:val="0"/>
      <w:marRight w:val="0"/>
      <w:marTop w:val="0"/>
      <w:marBottom w:val="0"/>
      <w:divBdr>
        <w:top w:val="none" w:sz="0" w:space="0" w:color="auto"/>
        <w:left w:val="none" w:sz="0" w:space="0" w:color="auto"/>
        <w:bottom w:val="none" w:sz="0" w:space="0" w:color="auto"/>
        <w:right w:val="none" w:sz="0" w:space="0" w:color="auto"/>
      </w:divBdr>
    </w:div>
    <w:div w:id="1322192427">
      <w:bodyDiv w:val="1"/>
      <w:marLeft w:val="0"/>
      <w:marRight w:val="0"/>
      <w:marTop w:val="0"/>
      <w:marBottom w:val="0"/>
      <w:divBdr>
        <w:top w:val="none" w:sz="0" w:space="0" w:color="auto"/>
        <w:left w:val="none" w:sz="0" w:space="0" w:color="auto"/>
        <w:bottom w:val="none" w:sz="0" w:space="0" w:color="auto"/>
        <w:right w:val="none" w:sz="0" w:space="0" w:color="auto"/>
      </w:divBdr>
    </w:div>
    <w:div w:id="1323193318">
      <w:bodyDiv w:val="1"/>
      <w:marLeft w:val="0"/>
      <w:marRight w:val="0"/>
      <w:marTop w:val="0"/>
      <w:marBottom w:val="0"/>
      <w:divBdr>
        <w:top w:val="none" w:sz="0" w:space="0" w:color="auto"/>
        <w:left w:val="none" w:sz="0" w:space="0" w:color="auto"/>
        <w:bottom w:val="none" w:sz="0" w:space="0" w:color="auto"/>
        <w:right w:val="none" w:sz="0" w:space="0" w:color="auto"/>
      </w:divBdr>
    </w:div>
    <w:div w:id="1325889640">
      <w:bodyDiv w:val="1"/>
      <w:marLeft w:val="0"/>
      <w:marRight w:val="0"/>
      <w:marTop w:val="0"/>
      <w:marBottom w:val="0"/>
      <w:divBdr>
        <w:top w:val="none" w:sz="0" w:space="0" w:color="auto"/>
        <w:left w:val="none" w:sz="0" w:space="0" w:color="auto"/>
        <w:bottom w:val="none" w:sz="0" w:space="0" w:color="auto"/>
        <w:right w:val="none" w:sz="0" w:space="0" w:color="auto"/>
      </w:divBdr>
    </w:div>
    <w:div w:id="1326010320">
      <w:bodyDiv w:val="1"/>
      <w:marLeft w:val="0"/>
      <w:marRight w:val="0"/>
      <w:marTop w:val="0"/>
      <w:marBottom w:val="0"/>
      <w:divBdr>
        <w:top w:val="none" w:sz="0" w:space="0" w:color="auto"/>
        <w:left w:val="none" w:sz="0" w:space="0" w:color="auto"/>
        <w:bottom w:val="none" w:sz="0" w:space="0" w:color="auto"/>
        <w:right w:val="none" w:sz="0" w:space="0" w:color="auto"/>
      </w:divBdr>
    </w:div>
    <w:div w:id="1326740049">
      <w:bodyDiv w:val="1"/>
      <w:marLeft w:val="0"/>
      <w:marRight w:val="0"/>
      <w:marTop w:val="0"/>
      <w:marBottom w:val="0"/>
      <w:divBdr>
        <w:top w:val="none" w:sz="0" w:space="0" w:color="auto"/>
        <w:left w:val="none" w:sz="0" w:space="0" w:color="auto"/>
        <w:bottom w:val="none" w:sz="0" w:space="0" w:color="auto"/>
        <w:right w:val="none" w:sz="0" w:space="0" w:color="auto"/>
      </w:divBdr>
    </w:div>
    <w:div w:id="1333483575">
      <w:bodyDiv w:val="1"/>
      <w:marLeft w:val="0"/>
      <w:marRight w:val="0"/>
      <w:marTop w:val="0"/>
      <w:marBottom w:val="0"/>
      <w:divBdr>
        <w:top w:val="none" w:sz="0" w:space="0" w:color="auto"/>
        <w:left w:val="none" w:sz="0" w:space="0" w:color="auto"/>
        <w:bottom w:val="none" w:sz="0" w:space="0" w:color="auto"/>
        <w:right w:val="none" w:sz="0" w:space="0" w:color="auto"/>
      </w:divBdr>
    </w:div>
    <w:div w:id="1334458759">
      <w:bodyDiv w:val="1"/>
      <w:marLeft w:val="0"/>
      <w:marRight w:val="0"/>
      <w:marTop w:val="0"/>
      <w:marBottom w:val="0"/>
      <w:divBdr>
        <w:top w:val="none" w:sz="0" w:space="0" w:color="auto"/>
        <w:left w:val="none" w:sz="0" w:space="0" w:color="auto"/>
        <w:bottom w:val="none" w:sz="0" w:space="0" w:color="auto"/>
        <w:right w:val="none" w:sz="0" w:space="0" w:color="auto"/>
      </w:divBdr>
    </w:div>
    <w:div w:id="1334989062">
      <w:bodyDiv w:val="1"/>
      <w:marLeft w:val="0"/>
      <w:marRight w:val="0"/>
      <w:marTop w:val="0"/>
      <w:marBottom w:val="0"/>
      <w:divBdr>
        <w:top w:val="none" w:sz="0" w:space="0" w:color="auto"/>
        <w:left w:val="none" w:sz="0" w:space="0" w:color="auto"/>
        <w:bottom w:val="none" w:sz="0" w:space="0" w:color="auto"/>
        <w:right w:val="none" w:sz="0" w:space="0" w:color="auto"/>
      </w:divBdr>
    </w:div>
    <w:div w:id="1336685137">
      <w:bodyDiv w:val="1"/>
      <w:marLeft w:val="0"/>
      <w:marRight w:val="0"/>
      <w:marTop w:val="0"/>
      <w:marBottom w:val="0"/>
      <w:divBdr>
        <w:top w:val="none" w:sz="0" w:space="0" w:color="auto"/>
        <w:left w:val="none" w:sz="0" w:space="0" w:color="auto"/>
        <w:bottom w:val="none" w:sz="0" w:space="0" w:color="auto"/>
        <w:right w:val="none" w:sz="0" w:space="0" w:color="auto"/>
      </w:divBdr>
    </w:div>
    <w:div w:id="1341351645">
      <w:bodyDiv w:val="1"/>
      <w:marLeft w:val="0"/>
      <w:marRight w:val="0"/>
      <w:marTop w:val="0"/>
      <w:marBottom w:val="0"/>
      <w:divBdr>
        <w:top w:val="none" w:sz="0" w:space="0" w:color="auto"/>
        <w:left w:val="none" w:sz="0" w:space="0" w:color="auto"/>
        <w:bottom w:val="none" w:sz="0" w:space="0" w:color="auto"/>
        <w:right w:val="none" w:sz="0" w:space="0" w:color="auto"/>
      </w:divBdr>
    </w:div>
    <w:div w:id="1342010298">
      <w:bodyDiv w:val="1"/>
      <w:marLeft w:val="0"/>
      <w:marRight w:val="0"/>
      <w:marTop w:val="0"/>
      <w:marBottom w:val="0"/>
      <w:divBdr>
        <w:top w:val="none" w:sz="0" w:space="0" w:color="auto"/>
        <w:left w:val="none" w:sz="0" w:space="0" w:color="auto"/>
        <w:bottom w:val="none" w:sz="0" w:space="0" w:color="auto"/>
        <w:right w:val="none" w:sz="0" w:space="0" w:color="auto"/>
      </w:divBdr>
    </w:div>
    <w:div w:id="1342930751">
      <w:bodyDiv w:val="1"/>
      <w:marLeft w:val="0"/>
      <w:marRight w:val="0"/>
      <w:marTop w:val="0"/>
      <w:marBottom w:val="0"/>
      <w:divBdr>
        <w:top w:val="none" w:sz="0" w:space="0" w:color="auto"/>
        <w:left w:val="none" w:sz="0" w:space="0" w:color="auto"/>
        <w:bottom w:val="none" w:sz="0" w:space="0" w:color="auto"/>
        <w:right w:val="none" w:sz="0" w:space="0" w:color="auto"/>
      </w:divBdr>
      <w:divsChild>
        <w:div w:id="102463160">
          <w:marLeft w:val="0"/>
          <w:marRight w:val="0"/>
          <w:marTop w:val="0"/>
          <w:marBottom w:val="0"/>
          <w:divBdr>
            <w:top w:val="none" w:sz="0" w:space="0" w:color="auto"/>
            <w:left w:val="none" w:sz="0" w:space="0" w:color="auto"/>
            <w:bottom w:val="none" w:sz="0" w:space="0" w:color="auto"/>
            <w:right w:val="none" w:sz="0" w:space="0" w:color="auto"/>
          </w:divBdr>
        </w:div>
        <w:div w:id="168184368">
          <w:marLeft w:val="0"/>
          <w:marRight w:val="0"/>
          <w:marTop w:val="0"/>
          <w:marBottom w:val="0"/>
          <w:divBdr>
            <w:top w:val="none" w:sz="0" w:space="0" w:color="auto"/>
            <w:left w:val="none" w:sz="0" w:space="0" w:color="auto"/>
            <w:bottom w:val="none" w:sz="0" w:space="0" w:color="auto"/>
            <w:right w:val="none" w:sz="0" w:space="0" w:color="auto"/>
          </w:divBdr>
        </w:div>
        <w:div w:id="315568840">
          <w:marLeft w:val="0"/>
          <w:marRight w:val="0"/>
          <w:marTop w:val="0"/>
          <w:marBottom w:val="0"/>
          <w:divBdr>
            <w:top w:val="none" w:sz="0" w:space="0" w:color="auto"/>
            <w:left w:val="none" w:sz="0" w:space="0" w:color="auto"/>
            <w:bottom w:val="none" w:sz="0" w:space="0" w:color="auto"/>
            <w:right w:val="none" w:sz="0" w:space="0" w:color="auto"/>
          </w:divBdr>
        </w:div>
        <w:div w:id="382867959">
          <w:marLeft w:val="0"/>
          <w:marRight w:val="0"/>
          <w:marTop w:val="0"/>
          <w:marBottom w:val="0"/>
          <w:divBdr>
            <w:top w:val="none" w:sz="0" w:space="0" w:color="auto"/>
            <w:left w:val="none" w:sz="0" w:space="0" w:color="auto"/>
            <w:bottom w:val="none" w:sz="0" w:space="0" w:color="auto"/>
            <w:right w:val="none" w:sz="0" w:space="0" w:color="auto"/>
          </w:divBdr>
        </w:div>
        <w:div w:id="391778510">
          <w:marLeft w:val="0"/>
          <w:marRight w:val="0"/>
          <w:marTop w:val="0"/>
          <w:marBottom w:val="0"/>
          <w:divBdr>
            <w:top w:val="none" w:sz="0" w:space="0" w:color="auto"/>
            <w:left w:val="none" w:sz="0" w:space="0" w:color="auto"/>
            <w:bottom w:val="none" w:sz="0" w:space="0" w:color="auto"/>
            <w:right w:val="none" w:sz="0" w:space="0" w:color="auto"/>
          </w:divBdr>
        </w:div>
        <w:div w:id="451172827">
          <w:marLeft w:val="0"/>
          <w:marRight w:val="0"/>
          <w:marTop w:val="0"/>
          <w:marBottom w:val="0"/>
          <w:divBdr>
            <w:top w:val="none" w:sz="0" w:space="0" w:color="auto"/>
            <w:left w:val="none" w:sz="0" w:space="0" w:color="auto"/>
            <w:bottom w:val="none" w:sz="0" w:space="0" w:color="auto"/>
            <w:right w:val="none" w:sz="0" w:space="0" w:color="auto"/>
          </w:divBdr>
        </w:div>
        <w:div w:id="453906503">
          <w:marLeft w:val="0"/>
          <w:marRight w:val="0"/>
          <w:marTop w:val="0"/>
          <w:marBottom w:val="0"/>
          <w:divBdr>
            <w:top w:val="none" w:sz="0" w:space="0" w:color="auto"/>
            <w:left w:val="none" w:sz="0" w:space="0" w:color="auto"/>
            <w:bottom w:val="none" w:sz="0" w:space="0" w:color="auto"/>
            <w:right w:val="none" w:sz="0" w:space="0" w:color="auto"/>
          </w:divBdr>
        </w:div>
        <w:div w:id="587033752">
          <w:marLeft w:val="0"/>
          <w:marRight w:val="0"/>
          <w:marTop w:val="0"/>
          <w:marBottom w:val="0"/>
          <w:divBdr>
            <w:top w:val="none" w:sz="0" w:space="0" w:color="auto"/>
            <w:left w:val="none" w:sz="0" w:space="0" w:color="auto"/>
            <w:bottom w:val="none" w:sz="0" w:space="0" w:color="auto"/>
            <w:right w:val="none" w:sz="0" w:space="0" w:color="auto"/>
          </w:divBdr>
        </w:div>
        <w:div w:id="711075395">
          <w:marLeft w:val="0"/>
          <w:marRight w:val="0"/>
          <w:marTop w:val="0"/>
          <w:marBottom w:val="0"/>
          <w:divBdr>
            <w:top w:val="none" w:sz="0" w:space="0" w:color="auto"/>
            <w:left w:val="none" w:sz="0" w:space="0" w:color="auto"/>
            <w:bottom w:val="none" w:sz="0" w:space="0" w:color="auto"/>
            <w:right w:val="none" w:sz="0" w:space="0" w:color="auto"/>
          </w:divBdr>
        </w:div>
        <w:div w:id="749472402">
          <w:marLeft w:val="0"/>
          <w:marRight w:val="0"/>
          <w:marTop w:val="0"/>
          <w:marBottom w:val="0"/>
          <w:divBdr>
            <w:top w:val="none" w:sz="0" w:space="0" w:color="auto"/>
            <w:left w:val="none" w:sz="0" w:space="0" w:color="auto"/>
            <w:bottom w:val="none" w:sz="0" w:space="0" w:color="auto"/>
            <w:right w:val="none" w:sz="0" w:space="0" w:color="auto"/>
          </w:divBdr>
        </w:div>
        <w:div w:id="757868767">
          <w:marLeft w:val="0"/>
          <w:marRight w:val="0"/>
          <w:marTop w:val="0"/>
          <w:marBottom w:val="0"/>
          <w:divBdr>
            <w:top w:val="none" w:sz="0" w:space="0" w:color="auto"/>
            <w:left w:val="none" w:sz="0" w:space="0" w:color="auto"/>
            <w:bottom w:val="none" w:sz="0" w:space="0" w:color="auto"/>
            <w:right w:val="none" w:sz="0" w:space="0" w:color="auto"/>
          </w:divBdr>
        </w:div>
        <w:div w:id="759564309">
          <w:marLeft w:val="0"/>
          <w:marRight w:val="0"/>
          <w:marTop w:val="0"/>
          <w:marBottom w:val="0"/>
          <w:divBdr>
            <w:top w:val="none" w:sz="0" w:space="0" w:color="auto"/>
            <w:left w:val="none" w:sz="0" w:space="0" w:color="auto"/>
            <w:bottom w:val="none" w:sz="0" w:space="0" w:color="auto"/>
            <w:right w:val="none" w:sz="0" w:space="0" w:color="auto"/>
          </w:divBdr>
        </w:div>
        <w:div w:id="853958071">
          <w:marLeft w:val="0"/>
          <w:marRight w:val="0"/>
          <w:marTop w:val="0"/>
          <w:marBottom w:val="0"/>
          <w:divBdr>
            <w:top w:val="none" w:sz="0" w:space="0" w:color="auto"/>
            <w:left w:val="none" w:sz="0" w:space="0" w:color="auto"/>
            <w:bottom w:val="none" w:sz="0" w:space="0" w:color="auto"/>
            <w:right w:val="none" w:sz="0" w:space="0" w:color="auto"/>
          </w:divBdr>
        </w:div>
        <w:div w:id="895707195">
          <w:marLeft w:val="0"/>
          <w:marRight w:val="0"/>
          <w:marTop w:val="0"/>
          <w:marBottom w:val="0"/>
          <w:divBdr>
            <w:top w:val="none" w:sz="0" w:space="0" w:color="auto"/>
            <w:left w:val="none" w:sz="0" w:space="0" w:color="auto"/>
            <w:bottom w:val="none" w:sz="0" w:space="0" w:color="auto"/>
            <w:right w:val="none" w:sz="0" w:space="0" w:color="auto"/>
          </w:divBdr>
        </w:div>
        <w:div w:id="930892464">
          <w:marLeft w:val="0"/>
          <w:marRight w:val="0"/>
          <w:marTop w:val="0"/>
          <w:marBottom w:val="0"/>
          <w:divBdr>
            <w:top w:val="none" w:sz="0" w:space="0" w:color="auto"/>
            <w:left w:val="none" w:sz="0" w:space="0" w:color="auto"/>
            <w:bottom w:val="none" w:sz="0" w:space="0" w:color="auto"/>
            <w:right w:val="none" w:sz="0" w:space="0" w:color="auto"/>
          </w:divBdr>
        </w:div>
        <w:div w:id="973366571">
          <w:marLeft w:val="0"/>
          <w:marRight w:val="0"/>
          <w:marTop w:val="0"/>
          <w:marBottom w:val="0"/>
          <w:divBdr>
            <w:top w:val="none" w:sz="0" w:space="0" w:color="auto"/>
            <w:left w:val="none" w:sz="0" w:space="0" w:color="auto"/>
            <w:bottom w:val="none" w:sz="0" w:space="0" w:color="auto"/>
            <w:right w:val="none" w:sz="0" w:space="0" w:color="auto"/>
          </w:divBdr>
        </w:div>
        <w:div w:id="1023559708">
          <w:marLeft w:val="0"/>
          <w:marRight w:val="0"/>
          <w:marTop w:val="0"/>
          <w:marBottom w:val="0"/>
          <w:divBdr>
            <w:top w:val="none" w:sz="0" w:space="0" w:color="auto"/>
            <w:left w:val="none" w:sz="0" w:space="0" w:color="auto"/>
            <w:bottom w:val="none" w:sz="0" w:space="0" w:color="auto"/>
            <w:right w:val="none" w:sz="0" w:space="0" w:color="auto"/>
          </w:divBdr>
        </w:div>
        <w:div w:id="1052191619">
          <w:marLeft w:val="0"/>
          <w:marRight w:val="0"/>
          <w:marTop w:val="0"/>
          <w:marBottom w:val="0"/>
          <w:divBdr>
            <w:top w:val="none" w:sz="0" w:space="0" w:color="auto"/>
            <w:left w:val="none" w:sz="0" w:space="0" w:color="auto"/>
            <w:bottom w:val="none" w:sz="0" w:space="0" w:color="auto"/>
            <w:right w:val="none" w:sz="0" w:space="0" w:color="auto"/>
          </w:divBdr>
        </w:div>
        <w:div w:id="1054616578">
          <w:marLeft w:val="0"/>
          <w:marRight w:val="0"/>
          <w:marTop w:val="0"/>
          <w:marBottom w:val="0"/>
          <w:divBdr>
            <w:top w:val="none" w:sz="0" w:space="0" w:color="auto"/>
            <w:left w:val="none" w:sz="0" w:space="0" w:color="auto"/>
            <w:bottom w:val="none" w:sz="0" w:space="0" w:color="auto"/>
            <w:right w:val="none" w:sz="0" w:space="0" w:color="auto"/>
          </w:divBdr>
        </w:div>
        <w:div w:id="1089737060">
          <w:marLeft w:val="0"/>
          <w:marRight w:val="0"/>
          <w:marTop w:val="0"/>
          <w:marBottom w:val="0"/>
          <w:divBdr>
            <w:top w:val="none" w:sz="0" w:space="0" w:color="auto"/>
            <w:left w:val="none" w:sz="0" w:space="0" w:color="auto"/>
            <w:bottom w:val="none" w:sz="0" w:space="0" w:color="auto"/>
            <w:right w:val="none" w:sz="0" w:space="0" w:color="auto"/>
          </w:divBdr>
        </w:div>
        <w:div w:id="1093286398">
          <w:marLeft w:val="0"/>
          <w:marRight w:val="0"/>
          <w:marTop w:val="0"/>
          <w:marBottom w:val="0"/>
          <w:divBdr>
            <w:top w:val="none" w:sz="0" w:space="0" w:color="auto"/>
            <w:left w:val="none" w:sz="0" w:space="0" w:color="auto"/>
            <w:bottom w:val="none" w:sz="0" w:space="0" w:color="auto"/>
            <w:right w:val="none" w:sz="0" w:space="0" w:color="auto"/>
          </w:divBdr>
        </w:div>
        <w:div w:id="1122068514">
          <w:marLeft w:val="0"/>
          <w:marRight w:val="0"/>
          <w:marTop w:val="0"/>
          <w:marBottom w:val="0"/>
          <w:divBdr>
            <w:top w:val="none" w:sz="0" w:space="0" w:color="auto"/>
            <w:left w:val="none" w:sz="0" w:space="0" w:color="auto"/>
            <w:bottom w:val="none" w:sz="0" w:space="0" w:color="auto"/>
            <w:right w:val="none" w:sz="0" w:space="0" w:color="auto"/>
          </w:divBdr>
        </w:div>
        <w:div w:id="1150947971">
          <w:marLeft w:val="0"/>
          <w:marRight w:val="0"/>
          <w:marTop w:val="0"/>
          <w:marBottom w:val="0"/>
          <w:divBdr>
            <w:top w:val="none" w:sz="0" w:space="0" w:color="auto"/>
            <w:left w:val="none" w:sz="0" w:space="0" w:color="auto"/>
            <w:bottom w:val="none" w:sz="0" w:space="0" w:color="auto"/>
            <w:right w:val="none" w:sz="0" w:space="0" w:color="auto"/>
          </w:divBdr>
        </w:div>
        <w:div w:id="1151748501">
          <w:marLeft w:val="0"/>
          <w:marRight w:val="0"/>
          <w:marTop w:val="0"/>
          <w:marBottom w:val="0"/>
          <w:divBdr>
            <w:top w:val="none" w:sz="0" w:space="0" w:color="auto"/>
            <w:left w:val="none" w:sz="0" w:space="0" w:color="auto"/>
            <w:bottom w:val="none" w:sz="0" w:space="0" w:color="auto"/>
            <w:right w:val="none" w:sz="0" w:space="0" w:color="auto"/>
          </w:divBdr>
        </w:div>
        <w:div w:id="1157528209">
          <w:marLeft w:val="0"/>
          <w:marRight w:val="0"/>
          <w:marTop w:val="0"/>
          <w:marBottom w:val="0"/>
          <w:divBdr>
            <w:top w:val="none" w:sz="0" w:space="0" w:color="auto"/>
            <w:left w:val="none" w:sz="0" w:space="0" w:color="auto"/>
            <w:bottom w:val="none" w:sz="0" w:space="0" w:color="auto"/>
            <w:right w:val="none" w:sz="0" w:space="0" w:color="auto"/>
          </w:divBdr>
        </w:div>
        <w:div w:id="1175152369">
          <w:marLeft w:val="0"/>
          <w:marRight w:val="0"/>
          <w:marTop w:val="0"/>
          <w:marBottom w:val="0"/>
          <w:divBdr>
            <w:top w:val="none" w:sz="0" w:space="0" w:color="auto"/>
            <w:left w:val="none" w:sz="0" w:space="0" w:color="auto"/>
            <w:bottom w:val="none" w:sz="0" w:space="0" w:color="auto"/>
            <w:right w:val="none" w:sz="0" w:space="0" w:color="auto"/>
          </w:divBdr>
        </w:div>
        <w:div w:id="1269510991">
          <w:marLeft w:val="0"/>
          <w:marRight w:val="0"/>
          <w:marTop w:val="0"/>
          <w:marBottom w:val="0"/>
          <w:divBdr>
            <w:top w:val="none" w:sz="0" w:space="0" w:color="auto"/>
            <w:left w:val="none" w:sz="0" w:space="0" w:color="auto"/>
            <w:bottom w:val="none" w:sz="0" w:space="0" w:color="auto"/>
            <w:right w:val="none" w:sz="0" w:space="0" w:color="auto"/>
          </w:divBdr>
        </w:div>
        <w:div w:id="1338583765">
          <w:marLeft w:val="0"/>
          <w:marRight w:val="0"/>
          <w:marTop w:val="0"/>
          <w:marBottom w:val="0"/>
          <w:divBdr>
            <w:top w:val="none" w:sz="0" w:space="0" w:color="auto"/>
            <w:left w:val="none" w:sz="0" w:space="0" w:color="auto"/>
            <w:bottom w:val="none" w:sz="0" w:space="0" w:color="auto"/>
            <w:right w:val="none" w:sz="0" w:space="0" w:color="auto"/>
          </w:divBdr>
        </w:div>
        <w:div w:id="1467312731">
          <w:marLeft w:val="0"/>
          <w:marRight w:val="0"/>
          <w:marTop w:val="0"/>
          <w:marBottom w:val="0"/>
          <w:divBdr>
            <w:top w:val="none" w:sz="0" w:space="0" w:color="auto"/>
            <w:left w:val="none" w:sz="0" w:space="0" w:color="auto"/>
            <w:bottom w:val="none" w:sz="0" w:space="0" w:color="auto"/>
            <w:right w:val="none" w:sz="0" w:space="0" w:color="auto"/>
          </w:divBdr>
        </w:div>
        <w:div w:id="1594509632">
          <w:marLeft w:val="0"/>
          <w:marRight w:val="0"/>
          <w:marTop w:val="0"/>
          <w:marBottom w:val="0"/>
          <w:divBdr>
            <w:top w:val="none" w:sz="0" w:space="0" w:color="auto"/>
            <w:left w:val="none" w:sz="0" w:space="0" w:color="auto"/>
            <w:bottom w:val="none" w:sz="0" w:space="0" w:color="auto"/>
            <w:right w:val="none" w:sz="0" w:space="0" w:color="auto"/>
          </w:divBdr>
        </w:div>
        <w:div w:id="1626539140">
          <w:marLeft w:val="0"/>
          <w:marRight w:val="0"/>
          <w:marTop w:val="0"/>
          <w:marBottom w:val="0"/>
          <w:divBdr>
            <w:top w:val="none" w:sz="0" w:space="0" w:color="auto"/>
            <w:left w:val="none" w:sz="0" w:space="0" w:color="auto"/>
            <w:bottom w:val="none" w:sz="0" w:space="0" w:color="auto"/>
            <w:right w:val="none" w:sz="0" w:space="0" w:color="auto"/>
          </w:divBdr>
        </w:div>
        <w:div w:id="1646274286">
          <w:marLeft w:val="0"/>
          <w:marRight w:val="0"/>
          <w:marTop w:val="0"/>
          <w:marBottom w:val="0"/>
          <w:divBdr>
            <w:top w:val="none" w:sz="0" w:space="0" w:color="auto"/>
            <w:left w:val="none" w:sz="0" w:space="0" w:color="auto"/>
            <w:bottom w:val="none" w:sz="0" w:space="0" w:color="auto"/>
            <w:right w:val="none" w:sz="0" w:space="0" w:color="auto"/>
          </w:divBdr>
        </w:div>
        <w:div w:id="1719934648">
          <w:marLeft w:val="0"/>
          <w:marRight w:val="0"/>
          <w:marTop w:val="0"/>
          <w:marBottom w:val="0"/>
          <w:divBdr>
            <w:top w:val="none" w:sz="0" w:space="0" w:color="auto"/>
            <w:left w:val="none" w:sz="0" w:space="0" w:color="auto"/>
            <w:bottom w:val="none" w:sz="0" w:space="0" w:color="auto"/>
            <w:right w:val="none" w:sz="0" w:space="0" w:color="auto"/>
          </w:divBdr>
        </w:div>
        <w:div w:id="1848330568">
          <w:marLeft w:val="0"/>
          <w:marRight w:val="0"/>
          <w:marTop w:val="0"/>
          <w:marBottom w:val="0"/>
          <w:divBdr>
            <w:top w:val="none" w:sz="0" w:space="0" w:color="auto"/>
            <w:left w:val="none" w:sz="0" w:space="0" w:color="auto"/>
            <w:bottom w:val="none" w:sz="0" w:space="0" w:color="auto"/>
            <w:right w:val="none" w:sz="0" w:space="0" w:color="auto"/>
          </w:divBdr>
        </w:div>
        <w:div w:id="1854295164">
          <w:marLeft w:val="0"/>
          <w:marRight w:val="0"/>
          <w:marTop w:val="0"/>
          <w:marBottom w:val="0"/>
          <w:divBdr>
            <w:top w:val="none" w:sz="0" w:space="0" w:color="auto"/>
            <w:left w:val="none" w:sz="0" w:space="0" w:color="auto"/>
            <w:bottom w:val="none" w:sz="0" w:space="0" w:color="auto"/>
            <w:right w:val="none" w:sz="0" w:space="0" w:color="auto"/>
          </w:divBdr>
        </w:div>
        <w:div w:id="1898004075">
          <w:marLeft w:val="0"/>
          <w:marRight w:val="0"/>
          <w:marTop w:val="0"/>
          <w:marBottom w:val="0"/>
          <w:divBdr>
            <w:top w:val="none" w:sz="0" w:space="0" w:color="auto"/>
            <w:left w:val="none" w:sz="0" w:space="0" w:color="auto"/>
            <w:bottom w:val="none" w:sz="0" w:space="0" w:color="auto"/>
            <w:right w:val="none" w:sz="0" w:space="0" w:color="auto"/>
          </w:divBdr>
        </w:div>
        <w:div w:id="1945071099">
          <w:marLeft w:val="0"/>
          <w:marRight w:val="0"/>
          <w:marTop w:val="0"/>
          <w:marBottom w:val="0"/>
          <w:divBdr>
            <w:top w:val="none" w:sz="0" w:space="0" w:color="auto"/>
            <w:left w:val="none" w:sz="0" w:space="0" w:color="auto"/>
            <w:bottom w:val="none" w:sz="0" w:space="0" w:color="auto"/>
            <w:right w:val="none" w:sz="0" w:space="0" w:color="auto"/>
          </w:divBdr>
        </w:div>
        <w:div w:id="2016565622">
          <w:marLeft w:val="0"/>
          <w:marRight w:val="0"/>
          <w:marTop w:val="0"/>
          <w:marBottom w:val="0"/>
          <w:divBdr>
            <w:top w:val="none" w:sz="0" w:space="0" w:color="auto"/>
            <w:left w:val="none" w:sz="0" w:space="0" w:color="auto"/>
            <w:bottom w:val="none" w:sz="0" w:space="0" w:color="auto"/>
            <w:right w:val="none" w:sz="0" w:space="0" w:color="auto"/>
          </w:divBdr>
        </w:div>
        <w:div w:id="2145735294">
          <w:marLeft w:val="0"/>
          <w:marRight w:val="0"/>
          <w:marTop w:val="0"/>
          <w:marBottom w:val="0"/>
          <w:divBdr>
            <w:top w:val="none" w:sz="0" w:space="0" w:color="auto"/>
            <w:left w:val="none" w:sz="0" w:space="0" w:color="auto"/>
            <w:bottom w:val="none" w:sz="0" w:space="0" w:color="auto"/>
            <w:right w:val="none" w:sz="0" w:space="0" w:color="auto"/>
          </w:divBdr>
        </w:div>
      </w:divsChild>
    </w:div>
    <w:div w:id="1342971667">
      <w:bodyDiv w:val="1"/>
      <w:marLeft w:val="0"/>
      <w:marRight w:val="0"/>
      <w:marTop w:val="0"/>
      <w:marBottom w:val="0"/>
      <w:divBdr>
        <w:top w:val="none" w:sz="0" w:space="0" w:color="auto"/>
        <w:left w:val="none" w:sz="0" w:space="0" w:color="auto"/>
        <w:bottom w:val="none" w:sz="0" w:space="0" w:color="auto"/>
        <w:right w:val="none" w:sz="0" w:space="0" w:color="auto"/>
      </w:divBdr>
    </w:div>
    <w:div w:id="1346205062">
      <w:bodyDiv w:val="1"/>
      <w:marLeft w:val="0"/>
      <w:marRight w:val="0"/>
      <w:marTop w:val="0"/>
      <w:marBottom w:val="0"/>
      <w:divBdr>
        <w:top w:val="none" w:sz="0" w:space="0" w:color="auto"/>
        <w:left w:val="none" w:sz="0" w:space="0" w:color="auto"/>
        <w:bottom w:val="none" w:sz="0" w:space="0" w:color="auto"/>
        <w:right w:val="none" w:sz="0" w:space="0" w:color="auto"/>
      </w:divBdr>
    </w:div>
    <w:div w:id="1346399310">
      <w:bodyDiv w:val="1"/>
      <w:marLeft w:val="0"/>
      <w:marRight w:val="0"/>
      <w:marTop w:val="0"/>
      <w:marBottom w:val="0"/>
      <w:divBdr>
        <w:top w:val="none" w:sz="0" w:space="0" w:color="auto"/>
        <w:left w:val="none" w:sz="0" w:space="0" w:color="auto"/>
        <w:bottom w:val="none" w:sz="0" w:space="0" w:color="auto"/>
        <w:right w:val="none" w:sz="0" w:space="0" w:color="auto"/>
      </w:divBdr>
    </w:div>
    <w:div w:id="1350257947">
      <w:bodyDiv w:val="1"/>
      <w:marLeft w:val="0"/>
      <w:marRight w:val="0"/>
      <w:marTop w:val="0"/>
      <w:marBottom w:val="0"/>
      <w:divBdr>
        <w:top w:val="none" w:sz="0" w:space="0" w:color="auto"/>
        <w:left w:val="none" w:sz="0" w:space="0" w:color="auto"/>
        <w:bottom w:val="none" w:sz="0" w:space="0" w:color="auto"/>
        <w:right w:val="none" w:sz="0" w:space="0" w:color="auto"/>
      </w:divBdr>
    </w:div>
    <w:div w:id="1350910795">
      <w:bodyDiv w:val="1"/>
      <w:marLeft w:val="0"/>
      <w:marRight w:val="0"/>
      <w:marTop w:val="0"/>
      <w:marBottom w:val="0"/>
      <w:divBdr>
        <w:top w:val="none" w:sz="0" w:space="0" w:color="auto"/>
        <w:left w:val="none" w:sz="0" w:space="0" w:color="auto"/>
        <w:bottom w:val="none" w:sz="0" w:space="0" w:color="auto"/>
        <w:right w:val="none" w:sz="0" w:space="0" w:color="auto"/>
      </w:divBdr>
    </w:div>
    <w:div w:id="1351106435">
      <w:bodyDiv w:val="1"/>
      <w:marLeft w:val="0"/>
      <w:marRight w:val="0"/>
      <w:marTop w:val="0"/>
      <w:marBottom w:val="0"/>
      <w:divBdr>
        <w:top w:val="none" w:sz="0" w:space="0" w:color="auto"/>
        <w:left w:val="none" w:sz="0" w:space="0" w:color="auto"/>
        <w:bottom w:val="none" w:sz="0" w:space="0" w:color="auto"/>
        <w:right w:val="none" w:sz="0" w:space="0" w:color="auto"/>
      </w:divBdr>
    </w:div>
    <w:div w:id="1352608739">
      <w:bodyDiv w:val="1"/>
      <w:marLeft w:val="0"/>
      <w:marRight w:val="0"/>
      <w:marTop w:val="0"/>
      <w:marBottom w:val="0"/>
      <w:divBdr>
        <w:top w:val="none" w:sz="0" w:space="0" w:color="auto"/>
        <w:left w:val="none" w:sz="0" w:space="0" w:color="auto"/>
        <w:bottom w:val="none" w:sz="0" w:space="0" w:color="auto"/>
        <w:right w:val="none" w:sz="0" w:space="0" w:color="auto"/>
      </w:divBdr>
    </w:div>
    <w:div w:id="1352805563">
      <w:bodyDiv w:val="1"/>
      <w:marLeft w:val="0"/>
      <w:marRight w:val="0"/>
      <w:marTop w:val="0"/>
      <w:marBottom w:val="0"/>
      <w:divBdr>
        <w:top w:val="none" w:sz="0" w:space="0" w:color="auto"/>
        <w:left w:val="none" w:sz="0" w:space="0" w:color="auto"/>
        <w:bottom w:val="none" w:sz="0" w:space="0" w:color="auto"/>
        <w:right w:val="none" w:sz="0" w:space="0" w:color="auto"/>
      </w:divBdr>
    </w:div>
    <w:div w:id="1354109846">
      <w:bodyDiv w:val="1"/>
      <w:marLeft w:val="0"/>
      <w:marRight w:val="0"/>
      <w:marTop w:val="0"/>
      <w:marBottom w:val="0"/>
      <w:divBdr>
        <w:top w:val="none" w:sz="0" w:space="0" w:color="auto"/>
        <w:left w:val="none" w:sz="0" w:space="0" w:color="auto"/>
        <w:bottom w:val="none" w:sz="0" w:space="0" w:color="auto"/>
        <w:right w:val="none" w:sz="0" w:space="0" w:color="auto"/>
      </w:divBdr>
    </w:div>
    <w:div w:id="1354304371">
      <w:bodyDiv w:val="1"/>
      <w:marLeft w:val="0"/>
      <w:marRight w:val="0"/>
      <w:marTop w:val="0"/>
      <w:marBottom w:val="0"/>
      <w:divBdr>
        <w:top w:val="none" w:sz="0" w:space="0" w:color="auto"/>
        <w:left w:val="none" w:sz="0" w:space="0" w:color="auto"/>
        <w:bottom w:val="none" w:sz="0" w:space="0" w:color="auto"/>
        <w:right w:val="none" w:sz="0" w:space="0" w:color="auto"/>
      </w:divBdr>
    </w:div>
    <w:div w:id="1355690837">
      <w:bodyDiv w:val="1"/>
      <w:marLeft w:val="0"/>
      <w:marRight w:val="0"/>
      <w:marTop w:val="0"/>
      <w:marBottom w:val="0"/>
      <w:divBdr>
        <w:top w:val="none" w:sz="0" w:space="0" w:color="auto"/>
        <w:left w:val="none" w:sz="0" w:space="0" w:color="auto"/>
        <w:bottom w:val="none" w:sz="0" w:space="0" w:color="auto"/>
        <w:right w:val="none" w:sz="0" w:space="0" w:color="auto"/>
      </w:divBdr>
    </w:div>
    <w:div w:id="1356736121">
      <w:bodyDiv w:val="1"/>
      <w:marLeft w:val="0"/>
      <w:marRight w:val="0"/>
      <w:marTop w:val="0"/>
      <w:marBottom w:val="0"/>
      <w:divBdr>
        <w:top w:val="none" w:sz="0" w:space="0" w:color="auto"/>
        <w:left w:val="none" w:sz="0" w:space="0" w:color="auto"/>
        <w:bottom w:val="none" w:sz="0" w:space="0" w:color="auto"/>
        <w:right w:val="none" w:sz="0" w:space="0" w:color="auto"/>
      </w:divBdr>
    </w:div>
    <w:div w:id="1358460508">
      <w:bodyDiv w:val="1"/>
      <w:marLeft w:val="0"/>
      <w:marRight w:val="0"/>
      <w:marTop w:val="0"/>
      <w:marBottom w:val="0"/>
      <w:divBdr>
        <w:top w:val="none" w:sz="0" w:space="0" w:color="auto"/>
        <w:left w:val="none" w:sz="0" w:space="0" w:color="auto"/>
        <w:bottom w:val="none" w:sz="0" w:space="0" w:color="auto"/>
        <w:right w:val="none" w:sz="0" w:space="0" w:color="auto"/>
      </w:divBdr>
    </w:div>
    <w:div w:id="1361274912">
      <w:bodyDiv w:val="1"/>
      <w:marLeft w:val="0"/>
      <w:marRight w:val="0"/>
      <w:marTop w:val="0"/>
      <w:marBottom w:val="0"/>
      <w:divBdr>
        <w:top w:val="none" w:sz="0" w:space="0" w:color="auto"/>
        <w:left w:val="none" w:sz="0" w:space="0" w:color="auto"/>
        <w:bottom w:val="none" w:sz="0" w:space="0" w:color="auto"/>
        <w:right w:val="none" w:sz="0" w:space="0" w:color="auto"/>
      </w:divBdr>
    </w:div>
    <w:div w:id="1363045304">
      <w:bodyDiv w:val="1"/>
      <w:marLeft w:val="0"/>
      <w:marRight w:val="0"/>
      <w:marTop w:val="0"/>
      <w:marBottom w:val="0"/>
      <w:divBdr>
        <w:top w:val="none" w:sz="0" w:space="0" w:color="auto"/>
        <w:left w:val="none" w:sz="0" w:space="0" w:color="auto"/>
        <w:bottom w:val="none" w:sz="0" w:space="0" w:color="auto"/>
        <w:right w:val="none" w:sz="0" w:space="0" w:color="auto"/>
      </w:divBdr>
    </w:div>
    <w:div w:id="1368413798">
      <w:bodyDiv w:val="1"/>
      <w:marLeft w:val="0"/>
      <w:marRight w:val="0"/>
      <w:marTop w:val="0"/>
      <w:marBottom w:val="0"/>
      <w:divBdr>
        <w:top w:val="none" w:sz="0" w:space="0" w:color="auto"/>
        <w:left w:val="none" w:sz="0" w:space="0" w:color="auto"/>
        <w:bottom w:val="none" w:sz="0" w:space="0" w:color="auto"/>
        <w:right w:val="none" w:sz="0" w:space="0" w:color="auto"/>
      </w:divBdr>
    </w:div>
    <w:div w:id="1369379354">
      <w:bodyDiv w:val="1"/>
      <w:marLeft w:val="0"/>
      <w:marRight w:val="0"/>
      <w:marTop w:val="0"/>
      <w:marBottom w:val="0"/>
      <w:divBdr>
        <w:top w:val="none" w:sz="0" w:space="0" w:color="auto"/>
        <w:left w:val="none" w:sz="0" w:space="0" w:color="auto"/>
        <w:bottom w:val="none" w:sz="0" w:space="0" w:color="auto"/>
        <w:right w:val="none" w:sz="0" w:space="0" w:color="auto"/>
      </w:divBdr>
    </w:div>
    <w:div w:id="1370449833">
      <w:bodyDiv w:val="1"/>
      <w:marLeft w:val="0"/>
      <w:marRight w:val="0"/>
      <w:marTop w:val="0"/>
      <w:marBottom w:val="0"/>
      <w:divBdr>
        <w:top w:val="none" w:sz="0" w:space="0" w:color="auto"/>
        <w:left w:val="none" w:sz="0" w:space="0" w:color="auto"/>
        <w:bottom w:val="none" w:sz="0" w:space="0" w:color="auto"/>
        <w:right w:val="none" w:sz="0" w:space="0" w:color="auto"/>
      </w:divBdr>
    </w:div>
    <w:div w:id="1373454966">
      <w:bodyDiv w:val="1"/>
      <w:marLeft w:val="0"/>
      <w:marRight w:val="0"/>
      <w:marTop w:val="0"/>
      <w:marBottom w:val="0"/>
      <w:divBdr>
        <w:top w:val="none" w:sz="0" w:space="0" w:color="auto"/>
        <w:left w:val="none" w:sz="0" w:space="0" w:color="auto"/>
        <w:bottom w:val="none" w:sz="0" w:space="0" w:color="auto"/>
        <w:right w:val="none" w:sz="0" w:space="0" w:color="auto"/>
      </w:divBdr>
    </w:div>
    <w:div w:id="1374815413">
      <w:bodyDiv w:val="1"/>
      <w:marLeft w:val="0"/>
      <w:marRight w:val="0"/>
      <w:marTop w:val="0"/>
      <w:marBottom w:val="0"/>
      <w:divBdr>
        <w:top w:val="none" w:sz="0" w:space="0" w:color="auto"/>
        <w:left w:val="none" w:sz="0" w:space="0" w:color="auto"/>
        <w:bottom w:val="none" w:sz="0" w:space="0" w:color="auto"/>
        <w:right w:val="none" w:sz="0" w:space="0" w:color="auto"/>
      </w:divBdr>
    </w:div>
    <w:div w:id="1375039306">
      <w:bodyDiv w:val="1"/>
      <w:marLeft w:val="0"/>
      <w:marRight w:val="0"/>
      <w:marTop w:val="0"/>
      <w:marBottom w:val="0"/>
      <w:divBdr>
        <w:top w:val="none" w:sz="0" w:space="0" w:color="auto"/>
        <w:left w:val="none" w:sz="0" w:space="0" w:color="auto"/>
        <w:bottom w:val="none" w:sz="0" w:space="0" w:color="auto"/>
        <w:right w:val="none" w:sz="0" w:space="0" w:color="auto"/>
      </w:divBdr>
    </w:div>
    <w:div w:id="1379011508">
      <w:bodyDiv w:val="1"/>
      <w:marLeft w:val="0"/>
      <w:marRight w:val="0"/>
      <w:marTop w:val="0"/>
      <w:marBottom w:val="0"/>
      <w:divBdr>
        <w:top w:val="none" w:sz="0" w:space="0" w:color="auto"/>
        <w:left w:val="none" w:sz="0" w:space="0" w:color="auto"/>
        <w:bottom w:val="none" w:sz="0" w:space="0" w:color="auto"/>
        <w:right w:val="none" w:sz="0" w:space="0" w:color="auto"/>
      </w:divBdr>
    </w:div>
    <w:div w:id="1379738414">
      <w:bodyDiv w:val="1"/>
      <w:marLeft w:val="0"/>
      <w:marRight w:val="0"/>
      <w:marTop w:val="0"/>
      <w:marBottom w:val="0"/>
      <w:divBdr>
        <w:top w:val="none" w:sz="0" w:space="0" w:color="auto"/>
        <w:left w:val="none" w:sz="0" w:space="0" w:color="auto"/>
        <w:bottom w:val="none" w:sz="0" w:space="0" w:color="auto"/>
        <w:right w:val="none" w:sz="0" w:space="0" w:color="auto"/>
      </w:divBdr>
    </w:div>
    <w:div w:id="1382755387">
      <w:bodyDiv w:val="1"/>
      <w:marLeft w:val="0"/>
      <w:marRight w:val="0"/>
      <w:marTop w:val="0"/>
      <w:marBottom w:val="0"/>
      <w:divBdr>
        <w:top w:val="none" w:sz="0" w:space="0" w:color="auto"/>
        <w:left w:val="none" w:sz="0" w:space="0" w:color="auto"/>
        <w:bottom w:val="none" w:sz="0" w:space="0" w:color="auto"/>
        <w:right w:val="none" w:sz="0" w:space="0" w:color="auto"/>
      </w:divBdr>
    </w:div>
    <w:div w:id="1383560761">
      <w:bodyDiv w:val="1"/>
      <w:marLeft w:val="0"/>
      <w:marRight w:val="0"/>
      <w:marTop w:val="0"/>
      <w:marBottom w:val="0"/>
      <w:divBdr>
        <w:top w:val="none" w:sz="0" w:space="0" w:color="auto"/>
        <w:left w:val="none" w:sz="0" w:space="0" w:color="auto"/>
        <w:bottom w:val="none" w:sz="0" w:space="0" w:color="auto"/>
        <w:right w:val="none" w:sz="0" w:space="0" w:color="auto"/>
      </w:divBdr>
    </w:div>
    <w:div w:id="1384256606">
      <w:bodyDiv w:val="1"/>
      <w:marLeft w:val="0"/>
      <w:marRight w:val="0"/>
      <w:marTop w:val="0"/>
      <w:marBottom w:val="0"/>
      <w:divBdr>
        <w:top w:val="none" w:sz="0" w:space="0" w:color="auto"/>
        <w:left w:val="none" w:sz="0" w:space="0" w:color="auto"/>
        <w:bottom w:val="none" w:sz="0" w:space="0" w:color="auto"/>
        <w:right w:val="none" w:sz="0" w:space="0" w:color="auto"/>
      </w:divBdr>
    </w:div>
    <w:div w:id="1384284122">
      <w:bodyDiv w:val="1"/>
      <w:marLeft w:val="0"/>
      <w:marRight w:val="0"/>
      <w:marTop w:val="0"/>
      <w:marBottom w:val="0"/>
      <w:divBdr>
        <w:top w:val="none" w:sz="0" w:space="0" w:color="auto"/>
        <w:left w:val="none" w:sz="0" w:space="0" w:color="auto"/>
        <w:bottom w:val="none" w:sz="0" w:space="0" w:color="auto"/>
        <w:right w:val="none" w:sz="0" w:space="0" w:color="auto"/>
      </w:divBdr>
      <w:divsChild>
        <w:div w:id="269437183">
          <w:marLeft w:val="0"/>
          <w:marRight w:val="0"/>
          <w:marTop w:val="0"/>
          <w:marBottom w:val="0"/>
          <w:divBdr>
            <w:top w:val="none" w:sz="0" w:space="0" w:color="auto"/>
            <w:left w:val="none" w:sz="0" w:space="0" w:color="auto"/>
            <w:bottom w:val="none" w:sz="0" w:space="0" w:color="auto"/>
            <w:right w:val="none" w:sz="0" w:space="0" w:color="auto"/>
          </w:divBdr>
          <w:divsChild>
            <w:div w:id="1253706269">
              <w:marLeft w:val="0"/>
              <w:marRight w:val="0"/>
              <w:marTop w:val="0"/>
              <w:marBottom w:val="0"/>
              <w:divBdr>
                <w:top w:val="none" w:sz="0" w:space="0" w:color="auto"/>
                <w:left w:val="none" w:sz="0" w:space="0" w:color="auto"/>
                <w:bottom w:val="none" w:sz="0" w:space="0" w:color="auto"/>
                <w:right w:val="none" w:sz="0" w:space="0" w:color="auto"/>
              </w:divBdr>
              <w:divsChild>
                <w:div w:id="1680696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716973">
      <w:bodyDiv w:val="1"/>
      <w:marLeft w:val="0"/>
      <w:marRight w:val="0"/>
      <w:marTop w:val="0"/>
      <w:marBottom w:val="0"/>
      <w:divBdr>
        <w:top w:val="none" w:sz="0" w:space="0" w:color="auto"/>
        <w:left w:val="none" w:sz="0" w:space="0" w:color="auto"/>
        <w:bottom w:val="none" w:sz="0" w:space="0" w:color="auto"/>
        <w:right w:val="none" w:sz="0" w:space="0" w:color="auto"/>
      </w:divBdr>
    </w:div>
    <w:div w:id="1386223324">
      <w:bodyDiv w:val="1"/>
      <w:marLeft w:val="0"/>
      <w:marRight w:val="0"/>
      <w:marTop w:val="0"/>
      <w:marBottom w:val="0"/>
      <w:divBdr>
        <w:top w:val="none" w:sz="0" w:space="0" w:color="auto"/>
        <w:left w:val="none" w:sz="0" w:space="0" w:color="auto"/>
        <w:bottom w:val="none" w:sz="0" w:space="0" w:color="auto"/>
        <w:right w:val="none" w:sz="0" w:space="0" w:color="auto"/>
      </w:divBdr>
    </w:div>
    <w:div w:id="1386828782">
      <w:bodyDiv w:val="1"/>
      <w:marLeft w:val="0"/>
      <w:marRight w:val="0"/>
      <w:marTop w:val="0"/>
      <w:marBottom w:val="0"/>
      <w:divBdr>
        <w:top w:val="none" w:sz="0" w:space="0" w:color="auto"/>
        <w:left w:val="none" w:sz="0" w:space="0" w:color="auto"/>
        <w:bottom w:val="none" w:sz="0" w:space="0" w:color="auto"/>
        <w:right w:val="none" w:sz="0" w:space="0" w:color="auto"/>
      </w:divBdr>
    </w:div>
    <w:div w:id="1386951645">
      <w:bodyDiv w:val="1"/>
      <w:marLeft w:val="0"/>
      <w:marRight w:val="0"/>
      <w:marTop w:val="0"/>
      <w:marBottom w:val="0"/>
      <w:divBdr>
        <w:top w:val="none" w:sz="0" w:space="0" w:color="auto"/>
        <w:left w:val="none" w:sz="0" w:space="0" w:color="auto"/>
        <w:bottom w:val="none" w:sz="0" w:space="0" w:color="auto"/>
        <w:right w:val="none" w:sz="0" w:space="0" w:color="auto"/>
      </w:divBdr>
    </w:div>
    <w:div w:id="1388844913">
      <w:bodyDiv w:val="1"/>
      <w:marLeft w:val="0"/>
      <w:marRight w:val="0"/>
      <w:marTop w:val="0"/>
      <w:marBottom w:val="0"/>
      <w:divBdr>
        <w:top w:val="none" w:sz="0" w:space="0" w:color="auto"/>
        <w:left w:val="none" w:sz="0" w:space="0" w:color="auto"/>
        <w:bottom w:val="none" w:sz="0" w:space="0" w:color="auto"/>
        <w:right w:val="none" w:sz="0" w:space="0" w:color="auto"/>
      </w:divBdr>
    </w:div>
    <w:div w:id="1392188603">
      <w:bodyDiv w:val="1"/>
      <w:marLeft w:val="0"/>
      <w:marRight w:val="0"/>
      <w:marTop w:val="0"/>
      <w:marBottom w:val="0"/>
      <w:divBdr>
        <w:top w:val="none" w:sz="0" w:space="0" w:color="auto"/>
        <w:left w:val="none" w:sz="0" w:space="0" w:color="auto"/>
        <w:bottom w:val="none" w:sz="0" w:space="0" w:color="auto"/>
        <w:right w:val="none" w:sz="0" w:space="0" w:color="auto"/>
      </w:divBdr>
    </w:div>
    <w:div w:id="1395936010">
      <w:bodyDiv w:val="1"/>
      <w:marLeft w:val="0"/>
      <w:marRight w:val="0"/>
      <w:marTop w:val="0"/>
      <w:marBottom w:val="0"/>
      <w:divBdr>
        <w:top w:val="none" w:sz="0" w:space="0" w:color="auto"/>
        <w:left w:val="none" w:sz="0" w:space="0" w:color="auto"/>
        <w:bottom w:val="none" w:sz="0" w:space="0" w:color="auto"/>
        <w:right w:val="none" w:sz="0" w:space="0" w:color="auto"/>
      </w:divBdr>
    </w:div>
    <w:div w:id="1397586060">
      <w:bodyDiv w:val="1"/>
      <w:marLeft w:val="0"/>
      <w:marRight w:val="0"/>
      <w:marTop w:val="0"/>
      <w:marBottom w:val="0"/>
      <w:divBdr>
        <w:top w:val="none" w:sz="0" w:space="0" w:color="auto"/>
        <w:left w:val="none" w:sz="0" w:space="0" w:color="auto"/>
        <w:bottom w:val="none" w:sz="0" w:space="0" w:color="auto"/>
        <w:right w:val="none" w:sz="0" w:space="0" w:color="auto"/>
      </w:divBdr>
    </w:div>
    <w:div w:id="1398017534">
      <w:bodyDiv w:val="1"/>
      <w:marLeft w:val="0"/>
      <w:marRight w:val="0"/>
      <w:marTop w:val="0"/>
      <w:marBottom w:val="0"/>
      <w:divBdr>
        <w:top w:val="none" w:sz="0" w:space="0" w:color="auto"/>
        <w:left w:val="none" w:sz="0" w:space="0" w:color="auto"/>
        <w:bottom w:val="none" w:sz="0" w:space="0" w:color="auto"/>
        <w:right w:val="none" w:sz="0" w:space="0" w:color="auto"/>
      </w:divBdr>
    </w:div>
    <w:div w:id="1398475991">
      <w:bodyDiv w:val="1"/>
      <w:marLeft w:val="0"/>
      <w:marRight w:val="0"/>
      <w:marTop w:val="0"/>
      <w:marBottom w:val="0"/>
      <w:divBdr>
        <w:top w:val="none" w:sz="0" w:space="0" w:color="auto"/>
        <w:left w:val="none" w:sz="0" w:space="0" w:color="auto"/>
        <w:bottom w:val="none" w:sz="0" w:space="0" w:color="auto"/>
        <w:right w:val="none" w:sz="0" w:space="0" w:color="auto"/>
      </w:divBdr>
    </w:div>
    <w:div w:id="1398631359">
      <w:bodyDiv w:val="1"/>
      <w:marLeft w:val="0"/>
      <w:marRight w:val="0"/>
      <w:marTop w:val="0"/>
      <w:marBottom w:val="0"/>
      <w:divBdr>
        <w:top w:val="none" w:sz="0" w:space="0" w:color="auto"/>
        <w:left w:val="none" w:sz="0" w:space="0" w:color="auto"/>
        <w:bottom w:val="none" w:sz="0" w:space="0" w:color="auto"/>
        <w:right w:val="none" w:sz="0" w:space="0" w:color="auto"/>
      </w:divBdr>
    </w:div>
    <w:div w:id="1399211489">
      <w:bodyDiv w:val="1"/>
      <w:marLeft w:val="0"/>
      <w:marRight w:val="0"/>
      <w:marTop w:val="0"/>
      <w:marBottom w:val="0"/>
      <w:divBdr>
        <w:top w:val="none" w:sz="0" w:space="0" w:color="auto"/>
        <w:left w:val="none" w:sz="0" w:space="0" w:color="auto"/>
        <w:bottom w:val="none" w:sz="0" w:space="0" w:color="auto"/>
        <w:right w:val="none" w:sz="0" w:space="0" w:color="auto"/>
      </w:divBdr>
    </w:div>
    <w:div w:id="1399741789">
      <w:bodyDiv w:val="1"/>
      <w:marLeft w:val="0"/>
      <w:marRight w:val="0"/>
      <w:marTop w:val="0"/>
      <w:marBottom w:val="0"/>
      <w:divBdr>
        <w:top w:val="none" w:sz="0" w:space="0" w:color="auto"/>
        <w:left w:val="none" w:sz="0" w:space="0" w:color="auto"/>
        <w:bottom w:val="none" w:sz="0" w:space="0" w:color="auto"/>
        <w:right w:val="none" w:sz="0" w:space="0" w:color="auto"/>
      </w:divBdr>
    </w:div>
    <w:div w:id="1406761581">
      <w:bodyDiv w:val="1"/>
      <w:marLeft w:val="0"/>
      <w:marRight w:val="0"/>
      <w:marTop w:val="0"/>
      <w:marBottom w:val="0"/>
      <w:divBdr>
        <w:top w:val="none" w:sz="0" w:space="0" w:color="auto"/>
        <w:left w:val="none" w:sz="0" w:space="0" w:color="auto"/>
        <w:bottom w:val="none" w:sz="0" w:space="0" w:color="auto"/>
        <w:right w:val="none" w:sz="0" w:space="0" w:color="auto"/>
      </w:divBdr>
    </w:div>
    <w:div w:id="1407263096">
      <w:bodyDiv w:val="1"/>
      <w:marLeft w:val="0"/>
      <w:marRight w:val="0"/>
      <w:marTop w:val="0"/>
      <w:marBottom w:val="0"/>
      <w:divBdr>
        <w:top w:val="none" w:sz="0" w:space="0" w:color="auto"/>
        <w:left w:val="none" w:sz="0" w:space="0" w:color="auto"/>
        <w:bottom w:val="none" w:sz="0" w:space="0" w:color="auto"/>
        <w:right w:val="none" w:sz="0" w:space="0" w:color="auto"/>
      </w:divBdr>
    </w:div>
    <w:div w:id="1407728141">
      <w:bodyDiv w:val="1"/>
      <w:marLeft w:val="0"/>
      <w:marRight w:val="0"/>
      <w:marTop w:val="0"/>
      <w:marBottom w:val="0"/>
      <w:divBdr>
        <w:top w:val="none" w:sz="0" w:space="0" w:color="auto"/>
        <w:left w:val="none" w:sz="0" w:space="0" w:color="auto"/>
        <w:bottom w:val="none" w:sz="0" w:space="0" w:color="auto"/>
        <w:right w:val="none" w:sz="0" w:space="0" w:color="auto"/>
      </w:divBdr>
    </w:div>
    <w:div w:id="1408116124">
      <w:bodyDiv w:val="1"/>
      <w:marLeft w:val="0"/>
      <w:marRight w:val="0"/>
      <w:marTop w:val="0"/>
      <w:marBottom w:val="0"/>
      <w:divBdr>
        <w:top w:val="none" w:sz="0" w:space="0" w:color="auto"/>
        <w:left w:val="none" w:sz="0" w:space="0" w:color="auto"/>
        <w:bottom w:val="none" w:sz="0" w:space="0" w:color="auto"/>
        <w:right w:val="none" w:sz="0" w:space="0" w:color="auto"/>
      </w:divBdr>
    </w:div>
    <w:div w:id="1408577341">
      <w:bodyDiv w:val="1"/>
      <w:marLeft w:val="0"/>
      <w:marRight w:val="0"/>
      <w:marTop w:val="0"/>
      <w:marBottom w:val="0"/>
      <w:divBdr>
        <w:top w:val="none" w:sz="0" w:space="0" w:color="auto"/>
        <w:left w:val="none" w:sz="0" w:space="0" w:color="auto"/>
        <w:bottom w:val="none" w:sz="0" w:space="0" w:color="auto"/>
        <w:right w:val="none" w:sz="0" w:space="0" w:color="auto"/>
      </w:divBdr>
    </w:div>
    <w:div w:id="1409230838">
      <w:bodyDiv w:val="1"/>
      <w:marLeft w:val="0"/>
      <w:marRight w:val="0"/>
      <w:marTop w:val="0"/>
      <w:marBottom w:val="0"/>
      <w:divBdr>
        <w:top w:val="none" w:sz="0" w:space="0" w:color="auto"/>
        <w:left w:val="none" w:sz="0" w:space="0" w:color="auto"/>
        <w:bottom w:val="none" w:sz="0" w:space="0" w:color="auto"/>
        <w:right w:val="none" w:sz="0" w:space="0" w:color="auto"/>
      </w:divBdr>
      <w:divsChild>
        <w:div w:id="1258635704">
          <w:marLeft w:val="0"/>
          <w:marRight w:val="0"/>
          <w:marTop w:val="0"/>
          <w:marBottom w:val="0"/>
          <w:divBdr>
            <w:top w:val="none" w:sz="0" w:space="0" w:color="auto"/>
            <w:left w:val="none" w:sz="0" w:space="0" w:color="auto"/>
            <w:bottom w:val="none" w:sz="0" w:space="0" w:color="auto"/>
            <w:right w:val="none" w:sz="0" w:space="0" w:color="auto"/>
          </w:divBdr>
          <w:divsChild>
            <w:div w:id="553351859">
              <w:marLeft w:val="0"/>
              <w:marRight w:val="0"/>
              <w:marTop w:val="0"/>
              <w:marBottom w:val="0"/>
              <w:divBdr>
                <w:top w:val="none" w:sz="0" w:space="0" w:color="auto"/>
                <w:left w:val="none" w:sz="0" w:space="0" w:color="auto"/>
                <w:bottom w:val="none" w:sz="0" w:space="0" w:color="auto"/>
                <w:right w:val="none" w:sz="0" w:space="0" w:color="auto"/>
              </w:divBdr>
              <w:divsChild>
                <w:div w:id="1433668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420309">
      <w:bodyDiv w:val="1"/>
      <w:marLeft w:val="0"/>
      <w:marRight w:val="0"/>
      <w:marTop w:val="0"/>
      <w:marBottom w:val="0"/>
      <w:divBdr>
        <w:top w:val="none" w:sz="0" w:space="0" w:color="auto"/>
        <w:left w:val="none" w:sz="0" w:space="0" w:color="auto"/>
        <w:bottom w:val="none" w:sz="0" w:space="0" w:color="auto"/>
        <w:right w:val="none" w:sz="0" w:space="0" w:color="auto"/>
      </w:divBdr>
    </w:div>
    <w:div w:id="1410272891">
      <w:bodyDiv w:val="1"/>
      <w:marLeft w:val="0"/>
      <w:marRight w:val="0"/>
      <w:marTop w:val="0"/>
      <w:marBottom w:val="0"/>
      <w:divBdr>
        <w:top w:val="none" w:sz="0" w:space="0" w:color="auto"/>
        <w:left w:val="none" w:sz="0" w:space="0" w:color="auto"/>
        <w:bottom w:val="none" w:sz="0" w:space="0" w:color="auto"/>
        <w:right w:val="none" w:sz="0" w:space="0" w:color="auto"/>
      </w:divBdr>
    </w:div>
    <w:div w:id="1411198797">
      <w:bodyDiv w:val="1"/>
      <w:marLeft w:val="0"/>
      <w:marRight w:val="0"/>
      <w:marTop w:val="0"/>
      <w:marBottom w:val="0"/>
      <w:divBdr>
        <w:top w:val="none" w:sz="0" w:space="0" w:color="auto"/>
        <w:left w:val="none" w:sz="0" w:space="0" w:color="auto"/>
        <w:bottom w:val="none" w:sz="0" w:space="0" w:color="auto"/>
        <w:right w:val="none" w:sz="0" w:space="0" w:color="auto"/>
      </w:divBdr>
    </w:div>
    <w:div w:id="1412459166">
      <w:bodyDiv w:val="1"/>
      <w:marLeft w:val="0"/>
      <w:marRight w:val="0"/>
      <w:marTop w:val="0"/>
      <w:marBottom w:val="0"/>
      <w:divBdr>
        <w:top w:val="none" w:sz="0" w:space="0" w:color="auto"/>
        <w:left w:val="none" w:sz="0" w:space="0" w:color="auto"/>
        <w:bottom w:val="none" w:sz="0" w:space="0" w:color="auto"/>
        <w:right w:val="none" w:sz="0" w:space="0" w:color="auto"/>
      </w:divBdr>
    </w:div>
    <w:div w:id="1415319683">
      <w:bodyDiv w:val="1"/>
      <w:marLeft w:val="0"/>
      <w:marRight w:val="0"/>
      <w:marTop w:val="0"/>
      <w:marBottom w:val="0"/>
      <w:divBdr>
        <w:top w:val="none" w:sz="0" w:space="0" w:color="auto"/>
        <w:left w:val="none" w:sz="0" w:space="0" w:color="auto"/>
        <w:bottom w:val="none" w:sz="0" w:space="0" w:color="auto"/>
        <w:right w:val="none" w:sz="0" w:space="0" w:color="auto"/>
      </w:divBdr>
    </w:div>
    <w:div w:id="1415735911">
      <w:bodyDiv w:val="1"/>
      <w:marLeft w:val="0"/>
      <w:marRight w:val="0"/>
      <w:marTop w:val="0"/>
      <w:marBottom w:val="0"/>
      <w:divBdr>
        <w:top w:val="none" w:sz="0" w:space="0" w:color="auto"/>
        <w:left w:val="none" w:sz="0" w:space="0" w:color="auto"/>
        <w:bottom w:val="none" w:sz="0" w:space="0" w:color="auto"/>
        <w:right w:val="none" w:sz="0" w:space="0" w:color="auto"/>
      </w:divBdr>
    </w:div>
    <w:div w:id="1416319858">
      <w:bodyDiv w:val="1"/>
      <w:marLeft w:val="0"/>
      <w:marRight w:val="0"/>
      <w:marTop w:val="0"/>
      <w:marBottom w:val="0"/>
      <w:divBdr>
        <w:top w:val="none" w:sz="0" w:space="0" w:color="auto"/>
        <w:left w:val="none" w:sz="0" w:space="0" w:color="auto"/>
        <w:bottom w:val="none" w:sz="0" w:space="0" w:color="auto"/>
        <w:right w:val="none" w:sz="0" w:space="0" w:color="auto"/>
      </w:divBdr>
    </w:div>
    <w:div w:id="1416825889">
      <w:bodyDiv w:val="1"/>
      <w:marLeft w:val="0"/>
      <w:marRight w:val="0"/>
      <w:marTop w:val="0"/>
      <w:marBottom w:val="0"/>
      <w:divBdr>
        <w:top w:val="none" w:sz="0" w:space="0" w:color="auto"/>
        <w:left w:val="none" w:sz="0" w:space="0" w:color="auto"/>
        <w:bottom w:val="none" w:sz="0" w:space="0" w:color="auto"/>
        <w:right w:val="none" w:sz="0" w:space="0" w:color="auto"/>
      </w:divBdr>
    </w:div>
    <w:div w:id="1417743818">
      <w:bodyDiv w:val="1"/>
      <w:marLeft w:val="0"/>
      <w:marRight w:val="0"/>
      <w:marTop w:val="0"/>
      <w:marBottom w:val="0"/>
      <w:divBdr>
        <w:top w:val="none" w:sz="0" w:space="0" w:color="auto"/>
        <w:left w:val="none" w:sz="0" w:space="0" w:color="auto"/>
        <w:bottom w:val="none" w:sz="0" w:space="0" w:color="auto"/>
        <w:right w:val="none" w:sz="0" w:space="0" w:color="auto"/>
      </w:divBdr>
    </w:div>
    <w:div w:id="1424841435">
      <w:bodyDiv w:val="1"/>
      <w:marLeft w:val="0"/>
      <w:marRight w:val="0"/>
      <w:marTop w:val="0"/>
      <w:marBottom w:val="0"/>
      <w:divBdr>
        <w:top w:val="none" w:sz="0" w:space="0" w:color="auto"/>
        <w:left w:val="none" w:sz="0" w:space="0" w:color="auto"/>
        <w:bottom w:val="none" w:sz="0" w:space="0" w:color="auto"/>
        <w:right w:val="none" w:sz="0" w:space="0" w:color="auto"/>
      </w:divBdr>
    </w:div>
    <w:div w:id="1425346878">
      <w:bodyDiv w:val="1"/>
      <w:marLeft w:val="0"/>
      <w:marRight w:val="0"/>
      <w:marTop w:val="0"/>
      <w:marBottom w:val="0"/>
      <w:divBdr>
        <w:top w:val="none" w:sz="0" w:space="0" w:color="auto"/>
        <w:left w:val="none" w:sz="0" w:space="0" w:color="auto"/>
        <w:bottom w:val="none" w:sz="0" w:space="0" w:color="auto"/>
        <w:right w:val="none" w:sz="0" w:space="0" w:color="auto"/>
      </w:divBdr>
    </w:div>
    <w:div w:id="1429690301">
      <w:bodyDiv w:val="1"/>
      <w:marLeft w:val="0"/>
      <w:marRight w:val="0"/>
      <w:marTop w:val="0"/>
      <w:marBottom w:val="0"/>
      <w:divBdr>
        <w:top w:val="none" w:sz="0" w:space="0" w:color="auto"/>
        <w:left w:val="none" w:sz="0" w:space="0" w:color="auto"/>
        <w:bottom w:val="none" w:sz="0" w:space="0" w:color="auto"/>
        <w:right w:val="none" w:sz="0" w:space="0" w:color="auto"/>
      </w:divBdr>
    </w:div>
    <w:div w:id="1432772663">
      <w:bodyDiv w:val="1"/>
      <w:marLeft w:val="0"/>
      <w:marRight w:val="0"/>
      <w:marTop w:val="0"/>
      <w:marBottom w:val="0"/>
      <w:divBdr>
        <w:top w:val="none" w:sz="0" w:space="0" w:color="auto"/>
        <w:left w:val="none" w:sz="0" w:space="0" w:color="auto"/>
        <w:bottom w:val="none" w:sz="0" w:space="0" w:color="auto"/>
        <w:right w:val="none" w:sz="0" w:space="0" w:color="auto"/>
      </w:divBdr>
    </w:div>
    <w:div w:id="1434086908">
      <w:bodyDiv w:val="1"/>
      <w:marLeft w:val="0"/>
      <w:marRight w:val="0"/>
      <w:marTop w:val="0"/>
      <w:marBottom w:val="0"/>
      <w:divBdr>
        <w:top w:val="none" w:sz="0" w:space="0" w:color="auto"/>
        <w:left w:val="none" w:sz="0" w:space="0" w:color="auto"/>
        <w:bottom w:val="none" w:sz="0" w:space="0" w:color="auto"/>
        <w:right w:val="none" w:sz="0" w:space="0" w:color="auto"/>
      </w:divBdr>
    </w:div>
    <w:div w:id="1437094329">
      <w:bodyDiv w:val="1"/>
      <w:marLeft w:val="0"/>
      <w:marRight w:val="0"/>
      <w:marTop w:val="0"/>
      <w:marBottom w:val="0"/>
      <w:divBdr>
        <w:top w:val="none" w:sz="0" w:space="0" w:color="auto"/>
        <w:left w:val="none" w:sz="0" w:space="0" w:color="auto"/>
        <w:bottom w:val="none" w:sz="0" w:space="0" w:color="auto"/>
        <w:right w:val="none" w:sz="0" w:space="0" w:color="auto"/>
      </w:divBdr>
    </w:div>
    <w:div w:id="1440445101">
      <w:bodyDiv w:val="1"/>
      <w:marLeft w:val="0"/>
      <w:marRight w:val="0"/>
      <w:marTop w:val="0"/>
      <w:marBottom w:val="0"/>
      <w:divBdr>
        <w:top w:val="none" w:sz="0" w:space="0" w:color="auto"/>
        <w:left w:val="none" w:sz="0" w:space="0" w:color="auto"/>
        <w:bottom w:val="none" w:sz="0" w:space="0" w:color="auto"/>
        <w:right w:val="none" w:sz="0" w:space="0" w:color="auto"/>
      </w:divBdr>
    </w:div>
    <w:div w:id="1440488596">
      <w:bodyDiv w:val="1"/>
      <w:marLeft w:val="0"/>
      <w:marRight w:val="0"/>
      <w:marTop w:val="0"/>
      <w:marBottom w:val="0"/>
      <w:divBdr>
        <w:top w:val="none" w:sz="0" w:space="0" w:color="auto"/>
        <w:left w:val="none" w:sz="0" w:space="0" w:color="auto"/>
        <w:bottom w:val="none" w:sz="0" w:space="0" w:color="auto"/>
        <w:right w:val="none" w:sz="0" w:space="0" w:color="auto"/>
      </w:divBdr>
    </w:div>
    <w:div w:id="1441031184">
      <w:bodyDiv w:val="1"/>
      <w:marLeft w:val="0"/>
      <w:marRight w:val="0"/>
      <w:marTop w:val="0"/>
      <w:marBottom w:val="0"/>
      <w:divBdr>
        <w:top w:val="none" w:sz="0" w:space="0" w:color="auto"/>
        <w:left w:val="none" w:sz="0" w:space="0" w:color="auto"/>
        <w:bottom w:val="none" w:sz="0" w:space="0" w:color="auto"/>
        <w:right w:val="none" w:sz="0" w:space="0" w:color="auto"/>
      </w:divBdr>
    </w:div>
    <w:div w:id="1441031877">
      <w:bodyDiv w:val="1"/>
      <w:marLeft w:val="0"/>
      <w:marRight w:val="0"/>
      <w:marTop w:val="0"/>
      <w:marBottom w:val="0"/>
      <w:divBdr>
        <w:top w:val="none" w:sz="0" w:space="0" w:color="auto"/>
        <w:left w:val="none" w:sz="0" w:space="0" w:color="auto"/>
        <w:bottom w:val="none" w:sz="0" w:space="0" w:color="auto"/>
        <w:right w:val="none" w:sz="0" w:space="0" w:color="auto"/>
      </w:divBdr>
    </w:div>
    <w:div w:id="1443646804">
      <w:bodyDiv w:val="1"/>
      <w:marLeft w:val="0"/>
      <w:marRight w:val="0"/>
      <w:marTop w:val="0"/>
      <w:marBottom w:val="0"/>
      <w:divBdr>
        <w:top w:val="none" w:sz="0" w:space="0" w:color="auto"/>
        <w:left w:val="none" w:sz="0" w:space="0" w:color="auto"/>
        <w:bottom w:val="none" w:sz="0" w:space="0" w:color="auto"/>
        <w:right w:val="none" w:sz="0" w:space="0" w:color="auto"/>
      </w:divBdr>
    </w:div>
    <w:div w:id="1444614582">
      <w:bodyDiv w:val="1"/>
      <w:marLeft w:val="0"/>
      <w:marRight w:val="0"/>
      <w:marTop w:val="0"/>
      <w:marBottom w:val="0"/>
      <w:divBdr>
        <w:top w:val="none" w:sz="0" w:space="0" w:color="auto"/>
        <w:left w:val="none" w:sz="0" w:space="0" w:color="auto"/>
        <w:bottom w:val="none" w:sz="0" w:space="0" w:color="auto"/>
        <w:right w:val="none" w:sz="0" w:space="0" w:color="auto"/>
      </w:divBdr>
    </w:div>
    <w:div w:id="1447887199">
      <w:bodyDiv w:val="1"/>
      <w:marLeft w:val="0"/>
      <w:marRight w:val="0"/>
      <w:marTop w:val="0"/>
      <w:marBottom w:val="0"/>
      <w:divBdr>
        <w:top w:val="none" w:sz="0" w:space="0" w:color="auto"/>
        <w:left w:val="none" w:sz="0" w:space="0" w:color="auto"/>
        <w:bottom w:val="none" w:sz="0" w:space="0" w:color="auto"/>
        <w:right w:val="none" w:sz="0" w:space="0" w:color="auto"/>
      </w:divBdr>
    </w:div>
    <w:div w:id="1449466280">
      <w:bodyDiv w:val="1"/>
      <w:marLeft w:val="0"/>
      <w:marRight w:val="0"/>
      <w:marTop w:val="0"/>
      <w:marBottom w:val="0"/>
      <w:divBdr>
        <w:top w:val="none" w:sz="0" w:space="0" w:color="auto"/>
        <w:left w:val="none" w:sz="0" w:space="0" w:color="auto"/>
        <w:bottom w:val="none" w:sz="0" w:space="0" w:color="auto"/>
        <w:right w:val="none" w:sz="0" w:space="0" w:color="auto"/>
      </w:divBdr>
    </w:div>
    <w:div w:id="1453934813">
      <w:bodyDiv w:val="1"/>
      <w:marLeft w:val="0"/>
      <w:marRight w:val="0"/>
      <w:marTop w:val="0"/>
      <w:marBottom w:val="0"/>
      <w:divBdr>
        <w:top w:val="none" w:sz="0" w:space="0" w:color="auto"/>
        <w:left w:val="none" w:sz="0" w:space="0" w:color="auto"/>
        <w:bottom w:val="none" w:sz="0" w:space="0" w:color="auto"/>
        <w:right w:val="none" w:sz="0" w:space="0" w:color="auto"/>
      </w:divBdr>
    </w:div>
    <w:div w:id="1455441454">
      <w:bodyDiv w:val="1"/>
      <w:marLeft w:val="0"/>
      <w:marRight w:val="0"/>
      <w:marTop w:val="0"/>
      <w:marBottom w:val="0"/>
      <w:divBdr>
        <w:top w:val="none" w:sz="0" w:space="0" w:color="auto"/>
        <w:left w:val="none" w:sz="0" w:space="0" w:color="auto"/>
        <w:bottom w:val="none" w:sz="0" w:space="0" w:color="auto"/>
        <w:right w:val="none" w:sz="0" w:space="0" w:color="auto"/>
      </w:divBdr>
    </w:div>
    <w:div w:id="1458181377">
      <w:bodyDiv w:val="1"/>
      <w:marLeft w:val="0"/>
      <w:marRight w:val="0"/>
      <w:marTop w:val="0"/>
      <w:marBottom w:val="0"/>
      <w:divBdr>
        <w:top w:val="none" w:sz="0" w:space="0" w:color="auto"/>
        <w:left w:val="none" w:sz="0" w:space="0" w:color="auto"/>
        <w:bottom w:val="none" w:sz="0" w:space="0" w:color="auto"/>
        <w:right w:val="none" w:sz="0" w:space="0" w:color="auto"/>
      </w:divBdr>
    </w:div>
    <w:div w:id="1465348823">
      <w:bodyDiv w:val="1"/>
      <w:marLeft w:val="0"/>
      <w:marRight w:val="0"/>
      <w:marTop w:val="0"/>
      <w:marBottom w:val="0"/>
      <w:divBdr>
        <w:top w:val="none" w:sz="0" w:space="0" w:color="auto"/>
        <w:left w:val="none" w:sz="0" w:space="0" w:color="auto"/>
        <w:bottom w:val="none" w:sz="0" w:space="0" w:color="auto"/>
        <w:right w:val="none" w:sz="0" w:space="0" w:color="auto"/>
      </w:divBdr>
    </w:div>
    <w:div w:id="1465545077">
      <w:bodyDiv w:val="1"/>
      <w:marLeft w:val="0"/>
      <w:marRight w:val="0"/>
      <w:marTop w:val="0"/>
      <w:marBottom w:val="0"/>
      <w:divBdr>
        <w:top w:val="none" w:sz="0" w:space="0" w:color="auto"/>
        <w:left w:val="none" w:sz="0" w:space="0" w:color="auto"/>
        <w:bottom w:val="none" w:sz="0" w:space="0" w:color="auto"/>
        <w:right w:val="none" w:sz="0" w:space="0" w:color="auto"/>
      </w:divBdr>
    </w:div>
    <w:div w:id="1465735262">
      <w:bodyDiv w:val="1"/>
      <w:marLeft w:val="0"/>
      <w:marRight w:val="0"/>
      <w:marTop w:val="0"/>
      <w:marBottom w:val="0"/>
      <w:divBdr>
        <w:top w:val="none" w:sz="0" w:space="0" w:color="auto"/>
        <w:left w:val="none" w:sz="0" w:space="0" w:color="auto"/>
        <w:bottom w:val="none" w:sz="0" w:space="0" w:color="auto"/>
        <w:right w:val="none" w:sz="0" w:space="0" w:color="auto"/>
      </w:divBdr>
    </w:div>
    <w:div w:id="1469589137">
      <w:bodyDiv w:val="1"/>
      <w:marLeft w:val="0"/>
      <w:marRight w:val="0"/>
      <w:marTop w:val="0"/>
      <w:marBottom w:val="0"/>
      <w:divBdr>
        <w:top w:val="none" w:sz="0" w:space="0" w:color="auto"/>
        <w:left w:val="none" w:sz="0" w:space="0" w:color="auto"/>
        <w:bottom w:val="none" w:sz="0" w:space="0" w:color="auto"/>
        <w:right w:val="none" w:sz="0" w:space="0" w:color="auto"/>
      </w:divBdr>
    </w:div>
    <w:div w:id="1469979062">
      <w:bodyDiv w:val="1"/>
      <w:marLeft w:val="0"/>
      <w:marRight w:val="0"/>
      <w:marTop w:val="0"/>
      <w:marBottom w:val="0"/>
      <w:divBdr>
        <w:top w:val="none" w:sz="0" w:space="0" w:color="auto"/>
        <w:left w:val="none" w:sz="0" w:space="0" w:color="auto"/>
        <w:bottom w:val="none" w:sz="0" w:space="0" w:color="auto"/>
        <w:right w:val="none" w:sz="0" w:space="0" w:color="auto"/>
      </w:divBdr>
    </w:div>
    <w:div w:id="1471165798">
      <w:bodyDiv w:val="1"/>
      <w:marLeft w:val="0"/>
      <w:marRight w:val="0"/>
      <w:marTop w:val="0"/>
      <w:marBottom w:val="0"/>
      <w:divBdr>
        <w:top w:val="none" w:sz="0" w:space="0" w:color="auto"/>
        <w:left w:val="none" w:sz="0" w:space="0" w:color="auto"/>
        <w:bottom w:val="none" w:sz="0" w:space="0" w:color="auto"/>
        <w:right w:val="none" w:sz="0" w:space="0" w:color="auto"/>
      </w:divBdr>
    </w:div>
    <w:div w:id="1472558156">
      <w:bodyDiv w:val="1"/>
      <w:marLeft w:val="0"/>
      <w:marRight w:val="0"/>
      <w:marTop w:val="0"/>
      <w:marBottom w:val="0"/>
      <w:divBdr>
        <w:top w:val="none" w:sz="0" w:space="0" w:color="auto"/>
        <w:left w:val="none" w:sz="0" w:space="0" w:color="auto"/>
        <w:bottom w:val="none" w:sz="0" w:space="0" w:color="auto"/>
        <w:right w:val="none" w:sz="0" w:space="0" w:color="auto"/>
      </w:divBdr>
    </w:div>
    <w:div w:id="1473904871">
      <w:bodyDiv w:val="1"/>
      <w:marLeft w:val="0"/>
      <w:marRight w:val="0"/>
      <w:marTop w:val="0"/>
      <w:marBottom w:val="0"/>
      <w:divBdr>
        <w:top w:val="none" w:sz="0" w:space="0" w:color="auto"/>
        <w:left w:val="none" w:sz="0" w:space="0" w:color="auto"/>
        <w:bottom w:val="none" w:sz="0" w:space="0" w:color="auto"/>
        <w:right w:val="none" w:sz="0" w:space="0" w:color="auto"/>
      </w:divBdr>
    </w:div>
    <w:div w:id="1474832352">
      <w:bodyDiv w:val="1"/>
      <w:marLeft w:val="0"/>
      <w:marRight w:val="0"/>
      <w:marTop w:val="0"/>
      <w:marBottom w:val="0"/>
      <w:divBdr>
        <w:top w:val="none" w:sz="0" w:space="0" w:color="auto"/>
        <w:left w:val="none" w:sz="0" w:space="0" w:color="auto"/>
        <w:bottom w:val="none" w:sz="0" w:space="0" w:color="auto"/>
        <w:right w:val="none" w:sz="0" w:space="0" w:color="auto"/>
      </w:divBdr>
    </w:div>
    <w:div w:id="1474903567">
      <w:bodyDiv w:val="1"/>
      <w:marLeft w:val="0"/>
      <w:marRight w:val="0"/>
      <w:marTop w:val="0"/>
      <w:marBottom w:val="0"/>
      <w:divBdr>
        <w:top w:val="none" w:sz="0" w:space="0" w:color="auto"/>
        <w:left w:val="none" w:sz="0" w:space="0" w:color="auto"/>
        <w:bottom w:val="none" w:sz="0" w:space="0" w:color="auto"/>
        <w:right w:val="none" w:sz="0" w:space="0" w:color="auto"/>
      </w:divBdr>
    </w:div>
    <w:div w:id="1478231075">
      <w:bodyDiv w:val="1"/>
      <w:marLeft w:val="0"/>
      <w:marRight w:val="0"/>
      <w:marTop w:val="0"/>
      <w:marBottom w:val="0"/>
      <w:divBdr>
        <w:top w:val="none" w:sz="0" w:space="0" w:color="auto"/>
        <w:left w:val="none" w:sz="0" w:space="0" w:color="auto"/>
        <w:bottom w:val="none" w:sz="0" w:space="0" w:color="auto"/>
        <w:right w:val="none" w:sz="0" w:space="0" w:color="auto"/>
      </w:divBdr>
    </w:div>
    <w:div w:id="1480919661">
      <w:bodyDiv w:val="1"/>
      <w:marLeft w:val="0"/>
      <w:marRight w:val="0"/>
      <w:marTop w:val="0"/>
      <w:marBottom w:val="0"/>
      <w:divBdr>
        <w:top w:val="none" w:sz="0" w:space="0" w:color="auto"/>
        <w:left w:val="none" w:sz="0" w:space="0" w:color="auto"/>
        <w:bottom w:val="none" w:sz="0" w:space="0" w:color="auto"/>
        <w:right w:val="none" w:sz="0" w:space="0" w:color="auto"/>
      </w:divBdr>
    </w:div>
    <w:div w:id="1482312801">
      <w:bodyDiv w:val="1"/>
      <w:marLeft w:val="0"/>
      <w:marRight w:val="0"/>
      <w:marTop w:val="0"/>
      <w:marBottom w:val="0"/>
      <w:divBdr>
        <w:top w:val="none" w:sz="0" w:space="0" w:color="auto"/>
        <w:left w:val="none" w:sz="0" w:space="0" w:color="auto"/>
        <w:bottom w:val="none" w:sz="0" w:space="0" w:color="auto"/>
        <w:right w:val="none" w:sz="0" w:space="0" w:color="auto"/>
      </w:divBdr>
    </w:div>
    <w:div w:id="1482842960">
      <w:bodyDiv w:val="1"/>
      <w:marLeft w:val="0"/>
      <w:marRight w:val="0"/>
      <w:marTop w:val="0"/>
      <w:marBottom w:val="0"/>
      <w:divBdr>
        <w:top w:val="none" w:sz="0" w:space="0" w:color="auto"/>
        <w:left w:val="none" w:sz="0" w:space="0" w:color="auto"/>
        <w:bottom w:val="none" w:sz="0" w:space="0" w:color="auto"/>
        <w:right w:val="none" w:sz="0" w:space="0" w:color="auto"/>
      </w:divBdr>
    </w:div>
    <w:div w:id="1483161039">
      <w:bodyDiv w:val="1"/>
      <w:marLeft w:val="0"/>
      <w:marRight w:val="0"/>
      <w:marTop w:val="0"/>
      <w:marBottom w:val="0"/>
      <w:divBdr>
        <w:top w:val="none" w:sz="0" w:space="0" w:color="auto"/>
        <w:left w:val="none" w:sz="0" w:space="0" w:color="auto"/>
        <w:bottom w:val="none" w:sz="0" w:space="0" w:color="auto"/>
        <w:right w:val="none" w:sz="0" w:space="0" w:color="auto"/>
      </w:divBdr>
    </w:div>
    <w:div w:id="1485273158">
      <w:bodyDiv w:val="1"/>
      <w:marLeft w:val="0"/>
      <w:marRight w:val="0"/>
      <w:marTop w:val="0"/>
      <w:marBottom w:val="0"/>
      <w:divBdr>
        <w:top w:val="none" w:sz="0" w:space="0" w:color="auto"/>
        <w:left w:val="none" w:sz="0" w:space="0" w:color="auto"/>
        <w:bottom w:val="none" w:sz="0" w:space="0" w:color="auto"/>
        <w:right w:val="none" w:sz="0" w:space="0" w:color="auto"/>
      </w:divBdr>
    </w:div>
    <w:div w:id="1485656894">
      <w:bodyDiv w:val="1"/>
      <w:marLeft w:val="0"/>
      <w:marRight w:val="0"/>
      <w:marTop w:val="0"/>
      <w:marBottom w:val="0"/>
      <w:divBdr>
        <w:top w:val="none" w:sz="0" w:space="0" w:color="auto"/>
        <w:left w:val="none" w:sz="0" w:space="0" w:color="auto"/>
        <w:bottom w:val="none" w:sz="0" w:space="0" w:color="auto"/>
        <w:right w:val="none" w:sz="0" w:space="0" w:color="auto"/>
      </w:divBdr>
    </w:div>
    <w:div w:id="1488551184">
      <w:bodyDiv w:val="1"/>
      <w:marLeft w:val="0"/>
      <w:marRight w:val="0"/>
      <w:marTop w:val="0"/>
      <w:marBottom w:val="0"/>
      <w:divBdr>
        <w:top w:val="none" w:sz="0" w:space="0" w:color="auto"/>
        <w:left w:val="none" w:sz="0" w:space="0" w:color="auto"/>
        <w:bottom w:val="none" w:sz="0" w:space="0" w:color="auto"/>
        <w:right w:val="none" w:sz="0" w:space="0" w:color="auto"/>
      </w:divBdr>
    </w:div>
    <w:div w:id="1490319454">
      <w:bodyDiv w:val="1"/>
      <w:marLeft w:val="0"/>
      <w:marRight w:val="0"/>
      <w:marTop w:val="0"/>
      <w:marBottom w:val="0"/>
      <w:divBdr>
        <w:top w:val="none" w:sz="0" w:space="0" w:color="auto"/>
        <w:left w:val="none" w:sz="0" w:space="0" w:color="auto"/>
        <w:bottom w:val="none" w:sz="0" w:space="0" w:color="auto"/>
        <w:right w:val="none" w:sz="0" w:space="0" w:color="auto"/>
      </w:divBdr>
    </w:div>
    <w:div w:id="1493251767">
      <w:bodyDiv w:val="1"/>
      <w:marLeft w:val="0"/>
      <w:marRight w:val="0"/>
      <w:marTop w:val="0"/>
      <w:marBottom w:val="0"/>
      <w:divBdr>
        <w:top w:val="none" w:sz="0" w:space="0" w:color="auto"/>
        <w:left w:val="none" w:sz="0" w:space="0" w:color="auto"/>
        <w:bottom w:val="none" w:sz="0" w:space="0" w:color="auto"/>
        <w:right w:val="none" w:sz="0" w:space="0" w:color="auto"/>
      </w:divBdr>
    </w:div>
    <w:div w:id="1493527577">
      <w:bodyDiv w:val="1"/>
      <w:marLeft w:val="0"/>
      <w:marRight w:val="0"/>
      <w:marTop w:val="0"/>
      <w:marBottom w:val="0"/>
      <w:divBdr>
        <w:top w:val="none" w:sz="0" w:space="0" w:color="auto"/>
        <w:left w:val="none" w:sz="0" w:space="0" w:color="auto"/>
        <w:bottom w:val="none" w:sz="0" w:space="0" w:color="auto"/>
        <w:right w:val="none" w:sz="0" w:space="0" w:color="auto"/>
      </w:divBdr>
    </w:div>
    <w:div w:id="1495805700">
      <w:bodyDiv w:val="1"/>
      <w:marLeft w:val="0"/>
      <w:marRight w:val="0"/>
      <w:marTop w:val="0"/>
      <w:marBottom w:val="0"/>
      <w:divBdr>
        <w:top w:val="none" w:sz="0" w:space="0" w:color="auto"/>
        <w:left w:val="none" w:sz="0" w:space="0" w:color="auto"/>
        <w:bottom w:val="none" w:sz="0" w:space="0" w:color="auto"/>
        <w:right w:val="none" w:sz="0" w:space="0" w:color="auto"/>
      </w:divBdr>
    </w:div>
    <w:div w:id="1496452341">
      <w:bodyDiv w:val="1"/>
      <w:marLeft w:val="0"/>
      <w:marRight w:val="0"/>
      <w:marTop w:val="0"/>
      <w:marBottom w:val="0"/>
      <w:divBdr>
        <w:top w:val="none" w:sz="0" w:space="0" w:color="auto"/>
        <w:left w:val="none" w:sz="0" w:space="0" w:color="auto"/>
        <w:bottom w:val="none" w:sz="0" w:space="0" w:color="auto"/>
        <w:right w:val="none" w:sz="0" w:space="0" w:color="auto"/>
      </w:divBdr>
    </w:div>
    <w:div w:id="1497766695">
      <w:bodyDiv w:val="1"/>
      <w:marLeft w:val="0"/>
      <w:marRight w:val="0"/>
      <w:marTop w:val="0"/>
      <w:marBottom w:val="0"/>
      <w:divBdr>
        <w:top w:val="none" w:sz="0" w:space="0" w:color="auto"/>
        <w:left w:val="none" w:sz="0" w:space="0" w:color="auto"/>
        <w:bottom w:val="none" w:sz="0" w:space="0" w:color="auto"/>
        <w:right w:val="none" w:sz="0" w:space="0" w:color="auto"/>
      </w:divBdr>
    </w:div>
    <w:div w:id="1501774701">
      <w:bodyDiv w:val="1"/>
      <w:marLeft w:val="0"/>
      <w:marRight w:val="0"/>
      <w:marTop w:val="0"/>
      <w:marBottom w:val="0"/>
      <w:divBdr>
        <w:top w:val="none" w:sz="0" w:space="0" w:color="auto"/>
        <w:left w:val="none" w:sz="0" w:space="0" w:color="auto"/>
        <w:bottom w:val="none" w:sz="0" w:space="0" w:color="auto"/>
        <w:right w:val="none" w:sz="0" w:space="0" w:color="auto"/>
      </w:divBdr>
    </w:div>
    <w:div w:id="1502117098">
      <w:bodyDiv w:val="1"/>
      <w:marLeft w:val="0"/>
      <w:marRight w:val="0"/>
      <w:marTop w:val="0"/>
      <w:marBottom w:val="0"/>
      <w:divBdr>
        <w:top w:val="none" w:sz="0" w:space="0" w:color="auto"/>
        <w:left w:val="none" w:sz="0" w:space="0" w:color="auto"/>
        <w:bottom w:val="none" w:sz="0" w:space="0" w:color="auto"/>
        <w:right w:val="none" w:sz="0" w:space="0" w:color="auto"/>
      </w:divBdr>
    </w:div>
    <w:div w:id="1503548284">
      <w:bodyDiv w:val="1"/>
      <w:marLeft w:val="0"/>
      <w:marRight w:val="0"/>
      <w:marTop w:val="0"/>
      <w:marBottom w:val="0"/>
      <w:divBdr>
        <w:top w:val="none" w:sz="0" w:space="0" w:color="auto"/>
        <w:left w:val="none" w:sz="0" w:space="0" w:color="auto"/>
        <w:bottom w:val="none" w:sz="0" w:space="0" w:color="auto"/>
        <w:right w:val="none" w:sz="0" w:space="0" w:color="auto"/>
      </w:divBdr>
    </w:div>
    <w:div w:id="1503617217">
      <w:bodyDiv w:val="1"/>
      <w:marLeft w:val="0"/>
      <w:marRight w:val="0"/>
      <w:marTop w:val="0"/>
      <w:marBottom w:val="0"/>
      <w:divBdr>
        <w:top w:val="none" w:sz="0" w:space="0" w:color="auto"/>
        <w:left w:val="none" w:sz="0" w:space="0" w:color="auto"/>
        <w:bottom w:val="none" w:sz="0" w:space="0" w:color="auto"/>
        <w:right w:val="none" w:sz="0" w:space="0" w:color="auto"/>
      </w:divBdr>
    </w:div>
    <w:div w:id="1506359458">
      <w:bodyDiv w:val="1"/>
      <w:marLeft w:val="0"/>
      <w:marRight w:val="0"/>
      <w:marTop w:val="0"/>
      <w:marBottom w:val="0"/>
      <w:divBdr>
        <w:top w:val="none" w:sz="0" w:space="0" w:color="auto"/>
        <w:left w:val="none" w:sz="0" w:space="0" w:color="auto"/>
        <w:bottom w:val="none" w:sz="0" w:space="0" w:color="auto"/>
        <w:right w:val="none" w:sz="0" w:space="0" w:color="auto"/>
      </w:divBdr>
    </w:div>
    <w:div w:id="1506826202">
      <w:bodyDiv w:val="1"/>
      <w:marLeft w:val="0"/>
      <w:marRight w:val="0"/>
      <w:marTop w:val="0"/>
      <w:marBottom w:val="0"/>
      <w:divBdr>
        <w:top w:val="none" w:sz="0" w:space="0" w:color="auto"/>
        <w:left w:val="none" w:sz="0" w:space="0" w:color="auto"/>
        <w:bottom w:val="none" w:sz="0" w:space="0" w:color="auto"/>
        <w:right w:val="none" w:sz="0" w:space="0" w:color="auto"/>
      </w:divBdr>
    </w:div>
    <w:div w:id="1507357152">
      <w:bodyDiv w:val="1"/>
      <w:marLeft w:val="0"/>
      <w:marRight w:val="0"/>
      <w:marTop w:val="0"/>
      <w:marBottom w:val="0"/>
      <w:divBdr>
        <w:top w:val="none" w:sz="0" w:space="0" w:color="auto"/>
        <w:left w:val="none" w:sz="0" w:space="0" w:color="auto"/>
        <w:bottom w:val="none" w:sz="0" w:space="0" w:color="auto"/>
        <w:right w:val="none" w:sz="0" w:space="0" w:color="auto"/>
      </w:divBdr>
    </w:div>
    <w:div w:id="1507670255">
      <w:bodyDiv w:val="1"/>
      <w:marLeft w:val="0"/>
      <w:marRight w:val="0"/>
      <w:marTop w:val="0"/>
      <w:marBottom w:val="0"/>
      <w:divBdr>
        <w:top w:val="none" w:sz="0" w:space="0" w:color="auto"/>
        <w:left w:val="none" w:sz="0" w:space="0" w:color="auto"/>
        <w:bottom w:val="none" w:sz="0" w:space="0" w:color="auto"/>
        <w:right w:val="none" w:sz="0" w:space="0" w:color="auto"/>
      </w:divBdr>
    </w:div>
    <w:div w:id="1510679617">
      <w:bodyDiv w:val="1"/>
      <w:marLeft w:val="0"/>
      <w:marRight w:val="0"/>
      <w:marTop w:val="0"/>
      <w:marBottom w:val="0"/>
      <w:divBdr>
        <w:top w:val="none" w:sz="0" w:space="0" w:color="auto"/>
        <w:left w:val="none" w:sz="0" w:space="0" w:color="auto"/>
        <w:bottom w:val="none" w:sz="0" w:space="0" w:color="auto"/>
        <w:right w:val="none" w:sz="0" w:space="0" w:color="auto"/>
      </w:divBdr>
    </w:div>
    <w:div w:id="1512066271">
      <w:bodyDiv w:val="1"/>
      <w:marLeft w:val="0"/>
      <w:marRight w:val="0"/>
      <w:marTop w:val="0"/>
      <w:marBottom w:val="0"/>
      <w:divBdr>
        <w:top w:val="none" w:sz="0" w:space="0" w:color="auto"/>
        <w:left w:val="none" w:sz="0" w:space="0" w:color="auto"/>
        <w:bottom w:val="none" w:sz="0" w:space="0" w:color="auto"/>
        <w:right w:val="none" w:sz="0" w:space="0" w:color="auto"/>
      </w:divBdr>
    </w:div>
    <w:div w:id="1515413636">
      <w:bodyDiv w:val="1"/>
      <w:marLeft w:val="0"/>
      <w:marRight w:val="0"/>
      <w:marTop w:val="0"/>
      <w:marBottom w:val="0"/>
      <w:divBdr>
        <w:top w:val="none" w:sz="0" w:space="0" w:color="auto"/>
        <w:left w:val="none" w:sz="0" w:space="0" w:color="auto"/>
        <w:bottom w:val="none" w:sz="0" w:space="0" w:color="auto"/>
        <w:right w:val="none" w:sz="0" w:space="0" w:color="auto"/>
      </w:divBdr>
    </w:div>
    <w:div w:id="1515806609">
      <w:bodyDiv w:val="1"/>
      <w:marLeft w:val="0"/>
      <w:marRight w:val="0"/>
      <w:marTop w:val="0"/>
      <w:marBottom w:val="0"/>
      <w:divBdr>
        <w:top w:val="none" w:sz="0" w:space="0" w:color="auto"/>
        <w:left w:val="none" w:sz="0" w:space="0" w:color="auto"/>
        <w:bottom w:val="none" w:sz="0" w:space="0" w:color="auto"/>
        <w:right w:val="none" w:sz="0" w:space="0" w:color="auto"/>
      </w:divBdr>
    </w:div>
    <w:div w:id="1517040907">
      <w:bodyDiv w:val="1"/>
      <w:marLeft w:val="0"/>
      <w:marRight w:val="0"/>
      <w:marTop w:val="0"/>
      <w:marBottom w:val="0"/>
      <w:divBdr>
        <w:top w:val="none" w:sz="0" w:space="0" w:color="auto"/>
        <w:left w:val="none" w:sz="0" w:space="0" w:color="auto"/>
        <w:bottom w:val="none" w:sz="0" w:space="0" w:color="auto"/>
        <w:right w:val="none" w:sz="0" w:space="0" w:color="auto"/>
      </w:divBdr>
    </w:div>
    <w:div w:id="1522428600">
      <w:bodyDiv w:val="1"/>
      <w:marLeft w:val="0"/>
      <w:marRight w:val="0"/>
      <w:marTop w:val="0"/>
      <w:marBottom w:val="0"/>
      <w:divBdr>
        <w:top w:val="none" w:sz="0" w:space="0" w:color="auto"/>
        <w:left w:val="none" w:sz="0" w:space="0" w:color="auto"/>
        <w:bottom w:val="none" w:sz="0" w:space="0" w:color="auto"/>
        <w:right w:val="none" w:sz="0" w:space="0" w:color="auto"/>
      </w:divBdr>
    </w:div>
    <w:div w:id="1526212510">
      <w:bodyDiv w:val="1"/>
      <w:marLeft w:val="0"/>
      <w:marRight w:val="0"/>
      <w:marTop w:val="0"/>
      <w:marBottom w:val="0"/>
      <w:divBdr>
        <w:top w:val="none" w:sz="0" w:space="0" w:color="auto"/>
        <w:left w:val="none" w:sz="0" w:space="0" w:color="auto"/>
        <w:bottom w:val="none" w:sz="0" w:space="0" w:color="auto"/>
        <w:right w:val="none" w:sz="0" w:space="0" w:color="auto"/>
      </w:divBdr>
    </w:div>
    <w:div w:id="1528978912">
      <w:bodyDiv w:val="1"/>
      <w:marLeft w:val="0"/>
      <w:marRight w:val="0"/>
      <w:marTop w:val="0"/>
      <w:marBottom w:val="0"/>
      <w:divBdr>
        <w:top w:val="none" w:sz="0" w:space="0" w:color="auto"/>
        <w:left w:val="none" w:sz="0" w:space="0" w:color="auto"/>
        <w:bottom w:val="none" w:sz="0" w:space="0" w:color="auto"/>
        <w:right w:val="none" w:sz="0" w:space="0" w:color="auto"/>
      </w:divBdr>
    </w:div>
    <w:div w:id="1530727991">
      <w:bodyDiv w:val="1"/>
      <w:marLeft w:val="0"/>
      <w:marRight w:val="0"/>
      <w:marTop w:val="0"/>
      <w:marBottom w:val="0"/>
      <w:divBdr>
        <w:top w:val="none" w:sz="0" w:space="0" w:color="auto"/>
        <w:left w:val="none" w:sz="0" w:space="0" w:color="auto"/>
        <w:bottom w:val="none" w:sz="0" w:space="0" w:color="auto"/>
        <w:right w:val="none" w:sz="0" w:space="0" w:color="auto"/>
      </w:divBdr>
    </w:div>
    <w:div w:id="1531185948">
      <w:bodyDiv w:val="1"/>
      <w:marLeft w:val="0"/>
      <w:marRight w:val="0"/>
      <w:marTop w:val="0"/>
      <w:marBottom w:val="0"/>
      <w:divBdr>
        <w:top w:val="none" w:sz="0" w:space="0" w:color="auto"/>
        <w:left w:val="none" w:sz="0" w:space="0" w:color="auto"/>
        <w:bottom w:val="none" w:sz="0" w:space="0" w:color="auto"/>
        <w:right w:val="none" w:sz="0" w:space="0" w:color="auto"/>
      </w:divBdr>
    </w:div>
    <w:div w:id="1532231938">
      <w:bodyDiv w:val="1"/>
      <w:marLeft w:val="0"/>
      <w:marRight w:val="0"/>
      <w:marTop w:val="0"/>
      <w:marBottom w:val="0"/>
      <w:divBdr>
        <w:top w:val="none" w:sz="0" w:space="0" w:color="auto"/>
        <w:left w:val="none" w:sz="0" w:space="0" w:color="auto"/>
        <w:bottom w:val="none" w:sz="0" w:space="0" w:color="auto"/>
        <w:right w:val="none" w:sz="0" w:space="0" w:color="auto"/>
      </w:divBdr>
    </w:div>
    <w:div w:id="1532378917">
      <w:bodyDiv w:val="1"/>
      <w:marLeft w:val="0"/>
      <w:marRight w:val="0"/>
      <w:marTop w:val="0"/>
      <w:marBottom w:val="0"/>
      <w:divBdr>
        <w:top w:val="none" w:sz="0" w:space="0" w:color="auto"/>
        <w:left w:val="none" w:sz="0" w:space="0" w:color="auto"/>
        <w:bottom w:val="none" w:sz="0" w:space="0" w:color="auto"/>
        <w:right w:val="none" w:sz="0" w:space="0" w:color="auto"/>
      </w:divBdr>
    </w:div>
    <w:div w:id="1534928242">
      <w:bodyDiv w:val="1"/>
      <w:marLeft w:val="0"/>
      <w:marRight w:val="0"/>
      <w:marTop w:val="0"/>
      <w:marBottom w:val="0"/>
      <w:divBdr>
        <w:top w:val="none" w:sz="0" w:space="0" w:color="auto"/>
        <w:left w:val="none" w:sz="0" w:space="0" w:color="auto"/>
        <w:bottom w:val="none" w:sz="0" w:space="0" w:color="auto"/>
        <w:right w:val="none" w:sz="0" w:space="0" w:color="auto"/>
      </w:divBdr>
    </w:div>
    <w:div w:id="1535771315">
      <w:bodyDiv w:val="1"/>
      <w:marLeft w:val="0"/>
      <w:marRight w:val="0"/>
      <w:marTop w:val="0"/>
      <w:marBottom w:val="0"/>
      <w:divBdr>
        <w:top w:val="none" w:sz="0" w:space="0" w:color="auto"/>
        <w:left w:val="none" w:sz="0" w:space="0" w:color="auto"/>
        <w:bottom w:val="none" w:sz="0" w:space="0" w:color="auto"/>
        <w:right w:val="none" w:sz="0" w:space="0" w:color="auto"/>
      </w:divBdr>
    </w:div>
    <w:div w:id="1536697099">
      <w:bodyDiv w:val="1"/>
      <w:marLeft w:val="0"/>
      <w:marRight w:val="0"/>
      <w:marTop w:val="0"/>
      <w:marBottom w:val="0"/>
      <w:divBdr>
        <w:top w:val="none" w:sz="0" w:space="0" w:color="auto"/>
        <w:left w:val="none" w:sz="0" w:space="0" w:color="auto"/>
        <w:bottom w:val="none" w:sz="0" w:space="0" w:color="auto"/>
        <w:right w:val="none" w:sz="0" w:space="0" w:color="auto"/>
      </w:divBdr>
    </w:div>
    <w:div w:id="1538466716">
      <w:bodyDiv w:val="1"/>
      <w:marLeft w:val="0"/>
      <w:marRight w:val="0"/>
      <w:marTop w:val="0"/>
      <w:marBottom w:val="0"/>
      <w:divBdr>
        <w:top w:val="none" w:sz="0" w:space="0" w:color="auto"/>
        <w:left w:val="none" w:sz="0" w:space="0" w:color="auto"/>
        <w:bottom w:val="none" w:sz="0" w:space="0" w:color="auto"/>
        <w:right w:val="none" w:sz="0" w:space="0" w:color="auto"/>
      </w:divBdr>
    </w:div>
    <w:div w:id="1539781136">
      <w:bodyDiv w:val="1"/>
      <w:marLeft w:val="0"/>
      <w:marRight w:val="0"/>
      <w:marTop w:val="0"/>
      <w:marBottom w:val="0"/>
      <w:divBdr>
        <w:top w:val="none" w:sz="0" w:space="0" w:color="auto"/>
        <w:left w:val="none" w:sz="0" w:space="0" w:color="auto"/>
        <w:bottom w:val="none" w:sz="0" w:space="0" w:color="auto"/>
        <w:right w:val="none" w:sz="0" w:space="0" w:color="auto"/>
      </w:divBdr>
    </w:div>
    <w:div w:id="1539930818">
      <w:bodyDiv w:val="1"/>
      <w:marLeft w:val="0"/>
      <w:marRight w:val="0"/>
      <w:marTop w:val="0"/>
      <w:marBottom w:val="0"/>
      <w:divBdr>
        <w:top w:val="none" w:sz="0" w:space="0" w:color="auto"/>
        <w:left w:val="none" w:sz="0" w:space="0" w:color="auto"/>
        <w:bottom w:val="none" w:sz="0" w:space="0" w:color="auto"/>
        <w:right w:val="none" w:sz="0" w:space="0" w:color="auto"/>
      </w:divBdr>
    </w:div>
    <w:div w:id="1540194223">
      <w:bodyDiv w:val="1"/>
      <w:marLeft w:val="0"/>
      <w:marRight w:val="0"/>
      <w:marTop w:val="0"/>
      <w:marBottom w:val="0"/>
      <w:divBdr>
        <w:top w:val="none" w:sz="0" w:space="0" w:color="auto"/>
        <w:left w:val="none" w:sz="0" w:space="0" w:color="auto"/>
        <w:bottom w:val="none" w:sz="0" w:space="0" w:color="auto"/>
        <w:right w:val="none" w:sz="0" w:space="0" w:color="auto"/>
      </w:divBdr>
    </w:div>
    <w:div w:id="1541701146">
      <w:bodyDiv w:val="1"/>
      <w:marLeft w:val="0"/>
      <w:marRight w:val="0"/>
      <w:marTop w:val="0"/>
      <w:marBottom w:val="0"/>
      <w:divBdr>
        <w:top w:val="none" w:sz="0" w:space="0" w:color="auto"/>
        <w:left w:val="none" w:sz="0" w:space="0" w:color="auto"/>
        <w:bottom w:val="none" w:sz="0" w:space="0" w:color="auto"/>
        <w:right w:val="none" w:sz="0" w:space="0" w:color="auto"/>
      </w:divBdr>
    </w:div>
    <w:div w:id="1543902428">
      <w:bodyDiv w:val="1"/>
      <w:marLeft w:val="0"/>
      <w:marRight w:val="0"/>
      <w:marTop w:val="0"/>
      <w:marBottom w:val="0"/>
      <w:divBdr>
        <w:top w:val="none" w:sz="0" w:space="0" w:color="auto"/>
        <w:left w:val="none" w:sz="0" w:space="0" w:color="auto"/>
        <w:bottom w:val="none" w:sz="0" w:space="0" w:color="auto"/>
        <w:right w:val="none" w:sz="0" w:space="0" w:color="auto"/>
      </w:divBdr>
    </w:div>
    <w:div w:id="1543980653">
      <w:bodyDiv w:val="1"/>
      <w:marLeft w:val="0"/>
      <w:marRight w:val="0"/>
      <w:marTop w:val="0"/>
      <w:marBottom w:val="0"/>
      <w:divBdr>
        <w:top w:val="none" w:sz="0" w:space="0" w:color="auto"/>
        <w:left w:val="none" w:sz="0" w:space="0" w:color="auto"/>
        <w:bottom w:val="none" w:sz="0" w:space="0" w:color="auto"/>
        <w:right w:val="none" w:sz="0" w:space="0" w:color="auto"/>
      </w:divBdr>
    </w:div>
    <w:div w:id="1544176008">
      <w:bodyDiv w:val="1"/>
      <w:marLeft w:val="0"/>
      <w:marRight w:val="0"/>
      <w:marTop w:val="0"/>
      <w:marBottom w:val="0"/>
      <w:divBdr>
        <w:top w:val="none" w:sz="0" w:space="0" w:color="auto"/>
        <w:left w:val="none" w:sz="0" w:space="0" w:color="auto"/>
        <w:bottom w:val="none" w:sz="0" w:space="0" w:color="auto"/>
        <w:right w:val="none" w:sz="0" w:space="0" w:color="auto"/>
      </w:divBdr>
    </w:div>
    <w:div w:id="1544515695">
      <w:bodyDiv w:val="1"/>
      <w:marLeft w:val="0"/>
      <w:marRight w:val="0"/>
      <w:marTop w:val="0"/>
      <w:marBottom w:val="0"/>
      <w:divBdr>
        <w:top w:val="none" w:sz="0" w:space="0" w:color="auto"/>
        <w:left w:val="none" w:sz="0" w:space="0" w:color="auto"/>
        <w:bottom w:val="none" w:sz="0" w:space="0" w:color="auto"/>
        <w:right w:val="none" w:sz="0" w:space="0" w:color="auto"/>
      </w:divBdr>
    </w:div>
    <w:div w:id="1545289943">
      <w:bodyDiv w:val="1"/>
      <w:marLeft w:val="0"/>
      <w:marRight w:val="0"/>
      <w:marTop w:val="0"/>
      <w:marBottom w:val="0"/>
      <w:divBdr>
        <w:top w:val="none" w:sz="0" w:space="0" w:color="auto"/>
        <w:left w:val="none" w:sz="0" w:space="0" w:color="auto"/>
        <w:bottom w:val="none" w:sz="0" w:space="0" w:color="auto"/>
        <w:right w:val="none" w:sz="0" w:space="0" w:color="auto"/>
      </w:divBdr>
    </w:div>
    <w:div w:id="1545409719">
      <w:bodyDiv w:val="1"/>
      <w:marLeft w:val="0"/>
      <w:marRight w:val="0"/>
      <w:marTop w:val="0"/>
      <w:marBottom w:val="0"/>
      <w:divBdr>
        <w:top w:val="none" w:sz="0" w:space="0" w:color="auto"/>
        <w:left w:val="none" w:sz="0" w:space="0" w:color="auto"/>
        <w:bottom w:val="none" w:sz="0" w:space="0" w:color="auto"/>
        <w:right w:val="none" w:sz="0" w:space="0" w:color="auto"/>
      </w:divBdr>
    </w:div>
    <w:div w:id="1545562013">
      <w:bodyDiv w:val="1"/>
      <w:marLeft w:val="0"/>
      <w:marRight w:val="0"/>
      <w:marTop w:val="0"/>
      <w:marBottom w:val="0"/>
      <w:divBdr>
        <w:top w:val="none" w:sz="0" w:space="0" w:color="auto"/>
        <w:left w:val="none" w:sz="0" w:space="0" w:color="auto"/>
        <w:bottom w:val="none" w:sz="0" w:space="0" w:color="auto"/>
        <w:right w:val="none" w:sz="0" w:space="0" w:color="auto"/>
      </w:divBdr>
    </w:div>
    <w:div w:id="1547061133">
      <w:bodyDiv w:val="1"/>
      <w:marLeft w:val="0"/>
      <w:marRight w:val="0"/>
      <w:marTop w:val="0"/>
      <w:marBottom w:val="0"/>
      <w:divBdr>
        <w:top w:val="none" w:sz="0" w:space="0" w:color="auto"/>
        <w:left w:val="none" w:sz="0" w:space="0" w:color="auto"/>
        <w:bottom w:val="none" w:sz="0" w:space="0" w:color="auto"/>
        <w:right w:val="none" w:sz="0" w:space="0" w:color="auto"/>
      </w:divBdr>
    </w:div>
    <w:div w:id="1547061544">
      <w:bodyDiv w:val="1"/>
      <w:marLeft w:val="0"/>
      <w:marRight w:val="0"/>
      <w:marTop w:val="0"/>
      <w:marBottom w:val="0"/>
      <w:divBdr>
        <w:top w:val="none" w:sz="0" w:space="0" w:color="auto"/>
        <w:left w:val="none" w:sz="0" w:space="0" w:color="auto"/>
        <w:bottom w:val="none" w:sz="0" w:space="0" w:color="auto"/>
        <w:right w:val="none" w:sz="0" w:space="0" w:color="auto"/>
      </w:divBdr>
    </w:div>
    <w:div w:id="1547839725">
      <w:bodyDiv w:val="1"/>
      <w:marLeft w:val="0"/>
      <w:marRight w:val="0"/>
      <w:marTop w:val="0"/>
      <w:marBottom w:val="0"/>
      <w:divBdr>
        <w:top w:val="none" w:sz="0" w:space="0" w:color="auto"/>
        <w:left w:val="none" w:sz="0" w:space="0" w:color="auto"/>
        <w:bottom w:val="none" w:sz="0" w:space="0" w:color="auto"/>
        <w:right w:val="none" w:sz="0" w:space="0" w:color="auto"/>
      </w:divBdr>
    </w:div>
    <w:div w:id="1548757490">
      <w:bodyDiv w:val="1"/>
      <w:marLeft w:val="0"/>
      <w:marRight w:val="0"/>
      <w:marTop w:val="0"/>
      <w:marBottom w:val="0"/>
      <w:divBdr>
        <w:top w:val="none" w:sz="0" w:space="0" w:color="auto"/>
        <w:left w:val="none" w:sz="0" w:space="0" w:color="auto"/>
        <w:bottom w:val="none" w:sz="0" w:space="0" w:color="auto"/>
        <w:right w:val="none" w:sz="0" w:space="0" w:color="auto"/>
      </w:divBdr>
    </w:div>
    <w:div w:id="1548954609">
      <w:bodyDiv w:val="1"/>
      <w:marLeft w:val="0"/>
      <w:marRight w:val="0"/>
      <w:marTop w:val="0"/>
      <w:marBottom w:val="0"/>
      <w:divBdr>
        <w:top w:val="none" w:sz="0" w:space="0" w:color="auto"/>
        <w:left w:val="none" w:sz="0" w:space="0" w:color="auto"/>
        <w:bottom w:val="none" w:sz="0" w:space="0" w:color="auto"/>
        <w:right w:val="none" w:sz="0" w:space="0" w:color="auto"/>
      </w:divBdr>
    </w:div>
    <w:div w:id="1549685781">
      <w:bodyDiv w:val="1"/>
      <w:marLeft w:val="0"/>
      <w:marRight w:val="0"/>
      <w:marTop w:val="0"/>
      <w:marBottom w:val="0"/>
      <w:divBdr>
        <w:top w:val="none" w:sz="0" w:space="0" w:color="auto"/>
        <w:left w:val="none" w:sz="0" w:space="0" w:color="auto"/>
        <w:bottom w:val="none" w:sz="0" w:space="0" w:color="auto"/>
        <w:right w:val="none" w:sz="0" w:space="0" w:color="auto"/>
      </w:divBdr>
    </w:div>
    <w:div w:id="1552377628">
      <w:bodyDiv w:val="1"/>
      <w:marLeft w:val="0"/>
      <w:marRight w:val="0"/>
      <w:marTop w:val="0"/>
      <w:marBottom w:val="0"/>
      <w:divBdr>
        <w:top w:val="none" w:sz="0" w:space="0" w:color="auto"/>
        <w:left w:val="none" w:sz="0" w:space="0" w:color="auto"/>
        <w:bottom w:val="none" w:sz="0" w:space="0" w:color="auto"/>
        <w:right w:val="none" w:sz="0" w:space="0" w:color="auto"/>
      </w:divBdr>
    </w:div>
    <w:div w:id="1557660177">
      <w:bodyDiv w:val="1"/>
      <w:marLeft w:val="0"/>
      <w:marRight w:val="0"/>
      <w:marTop w:val="0"/>
      <w:marBottom w:val="0"/>
      <w:divBdr>
        <w:top w:val="none" w:sz="0" w:space="0" w:color="auto"/>
        <w:left w:val="none" w:sz="0" w:space="0" w:color="auto"/>
        <w:bottom w:val="none" w:sz="0" w:space="0" w:color="auto"/>
        <w:right w:val="none" w:sz="0" w:space="0" w:color="auto"/>
      </w:divBdr>
    </w:div>
    <w:div w:id="1557744675">
      <w:bodyDiv w:val="1"/>
      <w:marLeft w:val="0"/>
      <w:marRight w:val="0"/>
      <w:marTop w:val="0"/>
      <w:marBottom w:val="0"/>
      <w:divBdr>
        <w:top w:val="none" w:sz="0" w:space="0" w:color="auto"/>
        <w:left w:val="none" w:sz="0" w:space="0" w:color="auto"/>
        <w:bottom w:val="none" w:sz="0" w:space="0" w:color="auto"/>
        <w:right w:val="none" w:sz="0" w:space="0" w:color="auto"/>
      </w:divBdr>
    </w:div>
    <w:div w:id="1559172496">
      <w:bodyDiv w:val="1"/>
      <w:marLeft w:val="0"/>
      <w:marRight w:val="0"/>
      <w:marTop w:val="0"/>
      <w:marBottom w:val="0"/>
      <w:divBdr>
        <w:top w:val="none" w:sz="0" w:space="0" w:color="auto"/>
        <w:left w:val="none" w:sz="0" w:space="0" w:color="auto"/>
        <w:bottom w:val="none" w:sz="0" w:space="0" w:color="auto"/>
        <w:right w:val="none" w:sz="0" w:space="0" w:color="auto"/>
      </w:divBdr>
    </w:div>
    <w:div w:id="1560703916">
      <w:bodyDiv w:val="1"/>
      <w:marLeft w:val="0"/>
      <w:marRight w:val="0"/>
      <w:marTop w:val="0"/>
      <w:marBottom w:val="0"/>
      <w:divBdr>
        <w:top w:val="none" w:sz="0" w:space="0" w:color="auto"/>
        <w:left w:val="none" w:sz="0" w:space="0" w:color="auto"/>
        <w:bottom w:val="none" w:sz="0" w:space="0" w:color="auto"/>
        <w:right w:val="none" w:sz="0" w:space="0" w:color="auto"/>
      </w:divBdr>
    </w:div>
    <w:div w:id="1561790575">
      <w:bodyDiv w:val="1"/>
      <w:marLeft w:val="0"/>
      <w:marRight w:val="0"/>
      <w:marTop w:val="0"/>
      <w:marBottom w:val="0"/>
      <w:divBdr>
        <w:top w:val="none" w:sz="0" w:space="0" w:color="auto"/>
        <w:left w:val="none" w:sz="0" w:space="0" w:color="auto"/>
        <w:bottom w:val="none" w:sz="0" w:space="0" w:color="auto"/>
        <w:right w:val="none" w:sz="0" w:space="0" w:color="auto"/>
      </w:divBdr>
    </w:div>
    <w:div w:id="1565944439">
      <w:bodyDiv w:val="1"/>
      <w:marLeft w:val="0"/>
      <w:marRight w:val="0"/>
      <w:marTop w:val="0"/>
      <w:marBottom w:val="0"/>
      <w:divBdr>
        <w:top w:val="none" w:sz="0" w:space="0" w:color="auto"/>
        <w:left w:val="none" w:sz="0" w:space="0" w:color="auto"/>
        <w:bottom w:val="none" w:sz="0" w:space="0" w:color="auto"/>
        <w:right w:val="none" w:sz="0" w:space="0" w:color="auto"/>
      </w:divBdr>
    </w:div>
    <w:div w:id="1566064081">
      <w:bodyDiv w:val="1"/>
      <w:marLeft w:val="0"/>
      <w:marRight w:val="0"/>
      <w:marTop w:val="0"/>
      <w:marBottom w:val="0"/>
      <w:divBdr>
        <w:top w:val="none" w:sz="0" w:space="0" w:color="auto"/>
        <w:left w:val="none" w:sz="0" w:space="0" w:color="auto"/>
        <w:bottom w:val="none" w:sz="0" w:space="0" w:color="auto"/>
        <w:right w:val="none" w:sz="0" w:space="0" w:color="auto"/>
      </w:divBdr>
    </w:div>
    <w:div w:id="1567061331">
      <w:bodyDiv w:val="1"/>
      <w:marLeft w:val="0"/>
      <w:marRight w:val="0"/>
      <w:marTop w:val="0"/>
      <w:marBottom w:val="0"/>
      <w:divBdr>
        <w:top w:val="none" w:sz="0" w:space="0" w:color="auto"/>
        <w:left w:val="none" w:sz="0" w:space="0" w:color="auto"/>
        <w:bottom w:val="none" w:sz="0" w:space="0" w:color="auto"/>
        <w:right w:val="none" w:sz="0" w:space="0" w:color="auto"/>
      </w:divBdr>
    </w:div>
    <w:div w:id="1567717220">
      <w:bodyDiv w:val="1"/>
      <w:marLeft w:val="0"/>
      <w:marRight w:val="0"/>
      <w:marTop w:val="0"/>
      <w:marBottom w:val="0"/>
      <w:divBdr>
        <w:top w:val="none" w:sz="0" w:space="0" w:color="auto"/>
        <w:left w:val="none" w:sz="0" w:space="0" w:color="auto"/>
        <w:bottom w:val="none" w:sz="0" w:space="0" w:color="auto"/>
        <w:right w:val="none" w:sz="0" w:space="0" w:color="auto"/>
      </w:divBdr>
    </w:div>
    <w:div w:id="1569460589">
      <w:bodyDiv w:val="1"/>
      <w:marLeft w:val="0"/>
      <w:marRight w:val="0"/>
      <w:marTop w:val="0"/>
      <w:marBottom w:val="0"/>
      <w:divBdr>
        <w:top w:val="none" w:sz="0" w:space="0" w:color="auto"/>
        <w:left w:val="none" w:sz="0" w:space="0" w:color="auto"/>
        <w:bottom w:val="none" w:sz="0" w:space="0" w:color="auto"/>
        <w:right w:val="none" w:sz="0" w:space="0" w:color="auto"/>
      </w:divBdr>
    </w:div>
    <w:div w:id="1570536976">
      <w:bodyDiv w:val="1"/>
      <w:marLeft w:val="0"/>
      <w:marRight w:val="0"/>
      <w:marTop w:val="0"/>
      <w:marBottom w:val="0"/>
      <w:divBdr>
        <w:top w:val="none" w:sz="0" w:space="0" w:color="auto"/>
        <w:left w:val="none" w:sz="0" w:space="0" w:color="auto"/>
        <w:bottom w:val="none" w:sz="0" w:space="0" w:color="auto"/>
        <w:right w:val="none" w:sz="0" w:space="0" w:color="auto"/>
      </w:divBdr>
    </w:div>
    <w:div w:id="1574200348">
      <w:bodyDiv w:val="1"/>
      <w:marLeft w:val="0"/>
      <w:marRight w:val="0"/>
      <w:marTop w:val="0"/>
      <w:marBottom w:val="0"/>
      <w:divBdr>
        <w:top w:val="none" w:sz="0" w:space="0" w:color="auto"/>
        <w:left w:val="none" w:sz="0" w:space="0" w:color="auto"/>
        <w:bottom w:val="none" w:sz="0" w:space="0" w:color="auto"/>
        <w:right w:val="none" w:sz="0" w:space="0" w:color="auto"/>
      </w:divBdr>
    </w:div>
    <w:div w:id="1575630305">
      <w:bodyDiv w:val="1"/>
      <w:marLeft w:val="0"/>
      <w:marRight w:val="0"/>
      <w:marTop w:val="0"/>
      <w:marBottom w:val="0"/>
      <w:divBdr>
        <w:top w:val="none" w:sz="0" w:space="0" w:color="auto"/>
        <w:left w:val="none" w:sz="0" w:space="0" w:color="auto"/>
        <w:bottom w:val="none" w:sz="0" w:space="0" w:color="auto"/>
        <w:right w:val="none" w:sz="0" w:space="0" w:color="auto"/>
      </w:divBdr>
    </w:div>
    <w:div w:id="1576545191">
      <w:bodyDiv w:val="1"/>
      <w:marLeft w:val="0"/>
      <w:marRight w:val="0"/>
      <w:marTop w:val="0"/>
      <w:marBottom w:val="0"/>
      <w:divBdr>
        <w:top w:val="none" w:sz="0" w:space="0" w:color="auto"/>
        <w:left w:val="none" w:sz="0" w:space="0" w:color="auto"/>
        <w:bottom w:val="none" w:sz="0" w:space="0" w:color="auto"/>
        <w:right w:val="none" w:sz="0" w:space="0" w:color="auto"/>
      </w:divBdr>
    </w:div>
    <w:div w:id="1577858260">
      <w:bodyDiv w:val="1"/>
      <w:marLeft w:val="0"/>
      <w:marRight w:val="0"/>
      <w:marTop w:val="0"/>
      <w:marBottom w:val="0"/>
      <w:divBdr>
        <w:top w:val="none" w:sz="0" w:space="0" w:color="auto"/>
        <w:left w:val="none" w:sz="0" w:space="0" w:color="auto"/>
        <w:bottom w:val="none" w:sz="0" w:space="0" w:color="auto"/>
        <w:right w:val="none" w:sz="0" w:space="0" w:color="auto"/>
      </w:divBdr>
    </w:div>
    <w:div w:id="1578592891">
      <w:bodyDiv w:val="1"/>
      <w:marLeft w:val="0"/>
      <w:marRight w:val="0"/>
      <w:marTop w:val="0"/>
      <w:marBottom w:val="0"/>
      <w:divBdr>
        <w:top w:val="none" w:sz="0" w:space="0" w:color="auto"/>
        <w:left w:val="none" w:sz="0" w:space="0" w:color="auto"/>
        <w:bottom w:val="none" w:sz="0" w:space="0" w:color="auto"/>
        <w:right w:val="none" w:sz="0" w:space="0" w:color="auto"/>
      </w:divBdr>
    </w:div>
    <w:div w:id="1579092528">
      <w:bodyDiv w:val="1"/>
      <w:marLeft w:val="0"/>
      <w:marRight w:val="0"/>
      <w:marTop w:val="0"/>
      <w:marBottom w:val="0"/>
      <w:divBdr>
        <w:top w:val="none" w:sz="0" w:space="0" w:color="auto"/>
        <w:left w:val="none" w:sz="0" w:space="0" w:color="auto"/>
        <w:bottom w:val="none" w:sz="0" w:space="0" w:color="auto"/>
        <w:right w:val="none" w:sz="0" w:space="0" w:color="auto"/>
      </w:divBdr>
    </w:div>
    <w:div w:id="1580794554">
      <w:bodyDiv w:val="1"/>
      <w:marLeft w:val="0"/>
      <w:marRight w:val="0"/>
      <w:marTop w:val="0"/>
      <w:marBottom w:val="0"/>
      <w:divBdr>
        <w:top w:val="none" w:sz="0" w:space="0" w:color="auto"/>
        <w:left w:val="none" w:sz="0" w:space="0" w:color="auto"/>
        <w:bottom w:val="none" w:sz="0" w:space="0" w:color="auto"/>
        <w:right w:val="none" w:sz="0" w:space="0" w:color="auto"/>
      </w:divBdr>
    </w:div>
    <w:div w:id="1582368772">
      <w:bodyDiv w:val="1"/>
      <w:marLeft w:val="0"/>
      <w:marRight w:val="0"/>
      <w:marTop w:val="0"/>
      <w:marBottom w:val="0"/>
      <w:divBdr>
        <w:top w:val="none" w:sz="0" w:space="0" w:color="auto"/>
        <w:left w:val="none" w:sz="0" w:space="0" w:color="auto"/>
        <w:bottom w:val="none" w:sz="0" w:space="0" w:color="auto"/>
        <w:right w:val="none" w:sz="0" w:space="0" w:color="auto"/>
      </w:divBdr>
    </w:div>
    <w:div w:id="1582526705">
      <w:bodyDiv w:val="1"/>
      <w:marLeft w:val="0"/>
      <w:marRight w:val="0"/>
      <w:marTop w:val="0"/>
      <w:marBottom w:val="0"/>
      <w:divBdr>
        <w:top w:val="none" w:sz="0" w:space="0" w:color="auto"/>
        <w:left w:val="none" w:sz="0" w:space="0" w:color="auto"/>
        <w:bottom w:val="none" w:sz="0" w:space="0" w:color="auto"/>
        <w:right w:val="none" w:sz="0" w:space="0" w:color="auto"/>
      </w:divBdr>
    </w:div>
    <w:div w:id="1585340055">
      <w:bodyDiv w:val="1"/>
      <w:marLeft w:val="0"/>
      <w:marRight w:val="0"/>
      <w:marTop w:val="0"/>
      <w:marBottom w:val="0"/>
      <w:divBdr>
        <w:top w:val="none" w:sz="0" w:space="0" w:color="auto"/>
        <w:left w:val="none" w:sz="0" w:space="0" w:color="auto"/>
        <w:bottom w:val="none" w:sz="0" w:space="0" w:color="auto"/>
        <w:right w:val="none" w:sz="0" w:space="0" w:color="auto"/>
      </w:divBdr>
    </w:div>
    <w:div w:id="1591739537">
      <w:bodyDiv w:val="1"/>
      <w:marLeft w:val="0"/>
      <w:marRight w:val="0"/>
      <w:marTop w:val="0"/>
      <w:marBottom w:val="0"/>
      <w:divBdr>
        <w:top w:val="none" w:sz="0" w:space="0" w:color="auto"/>
        <w:left w:val="none" w:sz="0" w:space="0" w:color="auto"/>
        <w:bottom w:val="none" w:sz="0" w:space="0" w:color="auto"/>
        <w:right w:val="none" w:sz="0" w:space="0" w:color="auto"/>
      </w:divBdr>
    </w:div>
    <w:div w:id="1597863521">
      <w:bodyDiv w:val="1"/>
      <w:marLeft w:val="0"/>
      <w:marRight w:val="0"/>
      <w:marTop w:val="0"/>
      <w:marBottom w:val="0"/>
      <w:divBdr>
        <w:top w:val="none" w:sz="0" w:space="0" w:color="auto"/>
        <w:left w:val="none" w:sz="0" w:space="0" w:color="auto"/>
        <w:bottom w:val="none" w:sz="0" w:space="0" w:color="auto"/>
        <w:right w:val="none" w:sz="0" w:space="0" w:color="auto"/>
      </w:divBdr>
    </w:div>
    <w:div w:id="1600215314">
      <w:bodyDiv w:val="1"/>
      <w:marLeft w:val="0"/>
      <w:marRight w:val="0"/>
      <w:marTop w:val="0"/>
      <w:marBottom w:val="0"/>
      <w:divBdr>
        <w:top w:val="none" w:sz="0" w:space="0" w:color="auto"/>
        <w:left w:val="none" w:sz="0" w:space="0" w:color="auto"/>
        <w:bottom w:val="none" w:sz="0" w:space="0" w:color="auto"/>
        <w:right w:val="none" w:sz="0" w:space="0" w:color="auto"/>
      </w:divBdr>
    </w:div>
    <w:div w:id="1602033456">
      <w:bodyDiv w:val="1"/>
      <w:marLeft w:val="0"/>
      <w:marRight w:val="0"/>
      <w:marTop w:val="0"/>
      <w:marBottom w:val="0"/>
      <w:divBdr>
        <w:top w:val="none" w:sz="0" w:space="0" w:color="auto"/>
        <w:left w:val="none" w:sz="0" w:space="0" w:color="auto"/>
        <w:bottom w:val="none" w:sz="0" w:space="0" w:color="auto"/>
        <w:right w:val="none" w:sz="0" w:space="0" w:color="auto"/>
      </w:divBdr>
    </w:div>
    <w:div w:id="1602757381">
      <w:bodyDiv w:val="1"/>
      <w:marLeft w:val="0"/>
      <w:marRight w:val="0"/>
      <w:marTop w:val="0"/>
      <w:marBottom w:val="0"/>
      <w:divBdr>
        <w:top w:val="none" w:sz="0" w:space="0" w:color="auto"/>
        <w:left w:val="none" w:sz="0" w:space="0" w:color="auto"/>
        <w:bottom w:val="none" w:sz="0" w:space="0" w:color="auto"/>
        <w:right w:val="none" w:sz="0" w:space="0" w:color="auto"/>
      </w:divBdr>
    </w:div>
    <w:div w:id="1603489035">
      <w:bodyDiv w:val="1"/>
      <w:marLeft w:val="0"/>
      <w:marRight w:val="0"/>
      <w:marTop w:val="0"/>
      <w:marBottom w:val="0"/>
      <w:divBdr>
        <w:top w:val="none" w:sz="0" w:space="0" w:color="auto"/>
        <w:left w:val="none" w:sz="0" w:space="0" w:color="auto"/>
        <w:bottom w:val="none" w:sz="0" w:space="0" w:color="auto"/>
        <w:right w:val="none" w:sz="0" w:space="0" w:color="auto"/>
      </w:divBdr>
    </w:div>
    <w:div w:id="1603994879">
      <w:bodyDiv w:val="1"/>
      <w:marLeft w:val="0"/>
      <w:marRight w:val="0"/>
      <w:marTop w:val="0"/>
      <w:marBottom w:val="0"/>
      <w:divBdr>
        <w:top w:val="none" w:sz="0" w:space="0" w:color="auto"/>
        <w:left w:val="none" w:sz="0" w:space="0" w:color="auto"/>
        <w:bottom w:val="none" w:sz="0" w:space="0" w:color="auto"/>
        <w:right w:val="none" w:sz="0" w:space="0" w:color="auto"/>
      </w:divBdr>
    </w:div>
    <w:div w:id="1605069408">
      <w:bodyDiv w:val="1"/>
      <w:marLeft w:val="0"/>
      <w:marRight w:val="0"/>
      <w:marTop w:val="0"/>
      <w:marBottom w:val="0"/>
      <w:divBdr>
        <w:top w:val="none" w:sz="0" w:space="0" w:color="auto"/>
        <w:left w:val="none" w:sz="0" w:space="0" w:color="auto"/>
        <w:bottom w:val="none" w:sz="0" w:space="0" w:color="auto"/>
        <w:right w:val="none" w:sz="0" w:space="0" w:color="auto"/>
      </w:divBdr>
    </w:div>
    <w:div w:id="1605306956">
      <w:bodyDiv w:val="1"/>
      <w:marLeft w:val="0"/>
      <w:marRight w:val="0"/>
      <w:marTop w:val="0"/>
      <w:marBottom w:val="0"/>
      <w:divBdr>
        <w:top w:val="none" w:sz="0" w:space="0" w:color="auto"/>
        <w:left w:val="none" w:sz="0" w:space="0" w:color="auto"/>
        <w:bottom w:val="none" w:sz="0" w:space="0" w:color="auto"/>
        <w:right w:val="none" w:sz="0" w:space="0" w:color="auto"/>
      </w:divBdr>
    </w:div>
    <w:div w:id="1606227865">
      <w:bodyDiv w:val="1"/>
      <w:marLeft w:val="0"/>
      <w:marRight w:val="0"/>
      <w:marTop w:val="0"/>
      <w:marBottom w:val="0"/>
      <w:divBdr>
        <w:top w:val="none" w:sz="0" w:space="0" w:color="auto"/>
        <w:left w:val="none" w:sz="0" w:space="0" w:color="auto"/>
        <w:bottom w:val="none" w:sz="0" w:space="0" w:color="auto"/>
        <w:right w:val="none" w:sz="0" w:space="0" w:color="auto"/>
      </w:divBdr>
    </w:div>
    <w:div w:id="1607039995">
      <w:bodyDiv w:val="1"/>
      <w:marLeft w:val="0"/>
      <w:marRight w:val="0"/>
      <w:marTop w:val="0"/>
      <w:marBottom w:val="0"/>
      <w:divBdr>
        <w:top w:val="none" w:sz="0" w:space="0" w:color="auto"/>
        <w:left w:val="none" w:sz="0" w:space="0" w:color="auto"/>
        <w:bottom w:val="none" w:sz="0" w:space="0" w:color="auto"/>
        <w:right w:val="none" w:sz="0" w:space="0" w:color="auto"/>
      </w:divBdr>
    </w:div>
    <w:div w:id="1607538029">
      <w:bodyDiv w:val="1"/>
      <w:marLeft w:val="0"/>
      <w:marRight w:val="0"/>
      <w:marTop w:val="0"/>
      <w:marBottom w:val="0"/>
      <w:divBdr>
        <w:top w:val="none" w:sz="0" w:space="0" w:color="auto"/>
        <w:left w:val="none" w:sz="0" w:space="0" w:color="auto"/>
        <w:bottom w:val="none" w:sz="0" w:space="0" w:color="auto"/>
        <w:right w:val="none" w:sz="0" w:space="0" w:color="auto"/>
      </w:divBdr>
    </w:div>
    <w:div w:id="1609316350">
      <w:bodyDiv w:val="1"/>
      <w:marLeft w:val="0"/>
      <w:marRight w:val="0"/>
      <w:marTop w:val="0"/>
      <w:marBottom w:val="0"/>
      <w:divBdr>
        <w:top w:val="none" w:sz="0" w:space="0" w:color="auto"/>
        <w:left w:val="none" w:sz="0" w:space="0" w:color="auto"/>
        <w:bottom w:val="none" w:sz="0" w:space="0" w:color="auto"/>
        <w:right w:val="none" w:sz="0" w:space="0" w:color="auto"/>
      </w:divBdr>
    </w:div>
    <w:div w:id="1611162452">
      <w:bodyDiv w:val="1"/>
      <w:marLeft w:val="0"/>
      <w:marRight w:val="0"/>
      <w:marTop w:val="0"/>
      <w:marBottom w:val="0"/>
      <w:divBdr>
        <w:top w:val="none" w:sz="0" w:space="0" w:color="auto"/>
        <w:left w:val="none" w:sz="0" w:space="0" w:color="auto"/>
        <w:bottom w:val="none" w:sz="0" w:space="0" w:color="auto"/>
        <w:right w:val="none" w:sz="0" w:space="0" w:color="auto"/>
      </w:divBdr>
    </w:div>
    <w:div w:id="1614094252">
      <w:bodyDiv w:val="1"/>
      <w:marLeft w:val="0"/>
      <w:marRight w:val="0"/>
      <w:marTop w:val="0"/>
      <w:marBottom w:val="0"/>
      <w:divBdr>
        <w:top w:val="none" w:sz="0" w:space="0" w:color="auto"/>
        <w:left w:val="none" w:sz="0" w:space="0" w:color="auto"/>
        <w:bottom w:val="none" w:sz="0" w:space="0" w:color="auto"/>
        <w:right w:val="none" w:sz="0" w:space="0" w:color="auto"/>
      </w:divBdr>
    </w:div>
    <w:div w:id="1619020178">
      <w:bodyDiv w:val="1"/>
      <w:marLeft w:val="0"/>
      <w:marRight w:val="0"/>
      <w:marTop w:val="0"/>
      <w:marBottom w:val="0"/>
      <w:divBdr>
        <w:top w:val="none" w:sz="0" w:space="0" w:color="auto"/>
        <w:left w:val="none" w:sz="0" w:space="0" w:color="auto"/>
        <w:bottom w:val="none" w:sz="0" w:space="0" w:color="auto"/>
        <w:right w:val="none" w:sz="0" w:space="0" w:color="auto"/>
      </w:divBdr>
    </w:div>
    <w:div w:id="1620068593">
      <w:bodyDiv w:val="1"/>
      <w:marLeft w:val="0"/>
      <w:marRight w:val="0"/>
      <w:marTop w:val="0"/>
      <w:marBottom w:val="0"/>
      <w:divBdr>
        <w:top w:val="none" w:sz="0" w:space="0" w:color="auto"/>
        <w:left w:val="none" w:sz="0" w:space="0" w:color="auto"/>
        <w:bottom w:val="none" w:sz="0" w:space="0" w:color="auto"/>
        <w:right w:val="none" w:sz="0" w:space="0" w:color="auto"/>
      </w:divBdr>
    </w:div>
    <w:div w:id="1621690252">
      <w:bodyDiv w:val="1"/>
      <w:marLeft w:val="0"/>
      <w:marRight w:val="0"/>
      <w:marTop w:val="0"/>
      <w:marBottom w:val="0"/>
      <w:divBdr>
        <w:top w:val="none" w:sz="0" w:space="0" w:color="auto"/>
        <w:left w:val="none" w:sz="0" w:space="0" w:color="auto"/>
        <w:bottom w:val="none" w:sz="0" w:space="0" w:color="auto"/>
        <w:right w:val="none" w:sz="0" w:space="0" w:color="auto"/>
      </w:divBdr>
    </w:div>
    <w:div w:id="1627471140">
      <w:bodyDiv w:val="1"/>
      <w:marLeft w:val="0"/>
      <w:marRight w:val="0"/>
      <w:marTop w:val="0"/>
      <w:marBottom w:val="0"/>
      <w:divBdr>
        <w:top w:val="none" w:sz="0" w:space="0" w:color="auto"/>
        <w:left w:val="none" w:sz="0" w:space="0" w:color="auto"/>
        <w:bottom w:val="none" w:sz="0" w:space="0" w:color="auto"/>
        <w:right w:val="none" w:sz="0" w:space="0" w:color="auto"/>
      </w:divBdr>
    </w:div>
    <w:div w:id="1630669419">
      <w:bodyDiv w:val="1"/>
      <w:marLeft w:val="0"/>
      <w:marRight w:val="0"/>
      <w:marTop w:val="0"/>
      <w:marBottom w:val="0"/>
      <w:divBdr>
        <w:top w:val="none" w:sz="0" w:space="0" w:color="auto"/>
        <w:left w:val="none" w:sz="0" w:space="0" w:color="auto"/>
        <w:bottom w:val="none" w:sz="0" w:space="0" w:color="auto"/>
        <w:right w:val="none" w:sz="0" w:space="0" w:color="auto"/>
      </w:divBdr>
    </w:div>
    <w:div w:id="1633435437">
      <w:bodyDiv w:val="1"/>
      <w:marLeft w:val="0"/>
      <w:marRight w:val="0"/>
      <w:marTop w:val="0"/>
      <w:marBottom w:val="0"/>
      <w:divBdr>
        <w:top w:val="none" w:sz="0" w:space="0" w:color="auto"/>
        <w:left w:val="none" w:sz="0" w:space="0" w:color="auto"/>
        <w:bottom w:val="none" w:sz="0" w:space="0" w:color="auto"/>
        <w:right w:val="none" w:sz="0" w:space="0" w:color="auto"/>
      </w:divBdr>
    </w:div>
    <w:div w:id="1633513994">
      <w:bodyDiv w:val="1"/>
      <w:marLeft w:val="0"/>
      <w:marRight w:val="0"/>
      <w:marTop w:val="0"/>
      <w:marBottom w:val="0"/>
      <w:divBdr>
        <w:top w:val="none" w:sz="0" w:space="0" w:color="auto"/>
        <w:left w:val="none" w:sz="0" w:space="0" w:color="auto"/>
        <w:bottom w:val="none" w:sz="0" w:space="0" w:color="auto"/>
        <w:right w:val="none" w:sz="0" w:space="0" w:color="auto"/>
      </w:divBdr>
    </w:div>
    <w:div w:id="1633946487">
      <w:bodyDiv w:val="1"/>
      <w:marLeft w:val="0"/>
      <w:marRight w:val="0"/>
      <w:marTop w:val="0"/>
      <w:marBottom w:val="0"/>
      <w:divBdr>
        <w:top w:val="none" w:sz="0" w:space="0" w:color="auto"/>
        <w:left w:val="none" w:sz="0" w:space="0" w:color="auto"/>
        <w:bottom w:val="none" w:sz="0" w:space="0" w:color="auto"/>
        <w:right w:val="none" w:sz="0" w:space="0" w:color="auto"/>
      </w:divBdr>
    </w:div>
    <w:div w:id="1634486342">
      <w:bodyDiv w:val="1"/>
      <w:marLeft w:val="0"/>
      <w:marRight w:val="0"/>
      <w:marTop w:val="0"/>
      <w:marBottom w:val="0"/>
      <w:divBdr>
        <w:top w:val="none" w:sz="0" w:space="0" w:color="auto"/>
        <w:left w:val="none" w:sz="0" w:space="0" w:color="auto"/>
        <w:bottom w:val="none" w:sz="0" w:space="0" w:color="auto"/>
        <w:right w:val="none" w:sz="0" w:space="0" w:color="auto"/>
      </w:divBdr>
    </w:div>
    <w:div w:id="1634751004">
      <w:bodyDiv w:val="1"/>
      <w:marLeft w:val="0"/>
      <w:marRight w:val="0"/>
      <w:marTop w:val="0"/>
      <w:marBottom w:val="0"/>
      <w:divBdr>
        <w:top w:val="none" w:sz="0" w:space="0" w:color="auto"/>
        <w:left w:val="none" w:sz="0" w:space="0" w:color="auto"/>
        <w:bottom w:val="none" w:sz="0" w:space="0" w:color="auto"/>
        <w:right w:val="none" w:sz="0" w:space="0" w:color="auto"/>
      </w:divBdr>
    </w:div>
    <w:div w:id="1636715672">
      <w:bodyDiv w:val="1"/>
      <w:marLeft w:val="0"/>
      <w:marRight w:val="0"/>
      <w:marTop w:val="0"/>
      <w:marBottom w:val="0"/>
      <w:divBdr>
        <w:top w:val="none" w:sz="0" w:space="0" w:color="auto"/>
        <w:left w:val="none" w:sz="0" w:space="0" w:color="auto"/>
        <w:bottom w:val="none" w:sz="0" w:space="0" w:color="auto"/>
        <w:right w:val="none" w:sz="0" w:space="0" w:color="auto"/>
      </w:divBdr>
    </w:div>
    <w:div w:id="1638684583">
      <w:bodyDiv w:val="1"/>
      <w:marLeft w:val="0"/>
      <w:marRight w:val="0"/>
      <w:marTop w:val="0"/>
      <w:marBottom w:val="0"/>
      <w:divBdr>
        <w:top w:val="none" w:sz="0" w:space="0" w:color="auto"/>
        <w:left w:val="none" w:sz="0" w:space="0" w:color="auto"/>
        <w:bottom w:val="none" w:sz="0" w:space="0" w:color="auto"/>
        <w:right w:val="none" w:sz="0" w:space="0" w:color="auto"/>
      </w:divBdr>
    </w:div>
    <w:div w:id="1639801336">
      <w:bodyDiv w:val="1"/>
      <w:marLeft w:val="0"/>
      <w:marRight w:val="0"/>
      <w:marTop w:val="0"/>
      <w:marBottom w:val="0"/>
      <w:divBdr>
        <w:top w:val="none" w:sz="0" w:space="0" w:color="auto"/>
        <w:left w:val="none" w:sz="0" w:space="0" w:color="auto"/>
        <w:bottom w:val="none" w:sz="0" w:space="0" w:color="auto"/>
        <w:right w:val="none" w:sz="0" w:space="0" w:color="auto"/>
      </w:divBdr>
    </w:div>
    <w:div w:id="1640763772">
      <w:bodyDiv w:val="1"/>
      <w:marLeft w:val="0"/>
      <w:marRight w:val="0"/>
      <w:marTop w:val="0"/>
      <w:marBottom w:val="0"/>
      <w:divBdr>
        <w:top w:val="none" w:sz="0" w:space="0" w:color="auto"/>
        <w:left w:val="none" w:sz="0" w:space="0" w:color="auto"/>
        <w:bottom w:val="none" w:sz="0" w:space="0" w:color="auto"/>
        <w:right w:val="none" w:sz="0" w:space="0" w:color="auto"/>
      </w:divBdr>
    </w:div>
    <w:div w:id="1641494186">
      <w:bodyDiv w:val="1"/>
      <w:marLeft w:val="0"/>
      <w:marRight w:val="0"/>
      <w:marTop w:val="0"/>
      <w:marBottom w:val="0"/>
      <w:divBdr>
        <w:top w:val="none" w:sz="0" w:space="0" w:color="auto"/>
        <w:left w:val="none" w:sz="0" w:space="0" w:color="auto"/>
        <w:bottom w:val="none" w:sz="0" w:space="0" w:color="auto"/>
        <w:right w:val="none" w:sz="0" w:space="0" w:color="auto"/>
      </w:divBdr>
    </w:div>
    <w:div w:id="1642274601">
      <w:bodyDiv w:val="1"/>
      <w:marLeft w:val="0"/>
      <w:marRight w:val="0"/>
      <w:marTop w:val="0"/>
      <w:marBottom w:val="0"/>
      <w:divBdr>
        <w:top w:val="none" w:sz="0" w:space="0" w:color="auto"/>
        <w:left w:val="none" w:sz="0" w:space="0" w:color="auto"/>
        <w:bottom w:val="none" w:sz="0" w:space="0" w:color="auto"/>
        <w:right w:val="none" w:sz="0" w:space="0" w:color="auto"/>
      </w:divBdr>
    </w:div>
    <w:div w:id="1643775987">
      <w:bodyDiv w:val="1"/>
      <w:marLeft w:val="0"/>
      <w:marRight w:val="0"/>
      <w:marTop w:val="0"/>
      <w:marBottom w:val="0"/>
      <w:divBdr>
        <w:top w:val="none" w:sz="0" w:space="0" w:color="auto"/>
        <w:left w:val="none" w:sz="0" w:space="0" w:color="auto"/>
        <w:bottom w:val="none" w:sz="0" w:space="0" w:color="auto"/>
        <w:right w:val="none" w:sz="0" w:space="0" w:color="auto"/>
      </w:divBdr>
    </w:div>
    <w:div w:id="1645574860">
      <w:bodyDiv w:val="1"/>
      <w:marLeft w:val="0"/>
      <w:marRight w:val="0"/>
      <w:marTop w:val="0"/>
      <w:marBottom w:val="0"/>
      <w:divBdr>
        <w:top w:val="none" w:sz="0" w:space="0" w:color="auto"/>
        <w:left w:val="none" w:sz="0" w:space="0" w:color="auto"/>
        <w:bottom w:val="none" w:sz="0" w:space="0" w:color="auto"/>
        <w:right w:val="none" w:sz="0" w:space="0" w:color="auto"/>
      </w:divBdr>
    </w:div>
    <w:div w:id="1645741746">
      <w:bodyDiv w:val="1"/>
      <w:marLeft w:val="0"/>
      <w:marRight w:val="0"/>
      <w:marTop w:val="0"/>
      <w:marBottom w:val="0"/>
      <w:divBdr>
        <w:top w:val="none" w:sz="0" w:space="0" w:color="auto"/>
        <w:left w:val="none" w:sz="0" w:space="0" w:color="auto"/>
        <w:bottom w:val="none" w:sz="0" w:space="0" w:color="auto"/>
        <w:right w:val="none" w:sz="0" w:space="0" w:color="auto"/>
      </w:divBdr>
    </w:div>
    <w:div w:id="1647202244">
      <w:bodyDiv w:val="1"/>
      <w:marLeft w:val="0"/>
      <w:marRight w:val="0"/>
      <w:marTop w:val="0"/>
      <w:marBottom w:val="0"/>
      <w:divBdr>
        <w:top w:val="none" w:sz="0" w:space="0" w:color="auto"/>
        <w:left w:val="none" w:sz="0" w:space="0" w:color="auto"/>
        <w:bottom w:val="none" w:sz="0" w:space="0" w:color="auto"/>
        <w:right w:val="none" w:sz="0" w:space="0" w:color="auto"/>
      </w:divBdr>
    </w:div>
    <w:div w:id="1649045680">
      <w:bodyDiv w:val="1"/>
      <w:marLeft w:val="0"/>
      <w:marRight w:val="0"/>
      <w:marTop w:val="0"/>
      <w:marBottom w:val="0"/>
      <w:divBdr>
        <w:top w:val="none" w:sz="0" w:space="0" w:color="auto"/>
        <w:left w:val="none" w:sz="0" w:space="0" w:color="auto"/>
        <w:bottom w:val="none" w:sz="0" w:space="0" w:color="auto"/>
        <w:right w:val="none" w:sz="0" w:space="0" w:color="auto"/>
      </w:divBdr>
    </w:div>
    <w:div w:id="1649237877">
      <w:bodyDiv w:val="1"/>
      <w:marLeft w:val="0"/>
      <w:marRight w:val="0"/>
      <w:marTop w:val="0"/>
      <w:marBottom w:val="0"/>
      <w:divBdr>
        <w:top w:val="none" w:sz="0" w:space="0" w:color="auto"/>
        <w:left w:val="none" w:sz="0" w:space="0" w:color="auto"/>
        <w:bottom w:val="none" w:sz="0" w:space="0" w:color="auto"/>
        <w:right w:val="none" w:sz="0" w:space="0" w:color="auto"/>
      </w:divBdr>
    </w:div>
    <w:div w:id="1649549177">
      <w:bodyDiv w:val="1"/>
      <w:marLeft w:val="0"/>
      <w:marRight w:val="0"/>
      <w:marTop w:val="0"/>
      <w:marBottom w:val="0"/>
      <w:divBdr>
        <w:top w:val="none" w:sz="0" w:space="0" w:color="auto"/>
        <w:left w:val="none" w:sz="0" w:space="0" w:color="auto"/>
        <w:bottom w:val="none" w:sz="0" w:space="0" w:color="auto"/>
        <w:right w:val="none" w:sz="0" w:space="0" w:color="auto"/>
      </w:divBdr>
    </w:div>
    <w:div w:id="1649896079">
      <w:bodyDiv w:val="1"/>
      <w:marLeft w:val="0"/>
      <w:marRight w:val="0"/>
      <w:marTop w:val="0"/>
      <w:marBottom w:val="0"/>
      <w:divBdr>
        <w:top w:val="none" w:sz="0" w:space="0" w:color="auto"/>
        <w:left w:val="none" w:sz="0" w:space="0" w:color="auto"/>
        <w:bottom w:val="none" w:sz="0" w:space="0" w:color="auto"/>
        <w:right w:val="none" w:sz="0" w:space="0" w:color="auto"/>
      </w:divBdr>
    </w:div>
    <w:div w:id="1650556302">
      <w:bodyDiv w:val="1"/>
      <w:marLeft w:val="0"/>
      <w:marRight w:val="0"/>
      <w:marTop w:val="0"/>
      <w:marBottom w:val="0"/>
      <w:divBdr>
        <w:top w:val="none" w:sz="0" w:space="0" w:color="auto"/>
        <w:left w:val="none" w:sz="0" w:space="0" w:color="auto"/>
        <w:bottom w:val="none" w:sz="0" w:space="0" w:color="auto"/>
        <w:right w:val="none" w:sz="0" w:space="0" w:color="auto"/>
      </w:divBdr>
    </w:div>
    <w:div w:id="1651179655">
      <w:bodyDiv w:val="1"/>
      <w:marLeft w:val="0"/>
      <w:marRight w:val="0"/>
      <w:marTop w:val="0"/>
      <w:marBottom w:val="0"/>
      <w:divBdr>
        <w:top w:val="none" w:sz="0" w:space="0" w:color="auto"/>
        <w:left w:val="none" w:sz="0" w:space="0" w:color="auto"/>
        <w:bottom w:val="none" w:sz="0" w:space="0" w:color="auto"/>
        <w:right w:val="none" w:sz="0" w:space="0" w:color="auto"/>
      </w:divBdr>
    </w:div>
    <w:div w:id="1653677456">
      <w:bodyDiv w:val="1"/>
      <w:marLeft w:val="0"/>
      <w:marRight w:val="0"/>
      <w:marTop w:val="0"/>
      <w:marBottom w:val="0"/>
      <w:divBdr>
        <w:top w:val="none" w:sz="0" w:space="0" w:color="auto"/>
        <w:left w:val="none" w:sz="0" w:space="0" w:color="auto"/>
        <w:bottom w:val="none" w:sz="0" w:space="0" w:color="auto"/>
        <w:right w:val="none" w:sz="0" w:space="0" w:color="auto"/>
      </w:divBdr>
    </w:div>
    <w:div w:id="1654067896">
      <w:bodyDiv w:val="1"/>
      <w:marLeft w:val="0"/>
      <w:marRight w:val="0"/>
      <w:marTop w:val="0"/>
      <w:marBottom w:val="0"/>
      <w:divBdr>
        <w:top w:val="none" w:sz="0" w:space="0" w:color="auto"/>
        <w:left w:val="none" w:sz="0" w:space="0" w:color="auto"/>
        <w:bottom w:val="none" w:sz="0" w:space="0" w:color="auto"/>
        <w:right w:val="none" w:sz="0" w:space="0" w:color="auto"/>
      </w:divBdr>
    </w:div>
    <w:div w:id="1654606441">
      <w:bodyDiv w:val="1"/>
      <w:marLeft w:val="0"/>
      <w:marRight w:val="0"/>
      <w:marTop w:val="0"/>
      <w:marBottom w:val="0"/>
      <w:divBdr>
        <w:top w:val="none" w:sz="0" w:space="0" w:color="auto"/>
        <w:left w:val="none" w:sz="0" w:space="0" w:color="auto"/>
        <w:bottom w:val="none" w:sz="0" w:space="0" w:color="auto"/>
        <w:right w:val="none" w:sz="0" w:space="0" w:color="auto"/>
      </w:divBdr>
      <w:divsChild>
        <w:div w:id="456722378">
          <w:marLeft w:val="0"/>
          <w:marRight w:val="0"/>
          <w:marTop w:val="0"/>
          <w:marBottom w:val="0"/>
          <w:divBdr>
            <w:top w:val="none" w:sz="0" w:space="0" w:color="auto"/>
            <w:left w:val="none" w:sz="0" w:space="0" w:color="auto"/>
            <w:bottom w:val="none" w:sz="0" w:space="0" w:color="auto"/>
            <w:right w:val="none" w:sz="0" w:space="0" w:color="auto"/>
          </w:divBdr>
        </w:div>
        <w:div w:id="1726297763">
          <w:marLeft w:val="0"/>
          <w:marRight w:val="0"/>
          <w:marTop w:val="0"/>
          <w:marBottom w:val="0"/>
          <w:divBdr>
            <w:top w:val="none" w:sz="0" w:space="0" w:color="auto"/>
            <w:left w:val="none" w:sz="0" w:space="0" w:color="auto"/>
            <w:bottom w:val="none" w:sz="0" w:space="0" w:color="auto"/>
            <w:right w:val="none" w:sz="0" w:space="0" w:color="auto"/>
          </w:divBdr>
        </w:div>
      </w:divsChild>
    </w:div>
    <w:div w:id="1654944091">
      <w:bodyDiv w:val="1"/>
      <w:marLeft w:val="0"/>
      <w:marRight w:val="0"/>
      <w:marTop w:val="0"/>
      <w:marBottom w:val="0"/>
      <w:divBdr>
        <w:top w:val="none" w:sz="0" w:space="0" w:color="auto"/>
        <w:left w:val="none" w:sz="0" w:space="0" w:color="auto"/>
        <w:bottom w:val="none" w:sz="0" w:space="0" w:color="auto"/>
        <w:right w:val="none" w:sz="0" w:space="0" w:color="auto"/>
      </w:divBdr>
    </w:div>
    <w:div w:id="1655603093">
      <w:bodyDiv w:val="1"/>
      <w:marLeft w:val="0"/>
      <w:marRight w:val="0"/>
      <w:marTop w:val="0"/>
      <w:marBottom w:val="0"/>
      <w:divBdr>
        <w:top w:val="none" w:sz="0" w:space="0" w:color="auto"/>
        <w:left w:val="none" w:sz="0" w:space="0" w:color="auto"/>
        <w:bottom w:val="none" w:sz="0" w:space="0" w:color="auto"/>
        <w:right w:val="none" w:sz="0" w:space="0" w:color="auto"/>
      </w:divBdr>
    </w:div>
    <w:div w:id="1655724195">
      <w:bodyDiv w:val="1"/>
      <w:marLeft w:val="0"/>
      <w:marRight w:val="0"/>
      <w:marTop w:val="0"/>
      <w:marBottom w:val="0"/>
      <w:divBdr>
        <w:top w:val="none" w:sz="0" w:space="0" w:color="auto"/>
        <w:left w:val="none" w:sz="0" w:space="0" w:color="auto"/>
        <w:bottom w:val="none" w:sz="0" w:space="0" w:color="auto"/>
        <w:right w:val="none" w:sz="0" w:space="0" w:color="auto"/>
      </w:divBdr>
    </w:div>
    <w:div w:id="1655792540">
      <w:bodyDiv w:val="1"/>
      <w:marLeft w:val="0"/>
      <w:marRight w:val="0"/>
      <w:marTop w:val="0"/>
      <w:marBottom w:val="0"/>
      <w:divBdr>
        <w:top w:val="none" w:sz="0" w:space="0" w:color="auto"/>
        <w:left w:val="none" w:sz="0" w:space="0" w:color="auto"/>
        <w:bottom w:val="none" w:sz="0" w:space="0" w:color="auto"/>
        <w:right w:val="none" w:sz="0" w:space="0" w:color="auto"/>
      </w:divBdr>
    </w:div>
    <w:div w:id="1656958248">
      <w:bodyDiv w:val="1"/>
      <w:marLeft w:val="0"/>
      <w:marRight w:val="0"/>
      <w:marTop w:val="0"/>
      <w:marBottom w:val="0"/>
      <w:divBdr>
        <w:top w:val="none" w:sz="0" w:space="0" w:color="auto"/>
        <w:left w:val="none" w:sz="0" w:space="0" w:color="auto"/>
        <w:bottom w:val="none" w:sz="0" w:space="0" w:color="auto"/>
        <w:right w:val="none" w:sz="0" w:space="0" w:color="auto"/>
      </w:divBdr>
    </w:div>
    <w:div w:id="1657951099">
      <w:bodyDiv w:val="1"/>
      <w:marLeft w:val="0"/>
      <w:marRight w:val="0"/>
      <w:marTop w:val="0"/>
      <w:marBottom w:val="0"/>
      <w:divBdr>
        <w:top w:val="none" w:sz="0" w:space="0" w:color="auto"/>
        <w:left w:val="none" w:sz="0" w:space="0" w:color="auto"/>
        <w:bottom w:val="none" w:sz="0" w:space="0" w:color="auto"/>
        <w:right w:val="none" w:sz="0" w:space="0" w:color="auto"/>
      </w:divBdr>
    </w:div>
    <w:div w:id="1659111308">
      <w:bodyDiv w:val="1"/>
      <w:marLeft w:val="0"/>
      <w:marRight w:val="0"/>
      <w:marTop w:val="0"/>
      <w:marBottom w:val="0"/>
      <w:divBdr>
        <w:top w:val="none" w:sz="0" w:space="0" w:color="auto"/>
        <w:left w:val="none" w:sz="0" w:space="0" w:color="auto"/>
        <w:bottom w:val="none" w:sz="0" w:space="0" w:color="auto"/>
        <w:right w:val="none" w:sz="0" w:space="0" w:color="auto"/>
      </w:divBdr>
    </w:div>
    <w:div w:id="1660575672">
      <w:bodyDiv w:val="1"/>
      <w:marLeft w:val="0"/>
      <w:marRight w:val="0"/>
      <w:marTop w:val="0"/>
      <w:marBottom w:val="0"/>
      <w:divBdr>
        <w:top w:val="none" w:sz="0" w:space="0" w:color="auto"/>
        <w:left w:val="none" w:sz="0" w:space="0" w:color="auto"/>
        <w:bottom w:val="none" w:sz="0" w:space="0" w:color="auto"/>
        <w:right w:val="none" w:sz="0" w:space="0" w:color="auto"/>
      </w:divBdr>
    </w:div>
    <w:div w:id="1661153952">
      <w:bodyDiv w:val="1"/>
      <w:marLeft w:val="0"/>
      <w:marRight w:val="0"/>
      <w:marTop w:val="0"/>
      <w:marBottom w:val="0"/>
      <w:divBdr>
        <w:top w:val="none" w:sz="0" w:space="0" w:color="auto"/>
        <w:left w:val="none" w:sz="0" w:space="0" w:color="auto"/>
        <w:bottom w:val="none" w:sz="0" w:space="0" w:color="auto"/>
        <w:right w:val="none" w:sz="0" w:space="0" w:color="auto"/>
      </w:divBdr>
    </w:div>
    <w:div w:id="1662124709">
      <w:bodyDiv w:val="1"/>
      <w:marLeft w:val="0"/>
      <w:marRight w:val="0"/>
      <w:marTop w:val="0"/>
      <w:marBottom w:val="0"/>
      <w:divBdr>
        <w:top w:val="none" w:sz="0" w:space="0" w:color="auto"/>
        <w:left w:val="none" w:sz="0" w:space="0" w:color="auto"/>
        <w:bottom w:val="none" w:sz="0" w:space="0" w:color="auto"/>
        <w:right w:val="none" w:sz="0" w:space="0" w:color="auto"/>
      </w:divBdr>
    </w:div>
    <w:div w:id="1662926913">
      <w:bodyDiv w:val="1"/>
      <w:marLeft w:val="0"/>
      <w:marRight w:val="0"/>
      <w:marTop w:val="0"/>
      <w:marBottom w:val="0"/>
      <w:divBdr>
        <w:top w:val="none" w:sz="0" w:space="0" w:color="auto"/>
        <w:left w:val="none" w:sz="0" w:space="0" w:color="auto"/>
        <w:bottom w:val="none" w:sz="0" w:space="0" w:color="auto"/>
        <w:right w:val="none" w:sz="0" w:space="0" w:color="auto"/>
      </w:divBdr>
    </w:div>
    <w:div w:id="1664091370">
      <w:bodyDiv w:val="1"/>
      <w:marLeft w:val="0"/>
      <w:marRight w:val="0"/>
      <w:marTop w:val="0"/>
      <w:marBottom w:val="0"/>
      <w:divBdr>
        <w:top w:val="none" w:sz="0" w:space="0" w:color="auto"/>
        <w:left w:val="none" w:sz="0" w:space="0" w:color="auto"/>
        <w:bottom w:val="none" w:sz="0" w:space="0" w:color="auto"/>
        <w:right w:val="none" w:sz="0" w:space="0" w:color="auto"/>
      </w:divBdr>
      <w:divsChild>
        <w:div w:id="709231342">
          <w:marLeft w:val="0"/>
          <w:marRight w:val="0"/>
          <w:marTop w:val="0"/>
          <w:marBottom w:val="0"/>
          <w:divBdr>
            <w:top w:val="none" w:sz="0" w:space="0" w:color="auto"/>
            <w:left w:val="none" w:sz="0" w:space="0" w:color="auto"/>
            <w:bottom w:val="none" w:sz="0" w:space="0" w:color="auto"/>
            <w:right w:val="none" w:sz="0" w:space="0" w:color="auto"/>
          </w:divBdr>
          <w:divsChild>
            <w:div w:id="1462336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234161">
      <w:bodyDiv w:val="1"/>
      <w:marLeft w:val="0"/>
      <w:marRight w:val="0"/>
      <w:marTop w:val="0"/>
      <w:marBottom w:val="0"/>
      <w:divBdr>
        <w:top w:val="none" w:sz="0" w:space="0" w:color="auto"/>
        <w:left w:val="none" w:sz="0" w:space="0" w:color="auto"/>
        <w:bottom w:val="none" w:sz="0" w:space="0" w:color="auto"/>
        <w:right w:val="none" w:sz="0" w:space="0" w:color="auto"/>
      </w:divBdr>
    </w:div>
    <w:div w:id="1667246284">
      <w:bodyDiv w:val="1"/>
      <w:marLeft w:val="0"/>
      <w:marRight w:val="0"/>
      <w:marTop w:val="0"/>
      <w:marBottom w:val="0"/>
      <w:divBdr>
        <w:top w:val="none" w:sz="0" w:space="0" w:color="auto"/>
        <w:left w:val="none" w:sz="0" w:space="0" w:color="auto"/>
        <w:bottom w:val="none" w:sz="0" w:space="0" w:color="auto"/>
        <w:right w:val="none" w:sz="0" w:space="0" w:color="auto"/>
      </w:divBdr>
    </w:div>
    <w:div w:id="1670644179">
      <w:bodyDiv w:val="1"/>
      <w:marLeft w:val="0"/>
      <w:marRight w:val="0"/>
      <w:marTop w:val="0"/>
      <w:marBottom w:val="0"/>
      <w:divBdr>
        <w:top w:val="none" w:sz="0" w:space="0" w:color="auto"/>
        <w:left w:val="none" w:sz="0" w:space="0" w:color="auto"/>
        <w:bottom w:val="none" w:sz="0" w:space="0" w:color="auto"/>
        <w:right w:val="none" w:sz="0" w:space="0" w:color="auto"/>
      </w:divBdr>
    </w:div>
    <w:div w:id="1672441763">
      <w:bodyDiv w:val="1"/>
      <w:marLeft w:val="0"/>
      <w:marRight w:val="0"/>
      <w:marTop w:val="0"/>
      <w:marBottom w:val="0"/>
      <w:divBdr>
        <w:top w:val="none" w:sz="0" w:space="0" w:color="auto"/>
        <w:left w:val="none" w:sz="0" w:space="0" w:color="auto"/>
        <w:bottom w:val="none" w:sz="0" w:space="0" w:color="auto"/>
        <w:right w:val="none" w:sz="0" w:space="0" w:color="auto"/>
      </w:divBdr>
    </w:div>
    <w:div w:id="1673609674">
      <w:bodyDiv w:val="1"/>
      <w:marLeft w:val="0"/>
      <w:marRight w:val="0"/>
      <w:marTop w:val="0"/>
      <w:marBottom w:val="0"/>
      <w:divBdr>
        <w:top w:val="none" w:sz="0" w:space="0" w:color="auto"/>
        <w:left w:val="none" w:sz="0" w:space="0" w:color="auto"/>
        <w:bottom w:val="none" w:sz="0" w:space="0" w:color="auto"/>
        <w:right w:val="none" w:sz="0" w:space="0" w:color="auto"/>
      </w:divBdr>
    </w:div>
    <w:div w:id="1674187856">
      <w:bodyDiv w:val="1"/>
      <w:marLeft w:val="0"/>
      <w:marRight w:val="0"/>
      <w:marTop w:val="0"/>
      <w:marBottom w:val="0"/>
      <w:divBdr>
        <w:top w:val="none" w:sz="0" w:space="0" w:color="auto"/>
        <w:left w:val="none" w:sz="0" w:space="0" w:color="auto"/>
        <w:bottom w:val="none" w:sz="0" w:space="0" w:color="auto"/>
        <w:right w:val="none" w:sz="0" w:space="0" w:color="auto"/>
      </w:divBdr>
    </w:div>
    <w:div w:id="1676221099">
      <w:bodyDiv w:val="1"/>
      <w:marLeft w:val="0"/>
      <w:marRight w:val="0"/>
      <w:marTop w:val="0"/>
      <w:marBottom w:val="0"/>
      <w:divBdr>
        <w:top w:val="none" w:sz="0" w:space="0" w:color="auto"/>
        <w:left w:val="none" w:sz="0" w:space="0" w:color="auto"/>
        <w:bottom w:val="none" w:sz="0" w:space="0" w:color="auto"/>
        <w:right w:val="none" w:sz="0" w:space="0" w:color="auto"/>
      </w:divBdr>
    </w:div>
    <w:div w:id="1677076924">
      <w:bodyDiv w:val="1"/>
      <w:marLeft w:val="0"/>
      <w:marRight w:val="0"/>
      <w:marTop w:val="0"/>
      <w:marBottom w:val="0"/>
      <w:divBdr>
        <w:top w:val="none" w:sz="0" w:space="0" w:color="auto"/>
        <w:left w:val="none" w:sz="0" w:space="0" w:color="auto"/>
        <w:bottom w:val="none" w:sz="0" w:space="0" w:color="auto"/>
        <w:right w:val="none" w:sz="0" w:space="0" w:color="auto"/>
      </w:divBdr>
    </w:div>
    <w:div w:id="1677686479">
      <w:bodyDiv w:val="1"/>
      <w:marLeft w:val="0"/>
      <w:marRight w:val="0"/>
      <w:marTop w:val="0"/>
      <w:marBottom w:val="0"/>
      <w:divBdr>
        <w:top w:val="none" w:sz="0" w:space="0" w:color="auto"/>
        <w:left w:val="none" w:sz="0" w:space="0" w:color="auto"/>
        <w:bottom w:val="none" w:sz="0" w:space="0" w:color="auto"/>
        <w:right w:val="none" w:sz="0" w:space="0" w:color="auto"/>
      </w:divBdr>
    </w:div>
    <w:div w:id="1679305670">
      <w:bodyDiv w:val="1"/>
      <w:marLeft w:val="0"/>
      <w:marRight w:val="0"/>
      <w:marTop w:val="0"/>
      <w:marBottom w:val="0"/>
      <w:divBdr>
        <w:top w:val="none" w:sz="0" w:space="0" w:color="auto"/>
        <w:left w:val="none" w:sz="0" w:space="0" w:color="auto"/>
        <w:bottom w:val="none" w:sz="0" w:space="0" w:color="auto"/>
        <w:right w:val="none" w:sz="0" w:space="0" w:color="auto"/>
      </w:divBdr>
      <w:divsChild>
        <w:div w:id="5937847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0510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311396">
      <w:bodyDiv w:val="1"/>
      <w:marLeft w:val="0"/>
      <w:marRight w:val="0"/>
      <w:marTop w:val="0"/>
      <w:marBottom w:val="0"/>
      <w:divBdr>
        <w:top w:val="none" w:sz="0" w:space="0" w:color="auto"/>
        <w:left w:val="none" w:sz="0" w:space="0" w:color="auto"/>
        <w:bottom w:val="none" w:sz="0" w:space="0" w:color="auto"/>
        <w:right w:val="none" w:sz="0" w:space="0" w:color="auto"/>
      </w:divBdr>
    </w:div>
    <w:div w:id="1682319477">
      <w:bodyDiv w:val="1"/>
      <w:marLeft w:val="0"/>
      <w:marRight w:val="0"/>
      <w:marTop w:val="0"/>
      <w:marBottom w:val="0"/>
      <w:divBdr>
        <w:top w:val="none" w:sz="0" w:space="0" w:color="auto"/>
        <w:left w:val="none" w:sz="0" w:space="0" w:color="auto"/>
        <w:bottom w:val="none" w:sz="0" w:space="0" w:color="auto"/>
        <w:right w:val="none" w:sz="0" w:space="0" w:color="auto"/>
      </w:divBdr>
    </w:div>
    <w:div w:id="1683434523">
      <w:bodyDiv w:val="1"/>
      <w:marLeft w:val="0"/>
      <w:marRight w:val="0"/>
      <w:marTop w:val="0"/>
      <w:marBottom w:val="0"/>
      <w:divBdr>
        <w:top w:val="none" w:sz="0" w:space="0" w:color="auto"/>
        <w:left w:val="none" w:sz="0" w:space="0" w:color="auto"/>
        <w:bottom w:val="none" w:sz="0" w:space="0" w:color="auto"/>
        <w:right w:val="none" w:sz="0" w:space="0" w:color="auto"/>
      </w:divBdr>
    </w:div>
    <w:div w:id="1684624927">
      <w:bodyDiv w:val="1"/>
      <w:marLeft w:val="0"/>
      <w:marRight w:val="0"/>
      <w:marTop w:val="0"/>
      <w:marBottom w:val="0"/>
      <w:divBdr>
        <w:top w:val="none" w:sz="0" w:space="0" w:color="auto"/>
        <w:left w:val="none" w:sz="0" w:space="0" w:color="auto"/>
        <w:bottom w:val="none" w:sz="0" w:space="0" w:color="auto"/>
        <w:right w:val="none" w:sz="0" w:space="0" w:color="auto"/>
      </w:divBdr>
    </w:div>
    <w:div w:id="1685858380">
      <w:bodyDiv w:val="1"/>
      <w:marLeft w:val="0"/>
      <w:marRight w:val="0"/>
      <w:marTop w:val="0"/>
      <w:marBottom w:val="0"/>
      <w:divBdr>
        <w:top w:val="none" w:sz="0" w:space="0" w:color="auto"/>
        <w:left w:val="none" w:sz="0" w:space="0" w:color="auto"/>
        <w:bottom w:val="none" w:sz="0" w:space="0" w:color="auto"/>
        <w:right w:val="none" w:sz="0" w:space="0" w:color="auto"/>
      </w:divBdr>
      <w:divsChild>
        <w:div w:id="699624435">
          <w:marLeft w:val="0"/>
          <w:marRight w:val="0"/>
          <w:marTop w:val="0"/>
          <w:marBottom w:val="0"/>
          <w:divBdr>
            <w:top w:val="none" w:sz="0" w:space="0" w:color="auto"/>
            <w:left w:val="none" w:sz="0" w:space="0" w:color="auto"/>
            <w:bottom w:val="none" w:sz="0" w:space="0" w:color="auto"/>
            <w:right w:val="none" w:sz="0" w:space="0" w:color="auto"/>
          </w:divBdr>
          <w:divsChild>
            <w:div w:id="927619393">
              <w:marLeft w:val="0"/>
              <w:marRight w:val="0"/>
              <w:marTop w:val="0"/>
              <w:marBottom w:val="0"/>
              <w:divBdr>
                <w:top w:val="none" w:sz="0" w:space="0" w:color="auto"/>
                <w:left w:val="none" w:sz="0" w:space="0" w:color="auto"/>
                <w:bottom w:val="none" w:sz="0" w:space="0" w:color="auto"/>
                <w:right w:val="none" w:sz="0" w:space="0" w:color="auto"/>
              </w:divBdr>
              <w:divsChild>
                <w:div w:id="571702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6325778">
      <w:bodyDiv w:val="1"/>
      <w:marLeft w:val="0"/>
      <w:marRight w:val="0"/>
      <w:marTop w:val="0"/>
      <w:marBottom w:val="0"/>
      <w:divBdr>
        <w:top w:val="none" w:sz="0" w:space="0" w:color="auto"/>
        <w:left w:val="none" w:sz="0" w:space="0" w:color="auto"/>
        <w:bottom w:val="none" w:sz="0" w:space="0" w:color="auto"/>
        <w:right w:val="none" w:sz="0" w:space="0" w:color="auto"/>
      </w:divBdr>
    </w:div>
    <w:div w:id="1687246463">
      <w:bodyDiv w:val="1"/>
      <w:marLeft w:val="0"/>
      <w:marRight w:val="0"/>
      <w:marTop w:val="0"/>
      <w:marBottom w:val="0"/>
      <w:divBdr>
        <w:top w:val="none" w:sz="0" w:space="0" w:color="auto"/>
        <w:left w:val="none" w:sz="0" w:space="0" w:color="auto"/>
        <w:bottom w:val="none" w:sz="0" w:space="0" w:color="auto"/>
        <w:right w:val="none" w:sz="0" w:space="0" w:color="auto"/>
      </w:divBdr>
    </w:div>
    <w:div w:id="1688292311">
      <w:bodyDiv w:val="1"/>
      <w:marLeft w:val="0"/>
      <w:marRight w:val="0"/>
      <w:marTop w:val="0"/>
      <w:marBottom w:val="0"/>
      <w:divBdr>
        <w:top w:val="none" w:sz="0" w:space="0" w:color="auto"/>
        <w:left w:val="none" w:sz="0" w:space="0" w:color="auto"/>
        <w:bottom w:val="none" w:sz="0" w:space="0" w:color="auto"/>
        <w:right w:val="none" w:sz="0" w:space="0" w:color="auto"/>
      </w:divBdr>
    </w:div>
    <w:div w:id="1688558675">
      <w:bodyDiv w:val="1"/>
      <w:marLeft w:val="0"/>
      <w:marRight w:val="0"/>
      <w:marTop w:val="0"/>
      <w:marBottom w:val="0"/>
      <w:divBdr>
        <w:top w:val="none" w:sz="0" w:space="0" w:color="auto"/>
        <w:left w:val="none" w:sz="0" w:space="0" w:color="auto"/>
        <w:bottom w:val="none" w:sz="0" w:space="0" w:color="auto"/>
        <w:right w:val="none" w:sz="0" w:space="0" w:color="auto"/>
      </w:divBdr>
    </w:div>
    <w:div w:id="1689679792">
      <w:bodyDiv w:val="1"/>
      <w:marLeft w:val="0"/>
      <w:marRight w:val="0"/>
      <w:marTop w:val="0"/>
      <w:marBottom w:val="0"/>
      <w:divBdr>
        <w:top w:val="none" w:sz="0" w:space="0" w:color="auto"/>
        <w:left w:val="none" w:sz="0" w:space="0" w:color="auto"/>
        <w:bottom w:val="none" w:sz="0" w:space="0" w:color="auto"/>
        <w:right w:val="none" w:sz="0" w:space="0" w:color="auto"/>
      </w:divBdr>
    </w:div>
    <w:div w:id="1691688444">
      <w:bodyDiv w:val="1"/>
      <w:marLeft w:val="0"/>
      <w:marRight w:val="0"/>
      <w:marTop w:val="0"/>
      <w:marBottom w:val="0"/>
      <w:divBdr>
        <w:top w:val="none" w:sz="0" w:space="0" w:color="auto"/>
        <w:left w:val="none" w:sz="0" w:space="0" w:color="auto"/>
        <w:bottom w:val="none" w:sz="0" w:space="0" w:color="auto"/>
        <w:right w:val="none" w:sz="0" w:space="0" w:color="auto"/>
      </w:divBdr>
    </w:div>
    <w:div w:id="1696808931">
      <w:bodyDiv w:val="1"/>
      <w:marLeft w:val="0"/>
      <w:marRight w:val="0"/>
      <w:marTop w:val="0"/>
      <w:marBottom w:val="0"/>
      <w:divBdr>
        <w:top w:val="none" w:sz="0" w:space="0" w:color="auto"/>
        <w:left w:val="none" w:sz="0" w:space="0" w:color="auto"/>
        <w:bottom w:val="none" w:sz="0" w:space="0" w:color="auto"/>
        <w:right w:val="none" w:sz="0" w:space="0" w:color="auto"/>
      </w:divBdr>
    </w:div>
    <w:div w:id="1697074803">
      <w:bodyDiv w:val="1"/>
      <w:marLeft w:val="0"/>
      <w:marRight w:val="0"/>
      <w:marTop w:val="0"/>
      <w:marBottom w:val="0"/>
      <w:divBdr>
        <w:top w:val="none" w:sz="0" w:space="0" w:color="auto"/>
        <w:left w:val="none" w:sz="0" w:space="0" w:color="auto"/>
        <w:bottom w:val="none" w:sz="0" w:space="0" w:color="auto"/>
        <w:right w:val="none" w:sz="0" w:space="0" w:color="auto"/>
      </w:divBdr>
    </w:div>
    <w:div w:id="1700859160">
      <w:bodyDiv w:val="1"/>
      <w:marLeft w:val="0"/>
      <w:marRight w:val="0"/>
      <w:marTop w:val="0"/>
      <w:marBottom w:val="0"/>
      <w:divBdr>
        <w:top w:val="none" w:sz="0" w:space="0" w:color="auto"/>
        <w:left w:val="none" w:sz="0" w:space="0" w:color="auto"/>
        <w:bottom w:val="none" w:sz="0" w:space="0" w:color="auto"/>
        <w:right w:val="none" w:sz="0" w:space="0" w:color="auto"/>
      </w:divBdr>
    </w:div>
    <w:div w:id="1702708196">
      <w:bodyDiv w:val="1"/>
      <w:marLeft w:val="0"/>
      <w:marRight w:val="0"/>
      <w:marTop w:val="0"/>
      <w:marBottom w:val="0"/>
      <w:divBdr>
        <w:top w:val="none" w:sz="0" w:space="0" w:color="auto"/>
        <w:left w:val="none" w:sz="0" w:space="0" w:color="auto"/>
        <w:bottom w:val="none" w:sz="0" w:space="0" w:color="auto"/>
        <w:right w:val="none" w:sz="0" w:space="0" w:color="auto"/>
      </w:divBdr>
    </w:div>
    <w:div w:id="1704401970">
      <w:bodyDiv w:val="1"/>
      <w:marLeft w:val="0"/>
      <w:marRight w:val="0"/>
      <w:marTop w:val="0"/>
      <w:marBottom w:val="0"/>
      <w:divBdr>
        <w:top w:val="none" w:sz="0" w:space="0" w:color="auto"/>
        <w:left w:val="none" w:sz="0" w:space="0" w:color="auto"/>
        <w:bottom w:val="none" w:sz="0" w:space="0" w:color="auto"/>
        <w:right w:val="none" w:sz="0" w:space="0" w:color="auto"/>
      </w:divBdr>
    </w:div>
    <w:div w:id="1705977740">
      <w:bodyDiv w:val="1"/>
      <w:marLeft w:val="0"/>
      <w:marRight w:val="0"/>
      <w:marTop w:val="0"/>
      <w:marBottom w:val="0"/>
      <w:divBdr>
        <w:top w:val="none" w:sz="0" w:space="0" w:color="auto"/>
        <w:left w:val="none" w:sz="0" w:space="0" w:color="auto"/>
        <w:bottom w:val="none" w:sz="0" w:space="0" w:color="auto"/>
        <w:right w:val="none" w:sz="0" w:space="0" w:color="auto"/>
      </w:divBdr>
    </w:div>
    <w:div w:id="1706247692">
      <w:bodyDiv w:val="1"/>
      <w:marLeft w:val="0"/>
      <w:marRight w:val="0"/>
      <w:marTop w:val="0"/>
      <w:marBottom w:val="0"/>
      <w:divBdr>
        <w:top w:val="none" w:sz="0" w:space="0" w:color="auto"/>
        <w:left w:val="none" w:sz="0" w:space="0" w:color="auto"/>
        <w:bottom w:val="none" w:sz="0" w:space="0" w:color="auto"/>
        <w:right w:val="none" w:sz="0" w:space="0" w:color="auto"/>
      </w:divBdr>
    </w:div>
    <w:div w:id="1708682337">
      <w:bodyDiv w:val="1"/>
      <w:marLeft w:val="0"/>
      <w:marRight w:val="0"/>
      <w:marTop w:val="0"/>
      <w:marBottom w:val="0"/>
      <w:divBdr>
        <w:top w:val="none" w:sz="0" w:space="0" w:color="auto"/>
        <w:left w:val="none" w:sz="0" w:space="0" w:color="auto"/>
        <w:bottom w:val="none" w:sz="0" w:space="0" w:color="auto"/>
        <w:right w:val="none" w:sz="0" w:space="0" w:color="auto"/>
      </w:divBdr>
    </w:div>
    <w:div w:id="1714309916">
      <w:bodyDiv w:val="1"/>
      <w:marLeft w:val="0"/>
      <w:marRight w:val="0"/>
      <w:marTop w:val="0"/>
      <w:marBottom w:val="0"/>
      <w:divBdr>
        <w:top w:val="none" w:sz="0" w:space="0" w:color="auto"/>
        <w:left w:val="none" w:sz="0" w:space="0" w:color="auto"/>
        <w:bottom w:val="none" w:sz="0" w:space="0" w:color="auto"/>
        <w:right w:val="none" w:sz="0" w:space="0" w:color="auto"/>
      </w:divBdr>
    </w:div>
    <w:div w:id="1714816146">
      <w:bodyDiv w:val="1"/>
      <w:marLeft w:val="0"/>
      <w:marRight w:val="0"/>
      <w:marTop w:val="0"/>
      <w:marBottom w:val="0"/>
      <w:divBdr>
        <w:top w:val="none" w:sz="0" w:space="0" w:color="auto"/>
        <w:left w:val="none" w:sz="0" w:space="0" w:color="auto"/>
        <w:bottom w:val="none" w:sz="0" w:space="0" w:color="auto"/>
        <w:right w:val="none" w:sz="0" w:space="0" w:color="auto"/>
      </w:divBdr>
    </w:div>
    <w:div w:id="1716075570">
      <w:bodyDiv w:val="1"/>
      <w:marLeft w:val="0"/>
      <w:marRight w:val="0"/>
      <w:marTop w:val="0"/>
      <w:marBottom w:val="0"/>
      <w:divBdr>
        <w:top w:val="none" w:sz="0" w:space="0" w:color="auto"/>
        <w:left w:val="none" w:sz="0" w:space="0" w:color="auto"/>
        <w:bottom w:val="none" w:sz="0" w:space="0" w:color="auto"/>
        <w:right w:val="none" w:sz="0" w:space="0" w:color="auto"/>
      </w:divBdr>
      <w:divsChild>
        <w:div w:id="3402027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9572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345199">
      <w:bodyDiv w:val="1"/>
      <w:marLeft w:val="0"/>
      <w:marRight w:val="0"/>
      <w:marTop w:val="0"/>
      <w:marBottom w:val="0"/>
      <w:divBdr>
        <w:top w:val="none" w:sz="0" w:space="0" w:color="auto"/>
        <w:left w:val="none" w:sz="0" w:space="0" w:color="auto"/>
        <w:bottom w:val="none" w:sz="0" w:space="0" w:color="auto"/>
        <w:right w:val="none" w:sz="0" w:space="0" w:color="auto"/>
      </w:divBdr>
    </w:div>
    <w:div w:id="1719084699">
      <w:bodyDiv w:val="1"/>
      <w:marLeft w:val="0"/>
      <w:marRight w:val="0"/>
      <w:marTop w:val="0"/>
      <w:marBottom w:val="0"/>
      <w:divBdr>
        <w:top w:val="none" w:sz="0" w:space="0" w:color="auto"/>
        <w:left w:val="none" w:sz="0" w:space="0" w:color="auto"/>
        <w:bottom w:val="none" w:sz="0" w:space="0" w:color="auto"/>
        <w:right w:val="none" w:sz="0" w:space="0" w:color="auto"/>
      </w:divBdr>
    </w:div>
    <w:div w:id="1722902464">
      <w:bodyDiv w:val="1"/>
      <w:marLeft w:val="0"/>
      <w:marRight w:val="0"/>
      <w:marTop w:val="0"/>
      <w:marBottom w:val="0"/>
      <w:divBdr>
        <w:top w:val="none" w:sz="0" w:space="0" w:color="auto"/>
        <w:left w:val="none" w:sz="0" w:space="0" w:color="auto"/>
        <w:bottom w:val="none" w:sz="0" w:space="0" w:color="auto"/>
        <w:right w:val="none" w:sz="0" w:space="0" w:color="auto"/>
      </w:divBdr>
    </w:div>
    <w:div w:id="1724331676">
      <w:bodyDiv w:val="1"/>
      <w:marLeft w:val="0"/>
      <w:marRight w:val="0"/>
      <w:marTop w:val="0"/>
      <w:marBottom w:val="0"/>
      <w:divBdr>
        <w:top w:val="none" w:sz="0" w:space="0" w:color="auto"/>
        <w:left w:val="none" w:sz="0" w:space="0" w:color="auto"/>
        <w:bottom w:val="none" w:sz="0" w:space="0" w:color="auto"/>
        <w:right w:val="none" w:sz="0" w:space="0" w:color="auto"/>
      </w:divBdr>
    </w:div>
    <w:div w:id="1726175292">
      <w:bodyDiv w:val="1"/>
      <w:marLeft w:val="0"/>
      <w:marRight w:val="0"/>
      <w:marTop w:val="0"/>
      <w:marBottom w:val="0"/>
      <w:divBdr>
        <w:top w:val="none" w:sz="0" w:space="0" w:color="auto"/>
        <w:left w:val="none" w:sz="0" w:space="0" w:color="auto"/>
        <w:bottom w:val="none" w:sz="0" w:space="0" w:color="auto"/>
        <w:right w:val="none" w:sz="0" w:space="0" w:color="auto"/>
      </w:divBdr>
    </w:div>
    <w:div w:id="1728339078">
      <w:bodyDiv w:val="1"/>
      <w:marLeft w:val="0"/>
      <w:marRight w:val="0"/>
      <w:marTop w:val="0"/>
      <w:marBottom w:val="0"/>
      <w:divBdr>
        <w:top w:val="none" w:sz="0" w:space="0" w:color="auto"/>
        <w:left w:val="none" w:sz="0" w:space="0" w:color="auto"/>
        <w:bottom w:val="none" w:sz="0" w:space="0" w:color="auto"/>
        <w:right w:val="none" w:sz="0" w:space="0" w:color="auto"/>
      </w:divBdr>
    </w:div>
    <w:div w:id="1729068787">
      <w:bodyDiv w:val="1"/>
      <w:marLeft w:val="0"/>
      <w:marRight w:val="0"/>
      <w:marTop w:val="0"/>
      <w:marBottom w:val="0"/>
      <w:divBdr>
        <w:top w:val="none" w:sz="0" w:space="0" w:color="auto"/>
        <w:left w:val="none" w:sz="0" w:space="0" w:color="auto"/>
        <w:bottom w:val="none" w:sz="0" w:space="0" w:color="auto"/>
        <w:right w:val="none" w:sz="0" w:space="0" w:color="auto"/>
      </w:divBdr>
    </w:div>
    <w:div w:id="1731462463">
      <w:bodyDiv w:val="1"/>
      <w:marLeft w:val="0"/>
      <w:marRight w:val="0"/>
      <w:marTop w:val="0"/>
      <w:marBottom w:val="0"/>
      <w:divBdr>
        <w:top w:val="none" w:sz="0" w:space="0" w:color="auto"/>
        <w:left w:val="none" w:sz="0" w:space="0" w:color="auto"/>
        <w:bottom w:val="none" w:sz="0" w:space="0" w:color="auto"/>
        <w:right w:val="none" w:sz="0" w:space="0" w:color="auto"/>
      </w:divBdr>
    </w:div>
    <w:div w:id="1733311163">
      <w:bodyDiv w:val="1"/>
      <w:marLeft w:val="0"/>
      <w:marRight w:val="0"/>
      <w:marTop w:val="0"/>
      <w:marBottom w:val="0"/>
      <w:divBdr>
        <w:top w:val="none" w:sz="0" w:space="0" w:color="auto"/>
        <w:left w:val="none" w:sz="0" w:space="0" w:color="auto"/>
        <w:bottom w:val="none" w:sz="0" w:space="0" w:color="auto"/>
        <w:right w:val="none" w:sz="0" w:space="0" w:color="auto"/>
      </w:divBdr>
    </w:div>
    <w:div w:id="1733583221">
      <w:bodyDiv w:val="1"/>
      <w:marLeft w:val="0"/>
      <w:marRight w:val="0"/>
      <w:marTop w:val="0"/>
      <w:marBottom w:val="0"/>
      <w:divBdr>
        <w:top w:val="none" w:sz="0" w:space="0" w:color="auto"/>
        <w:left w:val="none" w:sz="0" w:space="0" w:color="auto"/>
        <w:bottom w:val="none" w:sz="0" w:space="0" w:color="auto"/>
        <w:right w:val="none" w:sz="0" w:space="0" w:color="auto"/>
      </w:divBdr>
    </w:div>
    <w:div w:id="1734113640">
      <w:bodyDiv w:val="1"/>
      <w:marLeft w:val="0"/>
      <w:marRight w:val="0"/>
      <w:marTop w:val="0"/>
      <w:marBottom w:val="0"/>
      <w:divBdr>
        <w:top w:val="none" w:sz="0" w:space="0" w:color="auto"/>
        <w:left w:val="none" w:sz="0" w:space="0" w:color="auto"/>
        <w:bottom w:val="none" w:sz="0" w:space="0" w:color="auto"/>
        <w:right w:val="none" w:sz="0" w:space="0" w:color="auto"/>
      </w:divBdr>
    </w:div>
    <w:div w:id="1734155864">
      <w:bodyDiv w:val="1"/>
      <w:marLeft w:val="0"/>
      <w:marRight w:val="0"/>
      <w:marTop w:val="0"/>
      <w:marBottom w:val="0"/>
      <w:divBdr>
        <w:top w:val="none" w:sz="0" w:space="0" w:color="auto"/>
        <w:left w:val="none" w:sz="0" w:space="0" w:color="auto"/>
        <w:bottom w:val="none" w:sz="0" w:space="0" w:color="auto"/>
        <w:right w:val="none" w:sz="0" w:space="0" w:color="auto"/>
      </w:divBdr>
    </w:div>
    <w:div w:id="1736203051">
      <w:bodyDiv w:val="1"/>
      <w:marLeft w:val="0"/>
      <w:marRight w:val="0"/>
      <w:marTop w:val="0"/>
      <w:marBottom w:val="0"/>
      <w:divBdr>
        <w:top w:val="none" w:sz="0" w:space="0" w:color="auto"/>
        <w:left w:val="none" w:sz="0" w:space="0" w:color="auto"/>
        <w:bottom w:val="none" w:sz="0" w:space="0" w:color="auto"/>
        <w:right w:val="none" w:sz="0" w:space="0" w:color="auto"/>
      </w:divBdr>
    </w:div>
    <w:div w:id="1737167932">
      <w:bodyDiv w:val="1"/>
      <w:marLeft w:val="0"/>
      <w:marRight w:val="0"/>
      <w:marTop w:val="0"/>
      <w:marBottom w:val="0"/>
      <w:divBdr>
        <w:top w:val="none" w:sz="0" w:space="0" w:color="auto"/>
        <w:left w:val="none" w:sz="0" w:space="0" w:color="auto"/>
        <w:bottom w:val="none" w:sz="0" w:space="0" w:color="auto"/>
        <w:right w:val="none" w:sz="0" w:space="0" w:color="auto"/>
      </w:divBdr>
    </w:div>
    <w:div w:id="1737438822">
      <w:bodyDiv w:val="1"/>
      <w:marLeft w:val="0"/>
      <w:marRight w:val="0"/>
      <w:marTop w:val="0"/>
      <w:marBottom w:val="0"/>
      <w:divBdr>
        <w:top w:val="none" w:sz="0" w:space="0" w:color="auto"/>
        <w:left w:val="none" w:sz="0" w:space="0" w:color="auto"/>
        <w:bottom w:val="none" w:sz="0" w:space="0" w:color="auto"/>
        <w:right w:val="none" w:sz="0" w:space="0" w:color="auto"/>
      </w:divBdr>
    </w:div>
    <w:div w:id="1738474621">
      <w:bodyDiv w:val="1"/>
      <w:marLeft w:val="0"/>
      <w:marRight w:val="0"/>
      <w:marTop w:val="0"/>
      <w:marBottom w:val="0"/>
      <w:divBdr>
        <w:top w:val="none" w:sz="0" w:space="0" w:color="auto"/>
        <w:left w:val="none" w:sz="0" w:space="0" w:color="auto"/>
        <w:bottom w:val="none" w:sz="0" w:space="0" w:color="auto"/>
        <w:right w:val="none" w:sz="0" w:space="0" w:color="auto"/>
      </w:divBdr>
    </w:div>
    <w:div w:id="1741518145">
      <w:bodyDiv w:val="1"/>
      <w:marLeft w:val="0"/>
      <w:marRight w:val="0"/>
      <w:marTop w:val="0"/>
      <w:marBottom w:val="0"/>
      <w:divBdr>
        <w:top w:val="none" w:sz="0" w:space="0" w:color="auto"/>
        <w:left w:val="none" w:sz="0" w:space="0" w:color="auto"/>
        <w:bottom w:val="none" w:sz="0" w:space="0" w:color="auto"/>
        <w:right w:val="none" w:sz="0" w:space="0" w:color="auto"/>
      </w:divBdr>
    </w:div>
    <w:div w:id="1742213006">
      <w:bodyDiv w:val="1"/>
      <w:marLeft w:val="0"/>
      <w:marRight w:val="0"/>
      <w:marTop w:val="0"/>
      <w:marBottom w:val="0"/>
      <w:divBdr>
        <w:top w:val="none" w:sz="0" w:space="0" w:color="auto"/>
        <w:left w:val="none" w:sz="0" w:space="0" w:color="auto"/>
        <w:bottom w:val="none" w:sz="0" w:space="0" w:color="auto"/>
        <w:right w:val="none" w:sz="0" w:space="0" w:color="auto"/>
      </w:divBdr>
    </w:div>
    <w:div w:id="1742555311">
      <w:bodyDiv w:val="1"/>
      <w:marLeft w:val="0"/>
      <w:marRight w:val="0"/>
      <w:marTop w:val="0"/>
      <w:marBottom w:val="0"/>
      <w:divBdr>
        <w:top w:val="none" w:sz="0" w:space="0" w:color="auto"/>
        <w:left w:val="none" w:sz="0" w:space="0" w:color="auto"/>
        <w:bottom w:val="none" w:sz="0" w:space="0" w:color="auto"/>
        <w:right w:val="none" w:sz="0" w:space="0" w:color="auto"/>
      </w:divBdr>
    </w:div>
    <w:div w:id="1743067127">
      <w:bodyDiv w:val="1"/>
      <w:marLeft w:val="0"/>
      <w:marRight w:val="0"/>
      <w:marTop w:val="0"/>
      <w:marBottom w:val="0"/>
      <w:divBdr>
        <w:top w:val="none" w:sz="0" w:space="0" w:color="auto"/>
        <w:left w:val="none" w:sz="0" w:space="0" w:color="auto"/>
        <w:bottom w:val="none" w:sz="0" w:space="0" w:color="auto"/>
        <w:right w:val="none" w:sz="0" w:space="0" w:color="auto"/>
      </w:divBdr>
    </w:div>
    <w:div w:id="1743789839">
      <w:bodyDiv w:val="1"/>
      <w:marLeft w:val="0"/>
      <w:marRight w:val="0"/>
      <w:marTop w:val="0"/>
      <w:marBottom w:val="0"/>
      <w:divBdr>
        <w:top w:val="none" w:sz="0" w:space="0" w:color="auto"/>
        <w:left w:val="none" w:sz="0" w:space="0" w:color="auto"/>
        <w:bottom w:val="none" w:sz="0" w:space="0" w:color="auto"/>
        <w:right w:val="none" w:sz="0" w:space="0" w:color="auto"/>
      </w:divBdr>
    </w:div>
    <w:div w:id="1745253383">
      <w:bodyDiv w:val="1"/>
      <w:marLeft w:val="0"/>
      <w:marRight w:val="0"/>
      <w:marTop w:val="0"/>
      <w:marBottom w:val="0"/>
      <w:divBdr>
        <w:top w:val="none" w:sz="0" w:space="0" w:color="auto"/>
        <w:left w:val="none" w:sz="0" w:space="0" w:color="auto"/>
        <w:bottom w:val="none" w:sz="0" w:space="0" w:color="auto"/>
        <w:right w:val="none" w:sz="0" w:space="0" w:color="auto"/>
      </w:divBdr>
    </w:div>
    <w:div w:id="1748460960">
      <w:bodyDiv w:val="1"/>
      <w:marLeft w:val="0"/>
      <w:marRight w:val="0"/>
      <w:marTop w:val="0"/>
      <w:marBottom w:val="0"/>
      <w:divBdr>
        <w:top w:val="none" w:sz="0" w:space="0" w:color="auto"/>
        <w:left w:val="none" w:sz="0" w:space="0" w:color="auto"/>
        <w:bottom w:val="none" w:sz="0" w:space="0" w:color="auto"/>
        <w:right w:val="none" w:sz="0" w:space="0" w:color="auto"/>
      </w:divBdr>
    </w:div>
    <w:div w:id="1750153401">
      <w:bodyDiv w:val="1"/>
      <w:marLeft w:val="0"/>
      <w:marRight w:val="0"/>
      <w:marTop w:val="0"/>
      <w:marBottom w:val="0"/>
      <w:divBdr>
        <w:top w:val="none" w:sz="0" w:space="0" w:color="auto"/>
        <w:left w:val="none" w:sz="0" w:space="0" w:color="auto"/>
        <w:bottom w:val="none" w:sz="0" w:space="0" w:color="auto"/>
        <w:right w:val="none" w:sz="0" w:space="0" w:color="auto"/>
      </w:divBdr>
    </w:div>
    <w:div w:id="1752044922">
      <w:bodyDiv w:val="1"/>
      <w:marLeft w:val="0"/>
      <w:marRight w:val="0"/>
      <w:marTop w:val="0"/>
      <w:marBottom w:val="0"/>
      <w:divBdr>
        <w:top w:val="none" w:sz="0" w:space="0" w:color="auto"/>
        <w:left w:val="none" w:sz="0" w:space="0" w:color="auto"/>
        <w:bottom w:val="none" w:sz="0" w:space="0" w:color="auto"/>
        <w:right w:val="none" w:sz="0" w:space="0" w:color="auto"/>
      </w:divBdr>
    </w:div>
    <w:div w:id="1752510255">
      <w:bodyDiv w:val="1"/>
      <w:marLeft w:val="0"/>
      <w:marRight w:val="0"/>
      <w:marTop w:val="0"/>
      <w:marBottom w:val="0"/>
      <w:divBdr>
        <w:top w:val="none" w:sz="0" w:space="0" w:color="auto"/>
        <w:left w:val="none" w:sz="0" w:space="0" w:color="auto"/>
        <w:bottom w:val="none" w:sz="0" w:space="0" w:color="auto"/>
        <w:right w:val="none" w:sz="0" w:space="0" w:color="auto"/>
      </w:divBdr>
    </w:div>
    <w:div w:id="1756659529">
      <w:bodyDiv w:val="1"/>
      <w:marLeft w:val="0"/>
      <w:marRight w:val="0"/>
      <w:marTop w:val="0"/>
      <w:marBottom w:val="0"/>
      <w:divBdr>
        <w:top w:val="none" w:sz="0" w:space="0" w:color="auto"/>
        <w:left w:val="none" w:sz="0" w:space="0" w:color="auto"/>
        <w:bottom w:val="none" w:sz="0" w:space="0" w:color="auto"/>
        <w:right w:val="none" w:sz="0" w:space="0" w:color="auto"/>
      </w:divBdr>
    </w:div>
    <w:div w:id="1757750956">
      <w:bodyDiv w:val="1"/>
      <w:marLeft w:val="0"/>
      <w:marRight w:val="0"/>
      <w:marTop w:val="0"/>
      <w:marBottom w:val="0"/>
      <w:divBdr>
        <w:top w:val="none" w:sz="0" w:space="0" w:color="auto"/>
        <w:left w:val="none" w:sz="0" w:space="0" w:color="auto"/>
        <w:bottom w:val="none" w:sz="0" w:space="0" w:color="auto"/>
        <w:right w:val="none" w:sz="0" w:space="0" w:color="auto"/>
      </w:divBdr>
    </w:div>
    <w:div w:id="1759401090">
      <w:bodyDiv w:val="1"/>
      <w:marLeft w:val="0"/>
      <w:marRight w:val="0"/>
      <w:marTop w:val="0"/>
      <w:marBottom w:val="0"/>
      <w:divBdr>
        <w:top w:val="none" w:sz="0" w:space="0" w:color="auto"/>
        <w:left w:val="none" w:sz="0" w:space="0" w:color="auto"/>
        <w:bottom w:val="none" w:sz="0" w:space="0" w:color="auto"/>
        <w:right w:val="none" w:sz="0" w:space="0" w:color="auto"/>
      </w:divBdr>
    </w:div>
    <w:div w:id="1762067787">
      <w:bodyDiv w:val="1"/>
      <w:marLeft w:val="0"/>
      <w:marRight w:val="0"/>
      <w:marTop w:val="0"/>
      <w:marBottom w:val="0"/>
      <w:divBdr>
        <w:top w:val="none" w:sz="0" w:space="0" w:color="auto"/>
        <w:left w:val="none" w:sz="0" w:space="0" w:color="auto"/>
        <w:bottom w:val="none" w:sz="0" w:space="0" w:color="auto"/>
        <w:right w:val="none" w:sz="0" w:space="0" w:color="auto"/>
      </w:divBdr>
    </w:div>
    <w:div w:id="1762795004">
      <w:bodyDiv w:val="1"/>
      <w:marLeft w:val="0"/>
      <w:marRight w:val="0"/>
      <w:marTop w:val="0"/>
      <w:marBottom w:val="0"/>
      <w:divBdr>
        <w:top w:val="none" w:sz="0" w:space="0" w:color="auto"/>
        <w:left w:val="none" w:sz="0" w:space="0" w:color="auto"/>
        <w:bottom w:val="none" w:sz="0" w:space="0" w:color="auto"/>
        <w:right w:val="none" w:sz="0" w:space="0" w:color="auto"/>
      </w:divBdr>
    </w:div>
    <w:div w:id="1762991145">
      <w:bodyDiv w:val="1"/>
      <w:marLeft w:val="0"/>
      <w:marRight w:val="0"/>
      <w:marTop w:val="0"/>
      <w:marBottom w:val="0"/>
      <w:divBdr>
        <w:top w:val="none" w:sz="0" w:space="0" w:color="auto"/>
        <w:left w:val="none" w:sz="0" w:space="0" w:color="auto"/>
        <w:bottom w:val="none" w:sz="0" w:space="0" w:color="auto"/>
        <w:right w:val="none" w:sz="0" w:space="0" w:color="auto"/>
      </w:divBdr>
    </w:div>
    <w:div w:id="1764299307">
      <w:bodyDiv w:val="1"/>
      <w:marLeft w:val="0"/>
      <w:marRight w:val="0"/>
      <w:marTop w:val="0"/>
      <w:marBottom w:val="0"/>
      <w:divBdr>
        <w:top w:val="none" w:sz="0" w:space="0" w:color="auto"/>
        <w:left w:val="none" w:sz="0" w:space="0" w:color="auto"/>
        <w:bottom w:val="none" w:sz="0" w:space="0" w:color="auto"/>
        <w:right w:val="none" w:sz="0" w:space="0" w:color="auto"/>
      </w:divBdr>
    </w:div>
    <w:div w:id="1764454274">
      <w:bodyDiv w:val="1"/>
      <w:marLeft w:val="0"/>
      <w:marRight w:val="0"/>
      <w:marTop w:val="0"/>
      <w:marBottom w:val="0"/>
      <w:divBdr>
        <w:top w:val="none" w:sz="0" w:space="0" w:color="auto"/>
        <w:left w:val="none" w:sz="0" w:space="0" w:color="auto"/>
        <w:bottom w:val="none" w:sz="0" w:space="0" w:color="auto"/>
        <w:right w:val="none" w:sz="0" w:space="0" w:color="auto"/>
      </w:divBdr>
    </w:div>
    <w:div w:id="1764645939">
      <w:bodyDiv w:val="1"/>
      <w:marLeft w:val="0"/>
      <w:marRight w:val="0"/>
      <w:marTop w:val="0"/>
      <w:marBottom w:val="0"/>
      <w:divBdr>
        <w:top w:val="none" w:sz="0" w:space="0" w:color="auto"/>
        <w:left w:val="none" w:sz="0" w:space="0" w:color="auto"/>
        <w:bottom w:val="none" w:sz="0" w:space="0" w:color="auto"/>
        <w:right w:val="none" w:sz="0" w:space="0" w:color="auto"/>
      </w:divBdr>
    </w:div>
    <w:div w:id="1766223595">
      <w:bodyDiv w:val="1"/>
      <w:marLeft w:val="0"/>
      <w:marRight w:val="0"/>
      <w:marTop w:val="0"/>
      <w:marBottom w:val="0"/>
      <w:divBdr>
        <w:top w:val="none" w:sz="0" w:space="0" w:color="auto"/>
        <w:left w:val="none" w:sz="0" w:space="0" w:color="auto"/>
        <w:bottom w:val="none" w:sz="0" w:space="0" w:color="auto"/>
        <w:right w:val="none" w:sz="0" w:space="0" w:color="auto"/>
      </w:divBdr>
    </w:div>
    <w:div w:id="1770195723">
      <w:bodyDiv w:val="1"/>
      <w:marLeft w:val="0"/>
      <w:marRight w:val="0"/>
      <w:marTop w:val="0"/>
      <w:marBottom w:val="0"/>
      <w:divBdr>
        <w:top w:val="none" w:sz="0" w:space="0" w:color="auto"/>
        <w:left w:val="none" w:sz="0" w:space="0" w:color="auto"/>
        <w:bottom w:val="none" w:sz="0" w:space="0" w:color="auto"/>
        <w:right w:val="none" w:sz="0" w:space="0" w:color="auto"/>
      </w:divBdr>
    </w:div>
    <w:div w:id="1770353533">
      <w:bodyDiv w:val="1"/>
      <w:marLeft w:val="0"/>
      <w:marRight w:val="0"/>
      <w:marTop w:val="0"/>
      <w:marBottom w:val="0"/>
      <w:divBdr>
        <w:top w:val="none" w:sz="0" w:space="0" w:color="auto"/>
        <w:left w:val="none" w:sz="0" w:space="0" w:color="auto"/>
        <w:bottom w:val="none" w:sz="0" w:space="0" w:color="auto"/>
        <w:right w:val="none" w:sz="0" w:space="0" w:color="auto"/>
      </w:divBdr>
    </w:div>
    <w:div w:id="1771126959">
      <w:bodyDiv w:val="1"/>
      <w:marLeft w:val="0"/>
      <w:marRight w:val="0"/>
      <w:marTop w:val="0"/>
      <w:marBottom w:val="0"/>
      <w:divBdr>
        <w:top w:val="none" w:sz="0" w:space="0" w:color="auto"/>
        <w:left w:val="none" w:sz="0" w:space="0" w:color="auto"/>
        <w:bottom w:val="none" w:sz="0" w:space="0" w:color="auto"/>
        <w:right w:val="none" w:sz="0" w:space="0" w:color="auto"/>
      </w:divBdr>
    </w:div>
    <w:div w:id="1774129412">
      <w:bodyDiv w:val="1"/>
      <w:marLeft w:val="0"/>
      <w:marRight w:val="0"/>
      <w:marTop w:val="0"/>
      <w:marBottom w:val="0"/>
      <w:divBdr>
        <w:top w:val="none" w:sz="0" w:space="0" w:color="auto"/>
        <w:left w:val="none" w:sz="0" w:space="0" w:color="auto"/>
        <w:bottom w:val="none" w:sz="0" w:space="0" w:color="auto"/>
        <w:right w:val="none" w:sz="0" w:space="0" w:color="auto"/>
      </w:divBdr>
    </w:div>
    <w:div w:id="1775788689">
      <w:bodyDiv w:val="1"/>
      <w:marLeft w:val="0"/>
      <w:marRight w:val="0"/>
      <w:marTop w:val="0"/>
      <w:marBottom w:val="0"/>
      <w:divBdr>
        <w:top w:val="none" w:sz="0" w:space="0" w:color="auto"/>
        <w:left w:val="none" w:sz="0" w:space="0" w:color="auto"/>
        <w:bottom w:val="none" w:sz="0" w:space="0" w:color="auto"/>
        <w:right w:val="none" w:sz="0" w:space="0" w:color="auto"/>
      </w:divBdr>
    </w:div>
    <w:div w:id="1777827783">
      <w:bodyDiv w:val="1"/>
      <w:marLeft w:val="0"/>
      <w:marRight w:val="0"/>
      <w:marTop w:val="0"/>
      <w:marBottom w:val="0"/>
      <w:divBdr>
        <w:top w:val="none" w:sz="0" w:space="0" w:color="auto"/>
        <w:left w:val="none" w:sz="0" w:space="0" w:color="auto"/>
        <w:bottom w:val="none" w:sz="0" w:space="0" w:color="auto"/>
        <w:right w:val="none" w:sz="0" w:space="0" w:color="auto"/>
      </w:divBdr>
    </w:div>
    <w:div w:id="1780292037">
      <w:bodyDiv w:val="1"/>
      <w:marLeft w:val="0"/>
      <w:marRight w:val="0"/>
      <w:marTop w:val="0"/>
      <w:marBottom w:val="0"/>
      <w:divBdr>
        <w:top w:val="none" w:sz="0" w:space="0" w:color="auto"/>
        <w:left w:val="none" w:sz="0" w:space="0" w:color="auto"/>
        <w:bottom w:val="none" w:sz="0" w:space="0" w:color="auto"/>
        <w:right w:val="none" w:sz="0" w:space="0" w:color="auto"/>
      </w:divBdr>
    </w:div>
    <w:div w:id="1781685917">
      <w:bodyDiv w:val="1"/>
      <w:marLeft w:val="0"/>
      <w:marRight w:val="0"/>
      <w:marTop w:val="0"/>
      <w:marBottom w:val="0"/>
      <w:divBdr>
        <w:top w:val="none" w:sz="0" w:space="0" w:color="auto"/>
        <w:left w:val="none" w:sz="0" w:space="0" w:color="auto"/>
        <w:bottom w:val="none" w:sz="0" w:space="0" w:color="auto"/>
        <w:right w:val="none" w:sz="0" w:space="0" w:color="auto"/>
      </w:divBdr>
    </w:div>
    <w:div w:id="1782069026">
      <w:bodyDiv w:val="1"/>
      <w:marLeft w:val="0"/>
      <w:marRight w:val="0"/>
      <w:marTop w:val="0"/>
      <w:marBottom w:val="0"/>
      <w:divBdr>
        <w:top w:val="none" w:sz="0" w:space="0" w:color="auto"/>
        <w:left w:val="none" w:sz="0" w:space="0" w:color="auto"/>
        <w:bottom w:val="none" w:sz="0" w:space="0" w:color="auto"/>
        <w:right w:val="none" w:sz="0" w:space="0" w:color="auto"/>
      </w:divBdr>
    </w:div>
    <w:div w:id="1784613758">
      <w:bodyDiv w:val="1"/>
      <w:marLeft w:val="0"/>
      <w:marRight w:val="0"/>
      <w:marTop w:val="0"/>
      <w:marBottom w:val="0"/>
      <w:divBdr>
        <w:top w:val="none" w:sz="0" w:space="0" w:color="auto"/>
        <w:left w:val="none" w:sz="0" w:space="0" w:color="auto"/>
        <w:bottom w:val="none" w:sz="0" w:space="0" w:color="auto"/>
        <w:right w:val="none" w:sz="0" w:space="0" w:color="auto"/>
      </w:divBdr>
    </w:div>
    <w:div w:id="1785148445">
      <w:bodyDiv w:val="1"/>
      <w:marLeft w:val="0"/>
      <w:marRight w:val="0"/>
      <w:marTop w:val="0"/>
      <w:marBottom w:val="0"/>
      <w:divBdr>
        <w:top w:val="none" w:sz="0" w:space="0" w:color="auto"/>
        <w:left w:val="none" w:sz="0" w:space="0" w:color="auto"/>
        <w:bottom w:val="none" w:sz="0" w:space="0" w:color="auto"/>
        <w:right w:val="none" w:sz="0" w:space="0" w:color="auto"/>
      </w:divBdr>
    </w:div>
    <w:div w:id="1786804348">
      <w:bodyDiv w:val="1"/>
      <w:marLeft w:val="0"/>
      <w:marRight w:val="0"/>
      <w:marTop w:val="0"/>
      <w:marBottom w:val="0"/>
      <w:divBdr>
        <w:top w:val="none" w:sz="0" w:space="0" w:color="auto"/>
        <w:left w:val="none" w:sz="0" w:space="0" w:color="auto"/>
        <w:bottom w:val="none" w:sz="0" w:space="0" w:color="auto"/>
        <w:right w:val="none" w:sz="0" w:space="0" w:color="auto"/>
      </w:divBdr>
      <w:divsChild>
        <w:div w:id="1318918856">
          <w:marLeft w:val="0"/>
          <w:marRight w:val="0"/>
          <w:marTop w:val="0"/>
          <w:marBottom w:val="0"/>
          <w:divBdr>
            <w:top w:val="none" w:sz="0" w:space="0" w:color="auto"/>
            <w:left w:val="none" w:sz="0" w:space="0" w:color="auto"/>
            <w:bottom w:val="none" w:sz="0" w:space="0" w:color="auto"/>
            <w:right w:val="none" w:sz="0" w:space="0" w:color="auto"/>
          </w:divBdr>
          <w:divsChild>
            <w:div w:id="1535121291">
              <w:marLeft w:val="0"/>
              <w:marRight w:val="0"/>
              <w:marTop w:val="0"/>
              <w:marBottom w:val="0"/>
              <w:divBdr>
                <w:top w:val="none" w:sz="0" w:space="0" w:color="auto"/>
                <w:left w:val="none" w:sz="0" w:space="0" w:color="auto"/>
                <w:bottom w:val="none" w:sz="0" w:space="0" w:color="auto"/>
                <w:right w:val="none" w:sz="0" w:space="0" w:color="auto"/>
              </w:divBdr>
              <w:divsChild>
                <w:div w:id="293607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8349771">
      <w:bodyDiv w:val="1"/>
      <w:marLeft w:val="0"/>
      <w:marRight w:val="0"/>
      <w:marTop w:val="0"/>
      <w:marBottom w:val="0"/>
      <w:divBdr>
        <w:top w:val="none" w:sz="0" w:space="0" w:color="auto"/>
        <w:left w:val="none" w:sz="0" w:space="0" w:color="auto"/>
        <w:bottom w:val="none" w:sz="0" w:space="0" w:color="auto"/>
        <w:right w:val="none" w:sz="0" w:space="0" w:color="auto"/>
      </w:divBdr>
    </w:div>
    <w:div w:id="1788818203">
      <w:bodyDiv w:val="1"/>
      <w:marLeft w:val="0"/>
      <w:marRight w:val="0"/>
      <w:marTop w:val="0"/>
      <w:marBottom w:val="0"/>
      <w:divBdr>
        <w:top w:val="none" w:sz="0" w:space="0" w:color="auto"/>
        <w:left w:val="none" w:sz="0" w:space="0" w:color="auto"/>
        <w:bottom w:val="none" w:sz="0" w:space="0" w:color="auto"/>
        <w:right w:val="none" w:sz="0" w:space="0" w:color="auto"/>
      </w:divBdr>
    </w:div>
    <w:div w:id="1788963792">
      <w:bodyDiv w:val="1"/>
      <w:marLeft w:val="0"/>
      <w:marRight w:val="0"/>
      <w:marTop w:val="0"/>
      <w:marBottom w:val="0"/>
      <w:divBdr>
        <w:top w:val="none" w:sz="0" w:space="0" w:color="auto"/>
        <w:left w:val="none" w:sz="0" w:space="0" w:color="auto"/>
        <w:bottom w:val="none" w:sz="0" w:space="0" w:color="auto"/>
        <w:right w:val="none" w:sz="0" w:space="0" w:color="auto"/>
      </w:divBdr>
    </w:div>
    <w:div w:id="1790002990">
      <w:bodyDiv w:val="1"/>
      <w:marLeft w:val="0"/>
      <w:marRight w:val="0"/>
      <w:marTop w:val="0"/>
      <w:marBottom w:val="0"/>
      <w:divBdr>
        <w:top w:val="none" w:sz="0" w:space="0" w:color="auto"/>
        <w:left w:val="none" w:sz="0" w:space="0" w:color="auto"/>
        <w:bottom w:val="none" w:sz="0" w:space="0" w:color="auto"/>
        <w:right w:val="none" w:sz="0" w:space="0" w:color="auto"/>
      </w:divBdr>
    </w:div>
    <w:div w:id="1790394399">
      <w:bodyDiv w:val="1"/>
      <w:marLeft w:val="0"/>
      <w:marRight w:val="0"/>
      <w:marTop w:val="0"/>
      <w:marBottom w:val="0"/>
      <w:divBdr>
        <w:top w:val="none" w:sz="0" w:space="0" w:color="auto"/>
        <w:left w:val="none" w:sz="0" w:space="0" w:color="auto"/>
        <w:bottom w:val="none" w:sz="0" w:space="0" w:color="auto"/>
        <w:right w:val="none" w:sz="0" w:space="0" w:color="auto"/>
      </w:divBdr>
    </w:div>
    <w:div w:id="1791704989">
      <w:bodyDiv w:val="1"/>
      <w:marLeft w:val="0"/>
      <w:marRight w:val="0"/>
      <w:marTop w:val="0"/>
      <w:marBottom w:val="0"/>
      <w:divBdr>
        <w:top w:val="none" w:sz="0" w:space="0" w:color="auto"/>
        <w:left w:val="none" w:sz="0" w:space="0" w:color="auto"/>
        <w:bottom w:val="none" w:sz="0" w:space="0" w:color="auto"/>
        <w:right w:val="none" w:sz="0" w:space="0" w:color="auto"/>
      </w:divBdr>
    </w:div>
    <w:div w:id="1793400826">
      <w:bodyDiv w:val="1"/>
      <w:marLeft w:val="0"/>
      <w:marRight w:val="0"/>
      <w:marTop w:val="0"/>
      <w:marBottom w:val="0"/>
      <w:divBdr>
        <w:top w:val="none" w:sz="0" w:space="0" w:color="auto"/>
        <w:left w:val="none" w:sz="0" w:space="0" w:color="auto"/>
        <w:bottom w:val="none" w:sz="0" w:space="0" w:color="auto"/>
        <w:right w:val="none" w:sz="0" w:space="0" w:color="auto"/>
      </w:divBdr>
    </w:div>
    <w:div w:id="1795899818">
      <w:bodyDiv w:val="1"/>
      <w:marLeft w:val="0"/>
      <w:marRight w:val="0"/>
      <w:marTop w:val="0"/>
      <w:marBottom w:val="0"/>
      <w:divBdr>
        <w:top w:val="none" w:sz="0" w:space="0" w:color="auto"/>
        <w:left w:val="none" w:sz="0" w:space="0" w:color="auto"/>
        <w:bottom w:val="none" w:sz="0" w:space="0" w:color="auto"/>
        <w:right w:val="none" w:sz="0" w:space="0" w:color="auto"/>
      </w:divBdr>
    </w:div>
    <w:div w:id="1798717241">
      <w:bodyDiv w:val="1"/>
      <w:marLeft w:val="0"/>
      <w:marRight w:val="0"/>
      <w:marTop w:val="0"/>
      <w:marBottom w:val="0"/>
      <w:divBdr>
        <w:top w:val="none" w:sz="0" w:space="0" w:color="auto"/>
        <w:left w:val="none" w:sz="0" w:space="0" w:color="auto"/>
        <w:bottom w:val="none" w:sz="0" w:space="0" w:color="auto"/>
        <w:right w:val="none" w:sz="0" w:space="0" w:color="auto"/>
      </w:divBdr>
    </w:div>
    <w:div w:id="1799956156">
      <w:bodyDiv w:val="1"/>
      <w:marLeft w:val="0"/>
      <w:marRight w:val="0"/>
      <w:marTop w:val="0"/>
      <w:marBottom w:val="0"/>
      <w:divBdr>
        <w:top w:val="none" w:sz="0" w:space="0" w:color="auto"/>
        <w:left w:val="none" w:sz="0" w:space="0" w:color="auto"/>
        <w:bottom w:val="none" w:sz="0" w:space="0" w:color="auto"/>
        <w:right w:val="none" w:sz="0" w:space="0" w:color="auto"/>
      </w:divBdr>
    </w:div>
    <w:div w:id="1800032221">
      <w:bodyDiv w:val="1"/>
      <w:marLeft w:val="0"/>
      <w:marRight w:val="0"/>
      <w:marTop w:val="0"/>
      <w:marBottom w:val="0"/>
      <w:divBdr>
        <w:top w:val="none" w:sz="0" w:space="0" w:color="auto"/>
        <w:left w:val="none" w:sz="0" w:space="0" w:color="auto"/>
        <w:bottom w:val="none" w:sz="0" w:space="0" w:color="auto"/>
        <w:right w:val="none" w:sz="0" w:space="0" w:color="auto"/>
      </w:divBdr>
    </w:div>
    <w:div w:id="1800610094">
      <w:bodyDiv w:val="1"/>
      <w:marLeft w:val="0"/>
      <w:marRight w:val="0"/>
      <w:marTop w:val="0"/>
      <w:marBottom w:val="0"/>
      <w:divBdr>
        <w:top w:val="none" w:sz="0" w:space="0" w:color="auto"/>
        <w:left w:val="none" w:sz="0" w:space="0" w:color="auto"/>
        <w:bottom w:val="none" w:sz="0" w:space="0" w:color="auto"/>
        <w:right w:val="none" w:sz="0" w:space="0" w:color="auto"/>
      </w:divBdr>
      <w:divsChild>
        <w:div w:id="1120032423">
          <w:marLeft w:val="0"/>
          <w:marRight w:val="0"/>
          <w:marTop w:val="0"/>
          <w:marBottom w:val="0"/>
          <w:divBdr>
            <w:top w:val="none" w:sz="0" w:space="0" w:color="auto"/>
            <w:left w:val="none" w:sz="0" w:space="0" w:color="auto"/>
            <w:bottom w:val="none" w:sz="0" w:space="0" w:color="auto"/>
            <w:right w:val="none" w:sz="0" w:space="0" w:color="auto"/>
          </w:divBdr>
          <w:divsChild>
            <w:div w:id="1003585099">
              <w:marLeft w:val="0"/>
              <w:marRight w:val="0"/>
              <w:marTop w:val="0"/>
              <w:marBottom w:val="0"/>
              <w:divBdr>
                <w:top w:val="none" w:sz="0" w:space="0" w:color="auto"/>
                <w:left w:val="none" w:sz="0" w:space="0" w:color="auto"/>
                <w:bottom w:val="none" w:sz="0" w:space="0" w:color="auto"/>
                <w:right w:val="none" w:sz="0" w:space="0" w:color="auto"/>
              </w:divBdr>
              <w:divsChild>
                <w:div w:id="2016494458">
                  <w:marLeft w:val="4245"/>
                  <w:marRight w:val="0"/>
                  <w:marTop w:val="0"/>
                  <w:marBottom w:val="0"/>
                  <w:divBdr>
                    <w:top w:val="none" w:sz="0" w:space="0" w:color="auto"/>
                    <w:left w:val="none" w:sz="0" w:space="0" w:color="auto"/>
                    <w:bottom w:val="none" w:sz="0" w:space="0" w:color="auto"/>
                    <w:right w:val="none" w:sz="0" w:space="0" w:color="auto"/>
                  </w:divBdr>
                  <w:divsChild>
                    <w:div w:id="2127889845">
                      <w:marLeft w:val="4200"/>
                      <w:marRight w:val="0"/>
                      <w:marTop w:val="2175"/>
                      <w:marBottom w:val="0"/>
                      <w:divBdr>
                        <w:top w:val="none" w:sz="0" w:space="0" w:color="auto"/>
                        <w:left w:val="none" w:sz="0" w:space="0" w:color="auto"/>
                        <w:bottom w:val="none" w:sz="0" w:space="0" w:color="auto"/>
                        <w:right w:val="none" w:sz="0" w:space="0" w:color="auto"/>
                      </w:divBdr>
                      <w:divsChild>
                        <w:div w:id="786199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4885553">
      <w:bodyDiv w:val="1"/>
      <w:marLeft w:val="0"/>
      <w:marRight w:val="0"/>
      <w:marTop w:val="0"/>
      <w:marBottom w:val="0"/>
      <w:divBdr>
        <w:top w:val="none" w:sz="0" w:space="0" w:color="auto"/>
        <w:left w:val="none" w:sz="0" w:space="0" w:color="auto"/>
        <w:bottom w:val="none" w:sz="0" w:space="0" w:color="auto"/>
        <w:right w:val="none" w:sz="0" w:space="0" w:color="auto"/>
      </w:divBdr>
    </w:div>
    <w:div w:id="1806006589">
      <w:bodyDiv w:val="1"/>
      <w:marLeft w:val="0"/>
      <w:marRight w:val="0"/>
      <w:marTop w:val="0"/>
      <w:marBottom w:val="0"/>
      <w:divBdr>
        <w:top w:val="none" w:sz="0" w:space="0" w:color="auto"/>
        <w:left w:val="none" w:sz="0" w:space="0" w:color="auto"/>
        <w:bottom w:val="none" w:sz="0" w:space="0" w:color="auto"/>
        <w:right w:val="none" w:sz="0" w:space="0" w:color="auto"/>
      </w:divBdr>
    </w:div>
    <w:div w:id="1806190963">
      <w:bodyDiv w:val="1"/>
      <w:marLeft w:val="0"/>
      <w:marRight w:val="0"/>
      <w:marTop w:val="0"/>
      <w:marBottom w:val="0"/>
      <w:divBdr>
        <w:top w:val="none" w:sz="0" w:space="0" w:color="auto"/>
        <w:left w:val="none" w:sz="0" w:space="0" w:color="auto"/>
        <w:bottom w:val="none" w:sz="0" w:space="0" w:color="auto"/>
        <w:right w:val="none" w:sz="0" w:space="0" w:color="auto"/>
      </w:divBdr>
    </w:div>
    <w:div w:id="1808160295">
      <w:bodyDiv w:val="1"/>
      <w:marLeft w:val="0"/>
      <w:marRight w:val="0"/>
      <w:marTop w:val="0"/>
      <w:marBottom w:val="0"/>
      <w:divBdr>
        <w:top w:val="none" w:sz="0" w:space="0" w:color="auto"/>
        <w:left w:val="none" w:sz="0" w:space="0" w:color="auto"/>
        <w:bottom w:val="none" w:sz="0" w:space="0" w:color="auto"/>
        <w:right w:val="none" w:sz="0" w:space="0" w:color="auto"/>
      </w:divBdr>
    </w:div>
    <w:div w:id="1810584911">
      <w:bodyDiv w:val="1"/>
      <w:marLeft w:val="0"/>
      <w:marRight w:val="0"/>
      <w:marTop w:val="0"/>
      <w:marBottom w:val="0"/>
      <w:divBdr>
        <w:top w:val="none" w:sz="0" w:space="0" w:color="auto"/>
        <w:left w:val="none" w:sz="0" w:space="0" w:color="auto"/>
        <w:bottom w:val="none" w:sz="0" w:space="0" w:color="auto"/>
        <w:right w:val="none" w:sz="0" w:space="0" w:color="auto"/>
      </w:divBdr>
    </w:div>
    <w:div w:id="1810977240">
      <w:bodyDiv w:val="1"/>
      <w:marLeft w:val="0"/>
      <w:marRight w:val="0"/>
      <w:marTop w:val="0"/>
      <w:marBottom w:val="0"/>
      <w:divBdr>
        <w:top w:val="none" w:sz="0" w:space="0" w:color="auto"/>
        <w:left w:val="none" w:sz="0" w:space="0" w:color="auto"/>
        <w:bottom w:val="none" w:sz="0" w:space="0" w:color="auto"/>
        <w:right w:val="none" w:sz="0" w:space="0" w:color="auto"/>
      </w:divBdr>
      <w:divsChild>
        <w:div w:id="149098049">
          <w:marLeft w:val="0"/>
          <w:marRight w:val="0"/>
          <w:marTop w:val="0"/>
          <w:marBottom w:val="0"/>
          <w:divBdr>
            <w:top w:val="none" w:sz="0" w:space="0" w:color="auto"/>
            <w:left w:val="none" w:sz="0" w:space="0" w:color="auto"/>
            <w:bottom w:val="none" w:sz="0" w:space="0" w:color="auto"/>
            <w:right w:val="none" w:sz="0" w:space="0" w:color="auto"/>
          </w:divBdr>
        </w:div>
      </w:divsChild>
    </w:div>
    <w:div w:id="1811167094">
      <w:bodyDiv w:val="1"/>
      <w:marLeft w:val="0"/>
      <w:marRight w:val="0"/>
      <w:marTop w:val="0"/>
      <w:marBottom w:val="0"/>
      <w:divBdr>
        <w:top w:val="none" w:sz="0" w:space="0" w:color="auto"/>
        <w:left w:val="none" w:sz="0" w:space="0" w:color="auto"/>
        <w:bottom w:val="none" w:sz="0" w:space="0" w:color="auto"/>
        <w:right w:val="none" w:sz="0" w:space="0" w:color="auto"/>
      </w:divBdr>
    </w:div>
    <w:div w:id="1811508596">
      <w:bodyDiv w:val="1"/>
      <w:marLeft w:val="0"/>
      <w:marRight w:val="0"/>
      <w:marTop w:val="0"/>
      <w:marBottom w:val="0"/>
      <w:divBdr>
        <w:top w:val="none" w:sz="0" w:space="0" w:color="auto"/>
        <w:left w:val="none" w:sz="0" w:space="0" w:color="auto"/>
        <w:bottom w:val="none" w:sz="0" w:space="0" w:color="auto"/>
        <w:right w:val="none" w:sz="0" w:space="0" w:color="auto"/>
      </w:divBdr>
      <w:divsChild>
        <w:div w:id="1058015395">
          <w:marLeft w:val="300"/>
          <w:marRight w:val="300"/>
          <w:marTop w:val="0"/>
          <w:marBottom w:val="0"/>
          <w:divBdr>
            <w:top w:val="none" w:sz="0" w:space="0" w:color="auto"/>
            <w:left w:val="none" w:sz="0" w:space="0" w:color="auto"/>
            <w:bottom w:val="none" w:sz="0" w:space="0" w:color="auto"/>
            <w:right w:val="none" w:sz="0" w:space="0" w:color="auto"/>
          </w:divBdr>
          <w:divsChild>
            <w:div w:id="1928810036">
              <w:marLeft w:val="0"/>
              <w:marRight w:val="0"/>
              <w:marTop w:val="0"/>
              <w:marBottom w:val="0"/>
              <w:divBdr>
                <w:top w:val="none" w:sz="0" w:space="0" w:color="auto"/>
                <w:left w:val="none" w:sz="0" w:space="0" w:color="auto"/>
                <w:bottom w:val="none" w:sz="0" w:space="0" w:color="auto"/>
                <w:right w:val="none" w:sz="0" w:space="0" w:color="auto"/>
              </w:divBdr>
              <w:divsChild>
                <w:div w:id="916211299">
                  <w:marLeft w:val="0"/>
                  <w:marRight w:val="0"/>
                  <w:marTop w:val="0"/>
                  <w:marBottom w:val="0"/>
                  <w:divBdr>
                    <w:top w:val="none" w:sz="0" w:space="0" w:color="auto"/>
                    <w:left w:val="none" w:sz="0" w:space="0" w:color="auto"/>
                    <w:bottom w:val="none" w:sz="0" w:space="0" w:color="auto"/>
                    <w:right w:val="none" w:sz="0" w:space="0" w:color="auto"/>
                  </w:divBdr>
                  <w:divsChild>
                    <w:div w:id="1859346694">
                      <w:marLeft w:val="21"/>
                      <w:marRight w:val="23"/>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1508768">
      <w:bodyDiv w:val="1"/>
      <w:marLeft w:val="0"/>
      <w:marRight w:val="0"/>
      <w:marTop w:val="0"/>
      <w:marBottom w:val="0"/>
      <w:divBdr>
        <w:top w:val="none" w:sz="0" w:space="0" w:color="auto"/>
        <w:left w:val="none" w:sz="0" w:space="0" w:color="auto"/>
        <w:bottom w:val="none" w:sz="0" w:space="0" w:color="auto"/>
        <w:right w:val="none" w:sz="0" w:space="0" w:color="auto"/>
      </w:divBdr>
    </w:div>
    <w:div w:id="1811708758">
      <w:bodyDiv w:val="1"/>
      <w:marLeft w:val="0"/>
      <w:marRight w:val="0"/>
      <w:marTop w:val="0"/>
      <w:marBottom w:val="0"/>
      <w:divBdr>
        <w:top w:val="none" w:sz="0" w:space="0" w:color="auto"/>
        <w:left w:val="none" w:sz="0" w:space="0" w:color="auto"/>
        <w:bottom w:val="none" w:sz="0" w:space="0" w:color="auto"/>
        <w:right w:val="none" w:sz="0" w:space="0" w:color="auto"/>
      </w:divBdr>
    </w:div>
    <w:div w:id="1816409938">
      <w:bodyDiv w:val="1"/>
      <w:marLeft w:val="0"/>
      <w:marRight w:val="0"/>
      <w:marTop w:val="0"/>
      <w:marBottom w:val="0"/>
      <w:divBdr>
        <w:top w:val="none" w:sz="0" w:space="0" w:color="auto"/>
        <w:left w:val="none" w:sz="0" w:space="0" w:color="auto"/>
        <w:bottom w:val="none" w:sz="0" w:space="0" w:color="auto"/>
        <w:right w:val="none" w:sz="0" w:space="0" w:color="auto"/>
      </w:divBdr>
    </w:div>
    <w:div w:id="1817645088">
      <w:bodyDiv w:val="1"/>
      <w:marLeft w:val="0"/>
      <w:marRight w:val="0"/>
      <w:marTop w:val="0"/>
      <w:marBottom w:val="0"/>
      <w:divBdr>
        <w:top w:val="none" w:sz="0" w:space="0" w:color="auto"/>
        <w:left w:val="none" w:sz="0" w:space="0" w:color="auto"/>
        <w:bottom w:val="none" w:sz="0" w:space="0" w:color="auto"/>
        <w:right w:val="none" w:sz="0" w:space="0" w:color="auto"/>
      </w:divBdr>
    </w:div>
    <w:div w:id="1818105482">
      <w:bodyDiv w:val="1"/>
      <w:marLeft w:val="0"/>
      <w:marRight w:val="0"/>
      <w:marTop w:val="0"/>
      <w:marBottom w:val="0"/>
      <w:divBdr>
        <w:top w:val="none" w:sz="0" w:space="0" w:color="auto"/>
        <w:left w:val="none" w:sz="0" w:space="0" w:color="auto"/>
        <w:bottom w:val="none" w:sz="0" w:space="0" w:color="auto"/>
        <w:right w:val="none" w:sz="0" w:space="0" w:color="auto"/>
      </w:divBdr>
    </w:div>
    <w:div w:id="1819227880">
      <w:bodyDiv w:val="1"/>
      <w:marLeft w:val="0"/>
      <w:marRight w:val="0"/>
      <w:marTop w:val="0"/>
      <w:marBottom w:val="0"/>
      <w:divBdr>
        <w:top w:val="none" w:sz="0" w:space="0" w:color="auto"/>
        <w:left w:val="none" w:sz="0" w:space="0" w:color="auto"/>
        <w:bottom w:val="none" w:sz="0" w:space="0" w:color="auto"/>
        <w:right w:val="none" w:sz="0" w:space="0" w:color="auto"/>
      </w:divBdr>
    </w:div>
    <w:div w:id="1819416581">
      <w:bodyDiv w:val="1"/>
      <w:marLeft w:val="0"/>
      <w:marRight w:val="0"/>
      <w:marTop w:val="0"/>
      <w:marBottom w:val="0"/>
      <w:divBdr>
        <w:top w:val="none" w:sz="0" w:space="0" w:color="auto"/>
        <w:left w:val="none" w:sz="0" w:space="0" w:color="auto"/>
        <w:bottom w:val="none" w:sz="0" w:space="0" w:color="auto"/>
        <w:right w:val="none" w:sz="0" w:space="0" w:color="auto"/>
      </w:divBdr>
    </w:div>
    <w:div w:id="1822698771">
      <w:bodyDiv w:val="1"/>
      <w:marLeft w:val="0"/>
      <w:marRight w:val="0"/>
      <w:marTop w:val="0"/>
      <w:marBottom w:val="0"/>
      <w:divBdr>
        <w:top w:val="none" w:sz="0" w:space="0" w:color="auto"/>
        <w:left w:val="none" w:sz="0" w:space="0" w:color="auto"/>
        <w:bottom w:val="none" w:sz="0" w:space="0" w:color="auto"/>
        <w:right w:val="none" w:sz="0" w:space="0" w:color="auto"/>
      </w:divBdr>
    </w:div>
    <w:div w:id="1824731985">
      <w:bodyDiv w:val="1"/>
      <w:marLeft w:val="0"/>
      <w:marRight w:val="0"/>
      <w:marTop w:val="0"/>
      <w:marBottom w:val="0"/>
      <w:divBdr>
        <w:top w:val="none" w:sz="0" w:space="0" w:color="auto"/>
        <w:left w:val="none" w:sz="0" w:space="0" w:color="auto"/>
        <w:bottom w:val="none" w:sz="0" w:space="0" w:color="auto"/>
        <w:right w:val="none" w:sz="0" w:space="0" w:color="auto"/>
      </w:divBdr>
    </w:div>
    <w:div w:id="1824853292">
      <w:bodyDiv w:val="1"/>
      <w:marLeft w:val="0"/>
      <w:marRight w:val="0"/>
      <w:marTop w:val="0"/>
      <w:marBottom w:val="0"/>
      <w:divBdr>
        <w:top w:val="none" w:sz="0" w:space="0" w:color="auto"/>
        <w:left w:val="none" w:sz="0" w:space="0" w:color="auto"/>
        <w:bottom w:val="none" w:sz="0" w:space="0" w:color="auto"/>
        <w:right w:val="none" w:sz="0" w:space="0" w:color="auto"/>
      </w:divBdr>
      <w:divsChild>
        <w:div w:id="1357386776">
          <w:marLeft w:val="0"/>
          <w:marRight w:val="0"/>
          <w:marTop w:val="0"/>
          <w:marBottom w:val="0"/>
          <w:divBdr>
            <w:top w:val="none" w:sz="0" w:space="0" w:color="auto"/>
            <w:left w:val="none" w:sz="0" w:space="0" w:color="auto"/>
            <w:bottom w:val="none" w:sz="0" w:space="0" w:color="auto"/>
            <w:right w:val="none" w:sz="0" w:space="0" w:color="auto"/>
          </w:divBdr>
          <w:divsChild>
            <w:div w:id="535391188">
              <w:marLeft w:val="0"/>
              <w:marRight w:val="0"/>
              <w:marTop w:val="0"/>
              <w:marBottom w:val="0"/>
              <w:divBdr>
                <w:top w:val="none" w:sz="0" w:space="0" w:color="auto"/>
                <w:left w:val="none" w:sz="0" w:space="0" w:color="auto"/>
                <w:bottom w:val="none" w:sz="0" w:space="0" w:color="auto"/>
                <w:right w:val="none" w:sz="0" w:space="0" w:color="auto"/>
              </w:divBdr>
              <w:divsChild>
                <w:div w:id="536814488">
                  <w:marLeft w:val="0"/>
                  <w:marRight w:val="0"/>
                  <w:marTop w:val="0"/>
                  <w:marBottom w:val="0"/>
                  <w:divBdr>
                    <w:top w:val="none" w:sz="0" w:space="0" w:color="auto"/>
                    <w:left w:val="none" w:sz="0" w:space="0" w:color="auto"/>
                    <w:bottom w:val="none" w:sz="0" w:space="0" w:color="auto"/>
                    <w:right w:val="none" w:sz="0" w:space="0" w:color="auto"/>
                  </w:divBdr>
                  <w:divsChild>
                    <w:div w:id="489254357">
                      <w:marLeft w:val="0"/>
                      <w:marRight w:val="0"/>
                      <w:marTop w:val="0"/>
                      <w:marBottom w:val="0"/>
                      <w:divBdr>
                        <w:top w:val="none" w:sz="0" w:space="0" w:color="auto"/>
                        <w:left w:val="none" w:sz="0" w:space="0" w:color="auto"/>
                        <w:bottom w:val="none" w:sz="0" w:space="0" w:color="auto"/>
                        <w:right w:val="none" w:sz="0" w:space="0" w:color="auto"/>
                      </w:divBdr>
                      <w:divsChild>
                        <w:div w:id="1884950213">
                          <w:marLeft w:val="0"/>
                          <w:marRight w:val="0"/>
                          <w:marTop w:val="0"/>
                          <w:marBottom w:val="0"/>
                          <w:divBdr>
                            <w:top w:val="none" w:sz="0" w:space="0" w:color="auto"/>
                            <w:left w:val="none" w:sz="0" w:space="0" w:color="auto"/>
                            <w:bottom w:val="none" w:sz="0" w:space="0" w:color="auto"/>
                            <w:right w:val="none" w:sz="0" w:space="0" w:color="auto"/>
                          </w:divBdr>
                          <w:divsChild>
                            <w:div w:id="636842422">
                              <w:marLeft w:val="0"/>
                              <w:marRight w:val="0"/>
                              <w:marTop w:val="0"/>
                              <w:marBottom w:val="0"/>
                              <w:divBdr>
                                <w:top w:val="none" w:sz="0" w:space="0" w:color="auto"/>
                                <w:left w:val="none" w:sz="0" w:space="0" w:color="auto"/>
                                <w:bottom w:val="none" w:sz="0" w:space="0" w:color="auto"/>
                                <w:right w:val="none" w:sz="0" w:space="0" w:color="auto"/>
                              </w:divBdr>
                              <w:divsChild>
                                <w:div w:id="1081565121">
                                  <w:marLeft w:val="0"/>
                                  <w:marRight w:val="0"/>
                                  <w:marTop w:val="0"/>
                                  <w:marBottom w:val="0"/>
                                  <w:divBdr>
                                    <w:top w:val="none" w:sz="0" w:space="0" w:color="auto"/>
                                    <w:left w:val="none" w:sz="0" w:space="0" w:color="auto"/>
                                    <w:bottom w:val="none" w:sz="0" w:space="0" w:color="auto"/>
                                    <w:right w:val="none" w:sz="0" w:space="0" w:color="auto"/>
                                  </w:divBdr>
                                  <w:divsChild>
                                    <w:div w:id="472409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6823711">
      <w:bodyDiv w:val="1"/>
      <w:marLeft w:val="0"/>
      <w:marRight w:val="0"/>
      <w:marTop w:val="0"/>
      <w:marBottom w:val="0"/>
      <w:divBdr>
        <w:top w:val="none" w:sz="0" w:space="0" w:color="auto"/>
        <w:left w:val="none" w:sz="0" w:space="0" w:color="auto"/>
        <w:bottom w:val="none" w:sz="0" w:space="0" w:color="auto"/>
        <w:right w:val="none" w:sz="0" w:space="0" w:color="auto"/>
      </w:divBdr>
    </w:div>
    <w:div w:id="1827745213">
      <w:bodyDiv w:val="1"/>
      <w:marLeft w:val="0"/>
      <w:marRight w:val="0"/>
      <w:marTop w:val="0"/>
      <w:marBottom w:val="0"/>
      <w:divBdr>
        <w:top w:val="none" w:sz="0" w:space="0" w:color="auto"/>
        <w:left w:val="none" w:sz="0" w:space="0" w:color="auto"/>
        <w:bottom w:val="none" w:sz="0" w:space="0" w:color="auto"/>
        <w:right w:val="none" w:sz="0" w:space="0" w:color="auto"/>
      </w:divBdr>
    </w:div>
    <w:div w:id="1830751851">
      <w:bodyDiv w:val="1"/>
      <w:marLeft w:val="0"/>
      <w:marRight w:val="0"/>
      <w:marTop w:val="0"/>
      <w:marBottom w:val="0"/>
      <w:divBdr>
        <w:top w:val="none" w:sz="0" w:space="0" w:color="auto"/>
        <w:left w:val="none" w:sz="0" w:space="0" w:color="auto"/>
        <w:bottom w:val="none" w:sz="0" w:space="0" w:color="auto"/>
        <w:right w:val="none" w:sz="0" w:space="0" w:color="auto"/>
      </w:divBdr>
    </w:div>
    <w:div w:id="1831824100">
      <w:bodyDiv w:val="1"/>
      <w:marLeft w:val="0"/>
      <w:marRight w:val="0"/>
      <w:marTop w:val="0"/>
      <w:marBottom w:val="0"/>
      <w:divBdr>
        <w:top w:val="none" w:sz="0" w:space="0" w:color="auto"/>
        <w:left w:val="none" w:sz="0" w:space="0" w:color="auto"/>
        <w:bottom w:val="none" w:sz="0" w:space="0" w:color="auto"/>
        <w:right w:val="none" w:sz="0" w:space="0" w:color="auto"/>
      </w:divBdr>
    </w:div>
    <w:div w:id="1834103207">
      <w:bodyDiv w:val="1"/>
      <w:marLeft w:val="0"/>
      <w:marRight w:val="0"/>
      <w:marTop w:val="0"/>
      <w:marBottom w:val="0"/>
      <w:divBdr>
        <w:top w:val="none" w:sz="0" w:space="0" w:color="auto"/>
        <w:left w:val="none" w:sz="0" w:space="0" w:color="auto"/>
        <w:bottom w:val="none" w:sz="0" w:space="0" w:color="auto"/>
        <w:right w:val="none" w:sz="0" w:space="0" w:color="auto"/>
      </w:divBdr>
    </w:div>
    <w:div w:id="1837573380">
      <w:bodyDiv w:val="1"/>
      <w:marLeft w:val="0"/>
      <w:marRight w:val="0"/>
      <w:marTop w:val="0"/>
      <w:marBottom w:val="0"/>
      <w:divBdr>
        <w:top w:val="none" w:sz="0" w:space="0" w:color="auto"/>
        <w:left w:val="none" w:sz="0" w:space="0" w:color="auto"/>
        <w:bottom w:val="none" w:sz="0" w:space="0" w:color="auto"/>
        <w:right w:val="none" w:sz="0" w:space="0" w:color="auto"/>
      </w:divBdr>
    </w:div>
    <w:div w:id="1839466627">
      <w:bodyDiv w:val="1"/>
      <w:marLeft w:val="0"/>
      <w:marRight w:val="0"/>
      <w:marTop w:val="0"/>
      <w:marBottom w:val="0"/>
      <w:divBdr>
        <w:top w:val="none" w:sz="0" w:space="0" w:color="auto"/>
        <w:left w:val="none" w:sz="0" w:space="0" w:color="auto"/>
        <w:bottom w:val="none" w:sz="0" w:space="0" w:color="auto"/>
        <w:right w:val="none" w:sz="0" w:space="0" w:color="auto"/>
      </w:divBdr>
    </w:div>
    <w:div w:id="1841193147">
      <w:bodyDiv w:val="1"/>
      <w:marLeft w:val="0"/>
      <w:marRight w:val="0"/>
      <w:marTop w:val="0"/>
      <w:marBottom w:val="0"/>
      <w:divBdr>
        <w:top w:val="none" w:sz="0" w:space="0" w:color="auto"/>
        <w:left w:val="none" w:sz="0" w:space="0" w:color="auto"/>
        <w:bottom w:val="none" w:sz="0" w:space="0" w:color="auto"/>
        <w:right w:val="none" w:sz="0" w:space="0" w:color="auto"/>
      </w:divBdr>
    </w:div>
    <w:div w:id="1841580762">
      <w:bodyDiv w:val="1"/>
      <w:marLeft w:val="0"/>
      <w:marRight w:val="0"/>
      <w:marTop w:val="0"/>
      <w:marBottom w:val="0"/>
      <w:divBdr>
        <w:top w:val="none" w:sz="0" w:space="0" w:color="auto"/>
        <w:left w:val="none" w:sz="0" w:space="0" w:color="auto"/>
        <w:bottom w:val="none" w:sz="0" w:space="0" w:color="auto"/>
        <w:right w:val="none" w:sz="0" w:space="0" w:color="auto"/>
      </w:divBdr>
    </w:div>
    <w:div w:id="1841769146">
      <w:bodyDiv w:val="1"/>
      <w:marLeft w:val="0"/>
      <w:marRight w:val="0"/>
      <w:marTop w:val="0"/>
      <w:marBottom w:val="0"/>
      <w:divBdr>
        <w:top w:val="none" w:sz="0" w:space="0" w:color="auto"/>
        <w:left w:val="none" w:sz="0" w:space="0" w:color="auto"/>
        <w:bottom w:val="none" w:sz="0" w:space="0" w:color="auto"/>
        <w:right w:val="none" w:sz="0" w:space="0" w:color="auto"/>
      </w:divBdr>
      <w:divsChild>
        <w:div w:id="953561288">
          <w:marLeft w:val="0"/>
          <w:marRight w:val="0"/>
          <w:marTop w:val="0"/>
          <w:marBottom w:val="0"/>
          <w:divBdr>
            <w:top w:val="none" w:sz="0" w:space="0" w:color="auto"/>
            <w:left w:val="none" w:sz="0" w:space="0" w:color="auto"/>
            <w:bottom w:val="none" w:sz="0" w:space="0" w:color="auto"/>
            <w:right w:val="none" w:sz="0" w:space="0" w:color="auto"/>
          </w:divBdr>
          <w:divsChild>
            <w:div w:id="540093531">
              <w:marLeft w:val="0"/>
              <w:marRight w:val="0"/>
              <w:marTop w:val="0"/>
              <w:marBottom w:val="0"/>
              <w:divBdr>
                <w:top w:val="none" w:sz="0" w:space="0" w:color="auto"/>
                <w:left w:val="none" w:sz="0" w:space="0" w:color="auto"/>
                <w:bottom w:val="none" w:sz="0" w:space="0" w:color="auto"/>
                <w:right w:val="none" w:sz="0" w:space="0" w:color="auto"/>
              </w:divBdr>
              <w:divsChild>
                <w:div w:id="644160597">
                  <w:marLeft w:val="0"/>
                  <w:marRight w:val="0"/>
                  <w:marTop w:val="0"/>
                  <w:marBottom w:val="0"/>
                  <w:divBdr>
                    <w:top w:val="none" w:sz="0" w:space="0" w:color="auto"/>
                    <w:left w:val="none" w:sz="0" w:space="0" w:color="auto"/>
                    <w:bottom w:val="none" w:sz="0" w:space="0" w:color="auto"/>
                    <w:right w:val="none" w:sz="0" w:space="0" w:color="auto"/>
                  </w:divBdr>
                </w:div>
                <w:div w:id="1798601577">
                  <w:marLeft w:val="0"/>
                  <w:marRight w:val="0"/>
                  <w:marTop w:val="72"/>
                  <w:marBottom w:val="72"/>
                  <w:divBdr>
                    <w:top w:val="none" w:sz="0" w:space="0" w:color="auto"/>
                    <w:left w:val="none" w:sz="0" w:space="0" w:color="auto"/>
                    <w:bottom w:val="none" w:sz="0" w:space="0" w:color="auto"/>
                    <w:right w:val="none" w:sz="0" w:space="0" w:color="auto"/>
                  </w:divBdr>
                </w:div>
              </w:divsChild>
            </w:div>
          </w:divsChild>
        </w:div>
      </w:divsChild>
    </w:div>
    <w:div w:id="1843624026">
      <w:bodyDiv w:val="1"/>
      <w:marLeft w:val="0"/>
      <w:marRight w:val="0"/>
      <w:marTop w:val="0"/>
      <w:marBottom w:val="0"/>
      <w:divBdr>
        <w:top w:val="none" w:sz="0" w:space="0" w:color="auto"/>
        <w:left w:val="none" w:sz="0" w:space="0" w:color="auto"/>
        <w:bottom w:val="none" w:sz="0" w:space="0" w:color="auto"/>
        <w:right w:val="none" w:sz="0" w:space="0" w:color="auto"/>
      </w:divBdr>
    </w:div>
    <w:div w:id="1844661009">
      <w:bodyDiv w:val="1"/>
      <w:marLeft w:val="0"/>
      <w:marRight w:val="0"/>
      <w:marTop w:val="0"/>
      <w:marBottom w:val="0"/>
      <w:divBdr>
        <w:top w:val="none" w:sz="0" w:space="0" w:color="auto"/>
        <w:left w:val="none" w:sz="0" w:space="0" w:color="auto"/>
        <w:bottom w:val="none" w:sz="0" w:space="0" w:color="auto"/>
        <w:right w:val="none" w:sz="0" w:space="0" w:color="auto"/>
      </w:divBdr>
    </w:div>
    <w:div w:id="1846244992">
      <w:bodyDiv w:val="1"/>
      <w:marLeft w:val="0"/>
      <w:marRight w:val="0"/>
      <w:marTop w:val="0"/>
      <w:marBottom w:val="0"/>
      <w:divBdr>
        <w:top w:val="none" w:sz="0" w:space="0" w:color="auto"/>
        <w:left w:val="none" w:sz="0" w:space="0" w:color="auto"/>
        <w:bottom w:val="none" w:sz="0" w:space="0" w:color="auto"/>
        <w:right w:val="none" w:sz="0" w:space="0" w:color="auto"/>
      </w:divBdr>
    </w:div>
    <w:div w:id="1847867827">
      <w:bodyDiv w:val="1"/>
      <w:marLeft w:val="0"/>
      <w:marRight w:val="0"/>
      <w:marTop w:val="0"/>
      <w:marBottom w:val="0"/>
      <w:divBdr>
        <w:top w:val="none" w:sz="0" w:space="0" w:color="auto"/>
        <w:left w:val="none" w:sz="0" w:space="0" w:color="auto"/>
        <w:bottom w:val="none" w:sz="0" w:space="0" w:color="auto"/>
        <w:right w:val="none" w:sz="0" w:space="0" w:color="auto"/>
      </w:divBdr>
    </w:div>
    <w:div w:id="1850681379">
      <w:bodyDiv w:val="1"/>
      <w:marLeft w:val="0"/>
      <w:marRight w:val="0"/>
      <w:marTop w:val="0"/>
      <w:marBottom w:val="0"/>
      <w:divBdr>
        <w:top w:val="none" w:sz="0" w:space="0" w:color="auto"/>
        <w:left w:val="none" w:sz="0" w:space="0" w:color="auto"/>
        <w:bottom w:val="none" w:sz="0" w:space="0" w:color="auto"/>
        <w:right w:val="none" w:sz="0" w:space="0" w:color="auto"/>
      </w:divBdr>
    </w:div>
    <w:div w:id="1852716369">
      <w:bodyDiv w:val="1"/>
      <w:marLeft w:val="0"/>
      <w:marRight w:val="0"/>
      <w:marTop w:val="0"/>
      <w:marBottom w:val="0"/>
      <w:divBdr>
        <w:top w:val="none" w:sz="0" w:space="0" w:color="auto"/>
        <w:left w:val="none" w:sz="0" w:space="0" w:color="auto"/>
        <w:bottom w:val="none" w:sz="0" w:space="0" w:color="auto"/>
        <w:right w:val="none" w:sz="0" w:space="0" w:color="auto"/>
      </w:divBdr>
    </w:div>
    <w:div w:id="1854341895">
      <w:bodyDiv w:val="1"/>
      <w:marLeft w:val="0"/>
      <w:marRight w:val="0"/>
      <w:marTop w:val="0"/>
      <w:marBottom w:val="0"/>
      <w:divBdr>
        <w:top w:val="none" w:sz="0" w:space="0" w:color="auto"/>
        <w:left w:val="none" w:sz="0" w:space="0" w:color="auto"/>
        <w:bottom w:val="none" w:sz="0" w:space="0" w:color="auto"/>
        <w:right w:val="none" w:sz="0" w:space="0" w:color="auto"/>
      </w:divBdr>
    </w:div>
    <w:div w:id="1855146311">
      <w:bodyDiv w:val="1"/>
      <w:marLeft w:val="0"/>
      <w:marRight w:val="0"/>
      <w:marTop w:val="0"/>
      <w:marBottom w:val="0"/>
      <w:divBdr>
        <w:top w:val="none" w:sz="0" w:space="0" w:color="auto"/>
        <w:left w:val="none" w:sz="0" w:space="0" w:color="auto"/>
        <w:bottom w:val="none" w:sz="0" w:space="0" w:color="auto"/>
        <w:right w:val="none" w:sz="0" w:space="0" w:color="auto"/>
      </w:divBdr>
    </w:div>
    <w:div w:id="1857306518">
      <w:bodyDiv w:val="1"/>
      <w:marLeft w:val="0"/>
      <w:marRight w:val="0"/>
      <w:marTop w:val="0"/>
      <w:marBottom w:val="0"/>
      <w:divBdr>
        <w:top w:val="none" w:sz="0" w:space="0" w:color="auto"/>
        <w:left w:val="none" w:sz="0" w:space="0" w:color="auto"/>
        <w:bottom w:val="none" w:sz="0" w:space="0" w:color="auto"/>
        <w:right w:val="none" w:sz="0" w:space="0" w:color="auto"/>
      </w:divBdr>
    </w:div>
    <w:div w:id="1858882890">
      <w:bodyDiv w:val="1"/>
      <w:marLeft w:val="0"/>
      <w:marRight w:val="0"/>
      <w:marTop w:val="0"/>
      <w:marBottom w:val="0"/>
      <w:divBdr>
        <w:top w:val="none" w:sz="0" w:space="0" w:color="auto"/>
        <w:left w:val="none" w:sz="0" w:space="0" w:color="auto"/>
        <w:bottom w:val="none" w:sz="0" w:space="0" w:color="auto"/>
        <w:right w:val="none" w:sz="0" w:space="0" w:color="auto"/>
      </w:divBdr>
    </w:div>
    <w:div w:id="1859466318">
      <w:bodyDiv w:val="1"/>
      <w:marLeft w:val="0"/>
      <w:marRight w:val="0"/>
      <w:marTop w:val="0"/>
      <w:marBottom w:val="0"/>
      <w:divBdr>
        <w:top w:val="none" w:sz="0" w:space="0" w:color="auto"/>
        <w:left w:val="none" w:sz="0" w:space="0" w:color="auto"/>
        <w:bottom w:val="none" w:sz="0" w:space="0" w:color="auto"/>
        <w:right w:val="none" w:sz="0" w:space="0" w:color="auto"/>
      </w:divBdr>
    </w:div>
    <w:div w:id="1862628378">
      <w:bodyDiv w:val="1"/>
      <w:marLeft w:val="0"/>
      <w:marRight w:val="0"/>
      <w:marTop w:val="0"/>
      <w:marBottom w:val="0"/>
      <w:divBdr>
        <w:top w:val="none" w:sz="0" w:space="0" w:color="auto"/>
        <w:left w:val="none" w:sz="0" w:space="0" w:color="auto"/>
        <w:bottom w:val="none" w:sz="0" w:space="0" w:color="auto"/>
        <w:right w:val="none" w:sz="0" w:space="0" w:color="auto"/>
      </w:divBdr>
    </w:div>
    <w:div w:id="1863006175">
      <w:bodyDiv w:val="1"/>
      <w:marLeft w:val="0"/>
      <w:marRight w:val="0"/>
      <w:marTop w:val="0"/>
      <w:marBottom w:val="0"/>
      <w:divBdr>
        <w:top w:val="none" w:sz="0" w:space="0" w:color="auto"/>
        <w:left w:val="none" w:sz="0" w:space="0" w:color="auto"/>
        <w:bottom w:val="none" w:sz="0" w:space="0" w:color="auto"/>
        <w:right w:val="none" w:sz="0" w:space="0" w:color="auto"/>
      </w:divBdr>
    </w:div>
    <w:div w:id="1863467742">
      <w:bodyDiv w:val="1"/>
      <w:marLeft w:val="0"/>
      <w:marRight w:val="0"/>
      <w:marTop w:val="0"/>
      <w:marBottom w:val="0"/>
      <w:divBdr>
        <w:top w:val="none" w:sz="0" w:space="0" w:color="auto"/>
        <w:left w:val="none" w:sz="0" w:space="0" w:color="auto"/>
        <w:bottom w:val="none" w:sz="0" w:space="0" w:color="auto"/>
        <w:right w:val="none" w:sz="0" w:space="0" w:color="auto"/>
      </w:divBdr>
    </w:div>
    <w:div w:id="1866020914">
      <w:bodyDiv w:val="1"/>
      <w:marLeft w:val="0"/>
      <w:marRight w:val="0"/>
      <w:marTop w:val="0"/>
      <w:marBottom w:val="0"/>
      <w:divBdr>
        <w:top w:val="none" w:sz="0" w:space="0" w:color="auto"/>
        <w:left w:val="none" w:sz="0" w:space="0" w:color="auto"/>
        <w:bottom w:val="none" w:sz="0" w:space="0" w:color="auto"/>
        <w:right w:val="none" w:sz="0" w:space="0" w:color="auto"/>
      </w:divBdr>
    </w:div>
    <w:div w:id="1866670972">
      <w:bodyDiv w:val="1"/>
      <w:marLeft w:val="0"/>
      <w:marRight w:val="0"/>
      <w:marTop w:val="0"/>
      <w:marBottom w:val="0"/>
      <w:divBdr>
        <w:top w:val="none" w:sz="0" w:space="0" w:color="auto"/>
        <w:left w:val="none" w:sz="0" w:space="0" w:color="auto"/>
        <w:bottom w:val="none" w:sz="0" w:space="0" w:color="auto"/>
        <w:right w:val="none" w:sz="0" w:space="0" w:color="auto"/>
      </w:divBdr>
    </w:div>
    <w:div w:id="1867013659">
      <w:bodyDiv w:val="1"/>
      <w:marLeft w:val="0"/>
      <w:marRight w:val="0"/>
      <w:marTop w:val="0"/>
      <w:marBottom w:val="0"/>
      <w:divBdr>
        <w:top w:val="none" w:sz="0" w:space="0" w:color="auto"/>
        <w:left w:val="none" w:sz="0" w:space="0" w:color="auto"/>
        <w:bottom w:val="none" w:sz="0" w:space="0" w:color="auto"/>
        <w:right w:val="none" w:sz="0" w:space="0" w:color="auto"/>
      </w:divBdr>
    </w:div>
    <w:div w:id="1867017057">
      <w:bodyDiv w:val="1"/>
      <w:marLeft w:val="0"/>
      <w:marRight w:val="0"/>
      <w:marTop w:val="0"/>
      <w:marBottom w:val="0"/>
      <w:divBdr>
        <w:top w:val="none" w:sz="0" w:space="0" w:color="auto"/>
        <w:left w:val="none" w:sz="0" w:space="0" w:color="auto"/>
        <w:bottom w:val="none" w:sz="0" w:space="0" w:color="auto"/>
        <w:right w:val="none" w:sz="0" w:space="0" w:color="auto"/>
      </w:divBdr>
    </w:div>
    <w:div w:id="1867908165">
      <w:bodyDiv w:val="1"/>
      <w:marLeft w:val="0"/>
      <w:marRight w:val="0"/>
      <w:marTop w:val="0"/>
      <w:marBottom w:val="0"/>
      <w:divBdr>
        <w:top w:val="none" w:sz="0" w:space="0" w:color="auto"/>
        <w:left w:val="none" w:sz="0" w:space="0" w:color="auto"/>
        <w:bottom w:val="none" w:sz="0" w:space="0" w:color="auto"/>
        <w:right w:val="none" w:sz="0" w:space="0" w:color="auto"/>
      </w:divBdr>
    </w:div>
    <w:div w:id="1868176864">
      <w:bodyDiv w:val="1"/>
      <w:marLeft w:val="0"/>
      <w:marRight w:val="0"/>
      <w:marTop w:val="0"/>
      <w:marBottom w:val="0"/>
      <w:divBdr>
        <w:top w:val="none" w:sz="0" w:space="0" w:color="auto"/>
        <w:left w:val="none" w:sz="0" w:space="0" w:color="auto"/>
        <w:bottom w:val="none" w:sz="0" w:space="0" w:color="auto"/>
        <w:right w:val="none" w:sz="0" w:space="0" w:color="auto"/>
      </w:divBdr>
    </w:div>
    <w:div w:id="1872260306">
      <w:bodyDiv w:val="1"/>
      <w:marLeft w:val="0"/>
      <w:marRight w:val="0"/>
      <w:marTop w:val="0"/>
      <w:marBottom w:val="0"/>
      <w:divBdr>
        <w:top w:val="none" w:sz="0" w:space="0" w:color="auto"/>
        <w:left w:val="none" w:sz="0" w:space="0" w:color="auto"/>
        <w:bottom w:val="none" w:sz="0" w:space="0" w:color="auto"/>
        <w:right w:val="none" w:sz="0" w:space="0" w:color="auto"/>
      </w:divBdr>
    </w:div>
    <w:div w:id="1873497999">
      <w:bodyDiv w:val="1"/>
      <w:marLeft w:val="0"/>
      <w:marRight w:val="0"/>
      <w:marTop w:val="0"/>
      <w:marBottom w:val="0"/>
      <w:divBdr>
        <w:top w:val="none" w:sz="0" w:space="0" w:color="auto"/>
        <w:left w:val="none" w:sz="0" w:space="0" w:color="auto"/>
        <w:bottom w:val="none" w:sz="0" w:space="0" w:color="auto"/>
        <w:right w:val="none" w:sz="0" w:space="0" w:color="auto"/>
      </w:divBdr>
    </w:div>
    <w:div w:id="1874030761">
      <w:bodyDiv w:val="1"/>
      <w:marLeft w:val="0"/>
      <w:marRight w:val="0"/>
      <w:marTop w:val="0"/>
      <w:marBottom w:val="0"/>
      <w:divBdr>
        <w:top w:val="none" w:sz="0" w:space="0" w:color="auto"/>
        <w:left w:val="none" w:sz="0" w:space="0" w:color="auto"/>
        <w:bottom w:val="none" w:sz="0" w:space="0" w:color="auto"/>
        <w:right w:val="none" w:sz="0" w:space="0" w:color="auto"/>
      </w:divBdr>
    </w:div>
    <w:div w:id="1874922077">
      <w:bodyDiv w:val="1"/>
      <w:marLeft w:val="0"/>
      <w:marRight w:val="0"/>
      <w:marTop w:val="0"/>
      <w:marBottom w:val="0"/>
      <w:divBdr>
        <w:top w:val="none" w:sz="0" w:space="0" w:color="auto"/>
        <w:left w:val="none" w:sz="0" w:space="0" w:color="auto"/>
        <w:bottom w:val="none" w:sz="0" w:space="0" w:color="auto"/>
        <w:right w:val="none" w:sz="0" w:space="0" w:color="auto"/>
      </w:divBdr>
    </w:div>
    <w:div w:id="1876035762">
      <w:bodyDiv w:val="1"/>
      <w:marLeft w:val="0"/>
      <w:marRight w:val="0"/>
      <w:marTop w:val="0"/>
      <w:marBottom w:val="0"/>
      <w:divBdr>
        <w:top w:val="none" w:sz="0" w:space="0" w:color="auto"/>
        <w:left w:val="none" w:sz="0" w:space="0" w:color="auto"/>
        <w:bottom w:val="none" w:sz="0" w:space="0" w:color="auto"/>
        <w:right w:val="none" w:sz="0" w:space="0" w:color="auto"/>
      </w:divBdr>
    </w:div>
    <w:div w:id="1876503471">
      <w:bodyDiv w:val="1"/>
      <w:marLeft w:val="0"/>
      <w:marRight w:val="0"/>
      <w:marTop w:val="0"/>
      <w:marBottom w:val="0"/>
      <w:divBdr>
        <w:top w:val="none" w:sz="0" w:space="0" w:color="auto"/>
        <w:left w:val="none" w:sz="0" w:space="0" w:color="auto"/>
        <w:bottom w:val="none" w:sz="0" w:space="0" w:color="auto"/>
        <w:right w:val="none" w:sz="0" w:space="0" w:color="auto"/>
      </w:divBdr>
    </w:div>
    <w:div w:id="1878160175">
      <w:bodyDiv w:val="1"/>
      <w:marLeft w:val="0"/>
      <w:marRight w:val="0"/>
      <w:marTop w:val="0"/>
      <w:marBottom w:val="0"/>
      <w:divBdr>
        <w:top w:val="none" w:sz="0" w:space="0" w:color="auto"/>
        <w:left w:val="none" w:sz="0" w:space="0" w:color="auto"/>
        <w:bottom w:val="none" w:sz="0" w:space="0" w:color="auto"/>
        <w:right w:val="none" w:sz="0" w:space="0" w:color="auto"/>
      </w:divBdr>
    </w:div>
    <w:div w:id="1879051492">
      <w:bodyDiv w:val="1"/>
      <w:marLeft w:val="0"/>
      <w:marRight w:val="0"/>
      <w:marTop w:val="0"/>
      <w:marBottom w:val="0"/>
      <w:divBdr>
        <w:top w:val="none" w:sz="0" w:space="0" w:color="auto"/>
        <w:left w:val="none" w:sz="0" w:space="0" w:color="auto"/>
        <w:bottom w:val="none" w:sz="0" w:space="0" w:color="auto"/>
        <w:right w:val="none" w:sz="0" w:space="0" w:color="auto"/>
      </w:divBdr>
    </w:div>
    <w:div w:id="1879079563">
      <w:bodyDiv w:val="1"/>
      <w:marLeft w:val="0"/>
      <w:marRight w:val="0"/>
      <w:marTop w:val="0"/>
      <w:marBottom w:val="0"/>
      <w:divBdr>
        <w:top w:val="none" w:sz="0" w:space="0" w:color="auto"/>
        <w:left w:val="none" w:sz="0" w:space="0" w:color="auto"/>
        <w:bottom w:val="none" w:sz="0" w:space="0" w:color="auto"/>
        <w:right w:val="none" w:sz="0" w:space="0" w:color="auto"/>
      </w:divBdr>
    </w:div>
    <w:div w:id="1882132094">
      <w:bodyDiv w:val="1"/>
      <w:marLeft w:val="0"/>
      <w:marRight w:val="0"/>
      <w:marTop w:val="0"/>
      <w:marBottom w:val="0"/>
      <w:divBdr>
        <w:top w:val="none" w:sz="0" w:space="0" w:color="auto"/>
        <w:left w:val="none" w:sz="0" w:space="0" w:color="auto"/>
        <w:bottom w:val="none" w:sz="0" w:space="0" w:color="auto"/>
        <w:right w:val="none" w:sz="0" w:space="0" w:color="auto"/>
      </w:divBdr>
    </w:div>
    <w:div w:id="1883252974">
      <w:bodyDiv w:val="1"/>
      <w:marLeft w:val="0"/>
      <w:marRight w:val="0"/>
      <w:marTop w:val="0"/>
      <w:marBottom w:val="0"/>
      <w:divBdr>
        <w:top w:val="none" w:sz="0" w:space="0" w:color="auto"/>
        <w:left w:val="none" w:sz="0" w:space="0" w:color="auto"/>
        <w:bottom w:val="none" w:sz="0" w:space="0" w:color="auto"/>
        <w:right w:val="none" w:sz="0" w:space="0" w:color="auto"/>
      </w:divBdr>
    </w:div>
    <w:div w:id="1884125063">
      <w:bodyDiv w:val="1"/>
      <w:marLeft w:val="0"/>
      <w:marRight w:val="0"/>
      <w:marTop w:val="0"/>
      <w:marBottom w:val="0"/>
      <w:divBdr>
        <w:top w:val="none" w:sz="0" w:space="0" w:color="auto"/>
        <w:left w:val="none" w:sz="0" w:space="0" w:color="auto"/>
        <w:bottom w:val="none" w:sz="0" w:space="0" w:color="auto"/>
        <w:right w:val="none" w:sz="0" w:space="0" w:color="auto"/>
      </w:divBdr>
    </w:div>
    <w:div w:id="1884974815">
      <w:bodyDiv w:val="1"/>
      <w:marLeft w:val="0"/>
      <w:marRight w:val="0"/>
      <w:marTop w:val="0"/>
      <w:marBottom w:val="0"/>
      <w:divBdr>
        <w:top w:val="none" w:sz="0" w:space="0" w:color="auto"/>
        <w:left w:val="none" w:sz="0" w:space="0" w:color="auto"/>
        <w:bottom w:val="none" w:sz="0" w:space="0" w:color="auto"/>
        <w:right w:val="none" w:sz="0" w:space="0" w:color="auto"/>
      </w:divBdr>
    </w:div>
    <w:div w:id="1885628945">
      <w:bodyDiv w:val="1"/>
      <w:marLeft w:val="0"/>
      <w:marRight w:val="0"/>
      <w:marTop w:val="0"/>
      <w:marBottom w:val="0"/>
      <w:divBdr>
        <w:top w:val="none" w:sz="0" w:space="0" w:color="auto"/>
        <w:left w:val="none" w:sz="0" w:space="0" w:color="auto"/>
        <w:bottom w:val="none" w:sz="0" w:space="0" w:color="auto"/>
        <w:right w:val="none" w:sz="0" w:space="0" w:color="auto"/>
      </w:divBdr>
    </w:div>
    <w:div w:id="1887259718">
      <w:bodyDiv w:val="1"/>
      <w:marLeft w:val="0"/>
      <w:marRight w:val="0"/>
      <w:marTop w:val="0"/>
      <w:marBottom w:val="0"/>
      <w:divBdr>
        <w:top w:val="none" w:sz="0" w:space="0" w:color="auto"/>
        <w:left w:val="none" w:sz="0" w:space="0" w:color="auto"/>
        <w:bottom w:val="none" w:sz="0" w:space="0" w:color="auto"/>
        <w:right w:val="none" w:sz="0" w:space="0" w:color="auto"/>
      </w:divBdr>
    </w:div>
    <w:div w:id="1887451849">
      <w:bodyDiv w:val="1"/>
      <w:marLeft w:val="0"/>
      <w:marRight w:val="0"/>
      <w:marTop w:val="0"/>
      <w:marBottom w:val="0"/>
      <w:divBdr>
        <w:top w:val="none" w:sz="0" w:space="0" w:color="auto"/>
        <w:left w:val="none" w:sz="0" w:space="0" w:color="auto"/>
        <w:bottom w:val="none" w:sz="0" w:space="0" w:color="auto"/>
        <w:right w:val="none" w:sz="0" w:space="0" w:color="auto"/>
      </w:divBdr>
    </w:div>
    <w:div w:id="1887599667">
      <w:bodyDiv w:val="1"/>
      <w:marLeft w:val="0"/>
      <w:marRight w:val="0"/>
      <w:marTop w:val="0"/>
      <w:marBottom w:val="0"/>
      <w:divBdr>
        <w:top w:val="none" w:sz="0" w:space="0" w:color="auto"/>
        <w:left w:val="none" w:sz="0" w:space="0" w:color="auto"/>
        <w:bottom w:val="none" w:sz="0" w:space="0" w:color="auto"/>
        <w:right w:val="none" w:sz="0" w:space="0" w:color="auto"/>
      </w:divBdr>
    </w:div>
    <w:div w:id="1888487072">
      <w:bodyDiv w:val="1"/>
      <w:marLeft w:val="0"/>
      <w:marRight w:val="0"/>
      <w:marTop w:val="0"/>
      <w:marBottom w:val="0"/>
      <w:divBdr>
        <w:top w:val="none" w:sz="0" w:space="0" w:color="auto"/>
        <w:left w:val="none" w:sz="0" w:space="0" w:color="auto"/>
        <w:bottom w:val="none" w:sz="0" w:space="0" w:color="auto"/>
        <w:right w:val="none" w:sz="0" w:space="0" w:color="auto"/>
      </w:divBdr>
    </w:div>
    <w:div w:id="1891532100">
      <w:bodyDiv w:val="1"/>
      <w:marLeft w:val="0"/>
      <w:marRight w:val="0"/>
      <w:marTop w:val="0"/>
      <w:marBottom w:val="0"/>
      <w:divBdr>
        <w:top w:val="none" w:sz="0" w:space="0" w:color="auto"/>
        <w:left w:val="none" w:sz="0" w:space="0" w:color="auto"/>
        <w:bottom w:val="none" w:sz="0" w:space="0" w:color="auto"/>
        <w:right w:val="none" w:sz="0" w:space="0" w:color="auto"/>
      </w:divBdr>
    </w:div>
    <w:div w:id="1893299530">
      <w:bodyDiv w:val="1"/>
      <w:marLeft w:val="0"/>
      <w:marRight w:val="0"/>
      <w:marTop w:val="0"/>
      <w:marBottom w:val="0"/>
      <w:divBdr>
        <w:top w:val="none" w:sz="0" w:space="0" w:color="auto"/>
        <w:left w:val="none" w:sz="0" w:space="0" w:color="auto"/>
        <w:bottom w:val="none" w:sz="0" w:space="0" w:color="auto"/>
        <w:right w:val="none" w:sz="0" w:space="0" w:color="auto"/>
      </w:divBdr>
    </w:div>
    <w:div w:id="1894920953">
      <w:bodyDiv w:val="1"/>
      <w:marLeft w:val="0"/>
      <w:marRight w:val="0"/>
      <w:marTop w:val="0"/>
      <w:marBottom w:val="0"/>
      <w:divBdr>
        <w:top w:val="none" w:sz="0" w:space="0" w:color="auto"/>
        <w:left w:val="none" w:sz="0" w:space="0" w:color="auto"/>
        <w:bottom w:val="none" w:sz="0" w:space="0" w:color="auto"/>
        <w:right w:val="none" w:sz="0" w:space="0" w:color="auto"/>
      </w:divBdr>
    </w:div>
    <w:div w:id="1895042960">
      <w:bodyDiv w:val="1"/>
      <w:marLeft w:val="0"/>
      <w:marRight w:val="0"/>
      <w:marTop w:val="0"/>
      <w:marBottom w:val="0"/>
      <w:divBdr>
        <w:top w:val="none" w:sz="0" w:space="0" w:color="auto"/>
        <w:left w:val="none" w:sz="0" w:space="0" w:color="auto"/>
        <w:bottom w:val="none" w:sz="0" w:space="0" w:color="auto"/>
        <w:right w:val="none" w:sz="0" w:space="0" w:color="auto"/>
      </w:divBdr>
      <w:divsChild>
        <w:div w:id="333581434">
          <w:marLeft w:val="0"/>
          <w:marRight w:val="0"/>
          <w:marTop w:val="0"/>
          <w:marBottom w:val="0"/>
          <w:divBdr>
            <w:top w:val="none" w:sz="0" w:space="0" w:color="auto"/>
            <w:left w:val="none" w:sz="0" w:space="0" w:color="auto"/>
            <w:bottom w:val="none" w:sz="0" w:space="0" w:color="auto"/>
            <w:right w:val="none" w:sz="0" w:space="0" w:color="auto"/>
          </w:divBdr>
          <w:divsChild>
            <w:div w:id="694501121">
              <w:marLeft w:val="0"/>
              <w:marRight w:val="0"/>
              <w:marTop w:val="0"/>
              <w:marBottom w:val="0"/>
              <w:divBdr>
                <w:top w:val="none" w:sz="0" w:space="0" w:color="auto"/>
                <w:left w:val="none" w:sz="0" w:space="0" w:color="auto"/>
                <w:bottom w:val="none" w:sz="0" w:space="0" w:color="auto"/>
                <w:right w:val="none" w:sz="0" w:space="0" w:color="auto"/>
              </w:divBdr>
              <w:divsChild>
                <w:div w:id="1518886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6699663">
      <w:bodyDiv w:val="1"/>
      <w:marLeft w:val="0"/>
      <w:marRight w:val="0"/>
      <w:marTop w:val="0"/>
      <w:marBottom w:val="0"/>
      <w:divBdr>
        <w:top w:val="none" w:sz="0" w:space="0" w:color="auto"/>
        <w:left w:val="none" w:sz="0" w:space="0" w:color="auto"/>
        <w:bottom w:val="none" w:sz="0" w:space="0" w:color="auto"/>
        <w:right w:val="none" w:sz="0" w:space="0" w:color="auto"/>
      </w:divBdr>
    </w:div>
    <w:div w:id="1897888933">
      <w:bodyDiv w:val="1"/>
      <w:marLeft w:val="0"/>
      <w:marRight w:val="0"/>
      <w:marTop w:val="0"/>
      <w:marBottom w:val="0"/>
      <w:divBdr>
        <w:top w:val="none" w:sz="0" w:space="0" w:color="auto"/>
        <w:left w:val="none" w:sz="0" w:space="0" w:color="auto"/>
        <w:bottom w:val="none" w:sz="0" w:space="0" w:color="auto"/>
        <w:right w:val="none" w:sz="0" w:space="0" w:color="auto"/>
      </w:divBdr>
    </w:div>
    <w:div w:id="1899591929">
      <w:bodyDiv w:val="1"/>
      <w:marLeft w:val="0"/>
      <w:marRight w:val="0"/>
      <w:marTop w:val="0"/>
      <w:marBottom w:val="0"/>
      <w:divBdr>
        <w:top w:val="none" w:sz="0" w:space="0" w:color="auto"/>
        <w:left w:val="none" w:sz="0" w:space="0" w:color="auto"/>
        <w:bottom w:val="none" w:sz="0" w:space="0" w:color="auto"/>
        <w:right w:val="none" w:sz="0" w:space="0" w:color="auto"/>
      </w:divBdr>
    </w:div>
    <w:div w:id="1901668885">
      <w:bodyDiv w:val="1"/>
      <w:marLeft w:val="0"/>
      <w:marRight w:val="0"/>
      <w:marTop w:val="0"/>
      <w:marBottom w:val="0"/>
      <w:divBdr>
        <w:top w:val="none" w:sz="0" w:space="0" w:color="auto"/>
        <w:left w:val="none" w:sz="0" w:space="0" w:color="auto"/>
        <w:bottom w:val="none" w:sz="0" w:space="0" w:color="auto"/>
        <w:right w:val="none" w:sz="0" w:space="0" w:color="auto"/>
      </w:divBdr>
    </w:div>
    <w:div w:id="1902207891">
      <w:bodyDiv w:val="1"/>
      <w:marLeft w:val="0"/>
      <w:marRight w:val="0"/>
      <w:marTop w:val="0"/>
      <w:marBottom w:val="0"/>
      <w:divBdr>
        <w:top w:val="none" w:sz="0" w:space="0" w:color="auto"/>
        <w:left w:val="none" w:sz="0" w:space="0" w:color="auto"/>
        <w:bottom w:val="none" w:sz="0" w:space="0" w:color="auto"/>
        <w:right w:val="none" w:sz="0" w:space="0" w:color="auto"/>
      </w:divBdr>
    </w:div>
    <w:div w:id="1903827308">
      <w:bodyDiv w:val="1"/>
      <w:marLeft w:val="0"/>
      <w:marRight w:val="0"/>
      <w:marTop w:val="0"/>
      <w:marBottom w:val="0"/>
      <w:divBdr>
        <w:top w:val="none" w:sz="0" w:space="0" w:color="auto"/>
        <w:left w:val="none" w:sz="0" w:space="0" w:color="auto"/>
        <w:bottom w:val="none" w:sz="0" w:space="0" w:color="auto"/>
        <w:right w:val="none" w:sz="0" w:space="0" w:color="auto"/>
      </w:divBdr>
    </w:div>
    <w:div w:id="1905406156">
      <w:bodyDiv w:val="1"/>
      <w:marLeft w:val="0"/>
      <w:marRight w:val="0"/>
      <w:marTop w:val="0"/>
      <w:marBottom w:val="0"/>
      <w:divBdr>
        <w:top w:val="none" w:sz="0" w:space="0" w:color="auto"/>
        <w:left w:val="none" w:sz="0" w:space="0" w:color="auto"/>
        <w:bottom w:val="none" w:sz="0" w:space="0" w:color="auto"/>
        <w:right w:val="none" w:sz="0" w:space="0" w:color="auto"/>
      </w:divBdr>
    </w:div>
    <w:div w:id="1905749940">
      <w:bodyDiv w:val="1"/>
      <w:marLeft w:val="0"/>
      <w:marRight w:val="0"/>
      <w:marTop w:val="0"/>
      <w:marBottom w:val="0"/>
      <w:divBdr>
        <w:top w:val="none" w:sz="0" w:space="0" w:color="auto"/>
        <w:left w:val="none" w:sz="0" w:space="0" w:color="auto"/>
        <w:bottom w:val="none" w:sz="0" w:space="0" w:color="auto"/>
        <w:right w:val="none" w:sz="0" w:space="0" w:color="auto"/>
      </w:divBdr>
    </w:div>
    <w:div w:id="1906835911">
      <w:bodyDiv w:val="1"/>
      <w:marLeft w:val="0"/>
      <w:marRight w:val="0"/>
      <w:marTop w:val="0"/>
      <w:marBottom w:val="0"/>
      <w:divBdr>
        <w:top w:val="none" w:sz="0" w:space="0" w:color="auto"/>
        <w:left w:val="none" w:sz="0" w:space="0" w:color="auto"/>
        <w:bottom w:val="none" w:sz="0" w:space="0" w:color="auto"/>
        <w:right w:val="none" w:sz="0" w:space="0" w:color="auto"/>
      </w:divBdr>
    </w:div>
    <w:div w:id="1907714792">
      <w:bodyDiv w:val="1"/>
      <w:marLeft w:val="0"/>
      <w:marRight w:val="0"/>
      <w:marTop w:val="0"/>
      <w:marBottom w:val="0"/>
      <w:divBdr>
        <w:top w:val="none" w:sz="0" w:space="0" w:color="auto"/>
        <w:left w:val="none" w:sz="0" w:space="0" w:color="auto"/>
        <w:bottom w:val="none" w:sz="0" w:space="0" w:color="auto"/>
        <w:right w:val="none" w:sz="0" w:space="0" w:color="auto"/>
      </w:divBdr>
      <w:divsChild>
        <w:div w:id="1195774606">
          <w:marLeft w:val="0"/>
          <w:marRight w:val="0"/>
          <w:marTop w:val="100"/>
          <w:marBottom w:val="100"/>
          <w:divBdr>
            <w:top w:val="none" w:sz="0" w:space="0" w:color="auto"/>
            <w:left w:val="none" w:sz="0" w:space="0" w:color="auto"/>
            <w:bottom w:val="none" w:sz="0" w:space="0" w:color="auto"/>
            <w:right w:val="none" w:sz="0" w:space="0" w:color="auto"/>
          </w:divBdr>
          <w:divsChild>
            <w:div w:id="1004865959">
              <w:marLeft w:val="0"/>
              <w:marRight w:val="0"/>
              <w:marTop w:val="0"/>
              <w:marBottom w:val="0"/>
              <w:divBdr>
                <w:top w:val="none" w:sz="0" w:space="0" w:color="auto"/>
                <w:left w:val="none" w:sz="0" w:space="0" w:color="auto"/>
                <w:bottom w:val="none" w:sz="0" w:space="0" w:color="auto"/>
                <w:right w:val="none" w:sz="0" w:space="0" w:color="auto"/>
              </w:divBdr>
              <w:divsChild>
                <w:div w:id="42800424">
                  <w:marLeft w:val="0"/>
                  <w:marRight w:val="90"/>
                  <w:marTop w:val="0"/>
                  <w:marBottom w:val="0"/>
                  <w:divBdr>
                    <w:top w:val="none" w:sz="0" w:space="0" w:color="auto"/>
                    <w:left w:val="none" w:sz="0" w:space="0" w:color="auto"/>
                    <w:bottom w:val="none" w:sz="0" w:space="0" w:color="auto"/>
                    <w:right w:val="none" w:sz="0" w:space="0" w:color="auto"/>
                  </w:divBdr>
                  <w:divsChild>
                    <w:div w:id="1152792023">
                      <w:marLeft w:val="0"/>
                      <w:marRight w:val="0"/>
                      <w:marTop w:val="0"/>
                      <w:marBottom w:val="0"/>
                      <w:divBdr>
                        <w:top w:val="none" w:sz="0" w:space="0" w:color="auto"/>
                        <w:left w:val="none" w:sz="0" w:space="0" w:color="auto"/>
                        <w:bottom w:val="none" w:sz="0" w:space="0" w:color="auto"/>
                        <w:right w:val="none" w:sz="0" w:space="0" w:color="auto"/>
                      </w:divBdr>
                      <w:divsChild>
                        <w:div w:id="201348294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 w:id="1908031100">
      <w:bodyDiv w:val="1"/>
      <w:marLeft w:val="0"/>
      <w:marRight w:val="0"/>
      <w:marTop w:val="0"/>
      <w:marBottom w:val="0"/>
      <w:divBdr>
        <w:top w:val="none" w:sz="0" w:space="0" w:color="auto"/>
        <w:left w:val="none" w:sz="0" w:space="0" w:color="auto"/>
        <w:bottom w:val="none" w:sz="0" w:space="0" w:color="auto"/>
        <w:right w:val="none" w:sz="0" w:space="0" w:color="auto"/>
      </w:divBdr>
    </w:div>
    <w:div w:id="1910185249">
      <w:bodyDiv w:val="1"/>
      <w:marLeft w:val="0"/>
      <w:marRight w:val="0"/>
      <w:marTop w:val="0"/>
      <w:marBottom w:val="0"/>
      <w:divBdr>
        <w:top w:val="none" w:sz="0" w:space="0" w:color="auto"/>
        <w:left w:val="none" w:sz="0" w:space="0" w:color="auto"/>
        <w:bottom w:val="none" w:sz="0" w:space="0" w:color="auto"/>
        <w:right w:val="none" w:sz="0" w:space="0" w:color="auto"/>
      </w:divBdr>
    </w:div>
    <w:div w:id="1910578092">
      <w:bodyDiv w:val="1"/>
      <w:marLeft w:val="0"/>
      <w:marRight w:val="0"/>
      <w:marTop w:val="0"/>
      <w:marBottom w:val="0"/>
      <w:divBdr>
        <w:top w:val="none" w:sz="0" w:space="0" w:color="auto"/>
        <w:left w:val="none" w:sz="0" w:space="0" w:color="auto"/>
        <w:bottom w:val="none" w:sz="0" w:space="0" w:color="auto"/>
        <w:right w:val="none" w:sz="0" w:space="0" w:color="auto"/>
      </w:divBdr>
    </w:div>
    <w:div w:id="1911847842">
      <w:bodyDiv w:val="1"/>
      <w:marLeft w:val="0"/>
      <w:marRight w:val="0"/>
      <w:marTop w:val="0"/>
      <w:marBottom w:val="0"/>
      <w:divBdr>
        <w:top w:val="none" w:sz="0" w:space="0" w:color="auto"/>
        <w:left w:val="none" w:sz="0" w:space="0" w:color="auto"/>
        <w:bottom w:val="none" w:sz="0" w:space="0" w:color="auto"/>
        <w:right w:val="none" w:sz="0" w:space="0" w:color="auto"/>
      </w:divBdr>
    </w:div>
    <w:div w:id="1916625041">
      <w:bodyDiv w:val="1"/>
      <w:marLeft w:val="0"/>
      <w:marRight w:val="0"/>
      <w:marTop w:val="0"/>
      <w:marBottom w:val="0"/>
      <w:divBdr>
        <w:top w:val="none" w:sz="0" w:space="0" w:color="auto"/>
        <w:left w:val="none" w:sz="0" w:space="0" w:color="auto"/>
        <w:bottom w:val="none" w:sz="0" w:space="0" w:color="auto"/>
        <w:right w:val="none" w:sz="0" w:space="0" w:color="auto"/>
      </w:divBdr>
    </w:div>
    <w:div w:id="1920164833">
      <w:bodyDiv w:val="1"/>
      <w:marLeft w:val="0"/>
      <w:marRight w:val="0"/>
      <w:marTop w:val="0"/>
      <w:marBottom w:val="0"/>
      <w:divBdr>
        <w:top w:val="none" w:sz="0" w:space="0" w:color="auto"/>
        <w:left w:val="none" w:sz="0" w:space="0" w:color="auto"/>
        <w:bottom w:val="none" w:sz="0" w:space="0" w:color="auto"/>
        <w:right w:val="none" w:sz="0" w:space="0" w:color="auto"/>
      </w:divBdr>
    </w:div>
    <w:div w:id="1920825621">
      <w:bodyDiv w:val="1"/>
      <w:marLeft w:val="0"/>
      <w:marRight w:val="0"/>
      <w:marTop w:val="0"/>
      <w:marBottom w:val="0"/>
      <w:divBdr>
        <w:top w:val="none" w:sz="0" w:space="0" w:color="auto"/>
        <w:left w:val="none" w:sz="0" w:space="0" w:color="auto"/>
        <w:bottom w:val="none" w:sz="0" w:space="0" w:color="auto"/>
        <w:right w:val="none" w:sz="0" w:space="0" w:color="auto"/>
      </w:divBdr>
    </w:div>
    <w:div w:id="1922257360">
      <w:bodyDiv w:val="1"/>
      <w:marLeft w:val="0"/>
      <w:marRight w:val="0"/>
      <w:marTop w:val="0"/>
      <w:marBottom w:val="0"/>
      <w:divBdr>
        <w:top w:val="none" w:sz="0" w:space="0" w:color="auto"/>
        <w:left w:val="none" w:sz="0" w:space="0" w:color="auto"/>
        <w:bottom w:val="none" w:sz="0" w:space="0" w:color="auto"/>
        <w:right w:val="none" w:sz="0" w:space="0" w:color="auto"/>
      </w:divBdr>
    </w:div>
    <w:div w:id="1924290208">
      <w:bodyDiv w:val="1"/>
      <w:marLeft w:val="0"/>
      <w:marRight w:val="0"/>
      <w:marTop w:val="0"/>
      <w:marBottom w:val="0"/>
      <w:divBdr>
        <w:top w:val="none" w:sz="0" w:space="0" w:color="auto"/>
        <w:left w:val="none" w:sz="0" w:space="0" w:color="auto"/>
        <w:bottom w:val="none" w:sz="0" w:space="0" w:color="auto"/>
        <w:right w:val="none" w:sz="0" w:space="0" w:color="auto"/>
      </w:divBdr>
    </w:div>
    <w:div w:id="1925457861">
      <w:bodyDiv w:val="1"/>
      <w:marLeft w:val="0"/>
      <w:marRight w:val="0"/>
      <w:marTop w:val="0"/>
      <w:marBottom w:val="0"/>
      <w:divBdr>
        <w:top w:val="none" w:sz="0" w:space="0" w:color="auto"/>
        <w:left w:val="none" w:sz="0" w:space="0" w:color="auto"/>
        <w:bottom w:val="none" w:sz="0" w:space="0" w:color="auto"/>
        <w:right w:val="none" w:sz="0" w:space="0" w:color="auto"/>
      </w:divBdr>
    </w:div>
    <w:div w:id="1927375829">
      <w:bodyDiv w:val="1"/>
      <w:marLeft w:val="0"/>
      <w:marRight w:val="0"/>
      <w:marTop w:val="0"/>
      <w:marBottom w:val="0"/>
      <w:divBdr>
        <w:top w:val="none" w:sz="0" w:space="0" w:color="auto"/>
        <w:left w:val="none" w:sz="0" w:space="0" w:color="auto"/>
        <w:bottom w:val="none" w:sz="0" w:space="0" w:color="auto"/>
        <w:right w:val="none" w:sz="0" w:space="0" w:color="auto"/>
      </w:divBdr>
    </w:div>
    <w:div w:id="1927689185">
      <w:bodyDiv w:val="1"/>
      <w:marLeft w:val="0"/>
      <w:marRight w:val="0"/>
      <w:marTop w:val="0"/>
      <w:marBottom w:val="0"/>
      <w:divBdr>
        <w:top w:val="none" w:sz="0" w:space="0" w:color="auto"/>
        <w:left w:val="none" w:sz="0" w:space="0" w:color="auto"/>
        <w:bottom w:val="none" w:sz="0" w:space="0" w:color="auto"/>
        <w:right w:val="none" w:sz="0" w:space="0" w:color="auto"/>
      </w:divBdr>
    </w:div>
    <w:div w:id="1931500261">
      <w:bodyDiv w:val="1"/>
      <w:marLeft w:val="0"/>
      <w:marRight w:val="0"/>
      <w:marTop w:val="0"/>
      <w:marBottom w:val="0"/>
      <w:divBdr>
        <w:top w:val="none" w:sz="0" w:space="0" w:color="auto"/>
        <w:left w:val="none" w:sz="0" w:space="0" w:color="auto"/>
        <w:bottom w:val="none" w:sz="0" w:space="0" w:color="auto"/>
        <w:right w:val="none" w:sz="0" w:space="0" w:color="auto"/>
      </w:divBdr>
    </w:div>
    <w:div w:id="1932160624">
      <w:bodyDiv w:val="1"/>
      <w:marLeft w:val="0"/>
      <w:marRight w:val="0"/>
      <w:marTop w:val="0"/>
      <w:marBottom w:val="0"/>
      <w:divBdr>
        <w:top w:val="none" w:sz="0" w:space="0" w:color="auto"/>
        <w:left w:val="none" w:sz="0" w:space="0" w:color="auto"/>
        <w:bottom w:val="none" w:sz="0" w:space="0" w:color="auto"/>
        <w:right w:val="none" w:sz="0" w:space="0" w:color="auto"/>
      </w:divBdr>
    </w:div>
    <w:div w:id="1932926009">
      <w:bodyDiv w:val="1"/>
      <w:marLeft w:val="0"/>
      <w:marRight w:val="0"/>
      <w:marTop w:val="0"/>
      <w:marBottom w:val="0"/>
      <w:divBdr>
        <w:top w:val="none" w:sz="0" w:space="0" w:color="auto"/>
        <w:left w:val="none" w:sz="0" w:space="0" w:color="auto"/>
        <w:bottom w:val="none" w:sz="0" w:space="0" w:color="auto"/>
        <w:right w:val="none" w:sz="0" w:space="0" w:color="auto"/>
      </w:divBdr>
    </w:div>
    <w:div w:id="1933393721">
      <w:bodyDiv w:val="1"/>
      <w:marLeft w:val="0"/>
      <w:marRight w:val="0"/>
      <w:marTop w:val="0"/>
      <w:marBottom w:val="0"/>
      <w:divBdr>
        <w:top w:val="none" w:sz="0" w:space="0" w:color="auto"/>
        <w:left w:val="none" w:sz="0" w:space="0" w:color="auto"/>
        <w:bottom w:val="none" w:sz="0" w:space="0" w:color="auto"/>
        <w:right w:val="none" w:sz="0" w:space="0" w:color="auto"/>
      </w:divBdr>
    </w:div>
    <w:div w:id="1933736663">
      <w:bodyDiv w:val="1"/>
      <w:marLeft w:val="0"/>
      <w:marRight w:val="0"/>
      <w:marTop w:val="0"/>
      <w:marBottom w:val="0"/>
      <w:divBdr>
        <w:top w:val="none" w:sz="0" w:space="0" w:color="auto"/>
        <w:left w:val="none" w:sz="0" w:space="0" w:color="auto"/>
        <w:bottom w:val="none" w:sz="0" w:space="0" w:color="auto"/>
        <w:right w:val="none" w:sz="0" w:space="0" w:color="auto"/>
      </w:divBdr>
    </w:div>
    <w:div w:id="1936015667">
      <w:bodyDiv w:val="1"/>
      <w:marLeft w:val="0"/>
      <w:marRight w:val="0"/>
      <w:marTop w:val="0"/>
      <w:marBottom w:val="0"/>
      <w:divBdr>
        <w:top w:val="none" w:sz="0" w:space="0" w:color="auto"/>
        <w:left w:val="none" w:sz="0" w:space="0" w:color="auto"/>
        <w:bottom w:val="none" w:sz="0" w:space="0" w:color="auto"/>
        <w:right w:val="none" w:sz="0" w:space="0" w:color="auto"/>
      </w:divBdr>
    </w:div>
    <w:div w:id="1937324856">
      <w:bodyDiv w:val="1"/>
      <w:marLeft w:val="0"/>
      <w:marRight w:val="0"/>
      <w:marTop w:val="0"/>
      <w:marBottom w:val="0"/>
      <w:divBdr>
        <w:top w:val="none" w:sz="0" w:space="0" w:color="auto"/>
        <w:left w:val="none" w:sz="0" w:space="0" w:color="auto"/>
        <w:bottom w:val="none" w:sz="0" w:space="0" w:color="auto"/>
        <w:right w:val="none" w:sz="0" w:space="0" w:color="auto"/>
      </w:divBdr>
    </w:div>
    <w:div w:id="1937597605">
      <w:bodyDiv w:val="1"/>
      <w:marLeft w:val="0"/>
      <w:marRight w:val="0"/>
      <w:marTop w:val="0"/>
      <w:marBottom w:val="0"/>
      <w:divBdr>
        <w:top w:val="none" w:sz="0" w:space="0" w:color="auto"/>
        <w:left w:val="none" w:sz="0" w:space="0" w:color="auto"/>
        <w:bottom w:val="none" w:sz="0" w:space="0" w:color="auto"/>
        <w:right w:val="none" w:sz="0" w:space="0" w:color="auto"/>
      </w:divBdr>
    </w:div>
    <w:div w:id="1938056416">
      <w:bodyDiv w:val="1"/>
      <w:marLeft w:val="0"/>
      <w:marRight w:val="0"/>
      <w:marTop w:val="0"/>
      <w:marBottom w:val="0"/>
      <w:divBdr>
        <w:top w:val="none" w:sz="0" w:space="0" w:color="auto"/>
        <w:left w:val="none" w:sz="0" w:space="0" w:color="auto"/>
        <w:bottom w:val="none" w:sz="0" w:space="0" w:color="auto"/>
        <w:right w:val="none" w:sz="0" w:space="0" w:color="auto"/>
      </w:divBdr>
    </w:div>
    <w:div w:id="1941183578">
      <w:bodyDiv w:val="1"/>
      <w:marLeft w:val="0"/>
      <w:marRight w:val="0"/>
      <w:marTop w:val="0"/>
      <w:marBottom w:val="0"/>
      <w:divBdr>
        <w:top w:val="none" w:sz="0" w:space="0" w:color="auto"/>
        <w:left w:val="none" w:sz="0" w:space="0" w:color="auto"/>
        <w:bottom w:val="none" w:sz="0" w:space="0" w:color="auto"/>
        <w:right w:val="none" w:sz="0" w:space="0" w:color="auto"/>
      </w:divBdr>
    </w:div>
    <w:div w:id="1941259567">
      <w:bodyDiv w:val="1"/>
      <w:marLeft w:val="0"/>
      <w:marRight w:val="0"/>
      <w:marTop w:val="0"/>
      <w:marBottom w:val="0"/>
      <w:divBdr>
        <w:top w:val="none" w:sz="0" w:space="0" w:color="auto"/>
        <w:left w:val="none" w:sz="0" w:space="0" w:color="auto"/>
        <w:bottom w:val="none" w:sz="0" w:space="0" w:color="auto"/>
        <w:right w:val="none" w:sz="0" w:space="0" w:color="auto"/>
      </w:divBdr>
    </w:div>
    <w:div w:id="1942301656">
      <w:bodyDiv w:val="1"/>
      <w:marLeft w:val="0"/>
      <w:marRight w:val="0"/>
      <w:marTop w:val="0"/>
      <w:marBottom w:val="0"/>
      <w:divBdr>
        <w:top w:val="none" w:sz="0" w:space="0" w:color="auto"/>
        <w:left w:val="none" w:sz="0" w:space="0" w:color="auto"/>
        <w:bottom w:val="none" w:sz="0" w:space="0" w:color="auto"/>
        <w:right w:val="none" w:sz="0" w:space="0" w:color="auto"/>
      </w:divBdr>
    </w:div>
    <w:div w:id="1943030788">
      <w:bodyDiv w:val="1"/>
      <w:marLeft w:val="0"/>
      <w:marRight w:val="0"/>
      <w:marTop w:val="0"/>
      <w:marBottom w:val="0"/>
      <w:divBdr>
        <w:top w:val="none" w:sz="0" w:space="0" w:color="auto"/>
        <w:left w:val="none" w:sz="0" w:space="0" w:color="auto"/>
        <w:bottom w:val="none" w:sz="0" w:space="0" w:color="auto"/>
        <w:right w:val="none" w:sz="0" w:space="0" w:color="auto"/>
      </w:divBdr>
    </w:div>
    <w:div w:id="1945573352">
      <w:bodyDiv w:val="1"/>
      <w:marLeft w:val="0"/>
      <w:marRight w:val="0"/>
      <w:marTop w:val="0"/>
      <w:marBottom w:val="0"/>
      <w:divBdr>
        <w:top w:val="none" w:sz="0" w:space="0" w:color="auto"/>
        <w:left w:val="none" w:sz="0" w:space="0" w:color="auto"/>
        <w:bottom w:val="none" w:sz="0" w:space="0" w:color="auto"/>
        <w:right w:val="none" w:sz="0" w:space="0" w:color="auto"/>
      </w:divBdr>
    </w:div>
    <w:div w:id="1945915624">
      <w:bodyDiv w:val="1"/>
      <w:marLeft w:val="0"/>
      <w:marRight w:val="0"/>
      <w:marTop w:val="0"/>
      <w:marBottom w:val="0"/>
      <w:divBdr>
        <w:top w:val="none" w:sz="0" w:space="0" w:color="auto"/>
        <w:left w:val="none" w:sz="0" w:space="0" w:color="auto"/>
        <w:bottom w:val="none" w:sz="0" w:space="0" w:color="auto"/>
        <w:right w:val="none" w:sz="0" w:space="0" w:color="auto"/>
      </w:divBdr>
    </w:div>
    <w:div w:id="1949778285">
      <w:bodyDiv w:val="1"/>
      <w:marLeft w:val="0"/>
      <w:marRight w:val="0"/>
      <w:marTop w:val="0"/>
      <w:marBottom w:val="0"/>
      <w:divBdr>
        <w:top w:val="none" w:sz="0" w:space="0" w:color="auto"/>
        <w:left w:val="none" w:sz="0" w:space="0" w:color="auto"/>
        <w:bottom w:val="none" w:sz="0" w:space="0" w:color="auto"/>
        <w:right w:val="none" w:sz="0" w:space="0" w:color="auto"/>
      </w:divBdr>
    </w:div>
    <w:div w:id="1950119603">
      <w:bodyDiv w:val="1"/>
      <w:marLeft w:val="0"/>
      <w:marRight w:val="0"/>
      <w:marTop w:val="0"/>
      <w:marBottom w:val="0"/>
      <w:divBdr>
        <w:top w:val="none" w:sz="0" w:space="0" w:color="auto"/>
        <w:left w:val="none" w:sz="0" w:space="0" w:color="auto"/>
        <w:bottom w:val="none" w:sz="0" w:space="0" w:color="auto"/>
        <w:right w:val="none" w:sz="0" w:space="0" w:color="auto"/>
      </w:divBdr>
    </w:div>
    <w:div w:id="1952667152">
      <w:bodyDiv w:val="1"/>
      <w:marLeft w:val="0"/>
      <w:marRight w:val="0"/>
      <w:marTop w:val="0"/>
      <w:marBottom w:val="0"/>
      <w:divBdr>
        <w:top w:val="none" w:sz="0" w:space="0" w:color="auto"/>
        <w:left w:val="none" w:sz="0" w:space="0" w:color="auto"/>
        <w:bottom w:val="none" w:sz="0" w:space="0" w:color="auto"/>
        <w:right w:val="none" w:sz="0" w:space="0" w:color="auto"/>
      </w:divBdr>
    </w:div>
    <w:div w:id="1954165026">
      <w:bodyDiv w:val="1"/>
      <w:marLeft w:val="0"/>
      <w:marRight w:val="0"/>
      <w:marTop w:val="0"/>
      <w:marBottom w:val="0"/>
      <w:divBdr>
        <w:top w:val="none" w:sz="0" w:space="0" w:color="auto"/>
        <w:left w:val="none" w:sz="0" w:space="0" w:color="auto"/>
        <w:bottom w:val="none" w:sz="0" w:space="0" w:color="auto"/>
        <w:right w:val="none" w:sz="0" w:space="0" w:color="auto"/>
      </w:divBdr>
    </w:div>
    <w:div w:id="1954944335">
      <w:bodyDiv w:val="1"/>
      <w:marLeft w:val="0"/>
      <w:marRight w:val="0"/>
      <w:marTop w:val="0"/>
      <w:marBottom w:val="0"/>
      <w:divBdr>
        <w:top w:val="none" w:sz="0" w:space="0" w:color="auto"/>
        <w:left w:val="none" w:sz="0" w:space="0" w:color="auto"/>
        <w:bottom w:val="none" w:sz="0" w:space="0" w:color="auto"/>
        <w:right w:val="none" w:sz="0" w:space="0" w:color="auto"/>
      </w:divBdr>
    </w:div>
    <w:div w:id="1955749192">
      <w:bodyDiv w:val="1"/>
      <w:marLeft w:val="0"/>
      <w:marRight w:val="0"/>
      <w:marTop w:val="0"/>
      <w:marBottom w:val="0"/>
      <w:divBdr>
        <w:top w:val="none" w:sz="0" w:space="0" w:color="auto"/>
        <w:left w:val="none" w:sz="0" w:space="0" w:color="auto"/>
        <w:bottom w:val="none" w:sz="0" w:space="0" w:color="auto"/>
        <w:right w:val="none" w:sz="0" w:space="0" w:color="auto"/>
      </w:divBdr>
    </w:div>
    <w:div w:id="1957059403">
      <w:bodyDiv w:val="1"/>
      <w:marLeft w:val="0"/>
      <w:marRight w:val="0"/>
      <w:marTop w:val="0"/>
      <w:marBottom w:val="0"/>
      <w:divBdr>
        <w:top w:val="none" w:sz="0" w:space="0" w:color="auto"/>
        <w:left w:val="none" w:sz="0" w:space="0" w:color="auto"/>
        <w:bottom w:val="none" w:sz="0" w:space="0" w:color="auto"/>
        <w:right w:val="none" w:sz="0" w:space="0" w:color="auto"/>
      </w:divBdr>
    </w:div>
    <w:div w:id="1957758967">
      <w:bodyDiv w:val="1"/>
      <w:marLeft w:val="0"/>
      <w:marRight w:val="0"/>
      <w:marTop w:val="0"/>
      <w:marBottom w:val="0"/>
      <w:divBdr>
        <w:top w:val="none" w:sz="0" w:space="0" w:color="auto"/>
        <w:left w:val="none" w:sz="0" w:space="0" w:color="auto"/>
        <w:bottom w:val="none" w:sz="0" w:space="0" w:color="auto"/>
        <w:right w:val="none" w:sz="0" w:space="0" w:color="auto"/>
      </w:divBdr>
    </w:div>
    <w:div w:id="1959212201">
      <w:bodyDiv w:val="1"/>
      <w:marLeft w:val="0"/>
      <w:marRight w:val="0"/>
      <w:marTop w:val="0"/>
      <w:marBottom w:val="0"/>
      <w:divBdr>
        <w:top w:val="none" w:sz="0" w:space="0" w:color="auto"/>
        <w:left w:val="none" w:sz="0" w:space="0" w:color="auto"/>
        <w:bottom w:val="none" w:sz="0" w:space="0" w:color="auto"/>
        <w:right w:val="none" w:sz="0" w:space="0" w:color="auto"/>
      </w:divBdr>
      <w:divsChild>
        <w:div w:id="617368824">
          <w:marLeft w:val="0"/>
          <w:marRight w:val="0"/>
          <w:marTop w:val="0"/>
          <w:marBottom w:val="0"/>
          <w:divBdr>
            <w:top w:val="none" w:sz="0" w:space="0" w:color="auto"/>
            <w:left w:val="none" w:sz="0" w:space="0" w:color="auto"/>
            <w:bottom w:val="none" w:sz="0" w:space="0" w:color="auto"/>
            <w:right w:val="none" w:sz="0" w:space="0" w:color="auto"/>
          </w:divBdr>
          <w:divsChild>
            <w:div w:id="641812629">
              <w:marLeft w:val="0"/>
              <w:marRight w:val="0"/>
              <w:marTop w:val="0"/>
              <w:marBottom w:val="0"/>
              <w:divBdr>
                <w:top w:val="none" w:sz="0" w:space="0" w:color="auto"/>
                <w:left w:val="none" w:sz="0" w:space="0" w:color="auto"/>
                <w:bottom w:val="none" w:sz="0" w:space="0" w:color="auto"/>
                <w:right w:val="none" w:sz="0" w:space="0" w:color="auto"/>
              </w:divBdr>
              <w:divsChild>
                <w:div w:id="402722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949538">
      <w:bodyDiv w:val="1"/>
      <w:marLeft w:val="0"/>
      <w:marRight w:val="0"/>
      <w:marTop w:val="0"/>
      <w:marBottom w:val="0"/>
      <w:divBdr>
        <w:top w:val="none" w:sz="0" w:space="0" w:color="auto"/>
        <w:left w:val="none" w:sz="0" w:space="0" w:color="auto"/>
        <w:bottom w:val="none" w:sz="0" w:space="0" w:color="auto"/>
        <w:right w:val="none" w:sz="0" w:space="0" w:color="auto"/>
      </w:divBdr>
    </w:div>
    <w:div w:id="1963340617">
      <w:bodyDiv w:val="1"/>
      <w:marLeft w:val="0"/>
      <w:marRight w:val="0"/>
      <w:marTop w:val="0"/>
      <w:marBottom w:val="0"/>
      <w:divBdr>
        <w:top w:val="none" w:sz="0" w:space="0" w:color="auto"/>
        <w:left w:val="none" w:sz="0" w:space="0" w:color="auto"/>
        <w:bottom w:val="none" w:sz="0" w:space="0" w:color="auto"/>
        <w:right w:val="none" w:sz="0" w:space="0" w:color="auto"/>
      </w:divBdr>
    </w:div>
    <w:div w:id="1963808772">
      <w:bodyDiv w:val="1"/>
      <w:marLeft w:val="0"/>
      <w:marRight w:val="0"/>
      <w:marTop w:val="0"/>
      <w:marBottom w:val="0"/>
      <w:divBdr>
        <w:top w:val="none" w:sz="0" w:space="0" w:color="auto"/>
        <w:left w:val="none" w:sz="0" w:space="0" w:color="auto"/>
        <w:bottom w:val="none" w:sz="0" w:space="0" w:color="auto"/>
        <w:right w:val="none" w:sz="0" w:space="0" w:color="auto"/>
      </w:divBdr>
    </w:div>
    <w:div w:id="1965115129">
      <w:bodyDiv w:val="1"/>
      <w:marLeft w:val="0"/>
      <w:marRight w:val="0"/>
      <w:marTop w:val="0"/>
      <w:marBottom w:val="0"/>
      <w:divBdr>
        <w:top w:val="none" w:sz="0" w:space="0" w:color="auto"/>
        <w:left w:val="none" w:sz="0" w:space="0" w:color="auto"/>
        <w:bottom w:val="none" w:sz="0" w:space="0" w:color="auto"/>
        <w:right w:val="none" w:sz="0" w:space="0" w:color="auto"/>
      </w:divBdr>
    </w:div>
    <w:div w:id="1965303169">
      <w:bodyDiv w:val="1"/>
      <w:marLeft w:val="0"/>
      <w:marRight w:val="0"/>
      <w:marTop w:val="0"/>
      <w:marBottom w:val="0"/>
      <w:divBdr>
        <w:top w:val="none" w:sz="0" w:space="0" w:color="auto"/>
        <w:left w:val="none" w:sz="0" w:space="0" w:color="auto"/>
        <w:bottom w:val="none" w:sz="0" w:space="0" w:color="auto"/>
        <w:right w:val="none" w:sz="0" w:space="0" w:color="auto"/>
      </w:divBdr>
    </w:div>
    <w:div w:id="1970624802">
      <w:bodyDiv w:val="1"/>
      <w:marLeft w:val="0"/>
      <w:marRight w:val="0"/>
      <w:marTop w:val="0"/>
      <w:marBottom w:val="0"/>
      <w:divBdr>
        <w:top w:val="none" w:sz="0" w:space="0" w:color="auto"/>
        <w:left w:val="none" w:sz="0" w:space="0" w:color="auto"/>
        <w:bottom w:val="none" w:sz="0" w:space="0" w:color="auto"/>
        <w:right w:val="none" w:sz="0" w:space="0" w:color="auto"/>
      </w:divBdr>
    </w:div>
    <w:div w:id="1972129481">
      <w:bodyDiv w:val="1"/>
      <w:marLeft w:val="0"/>
      <w:marRight w:val="0"/>
      <w:marTop w:val="0"/>
      <w:marBottom w:val="0"/>
      <w:divBdr>
        <w:top w:val="none" w:sz="0" w:space="0" w:color="auto"/>
        <w:left w:val="none" w:sz="0" w:space="0" w:color="auto"/>
        <w:bottom w:val="none" w:sz="0" w:space="0" w:color="auto"/>
        <w:right w:val="none" w:sz="0" w:space="0" w:color="auto"/>
      </w:divBdr>
    </w:div>
    <w:div w:id="1974751418">
      <w:bodyDiv w:val="1"/>
      <w:marLeft w:val="0"/>
      <w:marRight w:val="0"/>
      <w:marTop w:val="0"/>
      <w:marBottom w:val="0"/>
      <w:divBdr>
        <w:top w:val="none" w:sz="0" w:space="0" w:color="auto"/>
        <w:left w:val="none" w:sz="0" w:space="0" w:color="auto"/>
        <w:bottom w:val="none" w:sz="0" w:space="0" w:color="auto"/>
        <w:right w:val="none" w:sz="0" w:space="0" w:color="auto"/>
      </w:divBdr>
    </w:div>
    <w:div w:id="1975793208">
      <w:bodyDiv w:val="1"/>
      <w:marLeft w:val="0"/>
      <w:marRight w:val="0"/>
      <w:marTop w:val="0"/>
      <w:marBottom w:val="0"/>
      <w:divBdr>
        <w:top w:val="none" w:sz="0" w:space="0" w:color="auto"/>
        <w:left w:val="none" w:sz="0" w:space="0" w:color="auto"/>
        <w:bottom w:val="none" w:sz="0" w:space="0" w:color="auto"/>
        <w:right w:val="none" w:sz="0" w:space="0" w:color="auto"/>
      </w:divBdr>
    </w:div>
    <w:div w:id="1977640204">
      <w:bodyDiv w:val="1"/>
      <w:marLeft w:val="0"/>
      <w:marRight w:val="0"/>
      <w:marTop w:val="0"/>
      <w:marBottom w:val="0"/>
      <w:divBdr>
        <w:top w:val="none" w:sz="0" w:space="0" w:color="auto"/>
        <w:left w:val="none" w:sz="0" w:space="0" w:color="auto"/>
        <w:bottom w:val="none" w:sz="0" w:space="0" w:color="auto"/>
        <w:right w:val="none" w:sz="0" w:space="0" w:color="auto"/>
      </w:divBdr>
    </w:div>
    <w:div w:id="1978804227">
      <w:bodyDiv w:val="1"/>
      <w:marLeft w:val="0"/>
      <w:marRight w:val="0"/>
      <w:marTop w:val="0"/>
      <w:marBottom w:val="0"/>
      <w:divBdr>
        <w:top w:val="none" w:sz="0" w:space="0" w:color="auto"/>
        <w:left w:val="none" w:sz="0" w:space="0" w:color="auto"/>
        <w:bottom w:val="none" w:sz="0" w:space="0" w:color="auto"/>
        <w:right w:val="none" w:sz="0" w:space="0" w:color="auto"/>
      </w:divBdr>
    </w:div>
    <w:div w:id="1981183717">
      <w:bodyDiv w:val="1"/>
      <w:marLeft w:val="0"/>
      <w:marRight w:val="0"/>
      <w:marTop w:val="0"/>
      <w:marBottom w:val="0"/>
      <w:divBdr>
        <w:top w:val="none" w:sz="0" w:space="0" w:color="auto"/>
        <w:left w:val="none" w:sz="0" w:space="0" w:color="auto"/>
        <w:bottom w:val="none" w:sz="0" w:space="0" w:color="auto"/>
        <w:right w:val="none" w:sz="0" w:space="0" w:color="auto"/>
      </w:divBdr>
    </w:div>
    <w:div w:id="1983151315">
      <w:bodyDiv w:val="1"/>
      <w:marLeft w:val="0"/>
      <w:marRight w:val="0"/>
      <w:marTop w:val="0"/>
      <w:marBottom w:val="0"/>
      <w:divBdr>
        <w:top w:val="none" w:sz="0" w:space="0" w:color="auto"/>
        <w:left w:val="none" w:sz="0" w:space="0" w:color="auto"/>
        <w:bottom w:val="none" w:sz="0" w:space="0" w:color="auto"/>
        <w:right w:val="none" w:sz="0" w:space="0" w:color="auto"/>
      </w:divBdr>
    </w:div>
    <w:div w:id="1985156986">
      <w:bodyDiv w:val="1"/>
      <w:marLeft w:val="0"/>
      <w:marRight w:val="0"/>
      <w:marTop w:val="0"/>
      <w:marBottom w:val="0"/>
      <w:divBdr>
        <w:top w:val="none" w:sz="0" w:space="0" w:color="auto"/>
        <w:left w:val="none" w:sz="0" w:space="0" w:color="auto"/>
        <w:bottom w:val="none" w:sz="0" w:space="0" w:color="auto"/>
        <w:right w:val="none" w:sz="0" w:space="0" w:color="auto"/>
      </w:divBdr>
    </w:div>
    <w:div w:id="1985351941">
      <w:bodyDiv w:val="1"/>
      <w:marLeft w:val="0"/>
      <w:marRight w:val="0"/>
      <w:marTop w:val="0"/>
      <w:marBottom w:val="0"/>
      <w:divBdr>
        <w:top w:val="none" w:sz="0" w:space="0" w:color="auto"/>
        <w:left w:val="none" w:sz="0" w:space="0" w:color="auto"/>
        <w:bottom w:val="none" w:sz="0" w:space="0" w:color="auto"/>
        <w:right w:val="none" w:sz="0" w:space="0" w:color="auto"/>
      </w:divBdr>
    </w:div>
    <w:div w:id="1987346364">
      <w:bodyDiv w:val="1"/>
      <w:marLeft w:val="0"/>
      <w:marRight w:val="0"/>
      <w:marTop w:val="0"/>
      <w:marBottom w:val="0"/>
      <w:divBdr>
        <w:top w:val="none" w:sz="0" w:space="0" w:color="auto"/>
        <w:left w:val="none" w:sz="0" w:space="0" w:color="auto"/>
        <w:bottom w:val="none" w:sz="0" w:space="0" w:color="auto"/>
        <w:right w:val="none" w:sz="0" w:space="0" w:color="auto"/>
      </w:divBdr>
    </w:div>
    <w:div w:id="1991519736">
      <w:bodyDiv w:val="1"/>
      <w:marLeft w:val="0"/>
      <w:marRight w:val="0"/>
      <w:marTop w:val="0"/>
      <w:marBottom w:val="0"/>
      <w:divBdr>
        <w:top w:val="none" w:sz="0" w:space="0" w:color="auto"/>
        <w:left w:val="none" w:sz="0" w:space="0" w:color="auto"/>
        <w:bottom w:val="none" w:sz="0" w:space="0" w:color="auto"/>
        <w:right w:val="none" w:sz="0" w:space="0" w:color="auto"/>
      </w:divBdr>
    </w:div>
    <w:div w:id="1994212445">
      <w:bodyDiv w:val="1"/>
      <w:marLeft w:val="0"/>
      <w:marRight w:val="0"/>
      <w:marTop w:val="0"/>
      <w:marBottom w:val="0"/>
      <w:divBdr>
        <w:top w:val="none" w:sz="0" w:space="0" w:color="auto"/>
        <w:left w:val="none" w:sz="0" w:space="0" w:color="auto"/>
        <w:bottom w:val="none" w:sz="0" w:space="0" w:color="auto"/>
        <w:right w:val="none" w:sz="0" w:space="0" w:color="auto"/>
      </w:divBdr>
    </w:div>
    <w:div w:id="1995795793">
      <w:bodyDiv w:val="1"/>
      <w:marLeft w:val="0"/>
      <w:marRight w:val="0"/>
      <w:marTop w:val="0"/>
      <w:marBottom w:val="0"/>
      <w:divBdr>
        <w:top w:val="none" w:sz="0" w:space="0" w:color="auto"/>
        <w:left w:val="none" w:sz="0" w:space="0" w:color="auto"/>
        <w:bottom w:val="none" w:sz="0" w:space="0" w:color="auto"/>
        <w:right w:val="none" w:sz="0" w:space="0" w:color="auto"/>
      </w:divBdr>
    </w:div>
    <w:div w:id="1995909606">
      <w:bodyDiv w:val="1"/>
      <w:marLeft w:val="0"/>
      <w:marRight w:val="0"/>
      <w:marTop w:val="0"/>
      <w:marBottom w:val="0"/>
      <w:divBdr>
        <w:top w:val="none" w:sz="0" w:space="0" w:color="auto"/>
        <w:left w:val="none" w:sz="0" w:space="0" w:color="auto"/>
        <w:bottom w:val="none" w:sz="0" w:space="0" w:color="auto"/>
        <w:right w:val="none" w:sz="0" w:space="0" w:color="auto"/>
      </w:divBdr>
    </w:div>
    <w:div w:id="1999308166">
      <w:bodyDiv w:val="1"/>
      <w:marLeft w:val="0"/>
      <w:marRight w:val="0"/>
      <w:marTop w:val="0"/>
      <w:marBottom w:val="0"/>
      <w:divBdr>
        <w:top w:val="none" w:sz="0" w:space="0" w:color="auto"/>
        <w:left w:val="none" w:sz="0" w:space="0" w:color="auto"/>
        <w:bottom w:val="none" w:sz="0" w:space="0" w:color="auto"/>
        <w:right w:val="none" w:sz="0" w:space="0" w:color="auto"/>
      </w:divBdr>
    </w:div>
    <w:div w:id="2000768930">
      <w:bodyDiv w:val="1"/>
      <w:marLeft w:val="0"/>
      <w:marRight w:val="0"/>
      <w:marTop w:val="0"/>
      <w:marBottom w:val="0"/>
      <w:divBdr>
        <w:top w:val="none" w:sz="0" w:space="0" w:color="auto"/>
        <w:left w:val="none" w:sz="0" w:space="0" w:color="auto"/>
        <w:bottom w:val="none" w:sz="0" w:space="0" w:color="auto"/>
        <w:right w:val="none" w:sz="0" w:space="0" w:color="auto"/>
      </w:divBdr>
    </w:div>
    <w:div w:id="2002738091">
      <w:bodyDiv w:val="1"/>
      <w:marLeft w:val="0"/>
      <w:marRight w:val="0"/>
      <w:marTop w:val="0"/>
      <w:marBottom w:val="0"/>
      <w:divBdr>
        <w:top w:val="none" w:sz="0" w:space="0" w:color="auto"/>
        <w:left w:val="none" w:sz="0" w:space="0" w:color="auto"/>
        <w:bottom w:val="none" w:sz="0" w:space="0" w:color="auto"/>
        <w:right w:val="none" w:sz="0" w:space="0" w:color="auto"/>
      </w:divBdr>
    </w:div>
    <w:div w:id="2003196800">
      <w:bodyDiv w:val="1"/>
      <w:marLeft w:val="0"/>
      <w:marRight w:val="0"/>
      <w:marTop w:val="0"/>
      <w:marBottom w:val="0"/>
      <w:divBdr>
        <w:top w:val="none" w:sz="0" w:space="0" w:color="auto"/>
        <w:left w:val="none" w:sz="0" w:space="0" w:color="auto"/>
        <w:bottom w:val="none" w:sz="0" w:space="0" w:color="auto"/>
        <w:right w:val="none" w:sz="0" w:space="0" w:color="auto"/>
      </w:divBdr>
    </w:div>
    <w:div w:id="2003971431">
      <w:bodyDiv w:val="1"/>
      <w:marLeft w:val="0"/>
      <w:marRight w:val="0"/>
      <w:marTop w:val="0"/>
      <w:marBottom w:val="0"/>
      <w:divBdr>
        <w:top w:val="none" w:sz="0" w:space="0" w:color="auto"/>
        <w:left w:val="none" w:sz="0" w:space="0" w:color="auto"/>
        <w:bottom w:val="none" w:sz="0" w:space="0" w:color="auto"/>
        <w:right w:val="none" w:sz="0" w:space="0" w:color="auto"/>
      </w:divBdr>
    </w:div>
    <w:div w:id="2005008969">
      <w:bodyDiv w:val="1"/>
      <w:marLeft w:val="0"/>
      <w:marRight w:val="0"/>
      <w:marTop w:val="0"/>
      <w:marBottom w:val="0"/>
      <w:divBdr>
        <w:top w:val="none" w:sz="0" w:space="0" w:color="auto"/>
        <w:left w:val="none" w:sz="0" w:space="0" w:color="auto"/>
        <w:bottom w:val="none" w:sz="0" w:space="0" w:color="auto"/>
        <w:right w:val="none" w:sz="0" w:space="0" w:color="auto"/>
      </w:divBdr>
    </w:div>
    <w:div w:id="2005277601">
      <w:bodyDiv w:val="1"/>
      <w:marLeft w:val="0"/>
      <w:marRight w:val="0"/>
      <w:marTop w:val="0"/>
      <w:marBottom w:val="0"/>
      <w:divBdr>
        <w:top w:val="none" w:sz="0" w:space="0" w:color="auto"/>
        <w:left w:val="none" w:sz="0" w:space="0" w:color="auto"/>
        <w:bottom w:val="none" w:sz="0" w:space="0" w:color="auto"/>
        <w:right w:val="none" w:sz="0" w:space="0" w:color="auto"/>
      </w:divBdr>
    </w:div>
    <w:div w:id="2007047433">
      <w:bodyDiv w:val="1"/>
      <w:marLeft w:val="0"/>
      <w:marRight w:val="0"/>
      <w:marTop w:val="0"/>
      <w:marBottom w:val="0"/>
      <w:divBdr>
        <w:top w:val="none" w:sz="0" w:space="0" w:color="auto"/>
        <w:left w:val="none" w:sz="0" w:space="0" w:color="auto"/>
        <w:bottom w:val="none" w:sz="0" w:space="0" w:color="auto"/>
        <w:right w:val="none" w:sz="0" w:space="0" w:color="auto"/>
      </w:divBdr>
    </w:div>
    <w:div w:id="2008365069">
      <w:bodyDiv w:val="1"/>
      <w:marLeft w:val="0"/>
      <w:marRight w:val="0"/>
      <w:marTop w:val="0"/>
      <w:marBottom w:val="0"/>
      <w:divBdr>
        <w:top w:val="none" w:sz="0" w:space="0" w:color="auto"/>
        <w:left w:val="none" w:sz="0" w:space="0" w:color="auto"/>
        <w:bottom w:val="none" w:sz="0" w:space="0" w:color="auto"/>
        <w:right w:val="none" w:sz="0" w:space="0" w:color="auto"/>
      </w:divBdr>
    </w:div>
    <w:div w:id="2019696758">
      <w:bodyDiv w:val="1"/>
      <w:marLeft w:val="0"/>
      <w:marRight w:val="0"/>
      <w:marTop w:val="0"/>
      <w:marBottom w:val="0"/>
      <w:divBdr>
        <w:top w:val="none" w:sz="0" w:space="0" w:color="auto"/>
        <w:left w:val="none" w:sz="0" w:space="0" w:color="auto"/>
        <w:bottom w:val="none" w:sz="0" w:space="0" w:color="auto"/>
        <w:right w:val="none" w:sz="0" w:space="0" w:color="auto"/>
      </w:divBdr>
    </w:div>
    <w:div w:id="2020500577">
      <w:bodyDiv w:val="1"/>
      <w:marLeft w:val="0"/>
      <w:marRight w:val="0"/>
      <w:marTop w:val="0"/>
      <w:marBottom w:val="0"/>
      <w:divBdr>
        <w:top w:val="none" w:sz="0" w:space="0" w:color="auto"/>
        <w:left w:val="none" w:sz="0" w:space="0" w:color="auto"/>
        <w:bottom w:val="none" w:sz="0" w:space="0" w:color="auto"/>
        <w:right w:val="none" w:sz="0" w:space="0" w:color="auto"/>
      </w:divBdr>
    </w:div>
    <w:div w:id="2021353668">
      <w:bodyDiv w:val="1"/>
      <w:marLeft w:val="0"/>
      <w:marRight w:val="0"/>
      <w:marTop w:val="0"/>
      <w:marBottom w:val="0"/>
      <w:divBdr>
        <w:top w:val="none" w:sz="0" w:space="0" w:color="auto"/>
        <w:left w:val="none" w:sz="0" w:space="0" w:color="auto"/>
        <w:bottom w:val="none" w:sz="0" w:space="0" w:color="auto"/>
        <w:right w:val="none" w:sz="0" w:space="0" w:color="auto"/>
      </w:divBdr>
    </w:div>
    <w:div w:id="2024479022">
      <w:bodyDiv w:val="1"/>
      <w:marLeft w:val="0"/>
      <w:marRight w:val="0"/>
      <w:marTop w:val="0"/>
      <w:marBottom w:val="0"/>
      <w:divBdr>
        <w:top w:val="none" w:sz="0" w:space="0" w:color="auto"/>
        <w:left w:val="none" w:sz="0" w:space="0" w:color="auto"/>
        <w:bottom w:val="none" w:sz="0" w:space="0" w:color="auto"/>
        <w:right w:val="none" w:sz="0" w:space="0" w:color="auto"/>
      </w:divBdr>
    </w:div>
    <w:div w:id="2024623644">
      <w:bodyDiv w:val="1"/>
      <w:marLeft w:val="0"/>
      <w:marRight w:val="0"/>
      <w:marTop w:val="0"/>
      <w:marBottom w:val="0"/>
      <w:divBdr>
        <w:top w:val="none" w:sz="0" w:space="0" w:color="auto"/>
        <w:left w:val="none" w:sz="0" w:space="0" w:color="auto"/>
        <w:bottom w:val="none" w:sz="0" w:space="0" w:color="auto"/>
        <w:right w:val="none" w:sz="0" w:space="0" w:color="auto"/>
      </w:divBdr>
    </w:div>
    <w:div w:id="2026011400">
      <w:bodyDiv w:val="1"/>
      <w:marLeft w:val="0"/>
      <w:marRight w:val="0"/>
      <w:marTop w:val="0"/>
      <w:marBottom w:val="0"/>
      <w:divBdr>
        <w:top w:val="none" w:sz="0" w:space="0" w:color="auto"/>
        <w:left w:val="none" w:sz="0" w:space="0" w:color="auto"/>
        <w:bottom w:val="none" w:sz="0" w:space="0" w:color="auto"/>
        <w:right w:val="none" w:sz="0" w:space="0" w:color="auto"/>
      </w:divBdr>
    </w:div>
    <w:div w:id="2026511536">
      <w:bodyDiv w:val="1"/>
      <w:marLeft w:val="0"/>
      <w:marRight w:val="0"/>
      <w:marTop w:val="0"/>
      <w:marBottom w:val="0"/>
      <w:divBdr>
        <w:top w:val="none" w:sz="0" w:space="0" w:color="auto"/>
        <w:left w:val="none" w:sz="0" w:space="0" w:color="auto"/>
        <w:bottom w:val="none" w:sz="0" w:space="0" w:color="auto"/>
        <w:right w:val="none" w:sz="0" w:space="0" w:color="auto"/>
      </w:divBdr>
    </w:div>
    <w:div w:id="2031298658">
      <w:bodyDiv w:val="1"/>
      <w:marLeft w:val="0"/>
      <w:marRight w:val="0"/>
      <w:marTop w:val="0"/>
      <w:marBottom w:val="0"/>
      <w:divBdr>
        <w:top w:val="none" w:sz="0" w:space="0" w:color="auto"/>
        <w:left w:val="none" w:sz="0" w:space="0" w:color="auto"/>
        <w:bottom w:val="none" w:sz="0" w:space="0" w:color="auto"/>
        <w:right w:val="none" w:sz="0" w:space="0" w:color="auto"/>
      </w:divBdr>
    </w:div>
    <w:div w:id="2034303867">
      <w:bodyDiv w:val="1"/>
      <w:marLeft w:val="0"/>
      <w:marRight w:val="0"/>
      <w:marTop w:val="0"/>
      <w:marBottom w:val="0"/>
      <w:divBdr>
        <w:top w:val="none" w:sz="0" w:space="0" w:color="auto"/>
        <w:left w:val="none" w:sz="0" w:space="0" w:color="auto"/>
        <w:bottom w:val="none" w:sz="0" w:space="0" w:color="auto"/>
        <w:right w:val="none" w:sz="0" w:space="0" w:color="auto"/>
      </w:divBdr>
    </w:div>
    <w:div w:id="2035837179">
      <w:bodyDiv w:val="1"/>
      <w:marLeft w:val="0"/>
      <w:marRight w:val="0"/>
      <w:marTop w:val="0"/>
      <w:marBottom w:val="0"/>
      <w:divBdr>
        <w:top w:val="none" w:sz="0" w:space="0" w:color="auto"/>
        <w:left w:val="none" w:sz="0" w:space="0" w:color="auto"/>
        <w:bottom w:val="none" w:sz="0" w:space="0" w:color="auto"/>
        <w:right w:val="none" w:sz="0" w:space="0" w:color="auto"/>
      </w:divBdr>
    </w:div>
    <w:div w:id="2039693606">
      <w:bodyDiv w:val="1"/>
      <w:marLeft w:val="0"/>
      <w:marRight w:val="0"/>
      <w:marTop w:val="0"/>
      <w:marBottom w:val="0"/>
      <w:divBdr>
        <w:top w:val="none" w:sz="0" w:space="0" w:color="auto"/>
        <w:left w:val="none" w:sz="0" w:space="0" w:color="auto"/>
        <w:bottom w:val="none" w:sz="0" w:space="0" w:color="auto"/>
        <w:right w:val="none" w:sz="0" w:space="0" w:color="auto"/>
      </w:divBdr>
    </w:div>
    <w:div w:id="2040005488">
      <w:bodyDiv w:val="1"/>
      <w:marLeft w:val="0"/>
      <w:marRight w:val="0"/>
      <w:marTop w:val="0"/>
      <w:marBottom w:val="0"/>
      <w:divBdr>
        <w:top w:val="none" w:sz="0" w:space="0" w:color="auto"/>
        <w:left w:val="none" w:sz="0" w:space="0" w:color="auto"/>
        <w:bottom w:val="none" w:sz="0" w:space="0" w:color="auto"/>
        <w:right w:val="none" w:sz="0" w:space="0" w:color="auto"/>
      </w:divBdr>
    </w:div>
    <w:div w:id="2041200928">
      <w:bodyDiv w:val="1"/>
      <w:marLeft w:val="0"/>
      <w:marRight w:val="0"/>
      <w:marTop w:val="0"/>
      <w:marBottom w:val="0"/>
      <w:divBdr>
        <w:top w:val="none" w:sz="0" w:space="0" w:color="auto"/>
        <w:left w:val="none" w:sz="0" w:space="0" w:color="auto"/>
        <w:bottom w:val="none" w:sz="0" w:space="0" w:color="auto"/>
        <w:right w:val="none" w:sz="0" w:space="0" w:color="auto"/>
      </w:divBdr>
    </w:div>
    <w:div w:id="2042438094">
      <w:bodyDiv w:val="1"/>
      <w:marLeft w:val="0"/>
      <w:marRight w:val="0"/>
      <w:marTop w:val="0"/>
      <w:marBottom w:val="0"/>
      <w:divBdr>
        <w:top w:val="none" w:sz="0" w:space="0" w:color="auto"/>
        <w:left w:val="none" w:sz="0" w:space="0" w:color="auto"/>
        <w:bottom w:val="none" w:sz="0" w:space="0" w:color="auto"/>
        <w:right w:val="none" w:sz="0" w:space="0" w:color="auto"/>
      </w:divBdr>
    </w:div>
    <w:div w:id="2042584579">
      <w:bodyDiv w:val="1"/>
      <w:marLeft w:val="0"/>
      <w:marRight w:val="0"/>
      <w:marTop w:val="0"/>
      <w:marBottom w:val="0"/>
      <w:divBdr>
        <w:top w:val="none" w:sz="0" w:space="0" w:color="auto"/>
        <w:left w:val="none" w:sz="0" w:space="0" w:color="auto"/>
        <w:bottom w:val="none" w:sz="0" w:space="0" w:color="auto"/>
        <w:right w:val="none" w:sz="0" w:space="0" w:color="auto"/>
      </w:divBdr>
    </w:div>
    <w:div w:id="2043431229">
      <w:bodyDiv w:val="1"/>
      <w:marLeft w:val="0"/>
      <w:marRight w:val="0"/>
      <w:marTop w:val="0"/>
      <w:marBottom w:val="0"/>
      <w:divBdr>
        <w:top w:val="none" w:sz="0" w:space="0" w:color="auto"/>
        <w:left w:val="none" w:sz="0" w:space="0" w:color="auto"/>
        <w:bottom w:val="none" w:sz="0" w:space="0" w:color="auto"/>
        <w:right w:val="none" w:sz="0" w:space="0" w:color="auto"/>
      </w:divBdr>
    </w:div>
    <w:div w:id="2044092641">
      <w:bodyDiv w:val="1"/>
      <w:marLeft w:val="0"/>
      <w:marRight w:val="0"/>
      <w:marTop w:val="0"/>
      <w:marBottom w:val="0"/>
      <w:divBdr>
        <w:top w:val="none" w:sz="0" w:space="0" w:color="auto"/>
        <w:left w:val="none" w:sz="0" w:space="0" w:color="auto"/>
        <w:bottom w:val="none" w:sz="0" w:space="0" w:color="auto"/>
        <w:right w:val="none" w:sz="0" w:space="0" w:color="auto"/>
      </w:divBdr>
    </w:div>
    <w:div w:id="2044985807">
      <w:bodyDiv w:val="1"/>
      <w:marLeft w:val="0"/>
      <w:marRight w:val="0"/>
      <w:marTop w:val="0"/>
      <w:marBottom w:val="0"/>
      <w:divBdr>
        <w:top w:val="none" w:sz="0" w:space="0" w:color="auto"/>
        <w:left w:val="none" w:sz="0" w:space="0" w:color="auto"/>
        <w:bottom w:val="none" w:sz="0" w:space="0" w:color="auto"/>
        <w:right w:val="none" w:sz="0" w:space="0" w:color="auto"/>
      </w:divBdr>
    </w:div>
    <w:div w:id="2045135636">
      <w:bodyDiv w:val="1"/>
      <w:marLeft w:val="0"/>
      <w:marRight w:val="0"/>
      <w:marTop w:val="0"/>
      <w:marBottom w:val="0"/>
      <w:divBdr>
        <w:top w:val="none" w:sz="0" w:space="0" w:color="auto"/>
        <w:left w:val="none" w:sz="0" w:space="0" w:color="auto"/>
        <w:bottom w:val="none" w:sz="0" w:space="0" w:color="auto"/>
        <w:right w:val="none" w:sz="0" w:space="0" w:color="auto"/>
      </w:divBdr>
    </w:div>
    <w:div w:id="2046633358">
      <w:bodyDiv w:val="1"/>
      <w:marLeft w:val="0"/>
      <w:marRight w:val="0"/>
      <w:marTop w:val="0"/>
      <w:marBottom w:val="0"/>
      <w:divBdr>
        <w:top w:val="none" w:sz="0" w:space="0" w:color="auto"/>
        <w:left w:val="none" w:sz="0" w:space="0" w:color="auto"/>
        <w:bottom w:val="none" w:sz="0" w:space="0" w:color="auto"/>
        <w:right w:val="none" w:sz="0" w:space="0" w:color="auto"/>
      </w:divBdr>
    </w:div>
    <w:div w:id="2047286916">
      <w:bodyDiv w:val="1"/>
      <w:marLeft w:val="0"/>
      <w:marRight w:val="0"/>
      <w:marTop w:val="0"/>
      <w:marBottom w:val="0"/>
      <w:divBdr>
        <w:top w:val="none" w:sz="0" w:space="0" w:color="auto"/>
        <w:left w:val="none" w:sz="0" w:space="0" w:color="auto"/>
        <w:bottom w:val="none" w:sz="0" w:space="0" w:color="auto"/>
        <w:right w:val="none" w:sz="0" w:space="0" w:color="auto"/>
      </w:divBdr>
    </w:div>
    <w:div w:id="2047869546">
      <w:bodyDiv w:val="1"/>
      <w:marLeft w:val="0"/>
      <w:marRight w:val="0"/>
      <w:marTop w:val="0"/>
      <w:marBottom w:val="0"/>
      <w:divBdr>
        <w:top w:val="none" w:sz="0" w:space="0" w:color="auto"/>
        <w:left w:val="none" w:sz="0" w:space="0" w:color="auto"/>
        <w:bottom w:val="none" w:sz="0" w:space="0" w:color="auto"/>
        <w:right w:val="none" w:sz="0" w:space="0" w:color="auto"/>
      </w:divBdr>
    </w:div>
    <w:div w:id="2050832710">
      <w:bodyDiv w:val="1"/>
      <w:marLeft w:val="0"/>
      <w:marRight w:val="0"/>
      <w:marTop w:val="0"/>
      <w:marBottom w:val="0"/>
      <w:divBdr>
        <w:top w:val="none" w:sz="0" w:space="0" w:color="auto"/>
        <w:left w:val="none" w:sz="0" w:space="0" w:color="auto"/>
        <w:bottom w:val="none" w:sz="0" w:space="0" w:color="auto"/>
        <w:right w:val="none" w:sz="0" w:space="0" w:color="auto"/>
      </w:divBdr>
    </w:div>
    <w:div w:id="2051108237">
      <w:bodyDiv w:val="1"/>
      <w:marLeft w:val="0"/>
      <w:marRight w:val="0"/>
      <w:marTop w:val="0"/>
      <w:marBottom w:val="0"/>
      <w:divBdr>
        <w:top w:val="none" w:sz="0" w:space="0" w:color="auto"/>
        <w:left w:val="none" w:sz="0" w:space="0" w:color="auto"/>
        <w:bottom w:val="none" w:sz="0" w:space="0" w:color="auto"/>
        <w:right w:val="none" w:sz="0" w:space="0" w:color="auto"/>
      </w:divBdr>
      <w:divsChild>
        <w:div w:id="164590913">
          <w:marLeft w:val="0"/>
          <w:marRight w:val="0"/>
          <w:marTop w:val="900"/>
          <w:marBottom w:val="0"/>
          <w:divBdr>
            <w:top w:val="none" w:sz="0" w:space="0" w:color="auto"/>
            <w:left w:val="none" w:sz="0" w:space="0" w:color="auto"/>
            <w:bottom w:val="none" w:sz="0" w:space="0" w:color="auto"/>
            <w:right w:val="none" w:sz="0" w:space="0" w:color="auto"/>
          </w:divBdr>
          <w:divsChild>
            <w:div w:id="111443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567615">
      <w:bodyDiv w:val="1"/>
      <w:marLeft w:val="0"/>
      <w:marRight w:val="0"/>
      <w:marTop w:val="0"/>
      <w:marBottom w:val="0"/>
      <w:divBdr>
        <w:top w:val="none" w:sz="0" w:space="0" w:color="auto"/>
        <w:left w:val="none" w:sz="0" w:space="0" w:color="auto"/>
        <w:bottom w:val="none" w:sz="0" w:space="0" w:color="auto"/>
        <w:right w:val="none" w:sz="0" w:space="0" w:color="auto"/>
      </w:divBdr>
    </w:div>
    <w:div w:id="2051882827">
      <w:bodyDiv w:val="1"/>
      <w:marLeft w:val="0"/>
      <w:marRight w:val="0"/>
      <w:marTop w:val="0"/>
      <w:marBottom w:val="0"/>
      <w:divBdr>
        <w:top w:val="none" w:sz="0" w:space="0" w:color="auto"/>
        <w:left w:val="none" w:sz="0" w:space="0" w:color="auto"/>
        <w:bottom w:val="none" w:sz="0" w:space="0" w:color="auto"/>
        <w:right w:val="none" w:sz="0" w:space="0" w:color="auto"/>
      </w:divBdr>
    </w:div>
    <w:div w:id="2052147531">
      <w:bodyDiv w:val="1"/>
      <w:marLeft w:val="0"/>
      <w:marRight w:val="0"/>
      <w:marTop w:val="0"/>
      <w:marBottom w:val="0"/>
      <w:divBdr>
        <w:top w:val="none" w:sz="0" w:space="0" w:color="auto"/>
        <w:left w:val="none" w:sz="0" w:space="0" w:color="auto"/>
        <w:bottom w:val="none" w:sz="0" w:space="0" w:color="auto"/>
        <w:right w:val="none" w:sz="0" w:space="0" w:color="auto"/>
      </w:divBdr>
    </w:div>
    <w:div w:id="2052726825">
      <w:bodyDiv w:val="1"/>
      <w:marLeft w:val="0"/>
      <w:marRight w:val="0"/>
      <w:marTop w:val="0"/>
      <w:marBottom w:val="0"/>
      <w:divBdr>
        <w:top w:val="none" w:sz="0" w:space="0" w:color="auto"/>
        <w:left w:val="none" w:sz="0" w:space="0" w:color="auto"/>
        <w:bottom w:val="none" w:sz="0" w:space="0" w:color="auto"/>
        <w:right w:val="none" w:sz="0" w:space="0" w:color="auto"/>
      </w:divBdr>
    </w:div>
    <w:div w:id="2052881981">
      <w:bodyDiv w:val="1"/>
      <w:marLeft w:val="0"/>
      <w:marRight w:val="0"/>
      <w:marTop w:val="0"/>
      <w:marBottom w:val="0"/>
      <w:divBdr>
        <w:top w:val="none" w:sz="0" w:space="0" w:color="auto"/>
        <w:left w:val="none" w:sz="0" w:space="0" w:color="auto"/>
        <w:bottom w:val="none" w:sz="0" w:space="0" w:color="auto"/>
        <w:right w:val="none" w:sz="0" w:space="0" w:color="auto"/>
      </w:divBdr>
    </w:div>
    <w:div w:id="2054498004">
      <w:bodyDiv w:val="1"/>
      <w:marLeft w:val="0"/>
      <w:marRight w:val="0"/>
      <w:marTop w:val="0"/>
      <w:marBottom w:val="0"/>
      <w:divBdr>
        <w:top w:val="none" w:sz="0" w:space="0" w:color="auto"/>
        <w:left w:val="none" w:sz="0" w:space="0" w:color="auto"/>
        <w:bottom w:val="none" w:sz="0" w:space="0" w:color="auto"/>
        <w:right w:val="none" w:sz="0" w:space="0" w:color="auto"/>
      </w:divBdr>
    </w:div>
    <w:div w:id="2055233704">
      <w:bodyDiv w:val="1"/>
      <w:marLeft w:val="0"/>
      <w:marRight w:val="0"/>
      <w:marTop w:val="0"/>
      <w:marBottom w:val="0"/>
      <w:divBdr>
        <w:top w:val="none" w:sz="0" w:space="0" w:color="auto"/>
        <w:left w:val="none" w:sz="0" w:space="0" w:color="auto"/>
        <w:bottom w:val="none" w:sz="0" w:space="0" w:color="auto"/>
        <w:right w:val="none" w:sz="0" w:space="0" w:color="auto"/>
      </w:divBdr>
    </w:div>
    <w:div w:id="2059470677">
      <w:bodyDiv w:val="1"/>
      <w:marLeft w:val="0"/>
      <w:marRight w:val="0"/>
      <w:marTop w:val="0"/>
      <w:marBottom w:val="0"/>
      <w:divBdr>
        <w:top w:val="none" w:sz="0" w:space="0" w:color="auto"/>
        <w:left w:val="none" w:sz="0" w:space="0" w:color="auto"/>
        <w:bottom w:val="none" w:sz="0" w:space="0" w:color="auto"/>
        <w:right w:val="none" w:sz="0" w:space="0" w:color="auto"/>
      </w:divBdr>
    </w:div>
    <w:div w:id="2060280752">
      <w:bodyDiv w:val="1"/>
      <w:marLeft w:val="0"/>
      <w:marRight w:val="0"/>
      <w:marTop w:val="0"/>
      <w:marBottom w:val="0"/>
      <w:divBdr>
        <w:top w:val="none" w:sz="0" w:space="0" w:color="auto"/>
        <w:left w:val="none" w:sz="0" w:space="0" w:color="auto"/>
        <w:bottom w:val="none" w:sz="0" w:space="0" w:color="auto"/>
        <w:right w:val="none" w:sz="0" w:space="0" w:color="auto"/>
      </w:divBdr>
    </w:div>
    <w:div w:id="2060321525">
      <w:bodyDiv w:val="1"/>
      <w:marLeft w:val="0"/>
      <w:marRight w:val="0"/>
      <w:marTop w:val="0"/>
      <w:marBottom w:val="0"/>
      <w:divBdr>
        <w:top w:val="none" w:sz="0" w:space="0" w:color="auto"/>
        <w:left w:val="none" w:sz="0" w:space="0" w:color="auto"/>
        <w:bottom w:val="none" w:sz="0" w:space="0" w:color="auto"/>
        <w:right w:val="none" w:sz="0" w:space="0" w:color="auto"/>
      </w:divBdr>
    </w:div>
    <w:div w:id="2060745541">
      <w:bodyDiv w:val="1"/>
      <w:marLeft w:val="0"/>
      <w:marRight w:val="0"/>
      <w:marTop w:val="0"/>
      <w:marBottom w:val="0"/>
      <w:divBdr>
        <w:top w:val="none" w:sz="0" w:space="0" w:color="auto"/>
        <w:left w:val="none" w:sz="0" w:space="0" w:color="auto"/>
        <w:bottom w:val="none" w:sz="0" w:space="0" w:color="auto"/>
        <w:right w:val="none" w:sz="0" w:space="0" w:color="auto"/>
      </w:divBdr>
    </w:div>
    <w:div w:id="2066567003">
      <w:bodyDiv w:val="1"/>
      <w:marLeft w:val="0"/>
      <w:marRight w:val="0"/>
      <w:marTop w:val="0"/>
      <w:marBottom w:val="0"/>
      <w:divBdr>
        <w:top w:val="none" w:sz="0" w:space="0" w:color="auto"/>
        <w:left w:val="none" w:sz="0" w:space="0" w:color="auto"/>
        <w:bottom w:val="none" w:sz="0" w:space="0" w:color="auto"/>
        <w:right w:val="none" w:sz="0" w:space="0" w:color="auto"/>
      </w:divBdr>
    </w:div>
    <w:div w:id="2069304861">
      <w:bodyDiv w:val="1"/>
      <w:marLeft w:val="0"/>
      <w:marRight w:val="0"/>
      <w:marTop w:val="0"/>
      <w:marBottom w:val="0"/>
      <w:divBdr>
        <w:top w:val="none" w:sz="0" w:space="0" w:color="auto"/>
        <w:left w:val="none" w:sz="0" w:space="0" w:color="auto"/>
        <w:bottom w:val="none" w:sz="0" w:space="0" w:color="auto"/>
        <w:right w:val="none" w:sz="0" w:space="0" w:color="auto"/>
      </w:divBdr>
    </w:div>
    <w:div w:id="2069372805">
      <w:bodyDiv w:val="1"/>
      <w:marLeft w:val="0"/>
      <w:marRight w:val="0"/>
      <w:marTop w:val="0"/>
      <w:marBottom w:val="0"/>
      <w:divBdr>
        <w:top w:val="none" w:sz="0" w:space="0" w:color="auto"/>
        <w:left w:val="none" w:sz="0" w:space="0" w:color="auto"/>
        <w:bottom w:val="none" w:sz="0" w:space="0" w:color="auto"/>
        <w:right w:val="none" w:sz="0" w:space="0" w:color="auto"/>
      </w:divBdr>
    </w:div>
    <w:div w:id="2071032698">
      <w:bodyDiv w:val="1"/>
      <w:marLeft w:val="0"/>
      <w:marRight w:val="0"/>
      <w:marTop w:val="0"/>
      <w:marBottom w:val="0"/>
      <w:divBdr>
        <w:top w:val="none" w:sz="0" w:space="0" w:color="auto"/>
        <w:left w:val="none" w:sz="0" w:space="0" w:color="auto"/>
        <w:bottom w:val="none" w:sz="0" w:space="0" w:color="auto"/>
        <w:right w:val="none" w:sz="0" w:space="0" w:color="auto"/>
      </w:divBdr>
    </w:div>
    <w:div w:id="2071225007">
      <w:bodyDiv w:val="1"/>
      <w:marLeft w:val="0"/>
      <w:marRight w:val="0"/>
      <w:marTop w:val="0"/>
      <w:marBottom w:val="0"/>
      <w:divBdr>
        <w:top w:val="none" w:sz="0" w:space="0" w:color="auto"/>
        <w:left w:val="none" w:sz="0" w:space="0" w:color="auto"/>
        <w:bottom w:val="none" w:sz="0" w:space="0" w:color="auto"/>
        <w:right w:val="none" w:sz="0" w:space="0" w:color="auto"/>
      </w:divBdr>
      <w:divsChild>
        <w:div w:id="1859192022">
          <w:marLeft w:val="0"/>
          <w:marRight w:val="0"/>
          <w:marTop w:val="0"/>
          <w:marBottom w:val="0"/>
          <w:divBdr>
            <w:top w:val="none" w:sz="0" w:space="0" w:color="auto"/>
            <w:left w:val="none" w:sz="0" w:space="0" w:color="auto"/>
            <w:bottom w:val="none" w:sz="0" w:space="0" w:color="auto"/>
            <w:right w:val="none" w:sz="0" w:space="0" w:color="auto"/>
          </w:divBdr>
          <w:divsChild>
            <w:div w:id="1163470136">
              <w:marLeft w:val="0"/>
              <w:marRight w:val="0"/>
              <w:marTop w:val="0"/>
              <w:marBottom w:val="0"/>
              <w:divBdr>
                <w:top w:val="none" w:sz="0" w:space="0" w:color="auto"/>
                <w:left w:val="none" w:sz="0" w:space="0" w:color="auto"/>
                <w:bottom w:val="none" w:sz="0" w:space="0" w:color="auto"/>
                <w:right w:val="none" w:sz="0" w:space="0" w:color="auto"/>
              </w:divBdr>
              <w:divsChild>
                <w:div w:id="417944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3040040">
      <w:bodyDiv w:val="1"/>
      <w:marLeft w:val="0"/>
      <w:marRight w:val="0"/>
      <w:marTop w:val="0"/>
      <w:marBottom w:val="0"/>
      <w:divBdr>
        <w:top w:val="none" w:sz="0" w:space="0" w:color="auto"/>
        <w:left w:val="none" w:sz="0" w:space="0" w:color="auto"/>
        <w:bottom w:val="none" w:sz="0" w:space="0" w:color="auto"/>
        <w:right w:val="none" w:sz="0" w:space="0" w:color="auto"/>
      </w:divBdr>
    </w:div>
    <w:div w:id="2073580555">
      <w:bodyDiv w:val="1"/>
      <w:marLeft w:val="0"/>
      <w:marRight w:val="0"/>
      <w:marTop w:val="0"/>
      <w:marBottom w:val="0"/>
      <w:divBdr>
        <w:top w:val="none" w:sz="0" w:space="0" w:color="auto"/>
        <w:left w:val="none" w:sz="0" w:space="0" w:color="auto"/>
        <w:bottom w:val="none" w:sz="0" w:space="0" w:color="auto"/>
        <w:right w:val="none" w:sz="0" w:space="0" w:color="auto"/>
      </w:divBdr>
    </w:div>
    <w:div w:id="2073773424">
      <w:bodyDiv w:val="1"/>
      <w:marLeft w:val="0"/>
      <w:marRight w:val="0"/>
      <w:marTop w:val="0"/>
      <w:marBottom w:val="0"/>
      <w:divBdr>
        <w:top w:val="none" w:sz="0" w:space="0" w:color="auto"/>
        <w:left w:val="none" w:sz="0" w:space="0" w:color="auto"/>
        <w:bottom w:val="none" w:sz="0" w:space="0" w:color="auto"/>
        <w:right w:val="none" w:sz="0" w:space="0" w:color="auto"/>
      </w:divBdr>
    </w:div>
    <w:div w:id="2075617038">
      <w:bodyDiv w:val="1"/>
      <w:marLeft w:val="0"/>
      <w:marRight w:val="0"/>
      <w:marTop w:val="0"/>
      <w:marBottom w:val="0"/>
      <w:divBdr>
        <w:top w:val="none" w:sz="0" w:space="0" w:color="auto"/>
        <w:left w:val="none" w:sz="0" w:space="0" w:color="auto"/>
        <w:bottom w:val="none" w:sz="0" w:space="0" w:color="auto"/>
        <w:right w:val="none" w:sz="0" w:space="0" w:color="auto"/>
      </w:divBdr>
    </w:div>
    <w:div w:id="2077164478">
      <w:bodyDiv w:val="1"/>
      <w:marLeft w:val="0"/>
      <w:marRight w:val="0"/>
      <w:marTop w:val="0"/>
      <w:marBottom w:val="0"/>
      <w:divBdr>
        <w:top w:val="none" w:sz="0" w:space="0" w:color="auto"/>
        <w:left w:val="none" w:sz="0" w:space="0" w:color="auto"/>
        <w:bottom w:val="none" w:sz="0" w:space="0" w:color="auto"/>
        <w:right w:val="none" w:sz="0" w:space="0" w:color="auto"/>
      </w:divBdr>
    </w:div>
    <w:div w:id="2079280326">
      <w:bodyDiv w:val="1"/>
      <w:marLeft w:val="0"/>
      <w:marRight w:val="0"/>
      <w:marTop w:val="0"/>
      <w:marBottom w:val="0"/>
      <w:divBdr>
        <w:top w:val="none" w:sz="0" w:space="0" w:color="auto"/>
        <w:left w:val="none" w:sz="0" w:space="0" w:color="auto"/>
        <w:bottom w:val="none" w:sz="0" w:space="0" w:color="auto"/>
        <w:right w:val="none" w:sz="0" w:space="0" w:color="auto"/>
      </w:divBdr>
    </w:div>
    <w:div w:id="2080328723">
      <w:bodyDiv w:val="1"/>
      <w:marLeft w:val="0"/>
      <w:marRight w:val="0"/>
      <w:marTop w:val="0"/>
      <w:marBottom w:val="0"/>
      <w:divBdr>
        <w:top w:val="none" w:sz="0" w:space="0" w:color="auto"/>
        <w:left w:val="none" w:sz="0" w:space="0" w:color="auto"/>
        <w:bottom w:val="none" w:sz="0" w:space="0" w:color="auto"/>
        <w:right w:val="none" w:sz="0" w:space="0" w:color="auto"/>
      </w:divBdr>
    </w:div>
    <w:div w:id="2080472463">
      <w:bodyDiv w:val="1"/>
      <w:marLeft w:val="0"/>
      <w:marRight w:val="0"/>
      <w:marTop w:val="0"/>
      <w:marBottom w:val="0"/>
      <w:divBdr>
        <w:top w:val="none" w:sz="0" w:space="0" w:color="auto"/>
        <w:left w:val="none" w:sz="0" w:space="0" w:color="auto"/>
        <w:bottom w:val="none" w:sz="0" w:space="0" w:color="auto"/>
        <w:right w:val="none" w:sz="0" w:space="0" w:color="auto"/>
      </w:divBdr>
    </w:div>
    <w:div w:id="2080786237">
      <w:bodyDiv w:val="1"/>
      <w:marLeft w:val="0"/>
      <w:marRight w:val="0"/>
      <w:marTop w:val="0"/>
      <w:marBottom w:val="0"/>
      <w:divBdr>
        <w:top w:val="none" w:sz="0" w:space="0" w:color="auto"/>
        <w:left w:val="none" w:sz="0" w:space="0" w:color="auto"/>
        <w:bottom w:val="none" w:sz="0" w:space="0" w:color="auto"/>
        <w:right w:val="none" w:sz="0" w:space="0" w:color="auto"/>
      </w:divBdr>
    </w:div>
    <w:div w:id="2083915488">
      <w:bodyDiv w:val="1"/>
      <w:marLeft w:val="0"/>
      <w:marRight w:val="0"/>
      <w:marTop w:val="0"/>
      <w:marBottom w:val="0"/>
      <w:divBdr>
        <w:top w:val="none" w:sz="0" w:space="0" w:color="auto"/>
        <w:left w:val="none" w:sz="0" w:space="0" w:color="auto"/>
        <w:bottom w:val="none" w:sz="0" w:space="0" w:color="auto"/>
        <w:right w:val="none" w:sz="0" w:space="0" w:color="auto"/>
      </w:divBdr>
    </w:div>
    <w:div w:id="2085761723">
      <w:bodyDiv w:val="1"/>
      <w:marLeft w:val="0"/>
      <w:marRight w:val="0"/>
      <w:marTop w:val="0"/>
      <w:marBottom w:val="0"/>
      <w:divBdr>
        <w:top w:val="none" w:sz="0" w:space="0" w:color="auto"/>
        <w:left w:val="none" w:sz="0" w:space="0" w:color="auto"/>
        <w:bottom w:val="none" w:sz="0" w:space="0" w:color="auto"/>
        <w:right w:val="none" w:sz="0" w:space="0" w:color="auto"/>
      </w:divBdr>
    </w:div>
    <w:div w:id="2088453808">
      <w:bodyDiv w:val="1"/>
      <w:marLeft w:val="0"/>
      <w:marRight w:val="0"/>
      <w:marTop w:val="0"/>
      <w:marBottom w:val="0"/>
      <w:divBdr>
        <w:top w:val="none" w:sz="0" w:space="0" w:color="auto"/>
        <w:left w:val="none" w:sz="0" w:space="0" w:color="auto"/>
        <w:bottom w:val="none" w:sz="0" w:space="0" w:color="auto"/>
        <w:right w:val="none" w:sz="0" w:space="0" w:color="auto"/>
      </w:divBdr>
    </w:div>
    <w:div w:id="2088766103">
      <w:bodyDiv w:val="1"/>
      <w:marLeft w:val="0"/>
      <w:marRight w:val="0"/>
      <w:marTop w:val="0"/>
      <w:marBottom w:val="0"/>
      <w:divBdr>
        <w:top w:val="none" w:sz="0" w:space="0" w:color="auto"/>
        <w:left w:val="none" w:sz="0" w:space="0" w:color="auto"/>
        <w:bottom w:val="none" w:sz="0" w:space="0" w:color="auto"/>
        <w:right w:val="none" w:sz="0" w:space="0" w:color="auto"/>
      </w:divBdr>
    </w:div>
    <w:div w:id="2088767985">
      <w:bodyDiv w:val="1"/>
      <w:marLeft w:val="0"/>
      <w:marRight w:val="0"/>
      <w:marTop w:val="0"/>
      <w:marBottom w:val="0"/>
      <w:divBdr>
        <w:top w:val="none" w:sz="0" w:space="0" w:color="auto"/>
        <w:left w:val="none" w:sz="0" w:space="0" w:color="auto"/>
        <w:bottom w:val="none" w:sz="0" w:space="0" w:color="auto"/>
        <w:right w:val="none" w:sz="0" w:space="0" w:color="auto"/>
      </w:divBdr>
    </w:div>
    <w:div w:id="2089688412">
      <w:bodyDiv w:val="1"/>
      <w:marLeft w:val="0"/>
      <w:marRight w:val="0"/>
      <w:marTop w:val="0"/>
      <w:marBottom w:val="0"/>
      <w:divBdr>
        <w:top w:val="none" w:sz="0" w:space="0" w:color="auto"/>
        <w:left w:val="none" w:sz="0" w:space="0" w:color="auto"/>
        <w:bottom w:val="none" w:sz="0" w:space="0" w:color="auto"/>
        <w:right w:val="none" w:sz="0" w:space="0" w:color="auto"/>
      </w:divBdr>
    </w:div>
    <w:div w:id="2089881363">
      <w:bodyDiv w:val="1"/>
      <w:marLeft w:val="0"/>
      <w:marRight w:val="0"/>
      <w:marTop w:val="0"/>
      <w:marBottom w:val="0"/>
      <w:divBdr>
        <w:top w:val="none" w:sz="0" w:space="0" w:color="auto"/>
        <w:left w:val="none" w:sz="0" w:space="0" w:color="auto"/>
        <w:bottom w:val="none" w:sz="0" w:space="0" w:color="auto"/>
        <w:right w:val="none" w:sz="0" w:space="0" w:color="auto"/>
      </w:divBdr>
    </w:div>
    <w:div w:id="2093811553">
      <w:bodyDiv w:val="1"/>
      <w:marLeft w:val="0"/>
      <w:marRight w:val="0"/>
      <w:marTop w:val="0"/>
      <w:marBottom w:val="0"/>
      <w:divBdr>
        <w:top w:val="none" w:sz="0" w:space="0" w:color="auto"/>
        <w:left w:val="none" w:sz="0" w:space="0" w:color="auto"/>
        <w:bottom w:val="none" w:sz="0" w:space="0" w:color="auto"/>
        <w:right w:val="none" w:sz="0" w:space="0" w:color="auto"/>
      </w:divBdr>
    </w:div>
    <w:div w:id="2095123764">
      <w:bodyDiv w:val="1"/>
      <w:marLeft w:val="0"/>
      <w:marRight w:val="0"/>
      <w:marTop w:val="0"/>
      <w:marBottom w:val="0"/>
      <w:divBdr>
        <w:top w:val="none" w:sz="0" w:space="0" w:color="auto"/>
        <w:left w:val="none" w:sz="0" w:space="0" w:color="auto"/>
        <w:bottom w:val="none" w:sz="0" w:space="0" w:color="auto"/>
        <w:right w:val="none" w:sz="0" w:space="0" w:color="auto"/>
      </w:divBdr>
    </w:div>
    <w:div w:id="2097557505">
      <w:bodyDiv w:val="1"/>
      <w:marLeft w:val="0"/>
      <w:marRight w:val="0"/>
      <w:marTop w:val="0"/>
      <w:marBottom w:val="0"/>
      <w:divBdr>
        <w:top w:val="none" w:sz="0" w:space="0" w:color="auto"/>
        <w:left w:val="none" w:sz="0" w:space="0" w:color="auto"/>
        <w:bottom w:val="none" w:sz="0" w:space="0" w:color="auto"/>
        <w:right w:val="none" w:sz="0" w:space="0" w:color="auto"/>
      </w:divBdr>
    </w:div>
    <w:div w:id="2098476748">
      <w:bodyDiv w:val="1"/>
      <w:marLeft w:val="0"/>
      <w:marRight w:val="0"/>
      <w:marTop w:val="0"/>
      <w:marBottom w:val="0"/>
      <w:divBdr>
        <w:top w:val="none" w:sz="0" w:space="0" w:color="auto"/>
        <w:left w:val="none" w:sz="0" w:space="0" w:color="auto"/>
        <w:bottom w:val="none" w:sz="0" w:space="0" w:color="auto"/>
        <w:right w:val="none" w:sz="0" w:space="0" w:color="auto"/>
      </w:divBdr>
    </w:div>
    <w:div w:id="2104378835">
      <w:bodyDiv w:val="1"/>
      <w:marLeft w:val="0"/>
      <w:marRight w:val="0"/>
      <w:marTop w:val="0"/>
      <w:marBottom w:val="0"/>
      <w:divBdr>
        <w:top w:val="none" w:sz="0" w:space="0" w:color="auto"/>
        <w:left w:val="none" w:sz="0" w:space="0" w:color="auto"/>
        <w:bottom w:val="none" w:sz="0" w:space="0" w:color="auto"/>
        <w:right w:val="none" w:sz="0" w:space="0" w:color="auto"/>
      </w:divBdr>
      <w:divsChild>
        <w:div w:id="908151830">
          <w:marLeft w:val="0"/>
          <w:marRight w:val="0"/>
          <w:marTop w:val="100"/>
          <w:marBottom w:val="100"/>
          <w:divBdr>
            <w:top w:val="none" w:sz="0" w:space="0" w:color="auto"/>
            <w:left w:val="none" w:sz="0" w:space="0" w:color="auto"/>
            <w:bottom w:val="none" w:sz="0" w:space="0" w:color="auto"/>
            <w:right w:val="none" w:sz="0" w:space="0" w:color="auto"/>
          </w:divBdr>
          <w:divsChild>
            <w:div w:id="1199391553">
              <w:marLeft w:val="0"/>
              <w:marRight w:val="0"/>
              <w:marTop w:val="0"/>
              <w:marBottom w:val="0"/>
              <w:divBdr>
                <w:top w:val="none" w:sz="0" w:space="0" w:color="auto"/>
                <w:left w:val="none" w:sz="0" w:space="0" w:color="auto"/>
                <w:bottom w:val="none" w:sz="0" w:space="0" w:color="auto"/>
                <w:right w:val="none" w:sz="0" w:space="0" w:color="auto"/>
              </w:divBdr>
              <w:divsChild>
                <w:div w:id="135218900">
                  <w:marLeft w:val="0"/>
                  <w:marRight w:val="90"/>
                  <w:marTop w:val="0"/>
                  <w:marBottom w:val="0"/>
                  <w:divBdr>
                    <w:top w:val="none" w:sz="0" w:space="0" w:color="auto"/>
                    <w:left w:val="none" w:sz="0" w:space="0" w:color="auto"/>
                    <w:bottom w:val="none" w:sz="0" w:space="0" w:color="auto"/>
                    <w:right w:val="none" w:sz="0" w:space="0" w:color="auto"/>
                  </w:divBdr>
                  <w:divsChild>
                    <w:div w:id="316424704">
                      <w:marLeft w:val="0"/>
                      <w:marRight w:val="0"/>
                      <w:marTop w:val="0"/>
                      <w:marBottom w:val="0"/>
                      <w:divBdr>
                        <w:top w:val="none" w:sz="0" w:space="0" w:color="auto"/>
                        <w:left w:val="none" w:sz="0" w:space="0" w:color="auto"/>
                        <w:bottom w:val="none" w:sz="0" w:space="0" w:color="auto"/>
                        <w:right w:val="none" w:sz="0" w:space="0" w:color="auto"/>
                      </w:divBdr>
                      <w:divsChild>
                        <w:div w:id="17603923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 w:id="2105568168">
      <w:bodyDiv w:val="1"/>
      <w:marLeft w:val="0"/>
      <w:marRight w:val="0"/>
      <w:marTop w:val="0"/>
      <w:marBottom w:val="0"/>
      <w:divBdr>
        <w:top w:val="none" w:sz="0" w:space="0" w:color="auto"/>
        <w:left w:val="none" w:sz="0" w:space="0" w:color="auto"/>
        <w:bottom w:val="none" w:sz="0" w:space="0" w:color="auto"/>
        <w:right w:val="none" w:sz="0" w:space="0" w:color="auto"/>
      </w:divBdr>
    </w:div>
    <w:div w:id="2108034698">
      <w:bodyDiv w:val="1"/>
      <w:marLeft w:val="0"/>
      <w:marRight w:val="0"/>
      <w:marTop w:val="0"/>
      <w:marBottom w:val="0"/>
      <w:divBdr>
        <w:top w:val="none" w:sz="0" w:space="0" w:color="auto"/>
        <w:left w:val="none" w:sz="0" w:space="0" w:color="auto"/>
        <w:bottom w:val="none" w:sz="0" w:space="0" w:color="auto"/>
        <w:right w:val="none" w:sz="0" w:space="0" w:color="auto"/>
      </w:divBdr>
    </w:div>
    <w:div w:id="2108767119">
      <w:bodyDiv w:val="1"/>
      <w:marLeft w:val="0"/>
      <w:marRight w:val="0"/>
      <w:marTop w:val="0"/>
      <w:marBottom w:val="0"/>
      <w:divBdr>
        <w:top w:val="none" w:sz="0" w:space="0" w:color="auto"/>
        <w:left w:val="none" w:sz="0" w:space="0" w:color="auto"/>
        <w:bottom w:val="none" w:sz="0" w:space="0" w:color="auto"/>
        <w:right w:val="none" w:sz="0" w:space="0" w:color="auto"/>
      </w:divBdr>
    </w:div>
    <w:div w:id="2109351185">
      <w:bodyDiv w:val="1"/>
      <w:marLeft w:val="0"/>
      <w:marRight w:val="0"/>
      <w:marTop w:val="0"/>
      <w:marBottom w:val="0"/>
      <w:divBdr>
        <w:top w:val="none" w:sz="0" w:space="0" w:color="auto"/>
        <w:left w:val="none" w:sz="0" w:space="0" w:color="auto"/>
        <w:bottom w:val="none" w:sz="0" w:space="0" w:color="auto"/>
        <w:right w:val="none" w:sz="0" w:space="0" w:color="auto"/>
      </w:divBdr>
    </w:div>
    <w:div w:id="2111663609">
      <w:bodyDiv w:val="1"/>
      <w:marLeft w:val="0"/>
      <w:marRight w:val="0"/>
      <w:marTop w:val="0"/>
      <w:marBottom w:val="0"/>
      <w:divBdr>
        <w:top w:val="none" w:sz="0" w:space="0" w:color="auto"/>
        <w:left w:val="none" w:sz="0" w:space="0" w:color="auto"/>
        <w:bottom w:val="none" w:sz="0" w:space="0" w:color="auto"/>
        <w:right w:val="none" w:sz="0" w:space="0" w:color="auto"/>
      </w:divBdr>
    </w:div>
    <w:div w:id="2113552244">
      <w:bodyDiv w:val="1"/>
      <w:marLeft w:val="0"/>
      <w:marRight w:val="0"/>
      <w:marTop w:val="0"/>
      <w:marBottom w:val="0"/>
      <w:divBdr>
        <w:top w:val="none" w:sz="0" w:space="0" w:color="auto"/>
        <w:left w:val="none" w:sz="0" w:space="0" w:color="auto"/>
        <w:bottom w:val="none" w:sz="0" w:space="0" w:color="auto"/>
        <w:right w:val="none" w:sz="0" w:space="0" w:color="auto"/>
      </w:divBdr>
    </w:div>
    <w:div w:id="2118214642">
      <w:bodyDiv w:val="1"/>
      <w:marLeft w:val="0"/>
      <w:marRight w:val="0"/>
      <w:marTop w:val="0"/>
      <w:marBottom w:val="0"/>
      <w:divBdr>
        <w:top w:val="none" w:sz="0" w:space="0" w:color="auto"/>
        <w:left w:val="none" w:sz="0" w:space="0" w:color="auto"/>
        <w:bottom w:val="none" w:sz="0" w:space="0" w:color="auto"/>
        <w:right w:val="none" w:sz="0" w:space="0" w:color="auto"/>
      </w:divBdr>
    </w:div>
    <w:div w:id="2118256542">
      <w:bodyDiv w:val="1"/>
      <w:marLeft w:val="0"/>
      <w:marRight w:val="0"/>
      <w:marTop w:val="0"/>
      <w:marBottom w:val="0"/>
      <w:divBdr>
        <w:top w:val="none" w:sz="0" w:space="0" w:color="auto"/>
        <w:left w:val="none" w:sz="0" w:space="0" w:color="auto"/>
        <w:bottom w:val="none" w:sz="0" w:space="0" w:color="auto"/>
        <w:right w:val="none" w:sz="0" w:space="0" w:color="auto"/>
      </w:divBdr>
      <w:divsChild>
        <w:div w:id="141967294">
          <w:marLeft w:val="0"/>
          <w:marRight w:val="0"/>
          <w:marTop w:val="0"/>
          <w:marBottom w:val="0"/>
          <w:divBdr>
            <w:top w:val="none" w:sz="0" w:space="0" w:color="auto"/>
            <w:left w:val="none" w:sz="0" w:space="0" w:color="auto"/>
            <w:bottom w:val="none" w:sz="0" w:space="0" w:color="auto"/>
            <w:right w:val="none" w:sz="0" w:space="0" w:color="auto"/>
          </w:divBdr>
        </w:div>
        <w:div w:id="440994768">
          <w:marLeft w:val="0"/>
          <w:marRight w:val="0"/>
          <w:marTop w:val="0"/>
          <w:marBottom w:val="0"/>
          <w:divBdr>
            <w:top w:val="none" w:sz="0" w:space="0" w:color="auto"/>
            <w:left w:val="none" w:sz="0" w:space="0" w:color="auto"/>
            <w:bottom w:val="none" w:sz="0" w:space="0" w:color="auto"/>
            <w:right w:val="none" w:sz="0" w:space="0" w:color="auto"/>
          </w:divBdr>
        </w:div>
        <w:div w:id="474571659">
          <w:marLeft w:val="0"/>
          <w:marRight w:val="0"/>
          <w:marTop w:val="0"/>
          <w:marBottom w:val="0"/>
          <w:divBdr>
            <w:top w:val="none" w:sz="0" w:space="0" w:color="auto"/>
            <w:left w:val="none" w:sz="0" w:space="0" w:color="auto"/>
            <w:bottom w:val="none" w:sz="0" w:space="0" w:color="auto"/>
            <w:right w:val="none" w:sz="0" w:space="0" w:color="auto"/>
          </w:divBdr>
        </w:div>
        <w:div w:id="606281270">
          <w:marLeft w:val="0"/>
          <w:marRight w:val="0"/>
          <w:marTop w:val="0"/>
          <w:marBottom w:val="0"/>
          <w:divBdr>
            <w:top w:val="none" w:sz="0" w:space="0" w:color="auto"/>
            <w:left w:val="none" w:sz="0" w:space="0" w:color="auto"/>
            <w:bottom w:val="none" w:sz="0" w:space="0" w:color="auto"/>
            <w:right w:val="none" w:sz="0" w:space="0" w:color="auto"/>
          </w:divBdr>
        </w:div>
        <w:div w:id="610475861">
          <w:marLeft w:val="0"/>
          <w:marRight w:val="0"/>
          <w:marTop w:val="0"/>
          <w:marBottom w:val="0"/>
          <w:divBdr>
            <w:top w:val="none" w:sz="0" w:space="0" w:color="auto"/>
            <w:left w:val="none" w:sz="0" w:space="0" w:color="auto"/>
            <w:bottom w:val="none" w:sz="0" w:space="0" w:color="auto"/>
            <w:right w:val="none" w:sz="0" w:space="0" w:color="auto"/>
          </w:divBdr>
        </w:div>
        <w:div w:id="627392596">
          <w:marLeft w:val="0"/>
          <w:marRight w:val="0"/>
          <w:marTop w:val="0"/>
          <w:marBottom w:val="0"/>
          <w:divBdr>
            <w:top w:val="none" w:sz="0" w:space="0" w:color="auto"/>
            <w:left w:val="none" w:sz="0" w:space="0" w:color="auto"/>
            <w:bottom w:val="none" w:sz="0" w:space="0" w:color="auto"/>
            <w:right w:val="none" w:sz="0" w:space="0" w:color="auto"/>
          </w:divBdr>
        </w:div>
        <w:div w:id="1018703149">
          <w:marLeft w:val="0"/>
          <w:marRight w:val="0"/>
          <w:marTop w:val="0"/>
          <w:marBottom w:val="0"/>
          <w:divBdr>
            <w:top w:val="none" w:sz="0" w:space="0" w:color="auto"/>
            <w:left w:val="none" w:sz="0" w:space="0" w:color="auto"/>
            <w:bottom w:val="none" w:sz="0" w:space="0" w:color="auto"/>
            <w:right w:val="none" w:sz="0" w:space="0" w:color="auto"/>
          </w:divBdr>
        </w:div>
        <w:div w:id="1110660069">
          <w:marLeft w:val="0"/>
          <w:marRight w:val="0"/>
          <w:marTop w:val="0"/>
          <w:marBottom w:val="0"/>
          <w:divBdr>
            <w:top w:val="none" w:sz="0" w:space="0" w:color="auto"/>
            <w:left w:val="none" w:sz="0" w:space="0" w:color="auto"/>
            <w:bottom w:val="none" w:sz="0" w:space="0" w:color="auto"/>
            <w:right w:val="none" w:sz="0" w:space="0" w:color="auto"/>
          </w:divBdr>
        </w:div>
        <w:div w:id="1354191365">
          <w:marLeft w:val="0"/>
          <w:marRight w:val="0"/>
          <w:marTop w:val="0"/>
          <w:marBottom w:val="0"/>
          <w:divBdr>
            <w:top w:val="none" w:sz="0" w:space="0" w:color="auto"/>
            <w:left w:val="none" w:sz="0" w:space="0" w:color="auto"/>
            <w:bottom w:val="none" w:sz="0" w:space="0" w:color="auto"/>
            <w:right w:val="none" w:sz="0" w:space="0" w:color="auto"/>
          </w:divBdr>
        </w:div>
        <w:div w:id="1507398119">
          <w:marLeft w:val="0"/>
          <w:marRight w:val="0"/>
          <w:marTop w:val="0"/>
          <w:marBottom w:val="0"/>
          <w:divBdr>
            <w:top w:val="none" w:sz="0" w:space="0" w:color="auto"/>
            <w:left w:val="none" w:sz="0" w:space="0" w:color="auto"/>
            <w:bottom w:val="none" w:sz="0" w:space="0" w:color="auto"/>
            <w:right w:val="none" w:sz="0" w:space="0" w:color="auto"/>
          </w:divBdr>
        </w:div>
        <w:div w:id="1772899155">
          <w:marLeft w:val="0"/>
          <w:marRight w:val="0"/>
          <w:marTop w:val="0"/>
          <w:marBottom w:val="0"/>
          <w:divBdr>
            <w:top w:val="none" w:sz="0" w:space="0" w:color="auto"/>
            <w:left w:val="none" w:sz="0" w:space="0" w:color="auto"/>
            <w:bottom w:val="none" w:sz="0" w:space="0" w:color="auto"/>
            <w:right w:val="none" w:sz="0" w:space="0" w:color="auto"/>
          </w:divBdr>
        </w:div>
        <w:div w:id="1835336854">
          <w:marLeft w:val="0"/>
          <w:marRight w:val="0"/>
          <w:marTop w:val="0"/>
          <w:marBottom w:val="0"/>
          <w:divBdr>
            <w:top w:val="none" w:sz="0" w:space="0" w:color="auto"/>
            <w:left w:val="none" w:sz="0" w:space="0" w:color="auto"/>
            <w:bottom w:val="none" w:sz="0" w:space="0" w:color="auto"/>
            <w:right w:val="none" w:sz="0" w:space="0" w:color="auto"/>
          </w:divBdr>
        </w:div>
        <w:div w:id="1836918735">
          <w:marLeft w:val="0"/>
          <w:marRight w:val="0"/>
          <w:marTop w:val="0"/>
          <w:marBottom w:val="0"/>
          <w:divBdr>
            <w:top w:val="none" w:sz="0" w:space="0" w:color="auto"/>
            <w:left w:val="none" w:sz="0" w:space="0" w:color="auto"/>
            <w:bottom w:val="none" w:sz="0" w:space="0" w:color="auto"/>
            <w:right w:val="none" w:sz="0" w:space="0" w:color="auto"/>
          </w:divBdr>
        </w:div>
        <w:div w:id="2019041949">
          <w:marLeft w:val="0"/>
          <w:marRight w:val="0"/>
          <w:marTop w:val="0"/>
          <w:marBottom w:val="0"/>
          <w:divBdr>
            <w:top w:val="none" w:sz="0" w:space="0" w:color="auto"/>
            <w:left w:val="none" w:sz="0" w:space="0" w:color="auto"/>
            <w:bottom w:val="none" w:sz="0" w:space="0" w:color="auto"/>
            <w:right w:val="none" w:sz="0" w:space="0" w:color="auto"/>
          </w:divBdr>
        </w:div>
      </w:divsChild>
    </w:div>
    <w:div w:id="2121336683">
      <w:bodyDiv w:val="1"/>
      <w:marLeft w:val="0"/>
      <w:marRight w:val="0"/>
      <w:marTop w:val="0"/>
      <w:marBottom w:val="0"/>
      <w:divBdr>
        <w:top w:val="none" w:sz="0" w:space="0" w:color="auto"/>
        <w:left w:val="none" w:sz="0" w:space="0" w:color="auto"/>
        <w:bottom w:val="none" w:sz="0" w:space="0" w:color="auto"/>
        <w:right w:val="none" w:sz="0" w:space="0" w:color="auto"/>
      </w:divBdr>
    </w:div>
    <w:div w:id="2121562477">
      <w:bodyDiv w:val="1"/>
      <w:marLeft w:val="0"/>
      <w:marRight w:val="0"/>
      <w:marTop w:val="0"/>
      <w:marBottom w:val="0"/>
      <w:divBdr>
        <w:top w:val="none" w:sz="0" w:space="0" w:color="auto"/>
        <w:left w:val="none" w:sz="0" w:space="0" w:color="auto"/>
        <w:bottom w:val="none" w:sz="0" w:space="0" w:color="auto"/>
        <w:right w:val="none" w:sz="0" w:space="0" w:color="auto"/>
      </w:divBdr>
    </w:div>
    <w:div w:id="2121803115">
      <w:bodyDiv w:val="1"/>
      <w:marLeft w:val="0"/>
      <w:marRight w:val="0"/>
      <w:marTop w:val="0"/>
      <w:marBottom w:val="0"/>
      <w:divBdr>
        <w:top w:val="none" w:sz="0" w:space="0" w:color="auto"/>
        <w:left w:val="none" w:sz="0" w:space="0" w:color="auto"/>
        <w:bottom w:val="none" w:sz="0" w:space="0" w:color="auto"/>
        <w:right w:val="none" w:sz="0" w:space="0" w:color="auto"/>
      </w:divBdr>
    </w:div>
    <w:div w:id="2122066966">
      <w:bodyDiv w:val="1"/>
      <w:marLeft w:val="0"/>
      <w:marRight w:val="0"/>
      <w:marTop w:val="0"/>
      <w:marBottom w:val="0"/>
      <w:divBdr>
        <w:top w:val="none" w:sz="0" w:space="0" w:color="auto"/>
        <w:left w:val="none" w:sz="0" w:space="0" w:color="auto"/>
        <w:bottom w:val="none" w:sz="0" w:space="0" w:color="auto"/>
        <w:right w:val="none" w:sz="0" w:space="0" w:color="auto"/>
      </w:divBdr>
    </w:div>
    <w:div w:id="2122918004">
      <w:bodyDiv w:val="1"/>
      <w:marLeft w:val="0"/>
      <w:marRight w:val="0"/>
      <w:marTop w:val="0"/>
      <w:marBottom w:val="0"/>
      <w:divBdr>
        <w:top w:val="none" w:sz="0" w:space="0" w:color="auto"/>
        <w:left w:val="none" w:sz="0" w:space="0" w:color="auto"/>
        <w:bottom w:val="none" w:sz="0" w:space="0" w:color="auto"/>
        <w:right w:val="none" w:sz="0" w:space="0" w:color="auto"/>
      </w:divBdr>
    </w:div>
    <w:div w:id="2123066019">
      <w:bodyDiv w:val="1"/>
      <w:marLeft w:val="0"/>
      <w:marRight w:val="0"/>
      <w:marTop w:val="0"/>
      <w:marBottom w:val="0"/>
      <w:divBdr>
        <w:top w:val="none" w:sz="0" w:space="0" w:color="auto"/>
        <w:left w:val="none" w:sz="0" w:space="0" w:color="auto"/>
        <w:bottom w:val="none" w:sz="0" w:space="0" w:color="auto"/>
        <w:right w:val="none" w:sz="0" w:space="0" w:color="auto"/>
      </w:divBdr>
    </w:div>
    <w:div w:id="2124037820">
      <w:bodyDiv w:val="1"/>
      <w:marLeft w:val="0"/>
      <w:marRight w:val="0"/>
      <w:marTop w:val="0"/>
      <w:marBottom w:val="0"/>
      <w:divBdr>
        <w:top w:val="none" w:sz="0" w:space="0" w:color="auto"/>
        <w:left w:val="none" w:sz="0" w:space="0" w:color="auto"/>
        <w:bottom w:val="none" w:sz="0" w:space="0" w:color="auto"/>
        <w:right w:val="none" w:sz="0" w:space="0" w:color="auto"/>
      </w:divBdr>
    </w:div>
    <w:div w:id="2124643918">
      <w:bodyDiv w:val="1"/>
      <w:marLeft w:val="0"/>
      <w:marRight w:val="0"/>
      <w:marTop w:val="0"/>
      <w:marBottom w:val="0"/>
      <w:divBdr>
        <w:top w:val="none" w:sz="0" w:space="0" w:color="auto"/>
        <w:left w:val="none" w:sz="0" w:space="0" w:color="auto"/>
        <w:bottom w:val="none" w:sz="0" w:space="0" w:color="auto"/>
        <w:right w:val="none" w:sz="0" w:space="0" w:color="auto"/>
      </w:divBdr>
    </w:div>
    <w:div w:id="2124686666">
      <w:bodyDiv w:val="1"/>
      <w:marLeft w:val="0"/>
      <w:marRight w:val="0"/>
      <w:marTop w:val="0"/>
      <w:marBottom w:val="0"/>
      <w:divBdr>
        <w:top w:val="none" w:sz="0" w:space="0" w:color="auto"/>
        <w:left w:val="none" w:sz="0" w:space="0" w:color="auto"/>
        <w:bottom w:val="none" w:sz="0" w:space="0" w:color="auto"/>
        <w:right w:val="none" w:sz="0" w:space="0" w:color="auto"/>
      </w:divBdr>
    </w:div>
    <w:div w:id="2124840502">
      <w:bodyDiv w:val="1"/>
      <w:marLeft w:val="0"/>
      <w:marRight w:val="0"/>
      <w:marTop w:val="0"/>
      <w:marBottom w:val="0"/>
      <w:divBdr>
        <w:top w:val="none" w:sz="0" w:space="0" w:color="auto"/>
        <w:left w:val="none" w:sz="0" w:space="0" w:color="auto"/>
        <w:bottom w:val="none" w:sz="0" w:space="0" w:color="auto"/>
        <w:right w:val="none" w:sz="0" w:space="0" w:color="auto"/>
      </w:divBdr>
    </w:div>
    <w:div w:id="2129273414">
      <w:bodyDiv w:val="1"/>
      <w:marLeft w:val="0"/>
      <w:marRight w:val="0"/>
      <w:marTop w:val="0"/>
      <w:marBottom w:val="0"/>
      <w:divBdr>
        <w:top w:val="none" w:sz="0" w:space="0" w:color="auto"/>
        <w:left w:val="none" w:sz="0" w:space="0" w:color="auto"/>
        <w:bottom w:val="none" w:sz="0" w:space="0" w:color="auto"/>
        <w:right w:val="none" w:sz="0" w:space="0" w:color="auto"/>
      </w:divBdr>
    </w:div>
    <w:div w:id="2134862248">
      <w:bodyDiv w:val="1"/>
      <w:marLeft w:val="0"/>
      <w:marRight w:val="0"/>
      <w:marTop w:val="0"/>
      <w:marBottom w:val="0"/>
      <w:divBdr>
        <w:top w:val="none" w:sz="0" w:space="0" w:color="auto"/>
        <w:left w:val="none" w:sz="0" w:space="0" w:color="auto"/>
        <w:bottom w:val="none" w:sz="0" w:space="0" w:color="auto"/>
        <w:right w:val="none" w:sz="0" w:space="0" w:color="auto"/>
      </w:divBdr>
    </w:div>
    <w:div w:id="2137290161">
      <w:bodyDiv w:val="1"/>
      <w:marLeft w:val="0"/>
      <w:marRight w:val="0"/>
      <w:marTop w:val="0"/>
      <w:marBottom w:val="0"/>
      <w:divBdr>
        <w:top w:val="none" w:sz="0" w:space="0" w:color="auto"/>
        <w:left w:val="none" w:sz="0" w:space="0" w:color="auto"/>
        <w:bottom w:val="none" w:sz="0" w:space="0" w:color="auto"/>
        <w:right w:val="none" w:sz="0" w:space="0" w:color="auto"/>
      </w:divBdr>
    </w:div>
    <w:div w:id="2140294305">
      <w:bodyDiv w:val="1"/>
      <w:marLeft w:val="0"/>
      <w:marRight w:val="0"/>
      <w:marTop w:val="0"/>
      <w:marBottom w:val="0"/>
      <w:divBdr>
        <w:top w:val="none" w:sz="0" w:space="0" w:color="auto"/>
        <w:left w:val="none" w:sz="0" w:space="0" w:color="auto"/>
        <w:bottom w:val="none" w:sz="0" w:space="0" w:color="auto"/>
        <w:right w:val="none" w:sz="0" w:space="0" w:color="auto"/>
      </w:divBdr>
    </w:div>
    <w:div w:id="2140298858">
      <w:bodyDiv w:val="1"/>
      <w:marLeft w:val="0"/>
      <w:marRight w:val="0"/>
      <w:marTop w:val="0"/>
      <w:marBottom w:val="0"/>
      <w:divBdr>
        <w:top w:val="none" w:sz="0" w:space="0" w:color="auto"/>
        <w:left w:val="none" w:sz="0" w:space="0" w:color="auto"/>
        <w:bottom w:val="none" w:sz="0" w:space="0" w:color="auto"/>
        <w:right w:val="none" w:sz="0" w:space="0" w:color="auto"/>
      </w:divBdr>
    </w:div>
    <w:div w:id="2141872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hyperlink" Target="http://www.econ.krskstate.ru" TargetMode="External"/><Relationship Id="rId47" Type="http://schemas.openxmlformats.org/officeDocument/2006/relationships/hyperlink" Target="http://finansist-kras.ru/" TargetMode="External"/><Relationship Id="rId50" Type="http://schemas.openxmlformats.org/officeDocument/2006/relationships/image" Target="media/image34.jpeg"/><Relationship Id="rId55" Type="http://schemas.openxmlformats.org/officeDocument/2006/relationships/hyperlink" Target="https://www.avito.ru/" TargetMode="External"/><Relationship Id="rId63" Type="http://schemas.openxmlformats.org/officeDocument/2006/relationships/hyperlink" Target="https://www.avito.ru/" TargetMode="External"/><Relationship Id="rId68" Type="http://schemas.openxmlformats.org/officeDocument/2006/relationships/hyperlink" Target="https://www.avito.ru/" TargetMode="External"/><Relationship Id="rId76" Type="http://schemas.openxmlformats.org/officeDocument/2006/relationships/oleObject" Target="embeddings/oleObject1.bin"/><Relationship Id="rId84"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www.avito.ru/" TargetMode="Externa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jpeg"/><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hyperlink" Target="http://politrussia.com" TargetMode="External"/><Relationship Id="rId45" Type="http://schemas.openxmlformats.org/officeDocument/2006/relationships/hyperlink" Target="http://www.izvestia.ru" TargetMode="External"/><Relationship Id="rId53" Type="http://schemas.openxmlformats.org/officeDocument/2006/relationships/hyperlink" Target="http://kn.gilcom.ru/" TargetMode="External"/><Relationship Id="rId58" Type="http://schemas.openxmlformats.org/officeDocument/2006/relationships/hyperlink" Target="https://www.avito.ru/" TargetMode="External"/><Relationship Id="rId66" Type="http://schemas.openxmlformats.org/officeDocument/2006/relationships/hyperlink" Target="https://www.avito.ru/" TargetMode="External"/><Relationship Id="rId74" Type="http://schemas.openxmlformats.org/officeDocument/2006/relationships/hyperlink" Target="https://www.avito.ru/" TargetMode="External"/><Relationship Id="rId79" Type="http://schemas.openxmlformats.org/officeDocument/2006/relationships/image" Target="media/image37.wmf"/><Relationship Id="rId5" Type="http://schemas.openxmlformats.org/officeDocument/2006/relationships/webSettings" Target="webSettings.xml"/><Relationship Id="rId61" Type="http://schemas.openxmlformats.org/officeDocument/2006/relationships/hyperlink" Target="http://kn.gilcom.ru/" TargetMode="External"/><Relationship Id="rId82" Type="http://schemas.openxmlformats.org/officeDocument/2006/relationships/footer" Target="footer1.xml"/><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hyperlink" Target="http://www.ksonline.ru" TargetMode="External"/><Relationship Id="rId48" Type="http://schemas.openxmlformats.org/officeDocument/2006/relationships/hyperlink" Target="http://rusrand.ru/" TargetMode="External"/><Relationship Id="rId56" Type="http://schemas.openxmlformats.org/officeDocument/2006/relationships/hyperlink" Target="https://www.avito.ru/" TargetMode="External"/><Relationship Id="rId64" Type="http://schemas.openxmlformats.org/officeDocument/2006/relationships/hyperlink" Target="https://www.avito.ru/" TargetMode="External"/><Relationship Id="rId69" Type="http://schemas.openxmlformats.org/officeDocument/2006/relationships/hyperlink" Target="https://www.avito.ru/" TargetMode="External"/><Relationship Id="rId77" Type="http://schemas.openxmlformats.org/officeDocument/2006/relationships/image" Target="media/image36.wmf"/><Relationship Id="rId8" Type="http://schemas.openxmlformats.org/officeDocument/2006/relationships/image" Target="media/image1.gif"/><Relationship Id="rId51" Type="http://schemas.openxmlformats.org/officeDocument/2006/relationships/hyperlink" Target="http://my-new-home.ru/Analitics/Actual/Cena-kvartir.php" TargetMode="External"/><Relationship Id="rId72" Type="http://schemas.openxmlformats.org/officeDocument/2006/relationships/hyperlink" Target="https://www.avito.ru/" TargetMode="External"/><Relationship Id="rId80" Type="http://schemas.openxmlformats.org/officeDocument/2006/relationships/oleObject" Target="embeddings/oleObject3.bin"/><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hyperlink" Target="http://smb.gov.ru/" TargetMode="External"/><Relationship Id="rId59" Type="http://schemas.openxmlformats.org/officeDocument/2006/relationships/hyperlink" Target="https://www.avito.ru/" TargetMode="External"/><Relationship Id="rId67" Type="http://schemas.openxmlformats.org/officeDocument/2006/relationships/hyperlink" Target="https://www.avito.ru/" TargetMode="External"/><Relationship Id="rId20" Type="http://schemas.openxmlformats.org/officeDocument/2006/relationships/image" Target="media/image13.jpeg"/><Relationship Id="rId41" Type="http://schemas.openxmlformats.org/officeDocument/2006/relationships/hyperlink" Target="http://economy.gov.ru" TargetMode="External"/><Relationship Id="rId54" Type="http://schemas.openxmlformats.org/officeDocument/2006/relationships/hyperlink" Target="https://www.avito.ru/" TargetMode="External"/><Relationship Id="rId62" Type="http://schemas.openxmlformats.org/officeDocument/2006/relationships/hyperlink" Target="https://www.avito.ru/" TargetMode="External"/><Relationship Id="rId70" Type="http://schemas.openxmlformats.org/officeDocument/2006/relationships/hyperlink" Target="https://www.avito.ru/" TargetMode="External"/><Relationship Id="rId75" Type="http://schemas.openxmlformats.org/officeDocument/2006/relationships/image" Target="media/image35.wmf"/><Relationship Id="rId83"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33.jpeg"/><Relationship Id="rId57" Type="http://schemas.openxmlformats.org/officeDocument/2006/relationships/hyperlink" Target="http://kn.gilcom.ru/" TargetMode="External"/><Relationship Id="rId10" Type="http://schemas.openxmlformats.org/officeDocument/2006/relationships/image" Target="media/image3.jpeg"/><Relationship Id="rId31" Type="http://schemas.openxmlformats.org/officeDocument/2006/relationships/image" Target="media/image24.jpeg"/><Relationship Id="rId44" Type="http://schemas.openxmlformats.org/officeDocument/2006/relationships/hyperlink" Target="http://www.krskstate.ru" TargetMode="External"/><Relationship Id="rId52" Type="http://schemas.openxmlformats.org/officeDocument/2006/relationships/hyperlink" Target="https://www.avito.ru/" TargetMode="External"/><Relationship Id="rId60" Type="http://schemas.openxmlformats.org/officeDocument/2006/relationships/hyperlink" Target="https://www.avito.ru/" TargetMode="External"/><Relationship Id="rId65" Type="http://schemas.openxmlformats.org/officeDocument/2006/relationships/hyperlink" Target="https://www.avito.ru/" TargetMode="External"/><Relationship Id="rId73" Type="http://schemas.openxmlformats.org/officeDocument/2006/relationships/hyperlink" Target="https://www.avito.ru/" TargetMode="External"/><Relationship Id="rId78" Type="http://schemas.openxmlformats.org/officeDocument/2006/relationships/oleObject" Target="embeddings/oleObject2.bin"/><Relationship Id="rId81" Type="http://schemas.openxmlformats.org/officeDocument/2006/relationships/header" Target="header1.xml"/><Relationship Id="rId86" Type="http://schemas.microsoft.com/office/2007/relationships/stylesWithEffects" Target="stylesWithEffects.xml"/></Relationships>
</file>

<file path=word/_rels/footnotes.xml.rels><?xml version="1.0" encoding="UTF-8" standalone="yes"?>
<Relationships xmlns="http://schemas.openxmlformats.org/package/2006/relationships"><Relationship Id="rId3" Type="http://schemas.openxmlformats.org/officeDocument/2006/relationships/hyperlink" Target="http://www.admkrsk.ru/" TargetMode="External"/><Relationship Id="rId7" Type="http://schemas.openxmlformats.org/officeDocument/2006/relationships/hyperlink" Target="http://files.stroyinf.ru/Data1/1/1877/" TargetMode="External"/><Relationship Id="rId2" Type="http://schemas.openxmlformats.org/officeDocument/2006/relationships/hyperlink" Target="http://ru.wikipedia.org" TargetMode="External"/><Relationship Id="rId1" Type="http://schemas.openxmlformats.org/officeDocument/2006/relationships/hyperlink" Target="http://maps.google.com" TargetMode="External"/><Relationship Id="rId6" Type="http://schemas.openxmlformats.org/officeDocument/2006/relationships/hyperlink" Target="https://r.mail.yandex.net/url/4VqKIKMs36ueH-8sgECEpw,1364989832/elibrary.ru%2Fauthor%5Fitems%2Easp%3Fauthorid%3D289221" TargetMode="External"/><Relationship Id="rId5" Type="http://schemas.openxmlformats.org/officeDocument/2006/relationships/hyperlink" Target="http://www.ridasib.com/" TargetMode="External"/><Relationship Id="rId4" Type="http://schemas.openxmlformats.org/officeDocument/2006/relationships/hyperlink" Target="http://www.krasstat.gks.ru/default.asp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445626-EB0C-4E1E-9958-73AF10625E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32661</Words>
  <Characters>186173</Characters>
  <Application>Microsoft Office Word</Application>
  <DocSecurity>0</DocSecurity>
  <Lines>1551</Lines>
  <Paragraphs>436</Paragraphs>
  <ScaleCrop>false</ScaleCrop>
  <HeadingPairs>
    <vt:vector size="2" baseType="variant">
      <vt:variant>
        <vt:lpstr>Название</vt:lpstr>
      </vt:variant>
      <vt:variant>
        <vt:i4>1</vt:i4>
      </vt:variant>
    </vt:vector>
  </HeadingPairs>
  <TitlesOfParts>
    <vt:vector size="1" baseType="lpstr">
      <vt:lpstr>АОС Золотое правило</vt:lpstr>
    </vt:vector>
  </TitlesOfParts>
  <Company>Hewlett-Packard</Company>
  <LinksUpToDate>false</LinksUpToDate>
  <CharactersWithSpaces>218398</CharactersWithSpaces>
  <SharedDoc>false</SharedDoc>
  <HLinks>
    <vt:vector size="246" baseType="variant">
      <vt:variant>
        <vt:i4>1769565</vt:i4>
      </vt:variant>
      <vt:variant>
        <vt:i4>261</vt:i4>
      </vt:variant>
      <vt:variant>
        <vt:i4>0</vt:i4>
      </vt:variant>
      <vt:variant>
        <vt:i4>5</vt:i4>
      </vt:variant>
      <vt:variant>
        <vt:lpwstr>http://www.agrosap.ru/b/?id=2147</vt:lpwstr>
      </vt:variant>
      <vt:variant>
        <vt:lpwstr/>
      </vt:variant>
      <vt:variant>
        <vt:i4>5242895</vt:i4>
      </vt:variant>
      <vt:variant>
        <vt:i4>258</vt:i4>
      </vt:variant>
      <vt:variant>
        <vt:i4>0</vt:i4>
      </vt:variant>
      <vt:variant>
        <vt:i4>5</vt:i4>
      </vt:variant>
      <vt:variant>
        <vt:lpwstr>http://www.irr.ru/cars/passenger/used/showAdvert,68820350,746,1.html</vt:lpwstr>
      </vt:variant>
      <vt:variant>
        <vt:lpwstr/>
      </vt:variant>
      <vt:variant>
        <vt:i4>5439489</vt:i4>
      </vt:variant>
      <vt:variant>
        <vt:i4>255</vt:i4>
      </vt:variant>
      <vt:variant>
        <vt:i4>0</vt:i4>
      </vt:variant>
      <vt:variant>
        <vt:i4>5</vt:i4>
      </vt:variant>
      <vt:variant>
        <vt:lpwstr>http://www.irr.ru/cars/passenger/used/showAdvert,67711889,746,1.html</vt:lpwstr>
      </vt:variant>
      <vt:variant>
        <vt:lpwstr/>
      </vt:variant>
      <vt:variant>
        <vt:i4>524304</vt:i4>
      </vt:variant>
      <vt:variant>
        <vt:i4>201</vt:i4>
      </vt:variant>
      <vt:variant>
        <vt:i4>0</vt:i4>
      </vt:variant>
      <vt:variant>
        <vt:i4>5</vt:i4>
      </vt:variant>
      <vt:variant>
        <vt:lpwstr>http://www.lj.ivanovo.ru/users/melnikov/27437.html</vt:lpwstr>
      </vt:variant>
      <vt:variant>
        <vt:lpwstr>cutid1</vt:lpwstr>
      </vt:variant>
      <vt:variant>
        <vt:i4>917525</vt:i4>
      </vt:variant>
      <vt:variant>
        <vt:i4>198</vt:i4>
      </vt:variant>
      <vt:variant>
        <vt:i4>0</vt:i4>
      </vt:variant>
      <vt:variant>
        <vt:i4>5</vt:i4>
      </vt:variant>
      <vt:variant>
        <vt:lpwstr>http://www.lj.ivanovo.ru/users/melnikov/25771.html</vt:lpwstr>
      </vt:variant>
      <vt:variant>
        <vt:lpwstr>cutid1</vt:lpwstr>
      </vt:variant>
      <vt:variant>
        <vt:i4>2228318</vt:i4>
      </vt:variant>
      <vt:variant>
        <vt:i4>195</vt:i4>
      </vt:variant>
      <vt:variant>
        <vt:i4>0</vt:i4>
      </vt:variant>
      <vt:variant>
        <vt:i4>5</vt:i4>
      </vt:variant>
      <vt:variant>
        <vt:lpwstr>http://ru.wikipedia.org/wiki/%D0%94%D0%B8%D1%84%D1%84%D0%B5%D1%80%D0%B5%D0%BD%D1%86%D0%B8%D0%B0%D0%BB_%28%D0%B0%D0%B2%D1%82%D0%BE%D0%BC%D0%BE%D0%B1%D0%B8%D0%BB%D1%8C%29</vt:lpwstr>
      </vt:variant>
      <vt:variant>
        <vt:lpwstr/>
      </vt:variant>
      <vt:variant>
        <vt:i4>7274569</vt:i4>
      </vt:variant>
      <vt:variant>
        <vt:i4>192</vt:i4>
      </vt:variant>
      <vt:variant>
        <vt:i4>0</vt:i4>
      </vt:variant>
      <vt:variant>
        <vt:i4>5</vt:i4>
      </vt:variant>
      <vt:variant>
        <vt:lpwstr>http://www.labrate.ru/laws/20070724_fz-220_izmenen_fz-135.htm</vt:lpwstr>
      </vt:variant>
      <vt:variant>
        <vt:lpwstr/>
      </vt:variant>
      <vt:variant>
        <vt:i4>6684750</vt:i4>
      </vt:variant>
      <vt:variant>
        <vt:i4>189</vt:i4>
      </vt:variant>
      <vt:variant>
        <vt:i4>0</vt:i4>
      </vt:variant>
      <vt:variant>
        <vt:i4>5</vt:i4>
      </vt:variant>
      <vt:variant>
        <vt:lpwstr>http://www.labrate.ru/laws/20070713_fz-129_izmenen_fz-135.htm</vt:lpwstr>
      </vt:variant>
      <vt:variant>
        <vt:lpwstr/>
      </vt:variant>
      <vt:variant>
        <vt:i4>4456464</vt:i4>
      </vt:variant>
      <vt:variant>
        <vt:i4>186</vt:i4>
      </vt:variant>
      <vt:variant>
        <vt:i4>0</vt:i4>
      </vt:variant>
      <vt:variant>
        <vt:i4>5</vt:i4>
      </vt:variant>
      <vt:variant>
        <vt:lpwstr>http://www.labrate.ru/laws/20070205_fz-13_property_managment_minatom.htm</vt:lpwstr>
      </vt:variant>
      <vt:variant>
        <vt:lpwstr/>
      </vt:variant>
      <vt:variant>
        <vt:i4>7012428</vt:i4>
      </vt:variant>
      <vt:variant>
        <vt:i4>183</vt:i4>
      </vt:variant>
      <vt:variant>
        <vt:i4>0</vt:i4>
      </vt:variant>
      <vt:variant>
        <vt:i4>5</vt:i4>
      </vt:variant>
      <vt:variant>
        <vt:lpwstr>http://www.labrate.ru/laws/20060727_fz-157_izmenen_fz-135.htm</vt:lpwstr>
      </vt:variant>
      <vt:variant>
        <vt:lpwstr/>
      </vt:variant>
      <vt:variant>
        <vt:i4>4915325</vt:i4>
      </vt:variant>
      <vt:variant>
        <vt:i4>180</vt:i4>
      </vt:variant>
      <vt:variant>
        <vt:i4>0</vt:i4>
      </vt:variant>
      <vt:variant>
        <vt:i4>5</vt:i4>
      </vt:variant>
      <vt:variant>
        <vt:lpwstr>http://www.labrate.ru/laws/20060103_fz-007.htm</vt:lpwstr>
      </vt:variant>
      <vt:variant>
        <vt:lpwstr/>
      </vt:variant>
      <vt:variant>
        <vt:i4>7143500</vt:i4>
      </vt:variant>
      <vt:variant>
        <vt:i4>177</vt:i4>
      </vt:variant>
      <vt:variant>
        <vt:i4>0</vt:i4>
      </vt:variant>
      <vt:variant>
        <vt:i4>5</vt:i4>
      </vt:variant>
      <vt:variant>
        <vt:lpwstr>http://www.labrate.ru/laws/20021114_fz-143_izmenen_fz-135.htm</vt:lpwstr>
      </vt:variant>
      <vt:variant>
        <vt:lpwstr/>
      </vt:variant>
      <vt:variant>
        <vt:i4>1769522</vt:i4>
      </vt:variant>
      <vt:variant>
        <vt:i4>170</vt:i4>
      </vt:variant>
      <vt:variant>
        <vt:i4>0</vt:i4>
      </vt:variant>
      <vt:variant>
        <vt:i4>5</vt:i4>
      </vt:variant>
      <vt:variant>
        <vt:lpwstr/>
      </vt:variant>
      <vt:variant>
        <vt:lpwstr>_Toc200194991</vt:lpwstr>
      </vt:variant>
      <vt:variant>
        <vt:i4>1769522</vt:i4>
      </vt:variant>
      <vt:variant>
        <vt:i4>164</vt:i4>
      </vt:variant>
      <vt:variant>
        <vt:i4>0</vt:i4>
      </vt:variant>
      <vt:variant>
        <vt:i4>5</vt:i4>
      </vt:variant>
      <vt:variant>
        <vt:lpwstr/>
      </vt:variant>
      <vt:variant>
        <vt:lpwstr>_Toc200194990</vt:lpwstr>
      </vt:variant>
      <vt:variant>
        <vt:i4>1703986</vt:i4>
      </vt:variant>
      <vt:variant>
        <vt:i4>158</vt:i4>
      </vt:variant>
      <vt:variant>
        <vt:i4>0</vt:i4>
      </vt:variant>
      <vt:variant>
        <vt:i4>5</vt:i4>
      </vt:variant>
      <vt:variant>
        <vt:lpwstr/>
      </vt:variant>
      <vt:variant>
        <vt:lpwstr>_Toc200194987</vt:lpwstr>
      </vt:variant>
      <vt:variant>
        <vt:i4>1703986</vt:i4>
      </vt:variant>
      <vt:variant>
        <vt:i4>152</vt:i4>
      </vt:variant>
      <vt:variant>
        <vt:i4>0</vt:i4>
      </vt:variant>
      <vt:variant>
        <vt:i4>5</vt:i4>
      </vt:variant>
      <vt:variant>
        <vt:lpwstr/>
      </vt:variant>
      <vt:variant>
        <vt:lpwstr>_Toc200194985</vt:lpwstr>
      </vt:variant>
      <vt:variant>
        <vt:i4>1703986</vt:i4>
      </vt:variant>
      <vt:variant>
        <vt:i4>146</vt:i4>
      </vt:variant>
      <vt:variant>
        <vt:i4>0</vt:i4>
      </vt:variant>
      <vt:variant>
        <vt:i4>5</vt:i4>
      </vt:variant>
      <vt:variant>
        <vt:lpwstr/>
      </vt:variant>
      <vt:variant>
        <vt:lpwstr>_Toc200194984</vt:lpwstr>
      </vt:variant>
      <vt:variant>
        <vt:i4>1703986</vt:i4>
      </vt:variant>
      <vt:variant>
        <vt:i4>140</vt:i4>
      </vt:variant>
      <vt:variant>
        <vt:i4>0</vt:i4>
      </vt:variant>
      <vt:variant>
        <vt:i4>5</vt:i4>
      </vt:variant>
      <vt:variant>
        <vt:lpwstr/>
      </vt:variant>
      <vt:variant>
        <vt:lpwstr>_Toc200194983</vt:lpwstr>
      </vt:variant>
      <vt:variant>
        <vt:i4>1703986</vt:i4>
      </vt:variant>
      <vt:variant>
        <vt:i4>134</vt:i4>
      </vt:variant>
      <vt:variant>
        <vt:i4>0</vt:i4>
      </vt:variant>
      <vt:variant>
        <vt:i4>5</vt:i4>
      </vt:variant>
      <vt:variant>
        <vt:lpwstr/>
      </vt:variant>
      <vt:variant>
        <vt:lpwstr>_Toc200194982</vt:lpwstr>
      </vt:variant>
      <vt:variant>
        <vt:i4>1703986</vt:i4>
      </vt:variant>
      <vt:variant>
        <vt:i4>128</vt:i4>
      </vt:variant>
      <vt:variant>
        <vt:i4>0</vt:i4>
      </vt:variant>
      <vt:variant>
        <vt:i4>5</vt:i4>
      </vt:variant>
      <vt:variant>
        <vt:lpwstr/>
      </vt:variant>
      <vt:variant>
        <vt:lpwstr>_Toc200194981</vt:lpwstr>
      </vt:variant>
      <vt:variant>
        <vt:i4>1703986</vt:i4>
      </vt:variant>
      <vt:variant>
        <vt:i4>122</vt:i4>
      </vt:variant>
      <vt:variant>
        <vt:i4>0</vt:i4>
      </vt:variant>
      <vt:variant>
        <vt:i4>5</vt:i4>
      </vt:variant>
      <vt:variant>
        <vt:lpwstr/>
      </vt:variant>
      <vt:variant>
        <vt:lpwstr>_Toc200194980</vt:lpwstr>
      </vt:variant>
      <vt:variant>
        <vt:i4>1376306</vt:i4>
      </vt:variant>
      <vt:variant>
        <vt:i4>116</vt:i4>
      </vt:variant>
      <vt:variant>
        <vt:i4>0</vt:i4>
      </vt:variant>
      <vt:variant>
        <vt:i4>5</vt:i4>
      </vt:variant>
      <vt:variant>
        <vt:lpwstr/>
      </vt:variant>
      <vt:variant>
        <vt:lpwstr>_Toc200194977</vt:lpwstr>
      </vt:variant>
      <vt:variant>
        <vt:i4>1310770</vt:i4>
      </vt:variant>
      <vt:variant>
        <vt:i4>110</vt:i4>
      </vt:variant>
      <vt:variant>
        <vt:i4>0</vt:i4>
      </vt:variant>
      <vt:variant>
        <vt:i4>5</vt:i4>
      </vt:variant>
      <vt:variant>
        <vt:lpwstr/>
      </vt:variant>
      <vt:variant>
        <vt:lpwstr>_Toc200194967</vt:lpwstr>
      </vt:variant>
      <vt:variant>
        <vt:i4>1310770</vt:i4>
      </vt:variant>
      <vt:variant>
        <vt:i4>104</vt:i4>
      </vt:variant>
      <vt:variant>
        <vt:i4>0</vt:i4>
      </vt:variant>
      <vt:variant>
        <vt:i4>5</vt:i4>
      </vt:variant>
      <vt:variant>
        <vt:lpwstr/>
      </vt:variant>
      <vt:variant>
        <vt:lpwstr>_Toc200194966</vt:lpwstr>
      </vt:variant>
      <vt:variant>
        <vt:i4>1310770</vt:i4>
      </vt:variant>
      <vt:variant>
        <vt:i4>98</vt:i4>
      </vt:variant>
      <vt:variant>
        <vt:i4>0</vt:i4>
      </vt:variant>
      <vt:variant>
        <vt:i4>5</vt:i4>
      </vt:variant>
      <vt:variant>
        <vt:lpwstr/>
      </vt:variant>
      <vt:variant>
        <vt:lpwstr>_Toc200194965</vt:lpwstr>
      </vt:variant>
      <vt:variant>
        <vt:i4>1310770</vt:i4>
      </vt:variant>
      <vt:variant>
        <vt:i4>92</vt:i4>
      </vt:variant>
      <vt:variant>
        <vt:i4>0</vt:i4>
      </vt:variant>
      <vt:variant>
        <vt:i4>5</vt:i4>
      </vt:variant>
      <vt:variant>
        <vt:lpwstr/>
      </vt:variant>
      <vt:variant>
        <vt:lpwstr>_Toc200194964</vt:lpwstr>
      </vt:variant>
      <vt:variant>
        <vt:i4>1310770</vt:i4>
      </vt:variant>
      <vt:variant>
        <vt:i4>86</vt:i4>
      </vt:variant>
      <vt:variant>
        <vt:i4>0</vt:i4>
      </vt:variant>
      <vt:variant>
        <vt:i4>5</vt:i4>
      </vt:variant>
      <vt:variant>
        <vt:lpwstr/>
      </vt:variant>
      <vt:variant>
        <vt:lpwstr>_Toc200194961</vt:lpwstr>
      </vt:variant>
      <vt:variant>
        <vt:i4>1507378</vt:i4>
      </vt:variant>
      <vt:variant>
        <vt:i4>80</vt:i4>
      </vt:variant>
      <vt:variant>
        <vt:i4>0</vt:i4>
      </vt:variant>
      <vt:variant>
        <vt:i4>5</vt:i4>
      </vt:variant>
      <vt:variant>
        <vt:lpwstr/>
      </vt:variant>
      <vt:variant>
        <vt:lpwstr>_Toc200194958</vt:lpwstr>
      </vt:variant>
      <vt:variant>
        <vt:i4>1507378</vt:i4>
      </vt:variant>
      <vt:variant>
        <vt:i4>74</vt:i4>
      </vt:variant>
      <vt:variant>
        <vt:i4>0</vt:i4>
      </vt:variant>
      <vt:variant>
        <vt:i4>5</vt:i4>
      </vt:variant>
      <vt:variant>
        <vt:lpwstr/>
      </vt:variant>
      <vt:variant>
        <vt:lpwstr>_Toc200194953</vt:lpwstr>
      </vt:variant>
      <vt:variant>
        <vt:i4>1507378</vt:i4>
      </vt:variant>
      <vt:variant>
        <vt:i4>68</vt:i4>
      </vt:variant>
      <vt:variant>
        <vt:i4>0</vt:i4>
      </vt:variant>
      <vt:variant>
        <vt:i4>5</vt:i4>
      </vt:variant>
      <vt:variant>
        <vt:lpwstr/>
      </vt:variant>
      <vt:variant>
        <vt:lpwstr>_Toc200194952</vt:lpwstr>
      </vt:variant>
      <vt:variant>
        <vt:i4>1507378</vt:i4>
      </vt:variant>
      <vt:variant>
        <vt:i4>62</vt:i4>
      </vt:variant>
      <vt:variant>
        <vt:i4>0</vt:i4>
      </vt:variant>
      <vt:variant>
        <vt:i4>5</vt:i4>
      </vt:variant>
      <vt:variant>
        <vt:lpwstr/>
      </vt:variant>
      <vt:variant>
        <vt:lpwstr>_Toc200194951</vt:lpwstr>
      </vt:variant>
      <vt:variant>
        <vt:i4>1507378</vt:i4>
      </vt:variant>
      <vt:variant>
        <vt:i4>56</vt:i4>
      </vt:variant>
      <vt:variant>
        <vt:i4>0</vt:i4>
      </vt:variant>
      <vt:variant>
        <vt:i4>5</vt:i4>
      </vt:variant>
      <vt:variant>
        <vt:lpwstr/>
      </vt:variant>
      <vt:variant>
        <vt:lpwstr>_Toc200194950</vt:lpwstr>
      </vt:variant>
      <vt:variant>
        <vt:i4>1441842</vt:i4>
      </vt:variant>
      <vt:variant>
        <vt:i4>50</vt:i4>
      </vt:variant>
      <vt:variant>
        <vt:i4>0</vt:i4>
      </vt:variant>
      <vt:variant>
        <vt:i4>5</vt:i4>
      </vt:variant>
      <vt:variant>
        <vt:lpwstr/>
      </vt:variant>
      <vt:variant>
        <vt:lpwstr>_Toc200194949</vt:lpwstr>
      </vt:variant>
      <vt:variant>
        <vt:i4>1441842</vt:i4>
      </vt:variant>
      <vt:variant>
        <vt:i4>44</vt:i4>
      </vt:variant>
      <vt:variant>
        <vt:i4>0</vt:i4>
      </vt:variant>
      <vt:variant>
        <vt:i4>5</vt:i4>
      </vt:variant>
      <vt:variant>
        <vt:lpwstr/>
      </vt:variant>
      <vt:variant>
        <vt:lpwstr>_Toc200194948</vt:lpwstr>
      </vt:variant>
      <vt:variant>
        <vt:i4>1441842</vt:i4>
      </vt:variant>
      <vt:variant>
        <vt:i4>38</vt:i4>
      </vt:variant>
      <vt:variant>
        <vt:i4>0</vt:i4>
      </vt:variant>
      <vt:variant>
        <vt:i4>5</vt:i4>
      </vt:variant>
      <vt:variant>
        <vt:lpwstr/>
      </vt:variant>
      <vt:variant>
        <vt:lpwstr>_Toc200194947</vt:lpwstr>
      </vt:variant>
      <vt:variant>
        <vt:i4>1441842</vt:i4>
      </vt:variant>
      <vt:variant>
        <vt:i4>32</vt:i4>
      </vt:variant>
      <vt:variant>
        <vt:i4>0</vt:i4>
      </vt:variant>
      <vt:variant>
        <vt:i4>5</vt:i4>
      </vt:variant>
      <vt:variant>
        <vt:lpwstr/>
      </vt:variant>
      <vt:variant>
        <vt:lpwstr>_Toc200194946</vt:lpwstr>
      </vt:variant>
      <vt:variant>
        <vt:i4>1441842</vt:i4>
      </vt:variant>
      <vt:variant>
        <vt:i4>26</vt:i4>
      </vt:variant>
      <vt:variant>
        <vt:i4>0</vt:i4>
      </vt:variant>
      <vt:variant>
        <vt:i4>5</vt:i4>
      </vt:variant>
      <vt:variant>
        <vt:lpwstr/>
      </vt:variant>
      <vt:variant>
        <vt:lpwstr>_Toc200194945</vt:lpwstr>
      </vt:variant>
      <vt:variant>
        <vt:i4>1441842</vt:i4>
      </vt:variant>
      <vt:variant>
        <vt:i4>20</vt:i4>
      </vt:variant>
      <vt:variant>
        <vt:i4>0</vt:i4>
      </vt:variant>
      <vt:variant>
        <vt:i4>5</vt:i4>
      </vt:variant>
      <vt:variant>
        <vt:lpwstr/>
      </vt:variant>
      <vt:variant>
        <vt:lpwstr>_Toc200194942</vt:lpwstr>
      </vt:variant>
      <vt:variant>
        <vt:i4>1114162</vt:i4>
      </vt:variant>
      <vt:variant>
        <vt:i4>14</vt:i4>
      </vt:variant>
      <vt:variant>
        <vt:i4>0</vt:i4>
      </vt:variant>
      <vt:variant>
        <vt:i4>5</vt:i4>
      </vt:variant>
      <vt:variant>
        <vt:lpwstr/>
      </vt:variant>
      <vt:variant>
        <vt:lpwstr>_Toc200194939</vt:lpwstr>
      </vt:variant>
      <vt:variant>
        <vt:i4>1114162</vt:i4>
      </vt:variant>
      <vt:variant>
        <vt:i4>8</vt:i4>
      </vt:variant>
      <vt:variant>
        <vt:i4>0</vt:i4>
      </vt:variant>
      <vt:variant>
        <vt:i4>5</vt:i4>
      </vt:variant>
      <vt:variant>
        <vt:lpwstr/>
      </vt:variant>
      <vt:variant>
        <vt:lpwstr>_Toc200194938</vt:lpwstr>
      </vt:variant>
      <vt:variant>
        <vt:i4>1114162</vt:i4>
      </vt:variant>
      <vt:variant>
        <vt:i4>2</vt:i4>
      </vt:variant>
      <vt:variant>
        <vt:i4>0</vt:i4>
      </vt:variant>
      <vt:variant>
        <vt:i4>5</vt:i4>
      </vt:variant>
      <vt:variant>
        <vt:lpwstr/>
      </vt:variant>
      <vt:variant>
        <vt:lpwstr>_Toc200194937</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АОС Золотое правило</dc:title>
  <dc:creator>789725</dc:creator>
  <cp:lastModifiedBy>малышев</cp:lastModifiedBy>
  <cp:revision>3</cp:revision>
  <cp:lastPrinted>2016-09-16T06:58:00Z</cp:lastPrinted>
  <dcterms:created xsi:type="dcterms:W3CDTF">2016-12-19T16:18:00Z</dcterms:created>
  <dcterms:modified xsi:type="dcterms:W3CDTF">2016-12-19T16:18:00Z</dcterms:modified>
</cp:coreProperties>
</file>