
<file path=[Content_Types].xml><?xml version="1.0" encoding="utf-8"?>
<Types xmlns="http://schemas.openxmlformats.org/package/2006/content-types">
  <Default Extension="tmp"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49D" w:rsidRPr="00EC349D" w:rsidRDefault="0041217C" w:rsidP="00EC349D">
      <w:pPr>
        <w:spacing w:after="200" w:line="276" w:lineRule="auto"/>
        <w:rPr>
          <w:rFonts w:ascii="Calibri" w:hAnsi="Calibri"/>
          <w:sz w:val="22"/>
          <w:szCs w:val="22"/>
        </w:rPr>
      </w:pPr>
      <w:r>
        <w:rPr>
          <w:rFonts w:ascii="Calibri" w:hAnsi="Calibri"/>
          <w:noProof/>
          <w:sz w:val="22"/>
          <w:szCs w:val="22"/>
        </w:rPr>
        <mc:AlternateContent>
          <mc:Choice Requires="wpg">
            <w:drawing>
              <wp:anchor distT="0" distB="0" distL="114300" distR="114300" simplePos="0" relativeHeight="251677184" behindDoc="0" locked="0" layoutInCell="0" allowOverlap="1" wp14:anchorId="2349FB0F" wp14:editId="68312E23">
                <wp:simplePos x="0" y="0"/>
                <wp:positionH relativeFrom="page">
                  <wp:posOffset>189230</wp:posOffset>
                </wp:positionH>
                <wp:positionV relativeFrom="page">
                  <wp:posOffset>244278</wp:posOffset>
                </wp:positionV>
                <wp:extent cx="7375499" cy="10134600"/>
                <wp:effectExtent l="0" t="0" r="17780" b="13970"/>
                <wp:wrapNone/>
                <wp:docPr id="47"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5499" cy="10134600"/>
                          <a:chOff x="316" y="406"/>
                          <a:chExt cx="11958" cy="15028"/>
                        </a:xfrm>
                      </wpg:grpSpPr>
                      <wpg:grpSp>
                        <wpg:cNvPr id="48" name="Group 185"/>
                        <wpg:cNvGrpSpPr>
                          <a:grpSpLocks/>
                        </wpg:cNvGrpSpPr>
                        <wpg:grpSpPr bwMode="auto">
                          <a:xfrm>
                            <a:off x="316" y="406"/>
                            <a:ext cx="11958" cy="15028"/>
                            <a:chOff x="321" y="406"/>
                            <a:chExt cx="11950" cy="15025"/>
                          </a:xfrm>
                        </wpg:grpSpPr>
                        <wps:wsp>
                          <wps:cNvPr id="49" name="Rectangle 186" descr="Zig zag"/>
                          <wps:cNvSpPr>
                            <a:spLocks noChangeArrowheads="1"/>
                          </wps:cNvSpPr>
                          <wps:spPr bwMode="auto">
                            <a:xfrm>
                              <a:off x="339" y="406"/>
                              <a:ext cx="11582" cy="15025"/>
                            </a:xfrm>
                            <a:prstGeom prst="rect">
                              <a:avLst/>
                            </a:prstGeom>
                            <a:pattFill prst="zigZag">
                              <a:fgClr>
                                <a:srgbClr val="8C8C8C"/>
                              </a:fgClr>
                              <a:bgClr>
                                <a:srgbClr val="BFBFBF"/>
                              </a:bgClr>
                            </a:patt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0" name="Rectangle 187"/>
                          <wps:cNvSpPr>
                            <a:spLocks noChangeArrowheads="1"/>
                          </wps:cNvSpPr>
                          <wps:spPr bwMode="auto">
                            <a:xfrm>
                              <a:off x="3446" y="406"/>
                              <a:ext cx="8825" cy="15025"/>
                            </a:xfrm>
                            <a:prstGeom prst="rect">
                              <a:avLst/>
                            </a:prstGeom>
                            <a:solidFill>
                              <a:srgbClr val="737373"/>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192166" w:rsidRPr="009B7391" w:rsidRDefault="00192166" w:rsidP="00EC349D">
                                <w:pPr>
                                  <w:spacing w:before="120" w:after="120"/>
                                  <w:ind w:left="4248"/>
                                  <w:jc w:val="right"/>
                                  <w:rPr>
                                    <w:rFonts w:ascii="Bookman Old Style" w:hAnsi="Bookman Old Style"/>
                                    <w:color w:val="FFFFFF"/>
                                    <w:sz w:val="20"/>
                                    <w:szCs w:val="20"/>
                                  </w:rPr>
                                </w:pPr>
                                <w:r w:rsidRPr="009B7391">
                                  <w:rPr>
                                    <w:rFonts w:ascii="Bookman Old Style" w:hAnsi="Bookman Old Style"/>
                                    <w:color w:val="FFFFFF"/>
                                    <w:sz w:val="20"/>
                                    <w:szCs w:val="20"/>
                                  </w:rPr>
                                  <w:t>«УТВЕРЖДАЮ»</w:t>
                                </w:r>
                              </w:p>
                              <w:p w:rsidR="00192166" w:rsidRPr="009B7391" w:rsidRDefault="00192166"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Генеральный директор</w:t>
                                </w:r>
                              </w:p>
                              <w:p w:rsidR="00192166" w:rsidRPr="009B7391" w:rsidRDefault="00192166"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192166" w:rsidRPr="009B7391" w:rsidRDefault="00192166" w:rsidP="00EC349D">
                                <w:pPr>
                                  <w:spacing w:before="120" w:after="120"/>
                                  <w:jc w:val="right"/>
                                  <w:rPr>
                                    <w:rFonts w:ascii="Bookman Old Style" w:hAnsi="Bookman Old Style"/>
                                    <w:color w:val="FFFFFF"/>
                                    <w:sz w:val="20"/>
                                    <w:szCs w:val="20"/>
                                  </w:rPr>
                                </w:pPr>
                              </w:p>
                              <w:p w:rsidR="00192166" w:rsidRPr="009B7391" w:rsidRDefault="00192166" w:rsidP="00EC349D">
                                <w:pPr>
                                  <w:pStyle w:val="aff7"/>
                                  <w:ind w:left="4956"/>
                                  <w:rPr>
                                    <w:color w:val="FFFFFF"/>
                                  </w:rPr>
                                </w:pPr>
                                <w:r>
                                  <w:rPr>
                                    <w:rFonts w:ascii="Bookman Old Style" w:hAnsi="Bookman Old Style"/>
                                    <w:color w:val="FFFFFF"/>
                                    <w:sz w:val="20"/>
                                    <w:szCs w:val="20"/>
                                  </w:rPr>
                                  <w:t xml:space="preserve">          О.С. Золотарев</w:t>
                                </w:r>
                              </w:p>
                              <w:p w:rsidR="00192166" w:rsidRDefault="00192166" w:rsidP="00EC349D">
                                <w:pPr>
                                  <w:pStyle w:val="aff7"/>
                                  <w:rPr>
                                    <w:rFonts w:ascii="Bookman Old Style" w:hAnsi="Bookman Old Style"/>
                                    <w:color w:val="FFFFFF"/>
                                    <w:sz w:val="72"/>
                                    <w:szCs w:val="72"/>
                                  </w:rPr>
                                </w:pPr>
                              </w:p>
                              <w:p w:rsidR="00192166" w:rsidRDefault="00192166" w:rsidP="00EC349D">
                                <w:pPr>
                                  <w:pStyle w:val="aff7"/>
                                  <w:rPr>
                                    <w:rFonts w:ascii="Bookman Old Style" w:hAnsi="Bookman Old Style"/>
                                    <w:color w:val="FFFFFF"/>
                                  </w:rPr>
                                </w:pPr>
                              </w:p>
                              <w:p w:rsidR="00192166" w:rsidRDefault="00192166" w:rsidP="00EC349D">
                                <w:pPr>
                                  <w:pStyle w:val="aff7"/>
                                  <w:rPr>
                                    <w:rFonts w:ascii="Bookman Old Style" w:hAnsi="Bookman Old Style"/>
                                    <w:color w:val="FFFFFF"/>
                                    <w:sz w:val="68"/>
                                    <w:szCs w:val="68"/>
                                  </w:rPr>
                                </w:pPr>
                              </w:p>
                              <w:p w:rsidR="00192166" w:rsidRPr="00750A21" w:rsidRDefault="00192166" w:rsidP="00EC349D">
                                <w:pPr>
                                  <w:pStyle w:val="aff7"/>
                                  <w:spacing w:before="120" w:after="120"/>
                                  <w:rPr>
                                    <w:rFonts w:ascii="Bookman Old Style" w:hAnsi="Bookman Old Style"/>
                                    <w:color w:val="FFFFFF"/>
                                    <w:sz w:val="68"/>
                                    <w:szCs w:val="68"/>
                                  </w:rPr>
                                </w:pPr>
                                <w:r>
                                  <w:rPr>
                                    <w:rFonts w:ascii="Bookman Old Style" w:hAnsi="Bookman Old Style"/>
                                    <w:color w:val="FFFFFF"/>
                                    <w:sz w:val="68"/>
                                    <w:szCs w:val="68"/>
                                  </w:rPr>
                                  <w:t>Отчет № 312/08</w:t>
                                </w:r>
                                <w:r w:rsidRPr="008B0968">
                                  <w:rPr>
                                    <w:rFonts w:ascii="Bookman Old Style" w:hAnsi="Bookman Old Style"/>
                                    <w:color w:val="FFFFFF"/>
                                    <w:sz w:val="68"/>
                                    <w:szCs w:val="68"/>
                                  </w:rPr>
                                  <w:t>-1</w:t>
                                </w:r>
                                <w:r>
                                  <w:rPr>
                                    <w:rFonts w:ascii="Bookman Old Style" w:hAnsi="Bookman Old Style"/>
                                    <w:color w:val="FFFFFF"/>
                                    <w:sz w:val="68"/>
                                    <w:szCs w:val="68"/>
                                  </w:rPr>
                                  <w:t>6</w:t>
                                </w:r>
                                <w:r w:rsidRPr="00750A21">
                                  <w:rPr>
                                    <w:rFonts w:ascii="Bookman Old Style" w:hAnsi="Bookman Old Style"/>
                                    <w:color w:val="FFFFFF"/>
                                    <w:sz w:val="68"/>
                                    <w:szCs w:val="68"/>
                                  </w:rPr>
                                  <w:t xml:space="preserve">     </w:t>
                                </w:r>
                              </w:p>
                              <w:p w:rsidR="00192166" w:rsidRDefault="00192166" w:rsidP="00EC349D">
                                <w:pPr>
                                  <w:pStyle w:val="aff7"/>
                                  <w:spacing w:before="120" w:after="120"/>
                                  <w:rPr>
                                    <w:rFonts w:ascii="Bookman Old Style" w:hAnsi="Bookman Old Style"/>
                                    <w:color w:val="FFFFFF"/>
                                    <w:sz w:val="24"/>
                                    <w:szCs w:val="24"/>
                                  </w:rPr>
                                </w:pPr>
                                <w:r w:rsidRPr="006F2308">
                                  <w:rPr>
                                    <w:rFonts w:ascii="Bookman Old Style" w:hAnsi="Bookman Old Style"/>
                                    <w:color w:val="FFFFFF"/>
                                    <w:sz w:val="24"/>
                                    <w:szCs w:val="24"/>
                                  </w:rPr>
                                  <w:t>Об оценке рыночной стоимости</w:t>
                                </w:r>
                                <w:r>
                                  <w:rPr>
                                    <w:rFonts w:ascii="Bookman Old Style" w:hAnsi="Bookman Old Style"/>
                                    <w:color w:val="FFFFFF"/>
                                    <w:sz w:val="24"/>
                                    <w:szCs w:val="24"/>
                                  </w:rPr>
                                  <w:t xml:space="preserve"> Объекта оценки</w:t>
                                </w:r>
                              </w:p>
                              <w:p w:rsidR="00192166" w:rsidRPr="000A4482" w:rsidRDefault="00192166" w:rsidP="000A4482">
                                <w:pPr>
                                  <w:spacing w:before="120" w:after="120"/>
                                  <w:rPr>
                                    <w:rFonts w:ascii="Bookman Old Style" w:hAnsi="Bookman Old Style"/>
                                    <w:color w:val="FFFFFF" w:themeColor="background1"/>
                                    <w:sz w:val="24"/>
                                    <w:szCs w:val="24"/>
                                  </w:rPr>
                                </w:pPr>
                                <w:r w:rsidRPr="000A4482">
                                  <w:rPr>
                                    <w:rFonts w:ascii="Bookman Old Style" w:hAnsi="Bookman Old Style"/>
                                    <w:color w:val="FFFFFF" w:themeColor="background1"/>
                                    <w:sz w:val="24"/>
                                    <w:szCs w:val="24"/>
                                  </w:rPr>
                                  <w:t xml:space="preserve">Объект оценки: </w:t>
                                </w:r>
                              </w:p>
                              <w:p w:rsidR="00192166" w:rsidRPr="000A4482" w:rsidRDefault="00192166" w:rsidP="005F04AC">
                                <w:pPr>
                                  <w:numPr>
                                    <w:ilvl w:val="0"/>
                                    <w:numId w:val="49"/>
                                  </w:numPr>
                                  <w:spacing w:before="120" w:after="120"/>
                                  <w:rPr>
                                    <w:rFonts w:ascii="Bookman Old Style" w:hAnsi="Bookman Old Style"/>
                                    <w:color w:val="FFFFFF" w:themeColor="background1"/>
                                    <w:sz w:val="24"/>
                                    <w:szCs w:val="24"/>
                                  </w:rPr>
                                </w:pPr>
                                <w:r w:rsidRPr="005F178F">
                                  <w:rPr>
                                    <w:rFonts w:ascii="Bookman Old Style" w:hAnsi="Bookman Old Style"/>
                                    <w:color w:val="FFFFFF" w:themeColor="background1"/>
                                    <w:sz w:val="24"/>
                                    <w:szCs w:val="24"/>
                                  </w:rPr>
                                  <w:t>Недвижимое и движимое имуществ</w:t>
                                </w:r>
                                <w:proofErr w:type="gramStart"/>
                                <w:r w:rsidRPr="005F178F">
                                  <w:rPr>
                                    <w:rFonts w:ascii="Bookman Old Style" w:hAnsi="Bookman Old Style"/>
                                    <w:color w:val="FFFFFF" w:themeColor="background1"/>
                                    <w:sz w:val="24"/>
                                    <w:szCs w:val="24"/>
                                  </w:rPr>
                                  <w:t>о ООО</w:t>
                                </w:r>
                                <w:proofErr w:type="gramEnd"/>
                                <w:r w:rsidRPr="005F178F">
                                  <w:rPr>
                                    <w:rFonts w:ascii="Bookman Old Style" w:hAnsi="Bookman Old Style"/>
                                    <w:color w:val="FFFFFF" w:themeColor="background1"/>
                                    <w:sz w:val="24"/>
                                    <w:szCs w:val="24"/>
                                  </w:rPr>
                                  <w:t xml:space="preserve"> «Окно», находящееся в залоге у АКБ «</w:t>
                                </w:r>
                                <w:proofErr w:type="spellStart"/>
                                <w:r w:rsidRPr="005F178F">
                                  <w:rPr>
                                    <w:rFonts w:ascii="Bookman Old Style" w:hAnsi="Bookman Old Style"/>
                                    <w:color w:val="FFFFFF" w:themeColor="background1"/>
                                    <w:sz w:val="24"/>
                                    <w:szCs w:val="24"/>
                                  </w:rPr>
                                  <w:t>Ланта</w:t>
                                </w:r>
                                <w:proofErr w:type="spellEnd"/>
                                <w:r w:rsidRPr="005F178F">
                                  <w:rPr>
                                    <w:rFonts w:ascii="Bookman Old Style" w:hAnsi="Bookman Old Style"/>
                                    <w:color w:val="FFFFFF" w:themeColor="background1"/>
                                    <w:sz w:val="24"/>
                                    <w:szCs w:val="24"/>
                                  </w:rPr>
                                  <w:t>-Банк»,  предназначенное к реализации путем проведения торгов</w:t>
                                </w:r>
                              </w:p>
                              <w:p w:rsidR="00192166" w:rsidRPr="000A4482" w:rsidRDefault="00192166"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Субъект права: Общество с ограниченной ответственностью «Окно» на праве собственности</w:t>
                                </w:r>
                              </w:p>
                              <w:p w:rsidR="00192166" w:rsidRPr="000A4482" w:rsidRDefault="00192166" w:rsidP="000A4482">
                                <w:pPr>
                                  <w:rPr>
                                    <w:rFonts w:ascii="Bookman Old Style" w:hAnsi="Bookman Old Style"/>
                                    <w:color w:val="FFFFFF"/>
                                    <w:sz w:val="24"/>
                                    <w:szCs w:val="24"/>
                                    <w:lang w:eastAsia="en-US"/>
                                  </w:rPr>
                                </w:pPr>
                              </w:p>
                              <w:p w:rsidR="00192166" w:rsidRPr="000A4482" w:rsidRDefault="00192166"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 xml:space="preserve">Заказчик услуг: Общество с ограниченной ответственностью «Окно» </w:t>
                                </w:r>
                              </w:p>
                              <w:p w:rsidR="00192166" w:rsidRPr="000A4482" w:rsidRDefault="00192166" w:rsidP="000A4482">
                                <w:pPr>
                                  <w:rPr>
                                    <w:rFonts w:ascii="Bookman Old Style" w:hAnsi="Bookman Old Style"/>
                                    <w:color w:val="FFFFFF"/>
                                    <w:sz w:val="24"/>
                                    <w:szCs w:val="24"/>
                                    <w:lang w:eastAsia="en-US"/>
                                  </w:rPr>
                                </w:pPr>
                              </w:p>
                              <w:p w:rsidR="00192166" w:rsidRPr="000A4482" w:rsidRDefault="00192166" w:rsidP="000A4482">
                                <w:pPr>
                                  <w:spacing w:before="120" w:after="120"/>
                                  <w:rPr>
                                    <w:rFonts w:ascii="Bookman Old Style" w:hAnsi="Bookman Old Style"/>
                                    <w:color w:val="FFFFFF"/>
                                    <w:sz w:val="22"/>
                                    <w:szCs w:val="22"/>
                                  </w:rPr>
                                </w:pPr>
                                <w:r w:rsidRPr="000A4482">
                                  <w:rPr>
                                    <w:rFonts w:ascii="Bookman Old Style" w:hAnsi="Bookman Old Style"/>
                                    <w:color w:val="FFFFFF"/>
                                    <w:sz w:val="24"/>
                                    <w:szCs w:val="24"/>
                                    <w:lang w:eastAsia="en-US"/>
                                  </w:rPr>
                                  <w:t>Основание оценки: Договор на проведение оценки          № 09/08-16 от 09 августа 2016 года</w:t>
                                </w:r>
                              </w:p>
                              <w:p w:rsidR="00192166" w:rsidRPr="000A4482" w:rsidRDefault="00192166" w:rsidP="000A4482">
                                <w:pPr>
                                  <w:spacing w:before="120" w:after="120"/>
                                  <w:rPr>
                                    <w:rFonts w:ascii="Bookman Old Style" w:hAnsi="Bookman Old Style"/>
                                    <w:color w:val="FFFFFF"/>
                                    <w:sz w:val="22"/>
                                    <w:szCs w:val="22"/>
                                  </w:rPr>
                                </w:pPr>
                              </w:p>
                              <w:p w:rsidR="00192166" w:rsidRPr="000A4482" w:rsidRDefault="00192166" w:rsidP="000A4482">
                                <w:pPr>
                                  <w:rPr>
                                    <w:rFonts w:ascii="Bookman Old Style" w:hAnsi="Bookman Old Style"/>
                                    <w:color w:val="FFFFFF" w:themeColor="background1"/>
                                    <w:sz w:val="22"/>
                                    <w:szCs w:val="22"/>
                                  </w:rPr>
                                </w:pPr>
                                <w:r w:rsidRPr="000A4482">
                                  <w:rPr>
                                    <w:rFonts w:ascii="Bookman Old Style" w:hAnsi="Bookman Old Style"/>
                                    <w:color w:val="FFFFFF" w:themeColor="background1"/>
                                    <w:sz w:val="22"/>
                                    <w:szCs w:val="22"/>
                                  </w:rPr>
                                  <w:t>Дата оценки: 26 августа 2016 года</w:t>
                                </w:r>
                              </w:p>
                              <w:p w:rsidR="00192166" w:rsidRPr="000A4482" w:rsidRDefault="00192166" w:rsidP="000A4482">
                                <w:pPr>
                                  <w:rPr>
                                    <w:rFonts w:ascii="Bookman Old Style" w:hAnsi="Bookman Old Style"/>
                                    <w:color w:val="FFFFFF" w:themeColor="background1"/>
                                    <w:sz w:val="22"/>
                                    <w:szCs w:val="22"/>
                                  </w:rPr>
                                </w:pPr>
                              </w:p>
                              <w:p w:rsidR="00192166" w:rsidRPr="00C35D86" w:rsidRDefault="00192166" w:rsidP="000A4482">
                                <w:pPr>
                                  <w:rPr>
                                    <w:rFonts w:ascii="Bookman Old Style" w:hAnsi="Bookman Old Style"/>
                                    <w:color w:val="FFFFFF" w:themeColor="background1"/>
                                    <w:sz w:val="24"/>
                                    <w:szCs w:val="24"/>
                                  </w:rPr>
                                </w:pPr>
                                <w:r w:rsidRPr="000A4482">
                                  <w:rPr>
                                    <w:rFonts w:ascii="Bookman Old Style" w:hAnsi="Bookman Old Style"/>
                                    <w:color w:val="FFFFFF" w:themeColor="background1"/>
                                    <w:sz w:val="22"/>
                                    <w:szCs w:val="22"/>
                                  </w:rPr>
                                  <w:t>Дата составления отчета: 31 августа 2016 года</w:t>
                                </w:r>
                              </w:p>
                              <w:p w:rsidR="00192166" w:rsidRPr="00EC349D" w:rsidRDefault="00192166" w:rsidP="00EC349D"/>
                              <w:p w:rsidR="00192166" w:rsidRDefault="00192166" w:rsidP="00EC349D"/>
                              <w:p w:rsidR="00192166" w:rsidRDefault="00192166" w:rsidP="00EC349D"/>
                              <w:p w:rsidR="00192166" w:rsidRDefault="00192166" w:rsidP="00EC349D"/>
                              <w:p w:rsidR="00192166" w:rsidRDefault="00192166" w:rsidP="00EC349D"/>
                              <w:p w:rsidR="00192166" w:rsidRDefault="00192166" w:rsidP="00EC349D"/>
                              <w:p w:rsidR="00192166" w:rsidRDefault="00192166" w:rsidP="00EC349D"/>
                            </w:txbxContent>
                          </wps:txbx>
                          <wps:bodyPr rot="0" vert="horz" wrap="square" lIns="228600" tIns="1371600" rIns="457200" bIns="45720" anchor="t" anchorCtr="0" upright="1">
                            <a:noAutofit/>
                          </wps:bodyPr>
                        </wps:wsp>
                        <wpg:grpSp>
                          <wpg:cNvPr id="51" name="Group 188"/>
                          <wpg:cNvGrpSpPr>
                            <a:grpSpLocks/>
                          </wpg:cNvGrpSpPr>
                          <wpg:grpSpPr bwMode="auto">
                            <a:xfrm>
                              <a:off x="321" y="3424"/>
                              <a:ext cx="3125" cy="6069"/>
                              <a:chOff x="654" y="3599"/>
                              <a:chExt cx="2880" cy="5760"/>
                            </a:xfrm>
                          </wpg:grpSpPr>
                          <wps:wsp>
                            <wps:cNvPr id="52" name="Rectangle 189"/>
                            <wps:cNvSpPr>
                              <a:spLocks noChangeArrowheads="1"/>
                            </wps:cNvSpPr>
                            <wps:spPr bwMode="auto">
                              <a:xfrm flipH="1">
                                <a:off x="2094" y="6479"/>
                                <a:ext cx="1440" cy="1440"/>
                              </a:xfrm>
                              <a:prstGeom prst="rect">
                                <a:avLst/>
                              </a:prstGeom>
                              <a:solidFill>
                                <a:srgbClr val="A7BFDE">
                                  <a:alpha val="8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3" name="Rectangle 190"/>
                            <wps:cNvSpPr>
                              <a:spLocks noChangeArrowheads="1"/>
                            </wps:cNvSpPr>
                            <wps:spPr bwMode="auto">
                              <a:xfrm flipH="1">
                                <a:off x="2094" y="503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4" name="Rectangle 191"/>
                            <wps:cNvSpPr>
                              <a:spLocks noChangeArrowheads="1"/>
                            </wps:cNvSpPr>
                            <wps:spPr bwMode="auto">
                              <a:xfrm flipH="1">
                                <a:off x="654" y="5039"/>
                                <a:ext cx="1440" cy="1440"/>
                              </a:xfrm>
                              <a:prstGeom prst="rect">
                                <a:avLst/>
                              </a:prstGeom>
                              <a:solidFill>
                                <a:srgbClr val="A7BFDE">
                                  <a:alpha val="8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5" name="Rectangle 192"/>
                            <wps:cNvSpPr>
                              <a:spLocks noChangeArrowheads="1"/>
                            </wps:cNvSpPr>
                            <wps:spPr bwMode="auto">
                              <a:xfrm flipH="1">
                                <a:off x="654" y="359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6" name="Rectangle 193"/>
                            <wps:cNvSpPr>
                              <a:spLocks noChangeArrowheads="1"/>
                            </wps:cNvSpPr>
                            <wps:spPr bwMode="auto">
                              <a:xfrm flipH="1">
                                <a:off x="654" y="647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7" name="Rectangle 194"/>
                            <wps:cNvSpPr>
                              <a:spLocks noChangeArrowheads="1"/>
                            </wps:cNvSpPr>
                            <wps:spPr bwMode="auto">
                              <a:xfrm flipH="1">
                                <a:off x="2094" y="791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58" name="Rectangle 195"/>
                          <wps:cNvSpPr>
                            <a:spLocks noChangeArrowheads="1"/>
                          </wps:cNvSpPr>
                          <wps:spPr bwMode="auto">
                            <a:xfrm flipH="1">
                              <a:off x="2690" y="406"/>
                              <a:ext cx="1563" cy="1518"/>
                            </a:xfrm>
                            <a:prstGeom prst="rect">
                              <a:avLst/>
                            </a:prstGeom>
                            <a:solidFill>
                              <a:srgbClr val="C0504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192166" w:rsidRPr="00EC349D" w:rsidRDefault="00192166" w:rsidP="00EA6645">
                                <w:pPr>
                                  <w:rPr>
                                    <w:rFonts w:asciiTheme="majorHAnsi" w:hAnsiTheme="majorHAnsi"/>
                                    <w:color w:val="FFFFFF"/>
                                    <w:sz w:val="48"/>
                                    <w:szCs w:val="52"/>
                                  </w:rPr>
                                </w:pPr>
                                <w:r w:rsidRPr="00EC349D">
                                  <w:rPr>
                                    <w:rFonts w:asciiTheme="majorHAnsi" w:hAnsiTheme="majorHAnsi"/>
                                    <w:color w:val="FFFFFF"/>
                                    <w:sz w:val="52"/>
                                    <w:szCs w:val="52"/>
                                  </w:rPr>
                                  <w:t>201</w:t>
                                </w:r>
                                <w:r>
                                  <w:rPr>
                                    <w:rFonts w:asciiTheme="majorHAnsi" w:hAnsiTheme="majorHAnsi"/>
                                    <w:color w:val="FFFFFF"/>
                                    <w:sz w:val="52"/>
                                    <w:szCs w:val="52"/>
                                  </w:rPr>
                                  <w:t>6</w:t>
                                </w:r>
                              </w:p>
                            </w:txbxContent>
                          </wps:txbx>
                          <wps:bodyPr rot="0" vert="horz" wrap="square" lIns="91440" tIns="45720" rIns="91440" bIns="45720" anchor="b" anchorCtr="0" upright="1">
                            <a:noAutofit/>
                          </wps:bodyPr>
                        </wps:wsp>
                      </wpg:grpSp>
                      <wpg:grpSp>
                        <wpg:cNvPr id="59" name="Group 196"/>
                        <wpg:cNvGrpSpPr>
                          <a:grpSpLocks/>
                        </wpg:cNvGrpSpPr>
                        <wpg:grpSpPr bwMode="auto">
                          <a:xfrm>
                            <a:off x="3446" y="13758"/>
                            <a:ext cx="8169" cy="1382"/>
                            <a:chOff x="3446" y="13758"/>
                            <a:chExt cx="8169" cy="1382"/>
                          </a:xfrm>
                        </wpg:grpSpPr>
                        <wpg:grpSp>
                          <wpg:cNvPr id="60" name="Group 197"/>
                          <wpg:cNvGrpSpPr>
                            <a:grpSpLocks/>
                          </wpg:cNvGrpSpPr>
                          <wpg:grpSpPr bwMode="auto">
                            <a:xfrm flipH="1" flipV="1">
                              <a:off x="10833" y="14380"/>
                              <a:ext cx="782" cy="760"/>
                              <a:chOff x="8754" y="11945"/>
                              <a:chExt cx="2880" cy="2859"/>
                            </a:xfrm>
                          </wpg:grpSpPr>
                          <wps:wsp>
                            <wps:cNvPr id="61" name="Rectangle 198"/>
                            <wps:cNvSpPr>
                              <a:spLocks noChangeArrowheads="1"/>
                            </wps:cNvSpPr>
                            <wps:spPr bwMode="auto">
                              <a:xfrm flipH="1">
                                <a:off x="10194" y="11945"/>
                                <a:ext cx="1440" cy="1440"/>
                              </a:xfrm>
                              <a:prstGeom prst="rect">
                                <a:avLst/>
                              </a:prstGeom>
                              <a:solidFill>
                                <a:srgbClr val="BFBFBF">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62" name="Rectangle 199"/>
                            <wps:cNvSpPr>
                              <a:spLocks noChangeArrowheads="1"/>
                            </wps:cNvSpPr>
                            <wps:spPr bwMode="auto">
                              <a:xfrm flipH="1">
                                <a:off x="10194" y="13364"/>
                                <a:ext cx="1440" cy="1440"/>
                              </a:xfrm>
                              <a:prstGeom prst="rect">
                                <a:avLst/>
                              </a:prstGeom>
                              <a:solidFill>
                                <a:srgbClr val="C0504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63" name="Rectangle 200"/>
                            <wps:cNvSpPr>
                              <a:spLocks noChangeArrowheads="1"/>
                            </wps:cNvSpPr>
                            <wps:spPr bwMode="auto">
                              <a:xfrm flipH="1">
                                <a:off x="8754" y="13364"/>
                                <a:ext cx="1440" cy="1440"/>
                              </a:xfrm>
                              <a:prstGeom prst="rect">
                                <a:avLst/>
                              </a:prstGeom>
                              <a:solidFill>
                                <a:srgbClr val="BFBFBF">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224" name="Rectangle 201"/>
                          <wps:cNvSpPr>
                            <a:spLocks noChangeArrowheads="1"/>
                          </wps:cNvSpPr>
                          <wps:spPr bwMode="auto">
                            <a:xfrm>
                              <a:off x="3446" y="13758"/>
                              <a:ext cx="7105" cy="138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192166" w:rsidRDefault="00192166" w:rsidP="00EC349D">
                                <w:pPr>
                                  <w:pStyle w:val="aff7"/>
                                  <w:jc w:val="right"/>
                                  <w:rPr>
                                    <w:rFonts w:ascii="Bookman Old Style" w:hAnsi="Bookman Old Style"/>
                                    <w:color w:val="FFFFFF"/>
                                    <w:sz w:val="20"/>
                                    <w:szCs w:val="20"/>
                                  </w:rPr>
                                </w:pPr>
                              </w:p>
                              <w:p w:rsidR="00192166" w:rsidRDefault="00192166" w:rsidP="00EC349D">
                                <w:pPr>
                                  <w:pStyle w:val="aff7"/>
                                  <w:jc w:val="right"/>
                                  <w:rPr>
                                    <w:rFonts w:ascii="Bookman Old Style" w:hAnsi="Bookman Old Style"/>
                                    <w:color w:val="FFFFFF"/>
                                    <w:sz w:val="20"/>
                                    <w:szCs w:val="20"/>
                                  </w:rPr>
                                </w:pPr>
                              </w:p>
                              <w:p w:rsidR="00192166" w:rsidRDefault="00192166" w:rsidP="00EC349D">
                                <w:pPr>
                                  <w:pStyle w:val="aff7"/>
                                  <w:jc w:val="right"/>
                                  <w:rPr>
                                    <w:rFonts w:ascii="Bookman Old Style" w:hAnsi="Bookman Old Style"/>
                                    <w:color w:val="FFFFFF"/>
                                    <w:sz w:val="20"/>
                                    <w:szCs w:val="20"/>
                                  </w:rPr>
                                </w:pPr>
                              </w:p>
                              <w:p w:rsidR="00192166" w:rsidRPr="009B7391" w:rsidRDefault="00192166" w:rsidP="00EC349D">
                                <w:pPr>
                                  <w:pStyle w:val="aff7"/>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192166" w:rsidRDefault="00192166" w:rsidP="00EC349D">
                                <w:pPr>
                                  <w:pStyle w:val="aff7"/>
                                  <w:jc w:val="right"/>
                                  <w:rPr>
                                    <w:rFonts w:ascii="Bookman Old Style" w:hAnsi="Bookman Old Style"/>
                                    <w:color w:val="FFFFFF"/>
                                    <w:sz w:val="20"/>
                                    <w:szCs w:val="20"/>
                                  </w:rPr>
                                </w:pPr>
                                <w:r>
                                  <w:rPr>
                                    <w:rFonts w:ascii="Bookman Old Style" w:hAnsi="Bookman Old Style"/>
                                    <w:color w:val="FFFFFF"/>
                                    <w:sz w:val="20"/>
                                    <w:szCs w:val="20"/>
                                  </w:rPr>
                                  <w:t>31</w:t>
                                </w:r>
                                <w:r w:rsidRPr="00117AA6">
                                  <w:rPr>
                                    <w:rFonts w:ascii="Bookman Old Style" w:hAnsi="Bookman Old Style"/>
                                    <w:color w:val="FFFFFF"/>
                                    <w:sz w:val="20"/>
                                    <w:szCs w:val="20"/>
                                  </w:rPr>
                                  <w:t>.</w:t>
                                </w:r>
                                <w:r>
                                  <w:rPr>
                                    <w:rFonts w:ascii="Bookman Old Style" w:hAnsi="Bookman Old Style"/>
                                    <w:color w:val="FFFFFF"/>
                                    <w:sz w:val="20"/>
                                    <w:szCs w:val="20"/>
                                  </w:rPr>
                                  <w:t>08</w:t>
                                </w:r>
                                <w:r w:rsidRPr="00117AA6">
                                  <w:rPr>
                                    <w:rFonts w:ascii="Bookman Old Style" w:hAnsi="Bookman Old Style"/>
                                    <w:color w:val="FFFFFF"/>
                                    <w:sz w:val="20"/>
                                    <w:szCs w:val="20"/>
                                  </w:rPr>
                                  <w:t>.201</w:t>
                                </w:r>
                                <w:r>
                                  <w:rPr>
                                    <w:rFonts w:ascii="Bookman Old Style" w:hAnsi="Bookman Old Style"/>
                                    <w:color w:val="FFFFFF"/>
                                    <w:sz w:val="20"/>
                                    <w:szCs w:val="20"/>
                                  </w:rPr>
                                  <w:t>6</w:t>
                                </w:r>
                              </w:p>
                              <w:p w:rsidR="00192166" w:rsidRPr="009B7391" w:rsidRDefault="00192166" w:rsidP="00EC349D">
                                <w:pPr>
                                  <w:pStyle w:val="aff7"/>
                                  <w:jc w:val="right"/>
                                  <w:rPr>
                                    <w:color w:val="FFFFFF"/>
                                  </w:rPr>
                                </w:pPr>
                                <w:r>
                                  <w:rPr>
                                    <w:rFonts w:ascii="Bookman Old Style" w:hAnsi="Bookman Old Style"/>
                                    <w:color w:val="FFFFFF"/>
                                    <w:sz w:val="20"/>
                                    <w:szCs w:val="20"/>
                                  </w:rPr>
                                  <w:t>Экз. № 1.</w:t>
                                </w:r>
                              </w:p>
                              <w:p w:rsidR="00192166" w:rsidRPr="009B7391" w:rsidRDefault="00192166" w:rsidP="00EC349D">
                                <w:pPr>
                                  <w:pStyle w:val="aff7"/>
                                  <w:jc w:val="right"/>
                                  <w:rPr>
                                    <w:color w:val="FFFFFF"/>
                                  </w:rPr>
                                </w:pPr>
                              </w:p>
                            </w:txbxContent>
                          </wps:txbx>
                          <wps:bodyPr rot="0" vert="horz" wrap="square" lIns="91440" tIns="0" rIns="91440" bIns="0" anchor="b" anchorCtr="0" upright="1">
                            <a:noAutofit/>
                          </wps:bodyPr>
                        </wps:wsp>
                      </wpg:grpSp>
                    </wpg:wgp>
                  </a:graphicData>
                </a:graphic>
                <wp14:sizeRelH relativeFrom="page">
                  <wp14:pctWidth>95000</wp14:pctWidth>
                </wp14:sizeRelH>
                <wp14:sizeRelV relativeFrom="page">
                  <wp14:pctHeight>95000</wp14:pctHeight>
                </wp14:sizeRelV>
              </wp:anchor>
            </w:drawing>
          </mc:Choice>
          <mc:Fallback>
            <w:pict>
              <v:group id="Group 184" o:spid="_x0000_s1026" style="position:absolute;margin-left:14.9pt;margin-top:19.25pt;width:580.75pt;height:798pt;z-index:251677184;mso-width-percent:950;mso-height-percent:950;mso-position-horizontal-relative:page;mso-position-vertical-relative:page;mso-width-percent:950;mso-height-percent:950" coordorigin="316,406" coordsize="1195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" o:allowincell="f">
                <v:group id="Group 185" o:spid="_x0000_s1027" style="position:absolute;left:316;top:406;width:11958;height:15028" coordorigin="321,406" coordsize="1195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186" o:spid="_x0000_s1028" alt="Zig zag"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Z/8QA&#10;AADbAAAADwAAAGRycy9kb3ducmV2LnhtbESPQWsCMRSE74X+h/AEL0WziljdGqUIgidpteL1uXnu&#10;bt28LEl01/56Iwg9DjPzDTNbtKYSV3K+tKxg0E9AEGdWl5wr+NmtehMQPiBrrCyTght5WMxfX2aY&#10;atvwN123IRcRwj5FBUUIdSqlzwoy6Pu2Jo7eyTqDIUqXS+2wiXBTyWGSjKXBkuNCgTUtC8rO24tR&#10;QHq52btDdhqNw/vxr3z7Ggx/G6W6nfbzA0SgNvyHn+21VjCawuN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qmf/EAAAA2wAAAA8AAAAAAAAAAAAAAAAAmAIAAGRycy9k&#10;b3ducmV2LnhtbFBLBQYAAAAABAAEAPUAAACJAwAAAAA=&#10;" fillcolor="#8c8c8c" strokecolor="white" strokeweight="1pt">
                    <v:fill r:id="rId9" o:title="" color2="#bfbfbf" type="pattern"/>
                    <v:shadow color="#d8d8d8" offset="3pt,3pt"/>
                  </v:rect>
                  <v:rect id="Rectangle 187" o:spid="_x0000_s1029" style="position:absolute;left:3446;top:406;width:882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rxacAA&#10;AADbAAAADwAAAGRycy9kb3ducmV2LnhtbERPy4rCMBTdD/gP4QpuRFMFH3RMixYEN7MYdeHy0txp&#10;OtPclCba+veTheDycN67fLCNeFDna8cKFvMEBHHpdM2VguvlONuC8AFZY+OYFDzJQ56NPnaYatfz&#10;Nz3OoRIxhH2KCkwIbSqlLw1Z9HPXEkfux3UWQ4RdJXWHfQy3jVwmyVparDk2GGypMFT+ne9Wwbr9&#10;rb7622ZvrpcVycO0mJZcKDUZD/tPEIGG8Ba/3CetYBXXxy/xB8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XrxacAAAADbAAAADwAAAAAAAAAAAAAAAACYAgAAZHJzL2Rvd25y&#10;ZXYueG1sUEsFBgAAAAAEAAQA9QAAAIUDAAAAAA==&#10;" fillcolor="#737373" strokecolor="white" strokeweight="1pt">
                    <v:shadow color="#d8d8d8" offset="3pt,3pt"/>
                    <v:textbox inset="18pt,108pt,36pt">
                      <w:txbxContent>
                        <w:p w:rsidR="00192166" w:rsidRPr="009B7391" w:rsidRDefault="00192166" w:rsidP="00EC349D">
                          <w:pPr>
                            <w:spacing w:before="120" w:after="120"/>
                            <w:ind w:left="4248"/>
                            <w:jc w:val="right"/>
                            <w:rPr>
                              <w:rFonts w:ascii="Bookman Old Style" w:hAnsi="Bookman Old Style"/>
                              <w:color w:val="FFFFFF"/>
                              <w:sz w:val="20"/>
                              <w:szCs w:val="20"/>
                            </w:rPr>
                          </w:pPr>
                          <w:r w:rsidRPr="009B7391">
                            <w:rPr>
                              <w:rFonts w:ascii="Bookman Old Style" w:hAnsi="Bookman Old Style"/>
                              <w:color w:val="FFFFFF"/>
                              <w:sz w:val="20"/>
                              <w:szCs w:val="20"/>
                            </w:rPr>
                            <w:t>«УТВЕРЖДАЮ»</w:t>
                          </w:r>
                        </w:p>
                        <w:p w:rsidR="00192166" w:rsidRPr="009B7391" w:rsidRDefault="00192166"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Генеральный директор</w:t>
                          </w:r>
                        </w:p>
                        <w:p w:rsidR="00192166" w:rsidRPr="009B7391" w:rsidRDefault="00192166"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192166" w:rsidRPr="009B7391" w:rsidRDefault="00192166" w:rsidP="00EC349D">
                          <w:pPr>
                            <w:spacing w:before="120" w:after="120"/>
                            <w:jc w:val="right"/>
                            <w:rPr>
                              <w:rFonts w:ascii="Bookman Old Style" w:hAnsi="Bookman Old Style"/>
                              <w:color w:val="FFFFFF"/>
                              <w:sz w:val="20"/>
                              <w:szCs w:val="20"/>
                            </w:rPr>
                          </w:pPr>
                        </w:p>
                        <w:p w:rsidR="00192166" w:rsidRPr="009B7391" w:rsidRDefault="00192166" w:rsidP="00EC349D">
                          <w:pPr>
                            <w:pStyle w:val="aff7"/>
                            <w:ind w:left="4956"/>
                            <w:rPr>
                              <w:color w:val="FFFFFF"/>
                            </w:rPr>
                          </w:pPr>
                          <w:r>
                            <w:rPr>
                              <w:rFonts w:ascii="Bookman Old Style" w:hAnsi="Bookman Old Style"/>
                              <w:color w:val="FFFFFF"/>
                              <w:sz w:val="20"/>
                              <w:szCs w:val="20"/>
                            </w:rPr>
                            <w:t xml:space="preserve">          О.С. Золотарев</w:t>
                          </w:r>
                        </w:p>
                        <w:p w:rsidR="00192166" w:rsidRDefault="00192166" w:rsidP="00EC349D">
                          <w:pPr>
                            <w:pStyle w:val="aff7"/>
                            <w:rPr>
                              <w:rFonts w:ascii="Bookman Old Style" w:hAnsi="Bookman Old Style"/>
                              <w:color w:val="FFFFFF"/>
                              <w:sz w:val="72"/>
                              <w:szCs w:val="72"/>
                            </w:rPr>
                          </w:pPr>
                        </w:p>
                        <w:p w:rsidR="00192166" w:rsidRDefault="00192166" w:rsidP="00EC349D">
                          <w:pPr>
                            <w:pStyle w:val="aff7"/>
                            <w:rPr>
                              <w:rFonts w:ascii="Bookman Old Style" w:hAnsi="Bookman Old Style"/>
                              <w:color w:val="FFFFFF"/>
                            </w:rPr>
                          </w:pPr>
                        </w:p>
                        <w:p w:rsidR="00192166" w:rsidRDefault="00192166" w:rsidP="00EC349D">
                          <w:pPr>
                            <w:pStyle w:val="aff7"/>
                            <w:rPr>
                              <w:rFonts w:ascii="Bookman Old Style" w:hAnsi="Bookman Old Style"/>
                              <w:color w:val="FFFFFF"/>
                              <w:sz w:val="68"/>
                              <w:szCs w:val="68"/>
                            </w:rPr>
                          </w:pPr>
                        </w:p>
                        <w:p w:rsidR="00192166" w:rsidRPr="00750A21" w:rsidRDefault="00192166" w:rsidP="00EC349D">
                          <w:pPr>
                            <w:pStyle w:val="aff7"/>
                            <w:spacing w:before="120" w:after="120"/>
                            <w:rPr>
                              <w:rFonts w:ascii="Bookman Old Style" w:hAnsi="Bookman Old Style"/>
                              <w:color w:val="FFFFFF"/>
                              <w:sz w:val="68"/>
                              <w:szCs w:val="68"/>
                            </w:rPr>
                          </w:pPr>
                          <w:r>
                            <w:rPr>
                              <w:rFonts w:ascii="Bookman Old Style" w:hAnsi="Bookman Old Style"/>
                              <w:color w:val="FFFFFF"/>
                              <w:sz w:val="68"/>
                              <w:szCs w:val="68"/>
                            </w:rPr>
                            <w:t>Отчет № 312/08</w:t>
                          </w:r>
                          <w:r w:rsidRPr="008B0968">
                            <w:rPr>
                              <w:rFonts w:ascii="Bookman Old Style" w:hAnsi="Bookman Old Style"/>
                              <w:color w:val="FFFFFF"/>
                              <w:sz w:val="68"/>
                              <w:szCs w:val="68"/>
                            </w:rPr>
                            <w:t>-1</w:t>
                          </w:r>
                          <w:r>
                            <w:rPr>
                              <w:rFonts w:ascii="Bookman Old Style" w:hAnsi="Bookman Old Style"/>
                              <w:color w:val="FFFFFF"/>
                              <w:sz w:val="68"/>
                              <w:szCs w:val="68"/>
                            </w:rPr>
                            <w:t>6</w:t>
                          </w:r>
                          <w:r w:rsidRPr="00750A21">
                            <w:rPr>
                              <w:rFonts w:ascii="Bookman Old Style" w:hAnsi="Bookman Old Style"/>
                              <w:color w:val="FFFFFF"/>
                              <w:sz w:val="68"/>
                              <w:szCs w:val="68"/>
                            </w:rPr>
                            <w:t xml:space="preserve">     </w:t>
                          </w:r>
                        </w:p>
                        <w:p w:rsidR="00192166" w:rsidRDefault="00192166" w:rsidP="00EC349D">
                          <w:pPr>
                            <w:pStyle w:val="aff7"/>
                            <w:spacing w:before="120" w:after="120"/>
                            <w:rPr>
                              <w:rFonts w:ascii="Bookman Old Style" w:hAnsi="Bookman Old Style"/>
                              <w:color w:val="FFFFFF"/>
                              <w:sz w:val="24"/>
                              <w:szCs w:val="24"/>
                            </w:rPr>
                          </w:pPr>
                          <w:r w:rsidRPr="006F2308">
                            <w:rPr>
                              <w:rFonts w:ascii="Bookman Old Style" w:hAnsi="Bookman Old Style"/>
                              <w:color w:val="FFFFFF"/>
                              <w:sz w:val="24"/>
                              <w:szCs w:val="24"/>
                            </w:rPr>
                            <w:t>Об оценке рыночной стоимости</w:t>
                          </w:r>
                          <w:r>
                            <w:rPr>
                              <w:rFonts w:ascii="Bookman Old Style" w:hAnsi="Bookman Old Style"/>
                              <w:color w:val="FFFFFF"/>
                              <w:sz w:val="24"/>
                              <w:szCs w:val="24"/>
                            </w:rPr>
                            <w:t xml:space="preserve"> Объекта оценки</w:t>
                          </w:r>
                        </w:p>
                        <w:p w:rsidR="00192166" w:rsidRPr="000A4482" w:rsidRDefault="00192166" w:rsidP="000A4482">
                          <w:pPr>
                            <w:spacing w:before="120" w:after="120"/>
                            <w:rPr>
                              <w:rFonts w:ascii="Bookman Old Style" w:hAnsi="Bookman Old Style"/>
                              <w:color w:val="FFFFFF" w:themeColor="background1"/>
                              <w:sz w:val="24"/>
                              <w:szCs w:val="24"/>
                            </w:rPr>
                          </w:pPr>
                          <w:r w:rsidRPr="000A4482">
                            <w:rPr>
                              <w:rFonts w:ascii="Bookman Old Style" w:hAnsi="Bookman Old Style"/>
                              <w:color w:val="FFFFFF" w:themeColor="background1"/>
                              <w:sz w:val="24"/>
                              <w:szCs w:val="24"/>
                            </w:rPr>
                            <w:t xml:space="preserve">Объект оценки: </w:t>
                          </w:r>
                        </w:p>
                        <w:p w:rsidR="00192166" w:rsidRPr="000A4482" w:rsidRDefault="00192166" w:rsidP="005F04AC">
                          <w:pPr>
                            <w:numPr>
                              <w:ilvl w:val="0"/>
                              <w:numId w:val="49"/>
                            </w:numPr>
                            <w:spacing w:before="120" w:after="120"/>
                            <w:rPr>
                              <w:rFonts w:ascii="Bookman Old Style" w:hAnsi="Bookman Old Style"/>
                              <w:color w:val="FFFFFF" w:themeColor="background1"/>
                              <w:sz w:val="24"/>
                              <w:szCs w:val="24"/>
                            </w:rPr>
                          </w:pPr>
                          <w:r w:rsidRPr="005F178F">
                            <w:rPr>
                              <w:rFonts w:ascii="Bookman Old Style" w:hAnsi="Bookman Old Style"/>
                              <w:color w:val="FFFFFF" w:themeColor="background1"/>
                              <w:sz w:val="24"/>
                              <w:szCs w:val="24"/>
                            </w:rPr>
                            <w:t>Недвижимое и движимое имуществ</w:t>
                          </w:r>
                          <w:proofErr w:type="gramStart"/>
                          <w:r w:rsidRPr="005F178F">
                            <w:rPr>
                              <w:rFonts w:ascii="Bookman Old Style" w:hAnsi="Bookman Old Style"/>
                              <w:color w:val="FFFFFF" w:themeColor="background1"/>
                              <w:sz w:val="24"/>
                              <w:szCs w:val="24"/>
                            </w:rPr>
                            <w:t>о ООО</w:t>
                          </w:r>
                          <w:proofErr w:type="gramEnd"/>
                          <w:r w:rsidRPr="005F178F">
                            <w:rPr>
                              <w:rFonts w:ascii="Bookman Old Style" w:hAnsi="Bookman Old Style"/>
                              <w:color w:val="FFFFFF" w:themeColor="background1"/>
                              <w:sz w:val="24"/>
                              <w:szCs w:val="24"/>
                            </w:rPr>
                            <w:t xml:space="preserve"> «Окно», находящееся в залоге у АКБ «</w:t>
                          </w:r>
                          <w:proofErr w:type="spellStart"/>
                          <w:r w:rsidRPr="005F178F">
                            <w:rPr>
                              <w:rFonts w:ascii="Bookman Old Style" w:hAnsi="Bookman Old Style"/>
                              <w:color w:val="FFFFFF" w:themeColor="background1"/>
                              <w:sz w:val="24"/>
                              <w:szCs w:val="24"/>
                            </w:rPr>
                            <w:t>Ланта</w:t>
                          </w:r>
                          <w:proofErr w:type="spellEnd"/>
                          <w:r w:rsidRPr="005F178F">
                            <w:rPr>
                              <w:rFonts w:ascii="Bookman Old Style" w:hAnsi="Bookman Old Style"/>
                              <w:color w:val="FFFFFF" w:themeColor="background1"/>
                              <w:sz w:val="24"/>
                              <w:szCs w:val="24"/>
                            </w:rPr>
                            <w:t>-Банк»,  предназначенное к реализации путем проведения торгов</w:t>
                          </w:r>
                        </w:p>
                        <w:p w:rsidR="00192166" w:rsidRPr="000A4482" w:rsidRDefault="00192166"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Субъект права: Общество с ограниченной ответственностью «Окно» на праве собственности</w:t>
                          </w:r>
                        </w:p>
                        <w:p w:rsidR="00192166" w:rsidRPr="000A4482" w:rsidRDefault="00192166" w:rsidP="000A4482">
                          <w:pPr>
                            <w:rPr>
                              <w:rFonts w:ascii="Bookman Old Style" w:hAnsi="Bookman Old Style"/>
                              <w:color w:val="FFFFFF"/>
                              <w:sz w:val="24"/>
                              <w:szCs w:val="24"/>
                              <w:lang w:eastAsia="en-US"/>
                            </w:rPr>
                          </w:pPr>
                        </w:p>
                        <w:p w:rsidR="00192166" w:rsidRPr="000A4482" w:rsidRDefault="00192166"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 xml:space="preserve">Заказчик услуг: Общество с ограниченной ответственностью «Окно» </w:t>
                          </w:r>
                        </w:p>
                        <w:p w:rsidR="00192166" w:rsidRPr="000A4482" w:rsidRDefault="00192166" w:rsidP="000A4482">
                          <w:pPr>
                            <w:rPr>
                              <w:rFonts w:ascii="Bookman Old Style" w:hAnsi="Bookman Old Style"/>
                              <w:color w:val="FFFFFF"/>
                              <w:sz w:val="24"/>
                              <w:szCs w:val="24"/>
                              <w:lang w:eastAsia="en-US"/>
                            </w:rPr>
                          </w:pPr>
                        </w:p>
                        <w:p w:rsidR="00192166" w:rsidRPr="000A4482" w:rsidRDefault="00192166" w:rsidP="000A4482">
                          <w:pPr>
                            <w:spacing w:before="120" w:after="120"/>
                            <w:rPr>
                              <w:rFonts w:ascii="Bookman Old Style" w:hAnsi="Bookman Old Style"/>
                              <w:color w:val="FFFFFF"/>
                              <w:sz w:val="22"/>
                              <w:szCs w:val="22"/>
                            </w:rPr>
                          </w:pPr>
                          <w:r w:rsidRPr="000A4482">
                            <w:rPr>
                              <w:rFonts w:ascii="Bookman Old Style" w:hAnsi="Bookman Old Style"/>
                              <w:color w:val="FFFFFF"/>
                              <w:sz w:val="24"/>
                              <w:szCs w:val="24"/>
                              <w:lang w:eastAsia="en-US"/>
                            </w:rPr>
                            <w:t>Основание оценки: Договор на проведение оценки          № 09/08-16 от 09 августа 2016 года</w:t>
                          </w:r>
                        </w:p>
                        <w:p w:rsidR="00192166" w:rsidRPr="000A4482" w:rsidRDefault="00192166" w:rsidP="000A4482">
                          <w:pPr>
                            <w:spacing w:before="120" w:after="120"/>
                            <w:rPr>
                              <w:rFonts w:ascii="Bookman Old Style" w:hAnsi="Bookman Old Style"/>
                              <w:color w:val="FFFFFF"/>
                              <w:sz w:val="22"/>
                              <w:szCs w:val="22"/>
                            </w:rPr>
                          </w:pPr>
                        </w:p>
                        <w:p w:rsidR="00192166" w:rsidRPr="000A4482" w:rsidRDefault="00192166" w:rsidP="000A4482">
                          <w:pPr>
                            <w:rPr>
                              <w:rFonts w:ascii="Bookman Old Style" w:hAnsi="Bookman Old Style"/>
                              <w:color w:val="FFFFFF" w:themeColor="background1"/>
                              <w:sz w:val="22"/>
                              <w:szCs w:val="22"/>
                            </w:rPr>
                          </w:pPr>
                          <w:r w:rsidRPr="000A4482">
                            <w:rPr>
                              <w:rFonts w:ascii="Bookman Old Style" w:hAnsi="Bookman Old Style"/>
                              <w:color w:val="FFFFFF" w:themeColor="background1"/>
                              <w:sz w:val="22"/>
                              <w:szCs w:val="22"/>
                            </w:rPr>
                            <w:t>Дата оценки: 26 августа 2016 года</w:t>
                          </w:r>
                        </w:p>
                        <w:p w:rsidR="00192166" w:rsidRPr="000A4482" w:rsidRDefault="00192166" w:rsidP="000A4482">
                          <w:pPr>
                            <w:rPr>
                              <w:rFonts w:ascii="Bookman Old Style" w:hAnsi="Bookman Old Style"/>
                              <w:color w:val="FFFFFF" w:themeColor="background1"/>
                              <w:sz w:val="22"/>
                              <w:szCs w:val="22"/>
                            </w:rPr>
                          </w:pPr>
                        </w:p>
                        <w:p w:rsidR="00192166" w:rsidRPr="00C35D86" w:rsidRDefault="00192166" w:rsidP="000A4482">
                          <w:pPr>
                            <w:rPr>
                              <w:rFonts w:ascii="Bookman Old Style" w:hAnsi="Bookman Old Style"/>
                              <w:color w:val="FFFFFF" w:themeColor="background1"/>
                              <w:sz w:val="24"/>
                              <w:szCs w:val="24"/>
                            </w:rPr>
                          </w:pPr>
                          <w:r w:rsidRPr="000A4482">
                            <w:rPr>
                              <w:rFonts w:ascii="Bookman Old Style" w:hAnsi="Bookman Old Style"/>
                              <w:color w:val="FFFFFF" w:themeColor="background1"/>
                              <w:sz w:val="22"/>
                              <w:szCs w:val="22"/>
                            </w:rPr>
                            <w:t>Дата составления отчета: 31 августа 2016 года</w:t>
                          </w:r>
                        </w:p>
                        <w:p w:rsidR="00192166" w:rsidRPr="00EC349D" w:rsidRDefault="00192166" w:rsidP="00EC349D"/>
                        <w:p w:rsidR="00192166" w:rsidRDefault="00192166" w:rsidP="00EC349D"/>
                        <w:p w:rsidR="00192166" w:rsidRDefault="00192166" w:rsidP="00EC349D"/>
                        <w:p w:rsidR="00192166" w:rsidRDefault="00192166" w:rsidP="00EC349D"/>
                        <w:p w:rsidR="00192166" w:rsidRDefault="00192166" w:rsidP="00EC349D"/>
                        <w:p w:rsidR="00192166" w:rsidRDefault="00192166" w:rsidP="00EC349D"/>
                        <w:p w:rsidR="00192166" w:rsidRDefault="00192166" w:rsidP="00EC349D"/>
                      </w:txbxContent>
                    </v:textbox>
                  </v:rect>
                  <v:group id="Group 188" o:spid="_x0000_s1030" style="position:absolute;left:321;top:3424;width:3125;height:6069"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Rectangle 189" o:spid="_x0000_s1031"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kXgcIA&#10;AADbAAAADwAAAGRycy9kb3ducmV2LnhtbESPQYvCMBSE74L/ITzBm6YKXbQaRQTRgwirBa/P5tkW&#10;m5fSxFr/vVlY8DjMzDfMct2ZSrTUuNKygsk4AkGcWV1yriC97EYzEM4ja6wsk4I3OViv+r0lJtq+&#10;+Jfas89FgLBLUEHhfZ1I6bKCDLqxrYmDd7eNQR9kk0vd4CvATSWnUfQjDZYcFgqsaVtQ9jg/jYJ8&#10;r4/t/XG61ZvndXfazqMY41Sp4aDbLEB46vw3/N8+aAXxFP6+hB8gV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uReBwgAAANsAAAAPAAAAAAAAAAAAAAAAAJgCAABkcnMvZG93&#10;bnJldi54bWxQSwUGAAAAAAQABAD1AAAAhwMAAAAA&#10;" fillcolor="#a7bfde" strokecolor="white" strokeweight="1pt">
                      <v:fill opacity="52428f"/>
                      <v:shadow color="#d8d8d8" offset="3pt,3pt"/>
                    </v:rect>
                    <v:rect id="Rectangle 190" o:spid="_x0000_s1032"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UrzsIA&#10;AADbAAAADwAAAGRycy9kb3ducmV2LnhtbESP0WoCMRRE3wv9h3ALfavZWpRlNUorCL6pqx9w2dxu&#10;FpObJcnq2q9vhEIfh5kzwyzXo7PiSiF2nhW8TwoQxI3XHbcKzqftWwkiJmSN1jMpuFOE9er5aYmV&#10;9jc+0rVOrcglHCtUYFLqKyljY8hhnPieOHvfPjhMWYZW6oC3XO6snBbFXDrsOC8Y7GljqLnUg1Mw&#10;S7UZhpP9uof9we6xPB9+yotSry/j5wJEojH9h//onc7cBzy+5B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SvOwgAAANsAAAAPAAAAAAAAAAAAAAAAAJgCAABkcnMvZG93&#10;bnJldi54bWxQSwUGAAAAAAQABAD1AAAAhwMAAAAA&#10;" fillcolor="#a7bfde" strokecolor="white" strokeweight="1pt">
                      <v:fill opacity="32896f"/>
                      <v:shadow color="#d8d8d8" offset="3pt,3pt"/>
                    </v:rect>
                    <v:rect id="Rectangle 191" o:spid="_x0000_s1033"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wqbsQA&#10;AADbAAAADwAAAGRycy9kb3ducmV2LnhtbESPQWvCQBSE70L/w/IK3nTT0hSbugkiSD1IoCr0+pp9&#10;JsHs25Bdk/jvXUHwOMzMN8wyG00jeupcbVnB2zwCQVxYXXOp4HjYzBYgnEfW2FgmBVdykKUvkyUm&#10;2g78S/3elyJA2CWooPK+TaR0RUUG3dy2xME72c6gD7Irpe5wCHDTyPco+pQGaw4LFba0rqg47y9G&#10;Qfmjd/3pnP+3q8vfJl9/RTHGR6Wmr+PqG4Sn0T/Dj/ZWK4g/4P4l/ACZ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cKm7EAAAA2wAAAA8AAAAAAAAAAAAAAAAAmAIAAGRycy9k&#10;b3ducmV2LnhtbFBLBQYAAAAABAAEAPUAAACJAwAAAAA=&#10;" fillcolor="#a7bfde" strokecolor="white" strokeweight="1pt">
                      <v:fill opacity="52428f"/>
                      <v:shadow color="#d8d8d8" offset="3pt,3pt"/>
                    </v:rect>
                    <v:rect id="Rectangle 192" o:spid="_x0000_s1034"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WIcEA&#10;AADbAAAADwAAAGRycy9kb3ducmV2LnhtbESP0WoCMRRE34X+Q7iFvmnWgrKsRtFCoW/a1Q+4bK6b&#10;xeRmSbK69uubQsHHYebMMOvt6Ky4UYidZwXzWQGCuPG641bB+fQ5LUHEhKzReiYFD4qw3bxM1lhp&#10;f+dvutWpFbmEY4UKTEp9JWVsDDmMM98TZ+/ig8OUZWilDnjP5c7K96JYSocd5wWDPX0Yaq714BQs&#10;Um2G4WT3j3A42gOW5+NPeVXq7XXcrUAkGtMz/E9/6cwt4O9L/gF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wFiHBAAAA2wAAAA8AAAAAAAAAAAAAAAAAmAIAAGRycy9kb3du&#10;cmV2LnhtbFBLBQYAAAAABAAEAPUAAACGAwAAAAA=&#10;" fillcolor="#a7bfde" strokecolor="white" strokeweight="1pt">
                      <v:fill opacity="32896f"/>
                      <v:shadow color="#d8d8d8" offset="3pt,3pt"/>
                    </v:rect>
                    <v:rect id="Rectangle 193" o:spid="_x0000_s1035"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IVsEA&#10;AADbAAAADwAAAGRycy9kb3ducmV2LnhtbESP0WoCMRRE34X+Q7gF3zRrobKsRqmFQt/U1Q+4bG43&#10;i8nNkmR17debQsHHYebMMOvt6Ky4UoidZwWLeQGCuPG641bB+fQ1K0HEhKzReiYFd4qw3bxM1lhp&#10;f+MjXevUilzCsUIFJqW+kjI2hhzGue+Js/fjg8OUZWilDnjL5c7Kt6JYSocd5wWDPX0aai714BS8&#10;p9oMw8nu7mF/sHssz4ff8qLU9HX8WIFINKZn+J/+1plbwt+X/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iiFbBAAAA2wAAAA8AAAAAAAAAAAAAAAAAmAIAAGRycy9kb3du&#10;cmV2LnhtbFBLBQYAAAAABAAEAPUAAACGAwAAAAA=&#10;" fillcolor="#a7bfde" strokecolor="white" strokeweight="1pt">
                      <v:fill opacity="32896f"/>
                      <v:shadow color="#d8d8d8" offset="3pt,3pt"/>
                    </v:rect>
                    <v:rect id="Rectangle 194" o:spid="_x0000_s1036"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4tzcIA&#10;AADbAAAADwAAAGRycy9kb3ducmV2LnhtbESP0WoCMRRE3wv9h3ALfavZCtVlNUorCL6pqx9w2dxu&#10;FpObJcnq2q9vhEIfh5kzwyzXo7PiSiF2nhW8TwoQxI3XHbcKzqftWwkiJmSN1jMpuFOE9er5aYmV&#10;9jc+0rVOrcglHCtUYFLqKyljY8hhnPieOHvfPjhMWYZW6oC3XO6snBbFTDrsOC8Y7GljqLnUg1Pw&#10;kWozDCf7dQ/7g91jeT78lBelXl/GzwWIRGP6D//RO525OTy+5B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bi3NwgAAANsAAAAPAAAAAAAAAAAAAAAAAJgCAABkcnMvZG93&#10;bnJldi54bWxQSwUGAAAAAAQABAD1AAAAhwMAAAAA&#10;" fillcolor="#a7bfde" strokecolor="white" strokeweight="1pt">
                      <v:fill opacity="32896f"/>
                      <v:shadow color="#d8d8d8" offset="3pt,3pt"/>
                    </v:rect>
                  </v:group>
                  <v:rect id="Rectangle 195" o:spid="_x0000_s1037" style="position:absolute;left:2690;top:406;width:1563;height:1518;flip:x;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BT3b8A&#10;AADbAAAADwAAAGRycy9kb3ducmV2LnhtbERPzWrCQBC+F3yHZYReim4sVDS6igRKLfRQow8wZMds&#10;MDsbsqvGt3cOhR4/vv/1dvCtulEfm8AGZtMMFHEVbMO1gdPxc7IAFROyxTYwGXhQhO1m9LLG3IY7&#10;H+hWplpJCMccDbiUulzrWDnyGKehIxbuHHqPSWBfa9vjXcJ9q9+zbK49NiwNDjsqHFWX8uoNfBTf&#10;9c++soXTcf62/N0V9BVKY17Hw24FKtGQ/sV/7r0Vn4yVL/ID9OY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kFPdvwAAANsAAAAPAAAAAAAAAAAAAAAAAJgCAABkcnMvZG93bnJl&#10;di54bWxQSwUGAAAAAAQABAD1AAAAhAMAAAAA&#10;" fillcolor="#c0504d" strokecolor="white" strokeweight="1pt">
                    <v:shadow color="#d8d8d8" offset="3pt,3pt"/>
                    <v:textbox>
                      <w:txbxContent>
                        <w:p w:rsidR="00192166" w:rsidRPr="00EC349D" w:rsidRDefault="00192166" w:rsidP="00EA6645">
                          <w:pPr>
                            <w:rPr>
                              <w:rFonts w:asciiTheme="majorHAnsi" w:hAnsiTheme="majorHAnsi"/>
                              <w:color w:val="FFFFFF"/>
                              <w:sz w:val="48"/>
                              <w:szCs w:val="52"/>
                            </w:rPr>
                          </w:pPr>
                          <w:r w:rsidRPr="00EC349D">
                            <w:rPr>
                              <w:rFonts w:asciiTheme="majorHAnsi" w:hAnsiTheme="majorHAnsi"/>
                              <w:color w:val="FFFFFF"/>
                              <w:sz w:val="52"/>
                              <w:szCs w:val="52"/>
                            </w:rPr>
                            <w:t>201</w:t>
                          </w:r>
                          <w:r>
                            <w:rPr>
                              <w:rFonts w:asciiTheme="majorHAnsi" w:hAnsiTheme="majorHAnsi"/>
                              <w:color w:val="FFFFFF"/>
                              <w:sz w:val="52"/>
                              <w:szCs w:val="52"/>
                            </w:rPr>
                            <w:t>6</w:t>
                          </w:r>
                        </w:p>
                      </w:txbxContent>
                    </v:textbox>
                  </v:rect>
                </v:group>
                <v:group id="Group 196" o:spid="_x0000_s1038"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group id="Group 197"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i1SfnCAAAA2wAAAA8A&#10;AAAAAAAAAAAAAAAAqgIAAGRycy9kb3ducmV2LnhtbFBLBQYAAAAABAAEAPoAAACZAwAAAAA=&#10;">
                    <v:rect id="Rectangle 198" o:spid="_x0000_s1040"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jpO8MA&#10;AADbAAAADwAAAGRycy9kb3ducmV2LnhtbESPT2sCMRTE7wW/Q3hCL6UmFhTdGsU/FHoqVL14e2xe&#10;N0s3L8vmuW6/fSMUehxm5jfMajOERvXUpTqyhenEgCIuo6u5snA+vT0vQCVBdthEJgs/lGCzHj2s&#10;sHDxxp/UH6VSGcKpQAtepC20TqWngGkSW+LsfcUuoGTZVdp1eMvw0OgXY+Y6YM15wWNLe0/l9/Ea&#10;LBgnaXbpd34rH1of6id3bszS2sfxsH0FJTTIf/iv/e4szKdw/5J/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jpO8MAAADbAAAADwAAAAAAAAAAAAAAAACYAgAAZHJzL2Rv&#10;d25yZXYueG1sUEsFBgAAAAAEAAQA9QAAAIgDAAAAAA==&#10;" fillcolor="#bfbfbf" strokecolor="white" strokeweight="1pt">
                      <v:fill opacity="32896f"/>
                      <v:shadow color="#d8d8d8" offset="3pt,3pt"/>
                    </v:rect>
                    <v:rect id="Rectangle 199" o:spid="_x0000_s1041"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20hMIA&#10;AADbAAAADwAAAGRycy9kb3ducmV2LnhtbESPwWrDMBBE74X+g9hCbrXclJjgRgkl0OKcSpN8wNZa&#10;W6bWykiK7fx9VAj0OMzMG2azm20vRvKhc6zgJctBENdOd9wqOJ8+ntcgQkTW2DsmBVcKsNs+Pmyw&#10;1G7ibxqPsRUJwqFEBSbGoZQy1IYshswNxMlrnLcYk/St1B6nBLe9XOZ5IS12nBYMDrQ3VP8eL1YB&#10;6c+q//niots3lxVXXpvXQ1Rq8TS/v4GINMf/8L1daQXFEv6+pB8gt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rbSEwgAAANsAAAAPAAAAAAAAAAAAAAAAAJgCAABkcnMvZG93&#10;bnJldi54bWxQSwUGAAAAAAQABAD1AAAAhwMAAAAA&#10;" fillcolor="#c0504d" strokecolor="white" strokeweight="1pt">
                      <v:shadow color="#d8d8d8" offset="3pt,3pt"/>
                    </v:rect>
                    <v:rect id="Rectangle 200" o:spid="_x0000_s1042"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S18MA&#10;AADbAAAADwAAAGRycy9kb3ducmV2LnhtbESPQWsCMRSE7wX/Q3hCL0UTLRW7NYq1FHoq1Hrp7bF5&#10;3SxuXpbN67r+e1MQPA4z8w2z2gyhUT11qY5sYTY1oIjL6GquLBy+3ydLUEmQHTaRycKZEmzWo7sV&#10;Fi6e+Iv6vVQqQzgVaMGLtIXWqfQUME1jS5y939gFlCy7SrsOTxkeGj03ZqED1pwXPLa081Qe93/B&#10;gnGSnn76V7+VT63f6gd3aMyztffjYfsCSmiQW/ja/nAWFo/w/yX/A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S18MAAADbAAAADwAAAAAAAAAAAAAAAACYAgAAZHJzL2Rv&#10;d25yZXYueG1sUEsFBgAAAAAEAAQA9QAAAIgDAAAAAA==&#10;" fillcolor="#bfbfbf" strokecolor="white" strokeweight="1pt">
                      <v:fill opacity="32896f"/>
                      <v:shadow color="#d8d8d8" offset="3pt,3pt"/>
                    </v:rect>
                  </v:group>
                  <v:rect id="Rectangle 201" o:spid="_x0000_s1043" style="position:absolute;left:3446;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2IcIA&#10;AADcAAAADwAAAGRycy9kb3ducmV2LnhtbESPQYvCMBSE7wv+h/AEb2vaIrpUo4ggyN7Wetjjs3m2&#10;xealJFGz/34jCB6HmfmGWW2i6cWdnO8sK8inGQji2uqOGwWnav/5BcIHZI29ZVLwRx4269HHCktt&#10;H/xD92NoRIKwL1FBG8JQSunrlgz6qR2Ik3exzmBI0jVSO3wkuOllkWVzabDjtNDiQLuW6uvxZhTc&#10;tufDZedyjkO1+Pax7iv5mys1GcftEkSgGN7hV/ugFRTFDJ5n0hG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BDYhwgAAANwAAAAPAAAAAAAAAAAAAAAAAJgCAABkcnMvZG93&#10;bnJldi54bWxQSwUGAAAAAAQABAD1AAAAhwMAAAAA&#10;" filled="f" stroked="f" strokecolor="white" strokeweight="1pt">
                    <v:fill opacity="52428f"/>
                    <v:textbox inset=",0,,0">
                      <w:txbxContent>
                        <w:p w:rsidR="00192166" w:rsidRDefault="00192166" w:rsidP="00EC349D">
                          <w:pPr>
                            <w:pStyle w:val="aff7"/>
                            <w:jc w:val="right"/>
                            <w:rPr>
                              <w:rFonts w:ascii="Bookman Old Style" w:hAnsi="Bookman Old Style"/>
                              <w:color w:val="FFFFFF"/>
                              <w:sz w:val="20"/>
                              <w:szCs w:val="20"/>
                            </w:rPr>
                          </w:pPr>
                        </w:p>
                        <w:p w:rsidR="00192166" w:rsidRDefault="00192166" w:rsidP="00EC349D">
                          <w:pPr>
                            <w:pStyle w:val="aff7"/>
                            <w:jc w:val="right"/>
                            <w:rPr>
                              <w:rFonts w:ascii="Bookman Old Style" w:hAnsi="Bookman Old Style"/>
                              <w:color w:val="FFFFFF"/>
                              <w:sz w:val="20"/>
                              <w:szCs w:val="20"/>
                            </w:rPr>
                          </w:pPr>
                        </w:p>
                        <w:p w:rsidR="00192166" w:rsidRDefault="00192166" w:rsidP="00EC349D">
                          <w:pPr>
                            <w:pStyle w:val="aff7"/>
                            <w:jc w:val="right"/>
                            <w:rPr>
                              <w:rFonts w:ascii="Bookman Old Style" w:hAnsi="Bookman Old Style"/>
                              <w:color w:val="FFFFFF"/>
                              <w:sz w:val="20"/>
                              <w:szCs w:val="20"/>
                            </w:rPr>
                          </w:pPr>
                        </w:p>
                        <w:p w:rsidR="00192166" w:rsidRPr="009B7391" w:rsidRDefault="00192166" w:rsidP="00EC349D">
                          <w:pPr>
                            <w:pStyle w:val="aff7"/>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192166" w:rsidRDefault="00192166" w:rsidP="00EC349D">
                          <w:pPr>
                            <w:pStyle w:val="aff7"/>
                            <w:jc w:val="right"/>
                            <w:rPr>
                              <w:rFonts w:ascii="Bookman Old Style" w:hAnsi="Bookman Old Style"/>
                              <w:color w:val="FFFFFF"/>
                              <w:sz w:val="20"/>
                              <w:szCs w:val="20"/>
                            </w:rPr>
                          </w:pPr>
                          <w:r>
                            <w:rPr>
                              <w:rFonts w:ascii="Bookman Old Style" w:hAnsi="Bookman Old Style"/>
                              <w:color w:val="FFFFFF"/>
                              <w:sz w:val="20"/>
                              <w:szCs w:val="20"/>
                            </w:rPr>
                            <w:t>31</w:t>
                          </w:r>
                          <w:r w:rsidRPr="00117AA6">
                            <w:rPr>
                              <w:rFonts w:ascii="Bookman Old Style" w:hAnsi="Bookman Old Style"/>
                              <w:color w:val="FFFFFF"/>
                              <w:sz w:val="20"/>
                              <w:szCs w:val="20"/>
                            </w:rPr>
                            <w:t>.</w:t>
                          </w:r>
                          <w:r>
                            <w:rPr>
                              <w:rFonts w:ascii="Bookman Old Style" w:hAnsi="Bookman Old Style"/>
                              <w:color w:val="FFFFFF"/>
                              <w:sz w:val="20"/>
                              <w:szCs w:val="20"/>
                            </w:rPr>
                            <w:t>08</w:t>
                          </w:r>
                          <w:r w:rsidRPr="00117AA6">
                            <w:rPr>
                              <w:rFonts w:ascii="Bookman Old Style" w:hAnsi="Bookman Old Style"/>
                              <w:color w:val="FFFFFF"/>
                              <w:sz w:val="20"/>
                              <w:szCs w:val="20"/>
                            </w:rPr>
                            <w:t>.201</w:t>
                          </w:r>
                          <w:r>
                            <w:rPr>
                              <w:rFonts w:ascii="Bookman Old Style" w:hAnsi="Bookman Old Style"/>
                              <w:color w:val="FFFFFF"/>
                              <w:sz w:val="20"/>
                              <w:szCs w:val="20"/>
                            </w:rPr>
                            <w:t>6</w:t>
                          </w:r>
                        </w:p>
                        <w:p w:rsidR="00192166" w:rsidRPr="009B7391" w:rsidRDefault="00192166" w:rsidP="00EC349D">
                          <w:pPr>
                            <w:pStyle w:val="aff7"/>
                            <w:jc w:val="right"/>
                            <w:rPr>
                              <w:color w:val="FFFFFF"/>
                            </w:rPr>
                          </w:pPr>
                          <w:r>
                            <w:rPr>
                              <w:rFonts w:ascii="Bookman Old Style" w:hAnsi="Bookman Old Style"/>
                              <w:color w:val="FFFFFF"/>
                              <w:sz w:val="20"/>
                              <w:szCs w:val="20"/>
                            </w:rPr>
                            <w:t>Экз. № 1.</w:t>
                          </w:r>
                        </w:p>
                        <w:p w:rsidR="00192166" w:rsidRPr="009B7391" w:rsidRDefault="00192166" w:rsidP="00EC349D">
                          <w:pPr>
                            <w:pStyle w:val="aff7"/>
                            <w:jc w:val="right"/>
                            <w:rPr>
                              <w:color w:val="FFFFFF"/>
                            </w:rPr>
                          </w:pPr>
                        </w:p>
                      </w:txbxContent>
                    </v:textbox>
                  </v:rect>
                </v:group>
                <w10:wrap anchorx="page" anchory="page"/>
              </v:group>
            </w:pict>
          </mc:Fallback>
        </mc:AlternateContent>
      </w:r>
    </w:p>
    <w:p w:rsidR="00EC349D" w:rsidRPr="00EC349D" w:rsidRDefault="00EC349D" w:rsidP="00EC349D">
      <w:pPr>
        <w:spacing w:after="200" w:line="276" w:lineRule="auto"/>
        <w:rPr>
          <w:rFonts w:ascii="Calibri" w:hAnsi="Calibri"/>
          <w:sz w:val="22"/>
          <w:szCs w:val="22"/>
        </w:rPr>
      </w:pPr>
    </w:p>
    <w:p w:rsidR="00EC349D" w:rsidRPr="00EC349D" w:rsidRDefault="0041217C" w:rsidP="00EC349D">
      <w:pPr>
        <w:spacing w:after="200" w:line="276" w:lineRule="auto"/>
        <w:rPr>
          <w:rFonts w:ascii="Calibri" w:hAnsi="Calibri"/>
          <w:sz w:val="22"/>
          <w:szCs w:val="22"/>
        </w:rPr>
      </w:pPr>
      <w:r>
        <w:rPr>
          <w:rFonts w:ascii="Calibri" w:hAnsi="Calibri"/>
          <w:noProof/>
          <w:sz w:val="22"/>
          <w:szCs w:val="22"/>
        </w:rPr>
        <mc:AlternateContent>
          <mc:Choice Requires="wps">
            <w:drawing>
              <wp:anchor distT="0" distB="0" distL="114300" distR="114300" simplePos="0" relativeHeight="251678208" behindDoc="0" locked="0" layoutInCell="1" allowOverlap="1" wp14:anchorId="41C3DDB1" wp14:editId="121C9523">
                <wp:simplePos x="0" y="0"/>
                <wp:positionH relativeFrom="column">
                  <wp:posOffset>3791585</wp:posOffset>
                </wp:positionH>
                <wp:positionV relativeFrom="paragraph">
                  <wp:posOffset>1203960</wp:posOffset>
                </wp:positionV>
                <wp:extent cx="1656080" cy="1644015"/>
                <wp:effectExtent l="7620" t="9525" r="12700" b="13335"/>
                <wp:wrapNone/>
                <wp:docPr id="46" name="AutoShape 2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6080" cy="1644015"/>
                        </a:xfrm>
                        <a:prstGeom prst="flowChartConnector">
                          <a:avLst/>
                        </a:prstGeom>
                        <a:solidFill>
                          <a:srgbClr val="D8D8D8"/>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02" o:spid="_x0000_s1026" type="#_x0000_t120" style="position:absolute;margin-left:298.55pt;margin-top:94.8pt;width:130.4pt;height:129.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" fillcolor="#d8d8d8" strokecolor="white">
                <o:lock v:ext="edit" aspectratio="t"/>
              </v:shape>
            </w:pict>
          </mc:Fallback>
        </mc:AlternateContent>
      </w:r>
      <w:r>
        <w:rPr>
          <w:rFonts w:ascii="Calibri" w:hAnsi="Calibri"/>
          <w:noProof/>
          <w:sz w:val="22"/>
          <w:szCs w:val="22"/>
        </w:rPr>
        <mc:AlternateContent>
          <mc:Choice Requires="wps">
            <w:drawing>
              <wp:anchor distT="0" distB="0" distL="114300" distR="114300" simplePos="0" relativeHeight="251679232" behindDoc="0" locked="0" layoutInCell="1" allowOverlap="1" wp14:anchorId="6D921E47" wp14:editId="19A07D56">
                <wp:simplePos x="0" y="0"/>
                <wp:positionH relativeFrom="column">
                  <wp:posOffset>3848735</wp:posOffset>
                </wp:positionH>
                <wp:positionV relativeFrom="paragraph">
                  <wp:posOffset>1566545</wp:posOffset>
                </wp:positionV>
                <wp:extent cx="1479550" cy="0"/>
                <wp:effectExtent l="7620" t="10160" r="8255" b="8890"/>
                <wp:wrapNone/>
                <wp:docPr id="45" name="Auto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9550"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3" o:spid="_x0000_s1026" type="#_x0000_t32" style="position:absolute;margin-left:303.05pt;margin-top:123.35pt;width:116.5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" strokecolor="#a5a5a5"/>
            </w:pict>
          </mc:Fallback>
        </mc:AlternateContent>
      </w:r>
    </w:p>
    <w:p w:rsidR="00EC349D" w:rsidRDefault="00A83D6B" w:rsidP="00A83D6B">
      <w:pPr>
        <w:rPr>
          <w:rFonts w:ascii="Bookman Old Style" w:hAnsi="Bookman Old Style"/>
          <w:sz w:val="20"/>
          <w:szCs w:val="20"/>
        </w:rPr>
      </w:pP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lastRenderedPageBreak/>
        <w:t>Конкурсному управляющему</w:t>
      </w: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t>ООО «Окно»</w:t>
      </w: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t>Епифановой Л.А</w:t>
      </w:r>
    </w:p>
    <w:p w:rsidR="000A4482" w:rsidRPr="000A4482" w:rsidRDefault="000A4482" w:rsidP="000A4482">
      <w:pPr>
        <w:autoSpaceDE w:val="0"/>
        <w:autoSpaceDN w:val="0"/>
        <w:adjustRightInd w:val="0"/>
        <w:jc w:val="center"/>
        <w:rPr>
          <w:rFonts w:ascii="Bookman Old Style" w:hAnsi="Bookman Old Style"/>
          <w:b/>
          <w:bCs/>
          <w:sz w:val="20"/>
          <w:szCs w:val="20"/>
        </w:rPr>
      </w:pPr>
    </w:p>
    <w:p w:rsidR="000A4482" w:rsidRPr="000A4482" w:rsidRDefault="000A4482" w:rsidP="000A4482">
      <w:pPr>
        <w:autoSpaceDE w:val="0"/>
        <w:autoSpaceDN w:val="0"/>
        <w:adjustRightInd w:val="0"/>
        <w:jc w:val="center"/>
        <w:rPr>
          <w:rFonts w:ascii="Bookman Old Style" w:hAnsi="Bookman Old Style"/>
          <w:b/>
          <w:bCs/>
          <w:sz w:val="20"/>
          <w:szCs w:val="20"/>
        </w:rPr>
      </w:pPr>
      <w:r w:rsidRPr="000A4482">
        <w:rPr>
          <w:rFonts w:ascii="Bookman Old Style" w:hAnsi="Bookman Old Style"/>
          <w:b/>
          <w:bCs/>
          <w:sz w:val="20"/>
          <w:szCs w:val="20"/>
        </w:rPr>
        <w:t>Уважаемая Лина Алексеевна!</w:t>
      </w:r>
    </w:p>
    <w:p w:rsidR="000A4482" w:rsidRPr="000A4482" w:rsidRDefault="000A4482" w:rsidP="000A4482">
      <w:pPr>
        <w:autoSpaceDE w:val="0"/>
        <w:autoSpaceDN w:val="0"/>
        <w:adjustRightInd w:val="0"/>
        <w:spacing w:before="120" w:after="120"/>
        <w:ind w:firstLine="709"/>
        <w:jc w:val="both"/>
        <w:rPr>
          <w:rFonts w:ascii="Bookman Old Style" w:hAnsi="Bookman Old Style"/>
          <w:sz w:val="20"/>
          <w:szCs w:val="20"/>
        </w:rPr>
      </w:pPr>
      <w:r w:rsidRPr="000A4482">
        <w:rPr>
          <w:rFonts w:ascii="Bookman Old Style" w:hAnsi="Bookman Old Style"/>
          <w:sz w:val="20"/>
          <w:szCs w:val="20"/>
        </w:rPr>
        <w:t>В соответствии с договором на проведение оценки:</w:t>
      </w:r>
    </w:p>
    <w:p w:rsidR="000A4482" w:rsidRPr="000A4482" w:rsidRDefault="000A4482" w:rsidP="005F04AC">
      <w:pPr>
        <w:numPr>
          <w:ilvl w:val="0"/>
          <w:numId w:val="51"/>
        </w:numPr>
        <w:spacing w:before="120" w:after="120"/>
        <w:jc w:val="both"/>
        <w:rPr>
          <w:rFonts w:ascii="Bookman Old Style" w:hAnsi="Bookman Old Style"/>
          <w:sz w:val="20"/>
          <w:szCs w:val="20"/>
        </w:rPr>
      </w:pPr>
      <w:bookmarkStart w:id="0" w:name="_Toc219279613"/>
      <w:r w:rsidRPr="000A4482">
        <w:rPr>
          <w:rFonts w:ascii="Bookman Old Style" w:hAnsi="Bookman Old Style"/>
          <w:sz w:val="20"/>
          <w:szCs w:val="20"/>
        </w:rPr>
        <w:t>№ 09/08-16 от «09» августа 2016 года</w:t>
      </w:r>
      <w:r w:rsidRPr="000A4482">
        <w:rPr>
          <w:rFonts w:ascii="Bookman Old Style" w:hAnsi="Bookman Old Style"/>
          <w:bCs/>
          <w:sz w:val="20"/>
          <w:szCs w:val="20"/>
        </w:rPr>
        <w:t>;</w:t>
      </w:r>
      <w:bookmarkEnd w:id="0"/>
      <w:r w:rsidRPr="000A4482">
        <w:rPr>
          <w:rFonts w:ascii="Bookman Old Style" w:hAnsi="Bookman Old Style"/>
          <w:bCs/>
          <w:sz w:val="20"/>
          <w:szCs w:val="20"/>
        </w:rPr>
        <w:t xml:space="preserve">  </w:t>
      </w:r>
    </w:p>
    <w:p w:rsidR="000A4482" w:rsidRPr="000A4482" w:rsidRDefault="000A4482" w:rsidP="000A4482">
      <w:pPr>
        <w:spacing w:before="120" w:after="120"/>
        <w:ind w:left="708"/>
        <w:jc w:val="both"/>
        <w:rPr>
          <w:rFonts w:ascii="Bookman Old Style" w:hAnsi="Bookman Old Style"/>
          <w:sz w:val="20"/>
          <w:szCs w:val="20"/>
        </w:rPr>
      </w:pPr>
      <w:r w:rsidRPr="000A4482">
        <w:rPr>
          <w:rFonts w:ascii="Bookman Old Style" w:hAnsi="Bookman Old Style"/>
          <w:sz w:val="20"/>
          <w:szCs w:val="20"/>
        </w:rPr>
        <w:t>и заданием на оценку:</w:t>
      </w:r>
    </w:p>
    <w:p w:rsidR="000A4482" w:rsidRPr="000A4482" w:rsidRDefault="000A4482" w:rsidP="005F04AC">
      <w:pPr>
        <w:numPr>
          <w:ilvl w:val="0"/>
          <w:numId w:val="51"/>
        </w:numPr>
        <w:spacing w:before="120" w:after="120"/>
        <w:jc w:val="both"/>
        <w:rPr>
          <w:rFonts w:ascii="Bookman Old Style" w:hAnsi="Bookman Old Style"/>
          <w:bCs/>
          <w:color w:val="000000" w:themeColor="text1"/>
          <w:sz w:val="20"/>
          <w:szCs w:val="20"/>
        </w:rPr>
      </w:pPr>
      <w:bookmarkStart w:id="1" w:name="_Toc219279614"/>
      <w:r w:rsidRPr="000A4482">
        <w:rPr>
          <w:rFonts w:ascii="Bookman Old Style" w:hAnsi="Bookman Old Style"/>
          <w:bCs/>
          <w:color w:val="000000" w:themeColor="text1"/>
          <w:sz w:val="20"/>
          <w:szCs w:val="20"/>
        </w:rPr>
        <w:t>приложение № 1 к договору № 09/08-16 от «09» августа 2016 года;</w:t>
      </w:r>
      <w:bookmarkEnd w:id="1"/>
      <w:r w:rsidRPr="000A4482">
        <w:rPr>
          <w:rFonts w:ascii="Bookman Old Style" w:hAnsi="Bookman Old Style"/>
          <w:bCs/>
          <w:color w:val="000000" w:themeColor="text1"/>
          <w:sz w:val="20"/>
          <w:szCs w:val="20"/>
        </w:rPr>
        <w:t xml:space="preserve"> </w:t>
      </w:r>
    </w:p>
    <w:p w:rsidR="000A4482" w:rsidRPr="000A4482" w:rsidRDefault="000A4482" w:rsidP="000A4482">
      <w:pPr>
        <w:autoSpaceDE w:val="0"/>
        <w:autoSpaceDN w:val="0"/>
        <w:adjustRightInd w:val="0"/>
        <w:spacing w:before="120" w:after="120"/>
        <w:ind w:firstLine="708"/>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заключенным между Вам</w:t>
      </w:r>
      <w:proofErr w:type="gramStart"/>
      <w:r w:rsidRPr="000A4482">
        <w:rPr>
          <w:rFonts w:ascii="Bookman Old Style" w:hAnsi="Bookman Old Style"/>
          <w:color w:val="000000" w:themeColor="text1"/>
          <w:sz w:val="20"/>
          <w:szCs w:val="20"/>
        </w:rPr>
        <w:t>и и ООО</w:t>
      </w:r>
      <w:proofErr w:type="gramEnd"/>
      <w:r w:rsidRPr="000A4482">
        <w:rPr>
          <w:rFonts w:ascii="Bookman Old Style" w:hAnsi="Bookman Old Style"/>
          <w:color w:val="000000" w:themeColor="text1"/>
          <w:sz w:val="20"/>
          <w:szCs w:val="20"/>
        </w:rPr>
        <w:t xml:space="preserve"> «АОС «Золотое правило», в лице генерального директора Золотарева О.С., был проведен расчет рыночной стоимости Объекта оценки.</w:t>
      </w:r>
    </w:p>
    <w:p w:rsidR="000A4482" w:rsidRPr="000A4482" w:rsidRDefault="000A4482" w:rsidP="000A4482">
      <w:pPr>
        <w:autoSpaceDE w:val="0"/>
        <w:autoSpaceDN w:val="0"/>
        <w:adjustRightInd w:val="0"/>
        <w:spacing w:before="120" w:after="120"/>
        <w:ind w:firstLine="708"/>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 xml:space="preserve">Объект оценки: </w:t>
      </w:r>
    </w:p>
    <w:p w:rsidR="005F178F" w:rsidRPr="00023975" w:rsidRDefault="005F178F" w:rsidP="005F178F">
      <w:pPr>
        <w:autoSpaceDE w:val="0"/>
        <w:autoSpaceDN w:val="0"/>
        <w:adjustRightInd w:val="0"/>
        <w:spacing w:before="120" w:after="120"/>
        <w:ind w:left="720"/>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Недвижимое и движимое имуществ</w:t>
      </w:r>
      <w:proofErr w:type="gramStart"/>
      <w:r w:rsidRPr="00023975">
        <w:rPr>
          <w:rFonts w:ascii="Bookman Old Style" w:hAnsi="Bookman Old Style"/>
          <w:color w:val="000000" w:themeColor="text1"/>
          <w:sz w:val="20"/>
          <w:szCs w:val="20"/>
        </w:rPr>
        <w:t>о ООО</w:t>
      </w:r>
      <w:proofErr w:type="gramEnd"/>
      <w:r w:rsidRPr="00023975">
        <w:rPr>
          <w:rFonts w:ascii="Bookman Old Style" w:hAnsi="Bookman Old Style"/>
          <w:color w:val="000000" w:themeColor="text1"/>
          <w:sz w:val="20"/>
          <w:szCs w:val="20"/>
        </w:rPr>
        <w:t xml:space="preserve"> «Окно», находящееся в залоге у </w:t>
      </w:r>
      <w:r w:rsidRPr="00091921">
        <w:rPr>
          <w:rFonts w:ascii="Bookman Old Style" w:hAnsi="Bookman Old Style"/>
          <w:color w:val="000000" w:themeColor="text1"/>
          <w:sz w:val="20"/>
          <w:szCs w:val="20"/>
        </w:rPr>
        <w:t>АКБ «</w:t>
      </w:r>
      <w:proofErr w:type="spellStart"/>
      <w:r w:rsidRPr="00091921">
        <w:rPr>
          <w:rFonts w:ascii="Bookman Old Style" w:hAnsi="Bookman Old Style"/>
          <w:color w:val="000000" w:themeColor="text1"/>
          <w:sz w:val="20"/>
          <w:szCs w:val="20"/>
        </w:rPr>
        <w:t>Ланта</w:t>
      </w:r>
      <w:proofErr w:type="spellEnd"/>
      <w:r w:rsidRPr="00091921">
        <w:rPr>
          <w:rFonts w:ascii="Bookman Old Style" w:hAnsi="Bookman Old Style"/>
          <w:color w:val="000000" w:themeColor="text1"/>
          <w:sz w:val="20"/>
          <w:szCs w:val="20"/>
        </w:rPr>
        <w:t>-Банк»</w:t>
      </w:r>
      <w:r w:rsidRPr="00023975">
        <w:rPr>
          <w:rFonts w:ascii="Bookman Old Style" w:hAnsi="Bookman Old Style"/>
          <w:color w:val="000000" w:themeColor="text1"/>
          <w:sz w:val="20"/>
          <w:szCs w:val="20"/>
        </w:rPr>
        <w:t>, в составе элементов:</w:t>
      </w:r>
    </w:p>
    <w:p w:rsidR="005F178F" w:rsidRPr="00091921" w:rsidRDefault="005F178F" w:rsidP="005F04AC">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Помещение, назначение: нежилое, общая площадь 525,6 кв.м., этаж №1, адрес:  г. Красноярск,  ул. Айвазовского 37 «А», стр. 2, пом. 1, Кадастровый номер: 24:50:0500203:461</w:t>
      </w:r>
    </w:p>
    <w:p w:rsidR="005F178F" w:rsidRPr="00091921" w:rsidRDefault="005F178F" w:rsidP="005F04AC">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Общая долевая собственность, доля в праве ½</w:t>
      </w:r>
      <w:proofErr w:type="gramStart"/>
      <w:r w:rsidRPr="00091921">
        <w:rPr>
          <w:rFonts w:ascii="Bookman Old Style" w:hAnsi="Bookman Old Style"/>
          <w:color w:val="000000" w:themeColor="text1"/>
          <w:sz w:val="20"/>
          <w:szCs w:val="20"/>
        </w:rPr>
        <w:t xml:space="preserve"> ,</w:t>
      </w:r>
      <w:proofErr w:type="gramEnd"/>
      <w:r w:rsidRPr="00091921">
        <w:rPr>
          <w:rFonts w:ascii="Bookman Old Style" w:hAnsi="Bookman Old Style"/>
          <w:color w:val="000000" w:themeColor="text1"/>
          <w:sz w:val="20"/>
          <w:szCs w:val="20"/>
        </w:rPr>
        <w:t xml:space="preserve"> Земельный участок, категория земель: земли населенных пунктов, Общая площадь 1181 кв. м., адрес : г. Красноярск, ул. Айвазовского, 37 «А»</w:t>
      </w:r>
      <w:r>
        <w:rPr>
          <w:rFonts w:ascii="Bookman Old Style" w:hAnsi="Bookman Old Style"/>
          <w:color w:val="000000" w:themeColor="text1"/>
          <w:sz w:val="20"/>
          <w:szCs w:val="20"/>
        </w:rPr>
        <w:t>.</w:t>
      </w:r>
      <w:r w:rsidRPr="00091921">
        <w:rPr>
          <w:rFonts w:ascii="Bookman Old Style" w:hAnsi="Bookman Old Style"/>
          <w:color w:val="000000" w:themeColor="text1"/>
          <w:sz w:val="20"/>
          <w:szCs w:val="20"/>
        </w:rPr>
        <w:t xml:space="preserve"> </w:t>
      </w:r>
      <w:r>
        <w:rPr>
          <w:rFonts w:ascii="Bookman Old Style" w:hAnsi="Bookman Old Style"/>
          <w:color w:val="000000" w:themeColor="text1"/>
          <w:sz w:val="20"/>
          <w:szCs w:val="20"/>
        </w:rPr>
        <w:t>К</w:t>
      </w:r>
      <w:r w:rsidRPr="00091921">
        <w:rPr>
          <w:rFonts w:ascii="Bookman Old Style" w:hAnsi="Bookman Old Style"/>
          <w:color w:val="000000" w:themeColor="text1"/>
          <w:sz w:val="20"/>
          <w:szCs w:val="20"/>
        </w:rPr>
        <w:t>адастровый номер: 24:50:0500203:15;</w:t>
      </w:r>
    </w:p>
    <w:p w:rsidR="000A4482" w:rsidRPr="000A4482" w:rsidRDefault="005F178F" w:rsidP="005F04AC">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 xml:space="preserve">Стойка 150 мм*4м, </w:t>
      </w:r>
      <w:proofErr w:type="spellStart"/>
      <w:r w:rsidRPr="00091921">
        <w:rPr>
          <w:rFonts w:ascii="Bookman Old Style" w:hAnsi="Bookman Old Style"/>
          <w:color w:val="000000" w:themeColor="text1"/>
          <w:sz w:val="20"/>
          <w:szCs w:val="20"/>
        </w:rPr>
        <w:t>Naturall</w:t>
      </w:r>
      <w:proofErr w:type="spellEnd"/>
      <w:r w:rsidRPr="00091921">
        <w:rPr>
          <w:rFonts w:ascii="Bookman Old Style" w:hAnsi="Bookman Old Style"/>
          <w:color w:val="000000" w:themeColor="text1"/>
          <w:sz w:val="20"/>
          <w:szCs w:val="20"/>
        </w:rPr>
        <w:t xml:space="preserve"> </w:t>
      </w:r>
      <w:proofErr w:type="spellStart"/>
      <w:r w:rsidRPr="00091921">
        <w:rPr>
          <w:rFonts w:ascii="Bookman Old Style" w:hAnsi="Bookman Old Style"/>
          <w:color w:val="000000" w:themeColor="text1"/>
          <w:sz w:val="20"/>
          <w:szCs w:val="20"/>
        </w:rPr>
        <w:t>Noce</w:t>
      </w:r>
      <w:proofErr w:type="spellEnd"/>
      <w:r w:rsidRPr="00091921">
        <w:rPr>
          <w:rFonts w:ascii="Bookman Old Style" w:hAnsi="Bookman Old Style"/>
          <w:color w:val="000000" w:themeColor="text1"/>
          <w:sz w:val="20"/>
          <w:szCs w:val="20"/>
        </w:rPr>
        <w:t xml:space="preserve"> </w:t>
      </w:r>
      <w:proofErr w:type="spellStart"/>
      <w:r w:rsidRPr="00091921">
        <w:rPr>
          <w:rFonts w:ascii="Bookman Old Style" w:hAnsi="Bookman Old Style"/>
          <w:color w:val="000000" w:themeColor="text1"/>
          <w:sz w:val="20"/>
          <w:szCs w:val="20"/>
        </w:rPr>
        <w:t>Scuro</w:t>
      </w:r>
      <w:proofErr w:type="spellEnd"/>
      <w:r w:rsidRPr="00091921">
        <w:rPr>
          <w:rFonts w:ascii="Bookman Old Style" w:hAnsi="Bookman Old Style"/>
          <w:color w:val="000000" w:themeColor="text1"/>
          <w:sz w:val="20"/>
          <w:szCs w:val="20"/>
        </w:rPr>
        <w:t xml:space="preserve"> в количестве 200 штук</w:t>
      </w:r>
    </w:p>
    <w:p w:rsidR="000A4482" w:rsidRPr="000A4482" w:rsidRDefault="000A4482" w:rsidP="000A4482">
      <w:pPr>
        <w:autoSpaceDE w:val="0"/>
        <w:autoSpaceDN w:val="0"/>
        <w:adjustRightInd w:val="0"/>
        <w:spacing w:before="120" w:after="120"/>
        <w:ind w:firstLine="709"/>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Дата оценки: «26» августа 2016 года.</w:t>
      </w:r>
    </w:p>
    <w:p w:rsidR="000A4482" w:rsidRPr="000A4482" w:rsidRDefault="000A4482" w:rsidP="000A4482">
      <w:pPr>
        <w:spacing w:before="120" w:after="120"/>
        <w:ind w:firstLine="708"/>
        <w:jc w:val="both"/>
        <w:rPr>
          <w:rFonts w:ascii="Bookman Old Style" w:hAnsi="Bookman Old Style"/>
          <w:sz w:val="20"/>
          <w:szCs w:val="20"/>
        </w:rPr>
      </w:pPr>
      <w:r w:rsidRPr="000A4482">
        <w:rPr>
          <w:rFonts w:ascii="Bookman Old Style" w:hAnsi="Bookman Old Style"/>
          <w:sz w:val="20"/>
          <w:szCs w:val="20"/>
        </w:rPr>
        <w:t xml:space="preserve">Целью и задачей оценки является: 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 </w:t>
      </w:r>
    </w:p>
    <w:p w:rsidR="000A4482" w:rsidRPr="000A4482" w:rsidRDefault="000A4482" w:rsidP="000A4482">
      <w:pPr>
        <w:spacing w:before="120" w:after="120"/>
        <w:ind w:firstLine="708"/>
        <w:jc w:val="both"/>
        <w:rPr>
          <w:rFonts w:ascii="Bookman Old Style" w:hAnsi="Bookman Old Style"/>
          <w:b/>
          <w:bCs/>
          <w:sz w:val="20"/>
          <w:szCs w:val="20"/>
        </w:rPr>
      </w:pPr>
      <w:r w:rsidRPr="000A4482">
        <w:rPr>
          <w:rFonts w:ascii="Bookman Old Style" w:hAnsi="Bookman Old Style"/>
          <w:sz w:val="20"/>
          <w:szCs w:val="20"/>
        </w:rPr>
        <w:t>Развернутая характеристика Объекта оценки представлена в Отчете об оценке. Отдельные части оценки не могут трактоваться раздельно, а только в связи с полным текстом Отчета, принимая во внимание все содержащиеся в нем допущения и ограничения. Проведенные исследования позволяют сделать вывод о величине рыночной стоимости Объекта оценки, которая составляет на Дату оценки:</w:t>
      </w:r>
      <w:r w:rsidRPr="000A4482">
        <w:rPr>
          <w:rFonts w:ascii="Bookman Old Style" w:hAnsi="Bookman Old Style"/>
          <w:b/>
          <w:bCs/>
          <w:sz w:val="20"/>
          <w:szCs w:val="20"/>
        </w:rPr>
        <w:t xml:space="preserve"> </w:t>
      </w:r>
    </w:p>
    <w:p w:rsidR="005F178F" w:rsidRPr="00F5295A" w:rsidRDefault="00192166" w:rsidP="005F178F">
      <w:pPr>
        <w:autoSpaceDE w:val="0"/>
        <w:autoSpaceDN w:val="0"/>
        <w:adjustRightInd w:val="0"/>
        <w:spacing w:before="120" w:after="120"/>
        <w:jc w:val="center"/>
        <w:rPr>
          <w:rFonts w:ascii="Bookman Old Style" w:hAnsi="Bookman Old Style"/>
          <w:b/>
          <w:sz w:val="20"/>
          <w:szCs w:val="20"/>
        </w:rPr>
      </w:pPr>
      <w:r w:rsidRPr="00192166">
        <w:rPr>
          <w:rFonts w:ascii="Bookman Old Style" w:hAnsi="Bookman Old Style"/>
          <w:b/>
          <w:sz w:val="20"/>
          <w:szCs w:val="20"/>
        </w:rPr>
        <w:t>7 743 100, семь миллионов семьсот сорок три тысячи сто рублей</w:t>
      </w:r>
      <w:r w:rsidR="005F178F" w:rsidRPr="00C10AB8">
        <w:rPr>
          <w:rFonts w:ascii="Bookman Old Style" w:hAnsi="Bookman Old Style"/>
          <w:b/>
          <w:sz w:val="20"/>
          <w:szCs w:val="20"/>
        </w:rPr>
        <w:t xml:space="preserve">, </w:t>
      </w:r>
      <w:r w:rsidR="005F178F">
        <w:rPr>
          <w:rFonts w:ascii="Bookman Old Style" w:hAnsi="Bookman Old Style"/>
          <w:b/>
          <w:sz w:val="20"/>
          <w:szCs w:val="20"/>
        </w:rPr>
        <w:t>в том числе</w:t>
      </w:r>
      <w:r w:rsidR="005F178F" w:rsidRPr="00C10AB8">
        <w:rPr>
          <w:rFonts w:ascii="Bookman Old Style" w:hAnsi="Bookman Old Style"/>
          <w:b/>
          <w:bCs/>
          <w:sz w:val="20"/>
          <w:szCs w:val="20"/>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229"/>
        <w:gridCol w:w="2268"/>
      </w:tblGrid>
      <w:tr w:rsidR="005F178F" w:rsidRPr="00023975" w:rsidTr="00192166">
        <w:trPr>
          <w:cantSplit/>
          <w:trHeight w:val="284"/>
        </w:trPr>
        <w:tc>
          <w:tcPr>
            <w:tcW w:w="534" w:type="dxa"/>
            <w:shd w:val="clear" w:color="auto" w:fill="F2F2F2" w:themeFill="background1" w:themeFillShade="F2"/>
            <w:vAlign w:val="center"/>
            <w:hideMark/>
          </w:tcPr>
          <w:p w:rsidR="005F178F" w:rsidRPr="00023975" w:rsidRDefault="005F178F" w:rsidP="00192166">
            <w:pPr>
              <w:jc w:val="center"/>
              <w:rPr>
                <w:rFonts w:asciiTheme="majorHAnsi" w:hAnsiTheme="majorHAnsi"/>
                <w:b/>
                <w:bCs/>
                <w:color w:val="000000"/>
                <w:sz w:val="18"/>
                <w:szCs w:val="18"/>
              </w:rPr>
            </w:pPr>
            <w:r w:rsidRPr="00023975">
              <w:rPr>
                <w:rFonts w:asciiTheme="majorHAnsi" w:hAnsiTheme="majorHAnsi"/>
                <w:b/>
                <w:bCs/>
                <w:color w:val="000000"/>
                <w:sz w:val="18"/>
                <w:szCs w:val="18"/>
              </w:rPr>
              <w:t xml:space="preserve">№ </w:t>
            </w:r>
            <w:proofErr w:type="spellStart"/>
            <w:r w:rsidRPr="00023975">
              <w:rPr>
                <w:rFonts w:asciiTheme="majorHAnsi" w:hAnsiTheme="majorHAnsi"/>
                <w:b/>
                <w:bCs/>
                <w:color w:val="000000"/>
                <w:sz w:val="18"/>
                <w:szCs w:val="18"/>
              </w:rPr>
              <w:t>п.п</w:t>
            </w:r>
            <w:proofErr w:type="spellEnd"/>
            <w:r w:rsidRPr="00023975">
              <w:rPr>
                <w:rFonts w:asciiTheme="majorHAnsi" w:hAnsiTheme="majorHAnsi"/>
                <w:b/>
                <w:bCs/>
                <w:color w:val="000000"/>
                <w:sz w:val="18"/>
                <w:szCs w:val="18"/>
              </w:rPr>
              <w:t>.</w:t>
            </w:r>
          </w:p>
        </w:tc>
        <w:tc>
          <w:tcPr>
            <w:tcW w:w="7229" w:type="dxa"/>
            <w:shd w:val="clear" w:color="auto" w:fill="F2F2F2" w:themeFill="background1" w:themeFillShade="F2"/>
            <w:vAlign w:val="center"/>
            <w:hideMark/>
          </w:tcPr>
          <w:p w:rsidR="005F178F" w:rsidRPr="00023975" w:rsidRDefault="005F178F" w:rsidP="00192166">
            <w:pPr>
              <w:jc w:val="center"/>
              <w:rPr>
                <w:rFonts w:asciiTheme="majorHAnsi" w:hAnsiTheme="majorHAnsi"/>
                <w:b/>
                <w:bCs/>
                <w:color w:val="000000"/>
                <w:sz w:val="18"/>
                <w:szCs w:val="18"/>
              </w:rPr>
            </w:pPr>
            <w:r w:rsidRPr="00023975">
              <w:rPr>
                <w:rFonts w:asciiTheme="majorHAnsi" w:hAnsiTheme="majorHAnsi"/>
                <w:b/>
                <w:bCs/>
                <w:color w:val="000000"/>
                <w:sz w:val="18"/>
                <w:szCs w:val="18"/>
              </w:rPr>
              <w:t>Элемент Объекта оценки</w:t>
            </w:r>
          </w:p>
        </w:tc>
        <w:tc>
          <w:tcPr>
            <w:tcW w:w="2268" w:type="dxa"/>
            <w:shd w:val="clear" w:color="auto" w:fill="F2F2F2" w:themeFill="background1" w:themeFillShade="F2"/>
            <w:vAlign w:val="center"/>
          </w:tcPr>
          <w:p w:rsidR="005F178F" w:rsidRPr="00023975" w:rsidRDefault="005F178F" w:rsidP="00192166">
            <w:pPr>
              <w:jc w:val="center"/>
              <w:rPr>
                <w:rFonts w:asciiTheme="majorHAnsi" w:hAnsiTheme="majorHAnsi"/>
                <w:b/>
                <w:color w:val="000000"/>
                <w:sz w:val="18"/>
                <w:szCs w:val="18"/>
                <w:highlight w:val="yellow"/>
              </w:rPr>
            </w:pPr>
            <w:r w:rsidRPr="00023975">
              <w:rPr>
                <w:rFonts w:asciiTheme="majorHAnsi" w:hAnsiTheme="majorHAnsi"/>
                <w:b/>
                <w:color w:val="000000"/>
                <w:sz w:val="18"/>
                <w:szCs w:val="18"/>
              </w:rPr>
              <w:t>Рыночная стоимость элемента Объекта оценки, руб. НДС не облагается</w:t>
            </w:r>
          </w:p>
        </w:tc>
      </w:tr>
      <w:tr w:rsidR="00192166" w:rsidRPr="00023975" w:rsidTr="00192166">
        <w:trPr>
          <w:cantSplit/>
          <w:trHeight w:val="284"/>
        </w:trPr>
        <w:tc>
          <w:tcPr>
            <w:tcW w:w="534" w:type="dxa"/>
            <w:shd w:val="clear" w:color="auto" w:fill="auto"/>
            <w:noWrap/>
            <w:vAlign w:val="center"/>
          </w:tcPr>
          <w:p w:rsidR="00192166" w:rsidRPr="00023975" w:rsidRDefault="00192166" w:rsidP="00192166">
            <w:pPr>
              <w:jc w:val="center"/>
              <w:rPr>
                <w:rFonts w:asciiTheme="majorHAnsi" w:hAnsiTheme="majorHAnsi"/>
                <w:color w:val="000000"/>
                <w:sz w:val="18"/>
                <w:szCs w:val="18"/>
              </w:rPr>
            </w:pPr>
            <w:r w:rsidRPr="00023975">
              <w:rPr>
                <w:rFonts w:asciiTheme="majorHAnsi" w:hAnsiTheme="majorHAnsi"/>
                <w:color w:val="000000"/>
                <w:sz w:val="18"/>
                <w:szCs w:val="18"/>
              </w:rPr>
              <w:t>1</w:t>
            </w:r>
          </w:p>
        </w:tc>
        <w:tc>
          <w:tcPr>
            <w:tcW w:w="7229" w:type="dxa"/>
            <w:shd w:val="clear" w:color="auto" w:fill="auto"/>
            <w:noWrap/>
          </w:tcPr>
          <w:p w:rsidR="00192166" w:rsidRPr="00091921" w:rsidRDefault="00192166" w:rsidP="00192166">
            <w:pPr>
              <w:rPr>
                <w:rFonts w:asciiTheme="majorHAnsi" w:hAnsiTheme="majorHAnsi"/>
                <w:sz w:val="18"/>
                <w:szCs w:val="18"/>
              </w:rPr>
            </w:pPr>
            <w:r w:rsidRPr="00091921">
              <w:rPr>
                <w:rFonts w:asciiTheme="majorHAnsi" w:hAnsiTheme="majorHAnsi"/>
                <w:sz w:val="18"/>
                <w:szCs w:val="18"/>
              </w:rPr>
              <w:t>Помещение, назначение: нежилое, общая площадь 525,6 кв.м., этаж №1, адрес:  г. Красноярск,  ул. Айвазовского 37 «А», стр. 2, пом. 1, Кадастровый номер: 24:50:0500203:461</w:t>
            </w:r>
          </w:p>
        </w:tc>
        <w:tc>
          <w:tcPr>
            <w:tcW w:w="2268" w:type="dxa"/>
            <w:vAlign w:val="center"/>
          </w:tcPr>
          <w:p w:rsidR="00192166" w:rsidRDefault="00192166" w:rsidP="00192166">
            <w:pPr>
              <w:jc w:val="right"/>
              <w:rPr>
                <w:rFonts w:ascii="Cambria" w:hAnsi="Cambria"/>
                <w:color w:val="000000"/>
                <w:sz w:val="18"/>
                <w:szCs w:val="18"/>
              </w:rPr>
            </w:pPr>
            <w:r>
              <w:rPr>
                <w:rFonts w:ascii="Cambria" w:hAnsi="Cambria"/>
                <w:color w:val="000000"/>
                <w:sz w:val="18"/>
                <w:szCs w:val="18"/>
              </w:rPr>
              <w:t>7 490 300</w:t>
            </w:r>
          </w:p>
        </w:tc>
      </w:tr>
      <w:tr w:rsidR="00192166" w:rsidRPr="00023975" w:rsidTr="00192166">
        <w:trPr>
          <w:cantSplit/>
          <w:trHeight w:val="284"/>
        </w:trPr>
        <w:tc>
          <w:tcPr>
            <w:tcW w:w="534" w:type="dxa"/>
            <w:shd w:val="clear" w:color="auto" w:fill="auto"/>
            <w:noWrap/>
            <w:vAlign w:val="center"/>
          </w:tcPr>
          <w:p w:rsidR="00192166" w:rsidRPr="00023975" w:rsidRDefault="00192166" w:rsidP="00192166">
            <w:pPr>
              <w:jc w:val="center"/>
              <w:rPr>
                <w:rFonts w:asciiTheme="majorHAnsi" w:hAnsiTheme="majorHAnsi"/>
                <w:color w:val="000000"/>
                <w:sz w:val="18"/>
                <w:szCs w:val="18"/>
              </w:rPr>
            </w:pPr>
            <w:r w:rsidRPr="00023975">
              <w:rPr>
                <w:rFonts w:asciiTheme="majorHAnsi" w:hAnsiTheme="majorHAnsi"/>
                <w:color w:val="000000"/>
                <w:sz w:val="18"/>
                <w:szCs w:val="18"/>
              </w:rPr>
              <w:t>2</w:t>
            </w:r>
          </w:p>
        </w:tc>
        <w:tc>
          <w:tcPr>
            <w:tcW w:w="7229" w:type="dxa"/>
            <w:shd w:val="clear" w:color="auto" w:fill="auto"/>
            <w:noWrap/>
          </w:tcPr>
          <w:p w:rsidR="00192166" w:rsidRPr="00091921" w:rsidRDefault="00192166" w:rsidP="00192166">
            <w:pPr>
              <w:rPr>
                <w:rFonts w:asciiTheme="majorHAnsi" w:hAnsiTheme="majorHAnsi"/>
                <w:sz w:val="18"/>
                <w:szCs w:val="18"/>
              </w:rPr>
            </w:pPr>
            <w:r w:rsidRPr="00091921">
              <w:rPr>
                <w:rFonts w:asciiTheme="majorHAnsi" w:hAnsiTheme="majorHAnsi"/>
                <w:sz w:val="18"/>
                <w:szCs w:val="18"/>
              </w:rPr>
              <w:t>Общая долевая собственность, доля в праве ½</w:t>
            </w:r>
            <w:proofErr w:type="gramStart"/>
            <w:r w:rsidRPr="00091921">
              <w:rPr>
                <w:rFonts w:asciiTheme="majorHAnsi" w:hAnsiTheme="majorHAnsi"/>
                <w:sz w:val="18"/>
                <w:szCs w:val="18"/>
              </w:rPr>
              <w:t xml:space="preserve"> ,</w:t>
            </w:r>
            <w:proofErr w:type="gramEnd"/>
            <w:r w:rsidRPr="00091921">
              <w:rPr>
                <w:rFonts w:asciiTheme="majorHAnsi" w:hAnsiTheme="majorHAnsi"/>
                <w:sz w:val="18"/>
                <w:szCs w:val="18"/>
              </w:rPr>
              <w:t xml:space="preserve"> Земельный участок, категория земель: земли населенных пунктов, Общая площадь 1181 кв. м., адрес : г. Красноярск, ул. Айвазовского, 37 «А»</w:t>
            </w:r>
            <w:r>
              <w:rPr>
                <w:rFonts w:asciiTheme="majorHAnsi" w:hAnsiTheme="majorHAnsi"/>
                <w:sz w:val="18"/>
                <w:szCs w:val="18"/>
              </w:rPr>
              <w:t>. К</w:t>
            </w:r>
            <w:r w:rsidRPr="00091921">
              <w:rPr>
                <w:rFonts w:asciiTheme="majorHAnsi" w:hAnsiTheme="majorHAnsi"/>
                <w:sz w:val="18"/>
                <w:szCs w:val="18"/>
              </w:rPr>
              <w:t>адастровый номер: 24:50:0500203:15;</w:t>
            </w:r>
          </w:p>
        </w:tc>
        <w:tc>
          <w:tcPr>
            <w:tcW w:w="2268" w:type="dxa"/>
            <w:vAlign w:val="center"/>
          </w:tcPr>
          <w:p w:rsidR="00192166" w:rsidRDefault="00192166" w:rsidP="00192166">
            <w:pPr>
              <w:jc w:val="right"/>
              <w:rPr>
                <w:rFonts w:ascii="Cambria" w:hAnsi="Cambria"/>
                <w:color w:val="000000"/>
                <w:sz w:val="18"/>
                <w:szCs w:val="18"/>
              </w:rPr>
            </w:pPr>
            <w:r>
              <w:rPr>
                <w:rFonts w:ascii="Cambria" w:hAnsi="Cambria"/>
                <w:color w:val="000000"/>
                <w:sz w:val="18"/>
                <w:szCs w:val="18"/>
              </w:rPr>
              <w:t>95 400,00</w:t>
            </w:r>
          </w:p>
        </w:tc>
      </w:tr>
      <w:tr w:rsidR="00192166" w:rsidRPr="00023975" w:rsidTr="00192166">
        <w:trPr>
          <w:cantSplit/>
          <w:trHeight w:val="284"/>
        </w:trPr>
        <w:tc>
          <w:tcPr>
            <w:tcW w:w="534" w:type="dxa"/>
            <w:shd w:val="clear" w:color="auto" w:fill="auto"/>
            <w:noWrap/>
            <w:vAlign w:val="center"/>
          </w:tcPr>
          <w:p w:rsidR="00192166" w:rsidRPr="00023975" w:rsidRDefault="00192166" w:rsidP="00192166">
            <w:pPr>
              <w:jc w:val="center"/>
              <w:rPr>
                <w:rFonts w:asciiTheme="majorHAnsi" w:hAnsiTheme="majorHAnsi"/>
                <w:color w:val="000000"/>
                <w:sz w:val="18"/>
                <w:szCs w:val="18"/>
              </w:rPr>
            </w:pPr>
            <w:r w:rsidRPr="00023975">
              <w:rPr>
                <w:rFonts w:asciiTheme="majorHAnsi" w:hAnsiTheme="majorHAnsi"/>
                <w:color w:val="000000"/>
                <w:sz w:val="18"/>
                <w:szCs w:val="18"/>
              </w:rPr>
              <w:t>3</w:t>
            </w:r>
          </w:p>
        </w:tc>
        <w:tc>
          <w:tcPr>
            <w:tcW w:w="7229" w:type="dxa"/>
            <w:shd w:val="clear" w:color="auto" w:fill="auto"/>
            <w:noWrap/>
            <w:vAlign w:val="center"/>
          </w:tcPr>
          <w:p w:rsidR="00192166" w:rsidRPr="00091921" w:rsidRDefault="00192166" w:rsidP="00192166">
            <w:pPr>
              <w:rPr>
                <w:rFonts w:asciiTheme="majorHAnsi" w:hAnsiTheme="majorHAnsi"/>
                <w:sz w:val="18"/>
                <w:szCs w:val="18"/>
              </w:rPr>
            </w:pPr>
            <w:r w:rsidRPr="00091921">
              <w:rPr>
                <w:rFonts w:asciiTheme="majorHAnsi" w:hAnsiTheme="majorHAnsi"/>
                <w:sz w:val="18"/>
                <w:szCs w:val="18"/>
              </w:rPr>
              <w:t xml:space="preserve">Стойка 150 мм*4м, </w:t>
            </w:r>
            <w:proofErr w:type="spellStart"/>
            <w:r w:rsidRPr="00091921">
              <w:rPr>
                <w:rFonts w:asciiTheme="majorHAnsi" w:hAnsiTheme="majorHAnsi"/>
                <w:sz w:val="18"/>
                <w:szCs w:val="18"/>
                <w:lang w:val="en-US"/>
              </w:rPr>
              <w:t>Naturall</w:t>
            </w:r>
            <w:proofErr w:type="spellEnd"/>
            <w:r w:rsidRPr="00091921">
              <w:rPr>
                <w:rFonts w:asciiTheme="majorHAnsi" w:hAnsiTheme="majorHAnsi"/>
                <w:sz w:val="18"/>
                <w:szCs w:val="18"/>
              </w:rPr>
              <w:t xml:space="preserve"> </w:t>
            </w:r>
            <w:proofErr w:type="spellStart"/>
            <w:r w:rsidRPr="00091921">
              <w:rPr>
                <w:rFonts w:asciiTheme="majorHAnsi" w:hAnsiTheme="majorHAnsi"/>
                <w:sz w:val="18"/>
                <w:szCs w:val="18"/>
                <w:lang w:val="en-US"/>
              </w:rPr>
              <w:t>Noce</w:t>
            </w:r>
            <w:proofErr w:type="spellEnd"/>
            <w:r w:rsidRPr="00091921">
              <w:rPr>
                <w:rFonts w:asciiTheme="majorHAnsi" w:hAnsiTheme="majorHAnsi"/>
                <w:sz w:val="18"/>
                <w:szCs w:val="18"/>
              </w:rPr>
              <w:t xml:space="preserve"> </w:t>
            </w:r>
            <w:proofErr w:type="spellStart"/>
            <w:r w:rsidRPr="00091921">
              <w:rPr>
                <w:rFonts w:asciiTheme="majorHAnsi" w:hAnsiTheme="majorHAnsi"/>
                <w:sz w:val="18"/>
                <w:szCs w:val="18"/>
                <w:lang w:val="en-US"/>
              </w:rPr>
              <w:t>Scuro</w:t>
            </w:r>
            <w:proofErr w:type="spellEnd"/>
            <w:r w:rsidRPr="00091921">
              <w:rPr>
                <w:rFonts w:asciiTheme="majorHAnsi" w:hAnsiTheme="majorHAnsi"/>
                <w:sz w:val="18"/>
                <w:szCs w:val="18"/>
              </w:rPr>
              <w:t xml:space="preserve"> в количестве 200 штук</w:t>
            </w:r>
          </w:p>
        </w:tc>
        <w:tc>
          <w:tcPr>
            <w:tcW w:w="2268" w:type="dxa"/>
            <w:vAlign w:val="center"/>
          </w:tcPr>
          <w:p w:rsidR="00192166" w:rsidRDefault="00192166" w:rsidP="00192166">
            <w:pPr>
              <w:jc w:val="right"/>
              <w:rPr>
                <w:rFonts w:ascii="Cambria" w:hAnsi="Cambria"/>
                <w:color w:val="000000"/>
                <w:sz w:val="18"/>
                <w:szCs w:val="18"/>
              </w:rPr>
            </w:pPr>
            <w:r>
              <w:rPr>
                <w:rFonts w:ascii="Cambria" w:hAnsi="Cambria"/>
                <w:color w:val="000000"/>
                <w:sz w:val="18"/>
                <w:szCs w:val="18"/>
              </w:rPr>
              <w:t>157 400</w:t>
            </w:r>
          </w:p>
        </w:tc>
      </w:tr>
    </w:tbl>
    <w:p w:rsidR="000A4482" w:rsidRPr="000A4482" w:rsidRDefault="000A4482" w:rsidP="000A4482">
      <w:pPr>
        <w:autoSpaceDE w:val="0"/>
        <w:autoSpaceDN w:val="0"/>
        <w:adjustRightInd w:val="0"/>
        <w:spacing w:before="120" w:after="120"/>
        <w:ind w:firstLine="709"/>
        <w:jc w:val="both"/>
        <w:rPr>
          <w:rFonts w:ascii="Bookman Old Style" w:hAnsi="Bookman Old Style"/>
          <w:sz w:val="20"/>
          <w:szCs w:val="20"/>
        </w:rPr>
      </w:pPr>
      <w:r w:rsidRPr="000A4482">
        <w:rPr>
          <w:rFonts w:ascii="Bookman Old Style" w:hAnsi="Bookman Old Style"/>
          <w:sz w:val="20"/>
          <w:szCs w:val="20"/>
        </w:rPr>
        <w:t xml:space="preserve">Расчет стоимости Объекта оценки проведен на основании исследований рынка, на личном опыте и профессиональных знаниях Оценщика. Источники информации и методики расчетов приведены в соответствующих разделах Отчета об оценке. </w:t>
      </w:r>
    </w:p>
    <w:p w:rsidR="000A4482" w:rsidRPr="000A4482" w:rsidRDefault="000A4482" w:rsidP="000A4482">
      <w:pPr>
        <w:autoSpaceDE w:val="0"/>
        <w:autoSpaceDN w:val="0"/>
        <w:adjustRightInd w:val="0"/>
        <w:spacing w:before="120" w:after="120"/>
        <w:ind w:firstLine="709"/>
        <w:jc w:val="both"/>
        <w:rPr>
          <w:rFonts w:ascii="Bookman Old Style" w:hAnsi="Bookman Old Style"/>
          <w:sz w:val="20"/>
          <w:szCs w:val="20"/>
        </w:rPr>
      </w:pPr>
      <w:r w:rsidRPr="000A4482">
        <w:rPr>
          <w:rFonts w:ascii="Bookman Old Style" w:hAnsi="Bookman Old Style"/>
          <w:sz w:val="20"/>
          <w:szCs w:val="20"/>
        </w:rPr>
        <w:t>Настоящая оценка проводилась в соответствии с требованиями:</w:t>
      </w:r>
    </w:p>
    <w:p w:rsidR="000A4482" w:rsidRPr="000A4482" w:rsidRDefault="000A4482" w:rsidP="005F04AC">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закона «Об оценочной деятельности в Российской Федерации» № 135-ФЗ от 29 июля 1998 года;</w:t>
      </w:r>
    </w:p>
    <w:p w:rsidR="000A4482" w:rsidRPr="000A4482" w:rsidRDefault="000A4482" w:rsidP="005F04AC">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стандарта «</w:t>
      </w:r>
      <w:r w:rsidRPr="000A4482">
        <w:rPr>
          <w:rFonts w:ascii="Bookman Old Style" w:hAnsi="Bookman Old Style" w:cs="Bookman Old Style"/>
          <w:sz w:val="20"/>
          <w:szCs w:val="20"/>
        </w:rPr>
        <w:t>Общие понятия оценки, подходы к оценке и требования к проведению оценки» (ФСО № 1) утв. Приказом Минэкономразвития России № 297 от 20 мая 2015 года;</w:t>
      </w:r>
    </w:p>
    <w:p w:rsidR="000A4482" w:rsidRPr="000A4482" w:rsidRDefault="000A4482" w:rsidP="005F04AC">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lastRenderedPageBreak/>
        <w:t xml:space="preserve">Федерального стандарта </w:t>
      </w:r>
      <w:r w:rsidRPr="000A4482">
        <w:rPr>
          <w:rFonts w:ascii="Bookman Old Style" w:hAnsi="Bookman Old Style" w:cs="Bookman Old Style"/>
          <w:sz w:val="20"/>
          <w:szCs w:val="20"/>
        </w:rPr>
        <w:t>«Цель оценки и виды стоимости» (ФСО № 2) утв. Приказом Минэкономразвития России № 298 от 20 мая 2015 года;</w:t>
      </w:r>
    </w:p>
    <w:p w:rsidR="000A4482" w:rsidRPr="000A4482" w:rsidRDefault="000A4482" w:rsidP="005F04AC">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стандарта «Т</w:t>
      </w:r>
      <w:r w:rsidRPr="000A4482">
        <w:rPr>
          <w:rFonts w:ascii="Bookman Old Style" w:hAnsi="Bookman Old Style" w:cs="Bookman Old Style"/>
          <w:sz w:val="20"/>
          <w:szCs w:val="20"/>
        </w:rPr>
        <w:t>ребования к отчету об оценке» (ФСО № 3) утв. Приказом Минэкономразвития России № 299 от 20 мая 2015 года;</w:t>
      </w:r>
    </w:p>
    <w:p w:rsidR="000A4482" w:rsidRPr="000A4482" w:rsidRDefault="000A4482" w:rsidP="005F04AC">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стандарта «Оценка недвижимости</w:t>
      </w:r>
      <w:r w:rsidRPr="000A4482">
        <w:rPr>
          <w:rFonts w:ascii="Bookman Old Style" w:hAnsi="Bookman Old Style" w:cs="Bookman Old Style"/>
          <w:sz w:val="20"/>
          <w:szCs w:val="20"/>
        </w:rPr>
        <w:t>» (ФСО № 7) утв. Приказом Минэкономразвития России № 611 от 25.09.2014 года</w:t>
      </w:r>
      <w:r w:rsidRPr="000A4482">
        <w:rPr>
          <w:rFonts w:ascii="Bookman Old Style" w:hAnsi="Bookman Old Style"/>
          <w:sz w:val="20"/>
          <w:szCs w:val="20"/>
        </w:rPr>
        <w:t xml:space="preserve">; </w:t>
      </w:r>
    </w:p>
    <w:p w:rsidR="000A4482" w:rsidRPr="000A4482" w:rsidRDefault="000A4482" w:rsidP="005F04AC">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стандарта «Оценка стоимости машин и оборудования» (ФСО № 10) утв. Приказом Минэкономразвития России № 328 от 01.06.2015 года</w:t>
      </w:r>
    </w:p>
    <w:p w:rsidR="000A4482" w:rsidRPr="000A4482" w:rsidRDefault="000A4482" w:rsidP="005F04AC">
      <w:pPr>
        <w:numPr>
          <w:ilvl w:val="0"/>
          <w:numId w:val="50"/>
        </w:numPr>
        <w:autoSpaceDE w:val="0"/>
        <w:autoSpaceDN w:val="0"/>
        <w:adjustRightInd w:val="0"/>
        <w:spacing w:before="120" w:after="120"/>
        <w:ind w:left="714" w:hanging="357"/>
        <w:rPr>
          <w:rFonts w:ascii="Calibri" w:hAnsi="Calibri"/>
          <w:sz w:val="20"/>
          <w:szCs w:val="20"/>
        </w:rPr>
      </w:pPr>
      <w:r w:rsidRPr="000A4482">
        <w:rPr>
          <w:rFonts w:ascii="Bookman Old Style" w:hAnsi="Bookman Old Style"/>
          <w:sz w:val="20"/>
          <w:szCs w:val="20"/>
        </w:rPr>
        <w:t>Стандартами и правилами оценочной деятельности установленными НП СРО «НКСО».</w:t>
      </w:r>
    </w:p>
    <w:p w:rsidR="000A4482" w:rsidRPr="000A4482" w:rsidRDefault="000A4482" w:rsidP="000A4482">
      <w:pPr>
        <w:autoSpaceDE w:val="0"/>
        <w:autoSpaceDN w:val="0"/>
        <w:adjustRightInd w:val="0"/>
        <w:spacing w:before="120" w:after="120"/>
        <w:ind w:firstLine="708"/>
        <w:jc w:val="both"/>
        <w:rPr>
          <w:rFonts w:ascii="Bookman Old Style" w:hAnsi="Bookman Old Style"/>
          <w:sz w:val="20"/>
          <w:szCs w:val="20"/>
        </w:rPr>
      </w:pPr>
      <w:r w:rsidRPr="000A4482">
        <w:rPr>
          <w:rFonts w:ascii="Bookman Old Style" w:hAnsi="Bookman Old Style"/>
          <w:sz w:val="20"/>
          <w:szCs w:val="20"/>
        </w:rPr>
        <w:t>Если у Вас возникнут какие-либо вопросы по оценке или по нашим рассуждениям, пожалуйста, обращайтесь непосредственно к нам. Благодарим, за возможность оказать услуги для Вашей организации.</w:t>
      </w:r>
    </w:p>
    <w:p w:rsidR="00B452F3" w:rsidRDefault="00B452F3" w:rsidP="00A83D6B">
      <w:pPr>
        <w:autoSpaceDE w:val="0"/>
        <w:autoSpaceDN w:val="0"/>
        <w:adjustRightInd w:val="0"/>
        <w:rPr>
          <w:rFonts w:ascii="Bookman Old Style" w:hAnsi="Bookman Old Style"/>
          <w:bCs/>
          <w:sz w:val="20"/>
          <w:szCs w:val="20"/>
        </w:rPr>
      </w:pPr>
    </w:p>
    <w:p w:rsidR="00192166" w:rsidRDefault="00192166" w:rsidP="00A83D6B">
      <w:pPr>
        <w:autoSpaceDE w:val="0"/>
        <w:autoSpaceDN w:val="0"/>
        <w:adjustRightInd w:val="0"/>
        <w:rPr>
          <w:rFonts w:ascii="Bookman Old Style" w:hAnsi="Bookman Old Style"/>
          <w:bCs/>
          <w:sz w:val="20"/>
          <w:szCs w:val="20"/>
        </w:rPr>
      </w:pPr>
    </w:p>
    <w:p w:rsidR="00A83D6B" w:rsidRPr="00BE6191" w:rsidRDefault="00A83D6B" w:rsidP="00A83D6B">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 xml:space="preserve">Генеральный директор </w:t>
      </w:r>
    </w:p>
    <w:p w:rsidR="00A12CC0" w:rsidRDefault="00A83D6B" w:rsidP="00A83D6B">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ООО «А</w:t>
      </w:r>
      <w:r w:rsidR="00A12CC0">
        <w:rPr>
          <w:rFonts w:ascii="Bookman Old Style" w:hAnsi="Bookman Old Style"/>
          <w:bCs/>
          <w:sz w:val="20"/>
          <w:szCs w:val="20"/>
        </w:rPr>
        <w:t>гентство оценки собственности</w:t>
      </w:r>
    </w:p>
    <w:p w:rsidR="007961BA" w:rsidRDefault="00A83D6B" w:rsidP="00A97B04">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«Золотое правило»</w:t>
      </w:r>
    </w:p>
    <w:p w:rsidR="00A83D6B" w:rsidRPr="00BE6191" w:rsidRDefault="00A97B04" w:rsidP="00A97B04">
      <w:pPr>
        <w:autoSpaceDE w:val="0"/>
        <w:autoSpaceDN w:val="0"/>
        <w:adjustRightInd w:val="0"/>
        <w:rPr>
          <w:rFonts w:ascii="Bookman Old Style" w:hAnsi="Bookman Old Style"/>
          <w:bCs/>
          <w:sz w:val="20"/>
          <w:szCs w:val="20"/>
        </w:rPr>
      </w:pP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sidR="00A83D6B" w:rsidRPr="00BE6191">
        <w:rPr>
          <w:rFonts w:ascii="Bookman Old Style" w:hAnsi="Bookman Old Style"/>
          <w:bCs/>
          <w:sz w:val="20"/>
          <w:szCs w:val="20"/>
        </w:rPr>
        <w:t xml:space="preserve"> </w:t>
      </w:r>
      <w:r w:rsidR="00A83D6B" w:rsidRPr="00BE6191">
        <w:rPr>
          <w:rFonts w:ascii="Bookman Old Style" w:hAnsi="Bookman Old Style"/>
          <w:bCs/>
          <w:sz w:val="20"/>
          <w:szCs w:val="20"/>
        </w:rPr>
        <w:tab/>
        <w:t xml:space="preserve">     </w:t>
      </w:r>
      <w:r w:rsidR="00610EC4">
        <w:rPr>
          <w:rFonts w:ascii="Bookman Old Style" w:hAnsi="Bookman Old Style"/>
          <w:bCs/>
          <w:sz w:val="20"/>
          <w:szCs w:val="20"/>
        </w:rPr>
        <w:t xml:space="preserve">  </w:t>
      </w:r>
      <w:r w:rsidR="007961BA">
        <w:rPr>
          <w:rFonts w:ascii="Bookman Old Style" w:hAnsi="Bookman Old Style"/>
          <w:bCs/>
          <w:sz w:val="20"/>
          <w:szCs w:val="20"/>
        </w:rPr>
        <w:tab/>
      </w:r>
      <w:r w:rsidR="007961BA">
        <w:rPr>
          <w:rFonts w:ascii="Bookman Old Style" w:hAnsi="Bookman Old Style"/>
          <w:bCs/>
          <w:sz w:val="20"/>
          <w:szCs w:val="20"/>
        </w:rPr>
        <w:tab/>
      </w:r>
      <w:r w:rsidR="00B00070">
        <w:rPr>
          <w:rFonts w:ascii="Bookman Old Style" w:hAnsi="Bookman Old Style"/>
          <w:bCs/>
          <w:sz w:val="20"/>
          <w:szCs w:val="20"/>
        </w:rPr>
        <w:t xml:space="preserve">  </w:t>
      </w:r>
      <w:r w:rsidR="00A83D6B" w:rsidRPr="00BE6191">
        <w:rPr>
          <w:rFonts w:ascii="Bookman Old Style" w:hAnsi="Bookman Old Style"/>
          <w:bCs/>
          <w:sz w:val="20"/>
          <w:szCs w:val="20"/>
        </w:rPr>
        <w:t>О.С.</w:t>
      </w:r>
      <w:r w:rsidR="002C2830">
        <w:rPr>
          <w:rFonts w:ascii="Bookman Old Style" w:hAnsi="Bookman Old Style"/>
          <w:bCs/>
          <w:sz w:val="20"/>
          <w:szCs w:val="20"/>
        </w:rPr>
        <w:t xml:space="preserve"> </w:t>
      </w:r>
      <w:r w:rsidR="00A83D6B" w:rsidRPr="00BE6191">
        <w:rPr>
          <w:rFonts w:ascii="Bookman Old Style" w:hAnsi="Bookman Old Style"/>
          <w:bCs/>
          <w:sz w:val="20"/>
          <w:szCs w:val="20"/>
        </w:rPr>
        <w:t>Золотарев</w:t>
      </w:r>
    </w:p>
    <w:bookmarkStart w:id="2" w:name="_Toc319329965"/>
    <w:bookmarkStart w:id="3" w:name="_Toc320884723"/>
    <w:bookmarkStart w:id="4" w:name="_Toc320786943"/>
    <w:bookmarkStart w:id="5" w:name="_Toc320698897"/>
    <w:bookmarkStart w:id="6" w:name="_Toc320801273"/>
    <w:bookmarkStart w:id="7" w:name="_Toc320801344"/>
    <w:bookmarkStart w:id="8" w:name="_Toc320767085"/>
    <w:bookmarkStart w:id="9" w:name="_Toc374967834"/>
    <w:p w:rsidR="00B00070" w:rsidRDefault="00B00070">
      <w:pPr>
        <w:rPr>
          <w:rFonts w:ascii="Bookman Old Style" w:hAnsi="Bookman Old Style"/>
          <w:b/>
          <w:sz w:val="24"/>
          <w:szCs w:val="24"/>
        </w:rPr>
      </w:pPr>
      <w:r>
        <w:rPr>
          <w:bCs/>
          <w:noProof/>
          <w:sz w:val="24"/>
          <w:szCs w:val="24"/>
        </w:rPr>
        <mc:AlternateContent>
          <mc:Choice Requires="wps">
            <w:drawing>
              <wp:anchor distT="0" distB="0" distL="114300" distR="114300" simplePos="0" relativeHeight="251663872" behindDoc="0" locked="0" layoutInCell="1" allowOverlap="1" wp14:anchorId="6662759E" wp14:editId="6A470A2F">
                <wp:simplePos x="0" y="0"/>
                <wp:positionH relativeFrom="column">
                  <wp:posOffset>3721100</wp:posOffset>
                </wp:positionH>
                <wp:positionV relativeFrom="paragraph">
                  <wp:posOffset>36195</wp:posOffset>
                </wp:positionV>
                <wp:extent cx="2734945" cy="0"/>
                <wp:effectExtent l="0" t="0" r="27305" b="19050"/>
                <wp:wrapNone/>
                <wp:docPr id="44"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4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pt,2.85pt" to="508.3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C1t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"/>
            </w:pict>
          </mc:Fallback>
        </mc:AlternateContent>
      </w:r>
      <w:r>
        <w:rPr>
          <w:rFonts w:ascii="Bookman Old Style" w:hAnsi="Bookman Old Style"/>
          <w:bCs/>
        </w:rPr>
        <w:br w:type="page"/>
      </w:r>
    </w:p>
    <w:p w:rsidR="00326350" w:rsidRDefault="00B328F5" w:rsidP="006674DB">
      <w:pPr>
        <w:pStyle w:val="1"/>
        <w:spacing w:before="60" w:after="60"/>
        <w:jc w:val="center"/>
        <w:rPr>
          <w:rFonts w:ascii="Bookman Old Style" w:hAnsi="Bookman Old Style"/>
          <w:bCs w:val="0"/>
        </w:rPr>
      </w:pPr>
      <w:bookmarkStart w:id="10" w:name="_Toc380680686"/>
      <w:bookmarkStart w:id="11" w:name="_Toc380681331"/>
      <w:bookmarkStart w:id="12" w:name="_Toc380681594"/>
      <w:bookmarkStart w:id="13" w:name="_Toc416113476"/>
      <w:bookmarkStart w:id="14" w:name="_Toc416115310"/>
      <w:bookmarkStart w:id="15" w:name="_Toc417649051"/>
      <w:bookmarkStart w:id="16" w:name="_Toc417649683"/>
      <w:bookmarkStart w:id="17" w:name="_Toc461375541"/>
      <w:r w:rsidRPr="00F25ABC">
        <w:rPr>
          <w:rFonts w:ascii="Bookman Old Style" w:hAnsi="Bookman Old Style"/>
          <w:bCs w:val="0"/>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70748F" w:rsidRPr="0070748F" w:rsidRDefault="00E52AAB" w:rsidP="0070748F">
      <w:pPr>
        <w:pStyle w:val="11"/>
        <w:tabs>
          <w:tab w:val="clear" w:pos="10490"/>
          <w:tab w:val="right" w:leader="dot" w:pos="10206"/>
        </w:tabs>
        <w:spacing w:beforeLines="0" w:before="80" w:afterLines="0" w:after="80"/>
        <w:rPr>
          <w:rFonts w:eastAsiaTheme="minorEastAsia" w:cstheme="minorBidi"/>
        </w:rPr>
      </w:pPr>
      <w:r w:rsidRPr="0070748F">
        <w:rPr>
          <w:bCs/>
          <w:highlight w:val="yellow"/>
        </w:rPr>
        <w:fldChar w:fldCharType="begin"/>
      </w:r>
      <w:r w:rsidR="006013AB" w:rsidRPr="0070748F">
        <w:rPr>
          <w:bCs/>
          <w:highlight w:val="yellow"/>
        </w:rPr>
        <w:instrText xml:space="preserve"> TOC \o "1-3" \h \z \u </w:instrText>
      </w:r>
      <w:r w:rsidRPr="0070748F">
        <w:rPr>
          <w:bCs/>
          <w:highlight w:val="yellow"/>
        </w:rPr>
        <w:fldChar w:fldCharType="separate"/>
      </w:r>
      <w:hyperlink w:anchor="_Toc461375541" w:history="1">
        <w:r w:rsidR="0070748F" w:rsidRPr="0070748F">
          <w:rPr>
            <w:rStyle w:val="aa"/>
          </w:rPr>
          <w:t>СОДЕРЖАНИЕ</w:t>
        </w:r>
        <w:r w:rsidR="0070748F" w:rsidRPr="0070748F">
          <w:rPr>
            <w:webHidden/>
          </w:rPr>
          <w:tab/>
        </w:r>
        <w:r w:rsidR="0070748F" w:rsidRPr="0070748F">
          <w:rPr>
            <w:webHidden/>
          </w:rPr>
          <w:fldChar w:fldCharType="begin"/>
        </w:r>
        <w:r w:rsidR="0070748F" w:rsidRPr="0070748F">
          <w:rPr>
            <w:webHidden/>
          </w:rPr>
          <w:instrText xml:space="preserve"> PAGEREF _Toc461375541 \h </w:instrText>
        </w:r>
        <w:r w:rsidR="0070748F" w:rsidRPr="0070748F">
          <w:rPr>
            <w:webHidden/>
          </w:rPr>
        </w:r>
        <w:r w:rsidR="0070748F" w:rsidRPr="0070748F">
          <w:rPr>
            <w:webHidden/>
          </w:rPr>
          <w:fldChar w:fldCharType="separate"/>
        </w:r>
        <w:r w:rsidR="0070748F" w:rsidRPr="0070748F">
          <w:rPr>
            <w:webHidden/>
          </w:rPr>
          <w:t>4</w:t>
        </w:r>
        <w:r w:rsidR="0070748F" w:rsidRPr="0070748F">
          <w:rPr>
            <w:webHidden/>
          </w:rPr>
          <w:fldChar w:fldCharType="end"/>
        </w:r>
      </w:hyperlink>
    </w:p>
    <w:p w:rsidR="0070748F" w:rsidRPr="0070748F" w:rsidRDefault="0070748F" w:rsidP="0070748F">
      <w:pPr>
        <w:pStyle w:val="11"/>
        <w:tabs>
          <w:tab w:val="clear" w:pos="10490"/>
          <w:tab w:val="right" w:leader="dot" w:pos="10206"/>
        </w:tabs>
        <w:spacing w:beforeLines="0" w:before="80" w:afterLines="0" w:after="80"/>
        <w:rPr>
          <w:rFonts w:eastAsiaTheme="minorEastAsia" w:cstheme="minorBidi"/>
        </w:rPr>
      </w:pPr>
      <w:hyperlink w:anchor="_Toc461375542" w:history="1">
        <w:r w:rsidRPr="0070748F">
          <w:rPr>
            <w:rStyle w:val="aa"/>
          </w:rPr>
          <w:t>1. ОБЩИЕ СВЕДЕНИЯ</w:t>
        </w:r>
        <w:r w:rsidRPr="0070748F">
          <w:rPr>
            <w:webHidden/>
          </w:rPr>
          <w:tab/>
        </w:r>
        <w:r w:rsidRPr="0070748F">
          <w:rPr>
            <w:webHidden/>
          </w:rPr>
          <w:fldChar w:fldCharType="begin"/>
        </w:r>
        <w:r w:rsidRPr="0070748F">
          <w:rPr>
            <w:webHidden/>
          </w:rPr>
          <w:instrText xml:space="preserve"> PAGEREF _Toc461375542 \h </w:instrText>
        </w:r>
        <w:r w:rsidRPr="0070748F">
          <w:rPr>
            <w:webHidden/>
          </w:rPr>
        </w:r>
        <w:r w:rsidRPr="0070748F">
          <w:rPr>
            <w:webHidden/>
          </w:rPr>
          <w:fldChar w:fldCharType="separate"/>
        </w:r>
        <w:r w:rsidRPr="0070748F">
          <w:rPr>
            <w:webHidden/>
          </w:rPr>
          <w:t>6</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43" w:history="1">
        <w:r w:rsidRPr="0070748F">
          <w:rPr>
            <w:rStyle w:val="aa"/>
          </w:rPr>
          <w:t>1.1. ОСНОВНЫЕ ФАКТЫ И ВЫВОДЫ</w:t>
        </w:r>
        <w:r w:rsidRPr="0070748F">
          <w:rPr>
            <w:webHidden/>
          </w:rPr>
          <w:tab/>
        </w:r>
        <w:r w:rsidRPr="0070748F">
          <w:rPr>
            <w:webHidden/>
          </w:rPr>
          <w:fldChar w:fldCharType="begin"/>
        </w:r>
        <w:r w:rsidRPr="0070748F">
          <w:rPr>
            <w:webHidden/>
          </w:rPr>
          <w:instrText xml:space="preserve"> PAGEREF _Toc461375543 \h </w:instrText>
        </w:r>
        <w:r w:rsidRPr="0070748F">
          <w:rPr>
            <w:webHidden/>
          </w:rPr>
        </w:r>
        <w:r w:rsidRPr="0070748F">
          <w:rPr>
            <w:webHidden/>
          </w:rPr>
          <w:fldChar w:fldCharType="separate"/>
        </w:r>
        <w:r w:rsidRPr="0070748F">
          <w:rPr>
            <w:webHidden/>
          </w:rPr>
          <w:t>6</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44" w:history="1">
        <w:r w:rsidRPr="0070748F">
          <w:rPr>
            <w:rStyle w:val="aa"/>
          </w:rPr>
          <w:t>1.2. СВЕДЕНИЯ О ЗАДАНИИ НА ОЦЕНКУ</w:t>
        </w:r>
        <w:r w:rsidRPr="0070748F">
          <w:rPr>
            <w:webHidden/>
          </w:rPr>
          <w:tab/>
        </w:r>
        <w:r w:rsidRPr="0070748F">
          <w:rPr>
            <w:webHidden/>
          </w:rPr>
          <w:fldChar w:fldCharType="begin"/>
        </w:r>
        <w:r w:rsidRPr="0070748F">
          <w:rPr>
            <w:webHidden/>
          </w:rPr>
          <w:instrText xml:space="preserve"> PAGEREF _Toc461375544 \h </w:instrText>
        </w:r>
        <w:r w:rsidRPr="0070748F">
          <w:rPr>
            <w:webHidden/>
          </w:rPr>
        </w:r>
        <w:r w:rsidRPr="0070748F">
          <w:rPr>
            <w:webHidden/>
          </w:rPr>
          <w:fldChar w:fldCharType="separate"/>
        </w:r>
        <w:r w:rsidRPr="0070748F">
          <w:rPr>
            <w:webHidden/>
          </w:rPr>
          <w:t>7</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45" w:history="1">
        <w:r w:rsidRPr="0070748F">
          <w:rPr>
            <w:rStyle w:val="aa"/>
          </w:rPr>
          <w:t>1.3. СВЕДЕНИЯ О ЗАКАЗЧИКЕ ОЦЕНКИ И ОБ ОЦЕНЩИКЕ</w:t>
        </w:r>
        <w:r w:rsidRPr="0070748F">
          <w:rPr>
            <w:webHidden/>
          </w:rPr>
          <w:tab/>
        </w:r>
        <w:r w:rsidRPr="0070748F">
          <w:rPr>
            <w:webHidden/>
          </w:rPr>
          <w:fldChar w:fldCharType="begin"/>
        </w:r>
        <w:r w:rsidRPr="0070748F">
          <w:rPr>
            <w:webHidden/>
          </w:rPr>
          <w:instrText xml:space="preserve"> PAGEREF _Toc461375545 \h </w:instrText>
        </w:r>
        <w:r w:rsidRPr="0070748F">
          <w:rPr>
            <w:webHidden/>
          </w:rPr>
        </w:r>
        <w:r w:rsidRPr="0070748F">
          <w:rPr>
            <w:webHidden/>
          </w:rPr>
          <w:fldChar w:fldCharType="separate"/>
        </w:r>
        <w:r w:rsidRPr="0070748F">
          <w:rPr>
            <w:webHidden/>
          </w:rPr>
          <w:t>9</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46" w:history="1">
        <w:r w:rsidRPr="0070748F">
          <w:rPr>
            <w:rStyle w:val="aa"/>
            <w:rFonts w:ascii="Bookman Old Style" w:hAnsi="Bookman Old Style"/>
            <w:noProof/>
            <w:sz w:val="20"/>
            <w:szCs w:val="20"/>
          </w:rPr>
          <w:t>1.3.1. Сведения о заказчике оценки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_Toc461375546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9</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47" w:history="1">
        <w:r w:rsidRPr="0070748F">
          <w:rPr>
            <w:rStyle w:val="aa"/>
            <w:rFonts w:ascii="Bookman Old Style" w:hAnsi="Bookman Old Style"/>
            <w:noProof/>
            <w:sz w:val="20"/>
            <w:szCs w:val="20"/>
          </w:rPr>
          <w:t>1.3.2. Сведения о юридическом лице оценщика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_Toc461375547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9</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48" w:history="1">
        <w:r w:rsidRPr="0070748F">
          <w:rPr>
            <w:rStyle w:val="aa"/>
            <w:rFonts w:ascii="Bookman Old Style" w:hAnsi="Bookman Old Style"/>
            <w:noProof/>
            <w:sz w:val="20"/>
            <w:szCs w:val="20"/>
          </w:rPr>
          <w:t>1.3.3. Сведения о специалистах-оценщиках</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_Toc461375548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9</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49" w:history="1">
        <w:r w:rsidRPr="0070748F">
          <w:rPr>
            <w:rStyle w:val="aa"/>
            <w:rFonts w:ascii="Bookman Old Style" w:hAnsi="Bookman Old Style"/>
            <w:noProof/>
            <w:sz w:val="20"/>
            <w:szCs w:val="20"/>
          </w:rPr>
          <w:t>1.3.4. Сведения о привлекаемых специалистах</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_Toc461375549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10</w:t>
        </w:r>
        <w:r w:rsidRPr="0070748F">
          <w:rPr>
            <w:rFonts w:ascii="Bookman Old Style" w:hAnsi="Bookman Old Style"/>
            <w:noProof/>
            <w:webHidden/>
            <w:sz w:val="20"/>
            <w:szCs w:val="20"/>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50" w:history="1">
        <w:r w:rsidRPr="0070748F">
          <w:rPr>
            <w:rStyle w:val="aa"/>
          </w:rPr>
          <w:t>1.4. ДОПУЩЕНИЯ И ОГРАНИЧИТЕЛЬНЫЕ УСЛОВИЯ</w:t>
        </w:r>
        <w:r w:rsidRPr="0070748F">
          <w:rPr>
            <w:webHidden/>
          </w:rPr>
          <w:tab/>
        </w:r>
        <w:r w:rsidRPr="0070748F">
          <w:rPr>
            <w:webHidden/>
          </w:rPr>
          <w:fldChar w:fldCharType="begin"/>
        </w:r>
        <w:r w:rsidRPr="0070748F">
          <w:rPr>
            <w:webHidden/>
          </w:rPr>
          <w:instrText xml:space="preserve"> PAGEREF _Toc461375550 \h </w:instrText>
        </w:r>
        <w:r w:rsidRPr="0070748F">
          <w:rPr>
            <w:webHidden/>
          </w:rPr>
        </w:r>
        <w:r w:rsidRPr="0070748F">
          <w:rPr>
            <w:webHidden/>
          </w:rPr>
          <w:fldChar w:fldCharType="separate"/>
        </w:r>
        <w:r w:rsidRPr="0070748F">
          <w:rPr>
            <w:webHidden/>
          </w:rPr>
          <w:t>10</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51" w:history="1">
        <w:r w:rsidRPr="0070748F">
          <w:rPr>
            <w:rStyle w:val="aa"/>
          </w:rPr>
          <w:t>1.5. ПРИМЕНЯЕМЫЕ СТАНДАРТЫ ОЦЕНОЧНОЙ ДЕЯТЕЛЬНОСТИ</w:t>
        </w:r>
        <w:r w:rsidRPr="0070748F">
          <w:rPr>
            <w:webHidden/>
          </w:rPr>
          <w:tab/>
        </w:r>
        <w:r w:rsidRPr="0070748F">
          <w:rPr>
            <w:webHidden/>
          </w:rPr>
          <w:fldChar w:fldCharType="begin"/>
        </w:r>
        <w:r w:rsidRPr="0070748F">
          <w:rPr>
            <w:webHidden/>
          </w:rPr>
          <w:instrText xml:space="preserve"> PAGEREF _Toc461375551 \h </w:instrText>
        </w:r>
        <w:r w:rsidRPr="0070748F">
          <w:rPr>
            <w:webHidden/>
          </w:rPr>
        </w:r>
        <w:r w:rsidRPr="0070748F">
          <w:rPr>
            <w:webHidden/>
          </w:rPr>
          <w:fldChar w:fldCharType="separate"/>
        </w:r>
        <w:r w:rsidRPr="0070748F">
          <w:rPr>
            <w:webHidden/>
          </w:rPr>
          <w:t>11</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52" w:history="1">
        <w:r w:rsidRPr="0070748F">
          <w:rPr>
            <w:rStyle w:val="aa"/>
          </w:rPr>
          <w:t>1.6. ПЕРЕЧЕНЬ ИСПОЛЬЗОВАННЫХ ПРИ ПРОВЕДЕНИИ ОЦЕНКИ ОБЪЕКТА ОЦЕНКИ ДАННЫХ С УКАЗАНИЕМ ИСТОЧНИКОВ ИХ ПОЛУЧЕНИЯ</w:t>
        </w:r>
        <w:r w:rsidRPr="0070748F">
          <w:rPr>
            <w:webHidden/>
          </w:rPr>
          <w:tab/>
        </w:r>
        <w:r w:rsidRPr="0070748F">
          <w:rPr>
            <w:webHidden/>
          </w:rPr>
          <w:fldChar w:fldCharType="begin"/>
        </w:r>
        <w:r w:rsidRPr="0070748F">
          <w:rPr>
            <w:webHidden/>
          </w:rPr>
          <w:instrText xml:space="preserve"> PAGEREF _Toc461375552 \h </w:instrText>
        </w:r>
        <w:r w:rsidRPr="0070748F">
          <w:rPr>
            <w:webHidden/>
          </w:rPr>
        </w:r>
        <w:r w:rsidRPr="0070748F">
          <w:rPr>
            <w:webHidden/>
          </w:rPr>
          <w:fldChar w:fldCharType="separate"/>
        </w:r>
        <w:r w:rsidRPr="0070748F">
          <w:rPr>
            <w:webHidden/>
          </w:rPr>
          <w:t>12</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53" w:history="1">
        <w:r w:rsidRPr="0070748F">
          <w:rPr>
            <w:rStyle w:val="aa"/>
          </w:rPr>
          <w:t>1.7. ЗАЯВЛЕНИЕ ОЦЕНЩИКА</w:t>
        </w:r>
        <w:r w:rsidRPr="0070748F">
          <w:rPr>
            <w:webHidden/>
          </w:rPr>
          <w:tab/>
        </w:r>
        <w:r w:rsidRPr="0070748F">
          <w:rPr>
            <w:webHidden/>
          </w:rPr>
          <w:fldChar w:fldCharType="begin"/>
        </w:r>
        <w:r w:rsidRPr="0070748F">
          <w:rPr>
            <w:webHidden/>
          </w:rPr>
          <w:instrText xml:space="preserve"> PAGEREF _Toc461375553 \h </w:instrText>
        </w:r>
        <w:r w:rsidRPr="0070748F">
          <w:rPr>
            <w:webHidden/>
          </w:rPr>
        </w:r>
        <w:r w:rsidRPr="0070748F">
          <w:rPr>
            <w:webHidden/>
          </w:rPr>
          <w:fldChar w:fldCharType="separate"/>
        </w:r>
        <w:r w:rsidRPr="0070748F">
          <w:rPr>
            <w:webHidden/>
          </w:rPr>
          <w:t>12</w:t>
        </w:r>
        <w:r w:rsidRPr="0070748F">
          <w:rPr>
            <w:webHidden/>
          </w:rPr>
          <w:fldChar w:fldCharType="end"/>
        </w:r>
      </w:hyperlink>
    </w:p>
    <w:p w:rsidR="0070748F" w:rsidRPr="0070748F" w:rsidRDefault="0070748F" w:rsidP="0070748F">
      <w:pPr>
        <w:pStyle w:val="11"/>
        <w:tabs>
          <w:tab w:val="clear" w:pos="10490"/>
          <w:tab w:val="right" w:leader="dot" w:pos="10206"/>
        </w:tabs>
        <w:spacing w:beforeLines="0" w:before="80" w:afterLines="0" w:after="80"/>
        <w:rPr>
          <w:rFonts w:eastAsiaTheme="minorEastAsia" w:cstheme="minorBidi"/>
        </w:rPr>
      </w:pPr>
      <w:hyperlink w:anchor="_Toc461375554" w:history="1">
        <w:r w:rsidRPr="0070748F">
          <w:rPr>
            <w:rStyle w:val="aa"/>
          </w:rPr>
          <w:t>2. ПОСЛЕДОВАТЕЛЬНОСТЬ ОПРЕДЕЛЕНИЯ СТОИМОСТИ</w:t>
        </w:r>
        <w:r w:rsidRPr="0070748F">
          <w:rPr>
            <w:webHidden/>
          </w:rPr>
          <w:tab/>
        </w:r>
        <w:r w:rsidRPr="0070748F">
          <w:rPr>
            <w:webHidden/>
          </w:rPr>
          <w:fldChar w:fldCharType="begin"/>
        </w:r>
        <w:r w:rsidRPr="0070748F">
          <w:rPr>
            <w:webHidden/>
          </w:rPr>
          <w:instrText xml:space="preserve"> PAGEREF _Toc461375554 \h </w:instrText>
        </w:r>
        <w:r w:rsidRPr="0070748F">
          <w:rPr>
            <w:webHidden/>
          </w:rPr>
        </w:r>
        <w:r w:rsidRPr="0070748F">
          <w:rPr>
            <w:webHidden/>
          </w:rPr>
          <w:fldChar w:fldCharType="separate"/>
        </w:r>
        <w:r w:rsidRPr="0070748F">
          <w:rPr>
            <w:webHidden/>
          </w:rPr>
          <w:t>12</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55" w:history="1">
        <w:r w:rsidRPr="0070748F">
          <w:rPr>
            <w:rStyle w:val="aa"/>
          </w:rPr>
          <w:t>2.1. ОБЪЕМ И ЭТАПЫ ИССЛЕДОВАНИЯ</w:t>
        </w:r>
        <w:r w:rsidRPr="0070748F">
          <w:rPr>
            <w:webHidden/>
          </w:rPr>
          <w:tab/>
        </w:r>
        <w:r w:rsidRPr="0070748F">
          <w:rPr>
            <w:webHidden/>
          </w:rPr>
          <w:fldChar w:fldCharType="begin"/>
        </w:r>
        <w:r w:rsidRPr="0070748F">
          <w:rPr>
            <w:webHidden/>
          </w:rPr>
          <w:instrText xml:space="preserve"> PAGEREF _Toc461375555 \h </w:instrText>
        </w:r>
        <w:r w:rsidRPr="0070748F">
          <w:rPr>
            <w:webHidden/>
          </w:rPr>
        </w:r>
        <w:r w:rsidRPr="0070748F">
          <w:rPr>
            <w:webHidden/>
          </w:rPr>
          <w:fldChar w:fldCharType="separate"/>
        </w:r>
        <w:r w:rsidRPr="0070748F">
          <w:rPr>
            <w:webHidden/>
          </w:rPr>
          <w:t>12</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56" w:history="1">
        <w:r w:rsidRPr="0070748F">
          <w:rPr>
            <w:rStyle w:val="aa"/>
          </w:rPr>
          <w:t>2.2. ВИД ОПРЕДЕЛЯЕМОЙ СТОИМОСТИ</w:t>
        </w:r>
        <w:r w:rsidRPr="0070748F">
          <w:rPr>
            <w:webHidden/>
          </w:rPr>
          <w:tab/>
        </w:r>
        <w:r w:rsidRPr="0070748F">
          <w:rPr>
            <w:webHidden/>
          </w:rPr>
          <w:fldChar w:fldCharType="begin"/>
        </w:r>
        <w:r w:rsidRPr="0070748F">
          <w:rPr>
            <w:webHidden/>
          </w:rPr>
          <w:instrText xml:space="preserve"> PAGEREF _Toc461375556 \h </w:instrText>
        </w:r>
        <w:r w:rsidRPr="0070748F">
          <w:rPr>
            <w:webHidden/>
          </w:rPr>
        </w:r>
        <w:r w:rsidRPr="0070748F">
          <w:rPr>
            <w:webHidden/>
          </w:rPr>
          <w:fldChar w:fldCharType="separate"/>
        </w:r>
        <w:r w:rsidRPr="0070748F">
          <w:rPr>
            <w:webHidden/>
          </w:rPr>
          <w:t>13</w:t>
        </w:r>
        <w:r w:rsidRPr="0070748F">
          <w:rPr>
            <w:webHidden/>
          </w:rPr>
          <w:fldChar w:fldCharType="end"/>
        </w:r>
      </w:hyperlink>
    </w:p>
    <w:p w:rsidR="0070748F" w:rsidRPr="0070748F" w:rsidRDefault="0070748F" w:rsidP="0070748F">
      <w:pPr>
        <w:pStyle w:val="11"/>
        <w:tabs>
          <w:tab w:val="clear" w:pos="10490"/>
          <w:tab w:val="right" w:leader="dot" w:pos="10206"/>
        </w:tabs>
        <w:spacing w:beforeLines="0" w:before="80" w:afterLines="0" w:after="80"/>
        <w:rPr>
          <w:rFonts w:eastAsiaTheme="minorEastAsia" w:cstheme="minorBidi"/>
        </w:rPr>
      </w:pPr>
      <w:hyperlink w:anchor="_Toc461375557" w:history="1">
        <w:r w:rsidRPr="0070748F">
          <w:rPr>
            <w:rStyle w:val="aa"/>
          </w:rPr>
          <w:t>3. ОПИСАНИЕ ОБЪЕКТА ОЦЕНКИ С ПРИВЕДЕНИЕМ ССЫЛОК НА ДОКУМЕНТЫ, УСТАНАВЛИВАЮЩИЕ КОЛИЧЕСТВЕННЫЕ И КАЧЕСТВЕННЫЕ ХАРАКТЕРИСТИКИ ОБЪЕКТА ОЦЕНКИ</w:t>
        </w:r>
        <w:r w:rsidRPr="0070748F">
          <w:rPr>
            <w:webHidden/>
          </w:rPr>
          <w:tab/>
        </w:r>
        <w:r w:rsidRPr="0070748F">
          <w:rPr>
            <w:webHidden/>
          </w:rPr>
          <w:fldChar w:fldCharType="begin"/>
        </w:r>
        <w:r w:rsidRPr="0070748F">
          <w:rPr>
            <w:webHidden/>
          </w:rPr>
          <w:instrText xml:space="preserve"> PAGEREF _Toc461375557 \h </w:instrText>
        </w:r>
        <w:r w:rsidRPr="0070748F">
          <w:rPr>
            <w:webHidden/>
          </w:rPr>
        </w:r>
        <w:r w:rsidRPr="0070748F">
          <w:rPr>
            <w:webHidden/>
          </w:rPr>
          <w:fldChar w:fldCharType="separate"/>
        </w:r>
        <w:r w:rsidRPr="0070748F">
          <w:rPr>
            <w:webHidden/>
          </w:rPr>
          <w:t>13</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58" w:history="1">
        <w:r w:rsidRPr="0070748F">
          <w:rPr>
            <w:rStyle w:val="aa"/>
          </w:rPr>
          <w:t>3.1. СВЕДЕНИЯ О ИМУЩЕСТВЕННЫХ ПРАВАХ И ОБРЕМЕНЕНИЯХ</w:t>
        </w:r>
        <w:r w:rsidRPr="0070748F">
          <w:rPr>
            <w:webHidden/>
          </w:rPr>
          <w:tab/>
        </w:r>
        <w:r w:rsidRPr="0070748F">
          <w:rPr>
            <w:webHidden/>
          </w:rPr>
          <w:fldChar w:fldCharType="begin"/>
        </w:r>
        <w:r w:rsidRPr="0070748F">
          <w:rPr>
            <w:webHidden/>
          </w:rPr>
          <w:instrText xml:space="preserve"> PAGEREF _Toc461375558 \h </w:instrText>
        </w:r>
        <w:r w:rsidRPr="0070748F">
          <w:rPr>
            <w:webHidden/>
          </w:rPr>
        </w:r>
        <w:r w:rsidRPr="0070748F">
          <w:rPr>
            <w:webHidden/>
          </w:rPr>
          <w:fldChar w:fldCharType="separate"/>
        </w:r>
        <w:r w:rsidRPr="0070748F">
          <w:rPr>
            <w:webHidden/>
          </w:rPr>
          <w:t>13</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59" w:history="1">
        <w:r w:rsidRPr="0070748F">
          <w:rPr>
            <w:rStyle w:val="aa"/>
            <w:rFonts w:ascii="Bookman Old Style" w:hAnsi="Bookman Old Style"/>
            <w:noProof/>
            <w:sz w:val="20"/>
            <w:szCs w:val="20"/>
          </w:rPr>
          <w:t>3.1.1. Сведения об имущественных правах</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_Toc461375559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13</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60" w:history="1">
        <w:r w:rsidRPr="0070748F">
          <w:rPr>
            <w:rStyle w:val="aa"/>
            <w:rFonts w:ascii="Bookman Old Style" w:hAnsi="Bookman Old Style"/>
            <w:noProof/>
            <w:sz w:val="20"/>
            <w:szCs w:val="20"/>
          </w:rPr>
          <w:t>3.1.2. Сведения об обременениях</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_Toc461375560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14</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61" w:history="1">
        <w:r w:rsidRPr="0070748F">
          <w:rPr>
            <w:rStyle w:val="aa"/>
            <w:rFonts w:ascii="Bookman Old Style" w:hAnsi="Bookman Old Style"/>
            <w:noProof/>
            <w:sz w:val="20"/>
            <w:szCs w:val="20"/>
          </w:rPr>
          <w:t>3.1.3. Сведения о балансовой стоимости Объекта оценки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_Toc461375561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14</w:t>
        </w:r>
        <w:r w:rsidRPr="0070748F">
          <w:rPr>
            <w:rFonts w:ascii="Bookman Old Style" w:hAnsi="Bookman Old Style"/>
            <w:noProof/>
            <w:webHidden/>
            <w:sz w:val="20"/>
            <w:szCs w:val="20"/>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62" w:history="1">
        <w:r w:rsidRPr="0070748F">
          <w:rPr>
            <w:rStyle w:val="aa"/>
          </w:rPr>
          <w:t>3.2. КОЛИЧЕСТВЕННЫЕ И КАЧЕСТВЕННЫЕ ХАРАКТЕРИСТИКИ ОБЪЕКТА ОЦЕНКИ</w:t>
        </w:r>
        <w:r w:rsidRPr="0070748F">
          <w:rPr>
            <w:webHidden/>
          </w:rPr>
          <w:tab/>
        </w:r>
        <w:r w:rsidRPr="0070748F">
          <w:rPr>
            <w:webHidden/>
          </w:rPr>
          <w:fldChar w:fldCharType="begin"/>
        </w:r>
        <w:r w:rsidRPr="0070748F">
          <w:rPr>
            <w:webHidden/>
          </w:rPr>
          <w:instrText xml:space="preserve"> PAGEREF _Toc461375562 \h </w:instrText>
        </w:r>
        <w:r w:rsidRPr="0070748F">
          <w:rPr>
            <w:webHidden/>
          </w:rPr>
        </w:r>
        <w:r w:rsidRPr="0070748F">
          <w:rPr>
            <w:webHidden/>
          </w:rPr>
          <w:fldChar w:fldCharType="separate"/>
        </w:r>
        <w:r w:rsidRPr="0070748F">
          <w:rPr>
            <w:webHidden/>
          </w:rPr>
          <w:t>14</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63" w:history="1">
        <w:r w:rsidRPr="0070748F">
          <w:rPr>
            <w:rStyle w:val="aa"/>
            <w:rFonts w:ascii="Bookman Old Style" w:hAnsi="Bookman Old Style"/>
            <w:noProof/>
            <w:sz w:val="20"/>
            <w:szCs w:val="20"/>
          </w:rPr>
          <w:t>3.2.1. Ссылки на документы, используемые при установлении характеристик</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_Toc461375563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14</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64" w:history="1">
        <w:r w:rsidRPr="0070748F">
          <w:rPr>
            <w:rStyle w:val="aa"/>
            <w:rFonts w:ascii="Bookman Old Style" w:hAnsi="Bookman Old Style"/>
            <w:noProof/>
            <w:sz w:val="20"/>
            <w:szCs w:val="20"/>
          </w:rPr>
          <w:t>3.2.2. Информация о местоположении имущества</w:t>
        </w:r>
        <w:r w:rsidRPr="0070748F">
          <w:rPr>
            <w:rStyle w:val="aa"/>
            <w:rFonts w:ascii="Bookman Old Style" w:hAnsi="Bookman Old Style"/>
            <w:noProof/>
            <w:sz w:val="20"/>
            <w:szCs w:val="20"/>
            <w:vertAlign w:val="superscript"/>
          </w:rPr>
          <w:t xml:space="preserve"> </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_Toc461375564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15</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65" w:history="1">
        <w:r w:rsidRPr="0070748F">
          <w:rPr>
            <w:rStyle w:val="aa"/>
            <w:rFonts w:ascii="Bookman Old Style" w:hAnsi="Bookman Old Style"/>
            <w:noProof/>
            <w:sz w:val="20"/>
            <w:szCs w:val="20"/>
          </w:rPr>
          <w:t>3.2.3. Количественные и качественные характеристики элементов Объекта оценки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_Toc461375565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66" w:history="1">
        <w:r w:rsidRPr="0070748F">
          <w:rPr>
            <w:rStyle w:val="aa"/>
            <w:rFonts w:ascii="Bookman Old Style" w:hAnsi="Bookman Old Style"/>
            <w:noProof/>
            <w:sz w:val="20"/>
            <w:szCs w:val="20"/>
          </w:rPr>
          <w:t>3.2.3.1. Количественные и качественные характеристики недвижимого имущества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_Toc461375566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67" w:history="1">
        <w:r w:rsidRPr="0070748F">
          <w:rPr>
            <w:rStyle w:val="aa"/>
            <w:rFonts w:ascii="Bookman Old Style" w:hAnsi="Bookman Old Style"/>
            <w:noProof/>
            <w:sz w:val="20"/>
            <w:szCs w:val="20"/>
          </w:rPr>
          <w:t>3.2.3.2. Количественные и качественные характеристики движимого имущества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_Toc461375567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18</w:t>
        </w:r>
        <w:r w:rsidRPr="0070748F">
          <w:rPr>
            <w:rFonts w:ascii="Bookman Old Style" w:hAnsi="Bookman Old Style"/>
            <w:noProof/>
            <w:webHidden/>
            <w:sz w:val="20"/>
            <w:szCs w:val="20"/>
          </w:rPr>
          <w:fldChar w:fldCharType="end"/>
        </w:r>
      </w:hyperlink>
    </w:p>
    <w:p w:rsidR="0070748F" w:rsidRPr="0070748F" w:rsidRDefault="0070748F" w:rsidP="0070748F">
      <w:pPr>
        <w:pStyle w:val="11"/>
        <w:tabs>
          <w:tab w:val="clear" w:pos="10490"/>
          <w:tab w:val="right" w:leader="dot" w:pos="10206"/>
        </w:tabs>
        <w:spacing w:beforeLines="0" w:before="80" w:afterLines="0" w:after="80"/>
        <w:rPr>
          <w:rFonts w:eastAsiaTheme="minorEastAsia" w:cstheme="minorBidi"/>
        </w:rPr>
      </w:pPr>
      <w:hyperlink w:anchor="_Toc461375568" w:history="1">
        <w:r w:rsidRPr="0070748F">
          <w:rPr>
            <w:rStyle w:val="aa"/>
          </w:rPr>
          <w:t>4. АНАЛИЗ РЫНКА ОБЪЕКТА ОЦЕНКИ</w:t>
        </w:r>
        <w:r w:rsidRPr="0070748F">
          <w:rPr>
            <w:webHidden/>
          </w:rPr>
          <w:tab/>
        </w:r>
        <w:r w:rsidRPr="0070748F">
          <w:rPr>
            <w:webHidden/>
          </w:rPr>
          <w:fldChar w:fldCharType="begin"/>
        </w:r>
        <w:r w:rsidRPr="0070748F">
          <w:rPr>
            <w:webHidden/>
          </w:rPr>
          <w:instrText xml:space="preserve"> PAGEREF _Toc461375568 \h </w:instrText>
        </w:r>
        <w:r w:rsidRPr="0070748F">
          <w:rPr>
            <w:webHidden/>
          </w:rPr>
        </w:r>
        <w:r w:rsidRPr="0070748F">
          <w:rPr>
            <w:webHidden/>
          </w:rPr>
          <w:fldChar w:fldCharType="separate"/>
        </w:r>
        <w:r w:rsidRPr="0070748F">
          <w:rPr>
            <w:webHidden/>
          </w:rPr>
          <w:t>18</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69" w:history="1">
        <w:r w:rsidRPr="0070748F">
          <w:rPr>
            <w:rStyle w:val="aa"/>
          </w:rPr>
          <w:t>4.1. ИСТОЧНИКИ ИНФОРМАЦИИ, ИСПОЛЬЗУЕМЫЕ ПРИ АНАЛИЗЕ</w:t>
        </w:r>
        <w:r w:rsidRPr="0070748F">
          <w:rPr>
            <w:webHidden/>
          </w:rPr>
          <w:tab/>
        </w:r>
        <w:r w:rsidRPr="0070748F">
          <w:rPr>
            <w:webHidden/>
          </w:rPr>
          <w:fldChar w:fldCharType="begin"/>
        </w:r>
        <w:r w:rsidRPr="0070748F">
          <w:rPr>
            <w:webHidden/>
          </w:rPr>
          <w:instrText xml:space="preserve"> PAGEREF _Toc461375569 \h </w:instrText>
        </w:r>
        <w:r w:rsidRPr="0070748F">
          <w:rPr>
            <w:webHidden/>
          </w:rPr>
        </w:r>
        <w:r w:rsidRPr="0070748F">
          <w:rPr>
            <w:webHidden/>
          </w:rPr>
          <w:fldChar w:fldCharType="separate"/>
        </w:r>
        <w:r w:rsidRPr="0070748F">
          <w:rPr>
            <w:webHidden/>
          </w:rPr>
          <w:t>18</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70" w:history="1">
        <w:r w:rsidRPr="0070748F">
          <w:rPr>
            <w:rStyle w:val="aa"/>
          </w:rPr>
          <w:t>4.2. АНАЛИЗ ВЛИЯНИЯ ОБЩЕЙ ПОЛИТИЧЕСКОЙ И СОЦИАЛЬНО-ЭКОНОМИЧЕСКОЙ ОБСТАНОВКИ</w:t>
        </w:r>
        <w:r w:rsidRPr="0070748F">
          <w:rPr>
            <w:webHidden/>
          </w:rPr>
          <w:tab/>
        </w:r>
        <w:r w:rsidRPr="0070748F">
          <w:rPr>
            <w:webHidden/>
          </w:rPr>
          <w:fldChar w:fldCharType="begin"/>
        </w:r>
        <w:r w:rsidRPr="0070748F">
          <w:rPr>
            <w:webHidden/>
          </w:rPr>
          <w:instrText xml:space="preserve"> PAGEREF _Toc461375570 \h </w:instrText>
        </w:r>
        <w:r w:rsidRPr="0070748F">
          <w:rPr>
            <w:webHidden/>
          </w:rPr>
        </w:r>
        <w:r w:rsidRPr="0070748F">
          <w:rPr>
            <w:webHidden/>
          </w:rPr>
          <w:fldChar w:fldCharType="separate"/>
        </w:r>
        <w:r w:rsidRPr="0070748F">
          <w:rPr>
            <w:webHidden/>
          </w:rPr>
          <w:t>18</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71" w:history="1">
        <w:r w:rsidRPr="0070748F">
          <w:rPr>
            <w:rStyle w:val="aa"/>
            <w:rFonts w:ascii="Bookman Old Style" w:hAnsi="Bookman Old Style"/>
            <w:noProof/>
            <w:sz w:val="20"/>
            <w:szCs w:val="20"/>
          </w:rPr>
          <w:t>4.2.1. Анализ влияния общей политической и социально-экономической обстановки в России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_Toc461375571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18</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72" w:history="1">
        <w:r w:rsidRPr="0070748F">
          <w:rPr>
            <w:rStyle w:val="aa"/>
            <w:rFonts w:ascii="Bookman Old Style" w:hAnsi="Bookman Old Style"/>
            <w:noProof/>
            <w:sz w:val="20"/>
            <w:szCs w:val="20"/>
          </w:rPr>
          <w:t>4.2.2. Анализ влияния общей политической и социально-экономической обстановки в Красноярском крае</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_Toc461375572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20</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73" w:history="1">
        <w:r w:rsidRPr="0070748F">
          <w:rPr>
            <w:rStyle w:val="aa"/>
            <w:rFonts w:ascii="Bookman Old Style" w:hAnsi="Bookman Old Style"/>
            <w:noProof/>
            <w:sz w:val="20"/>
            <w:szCs w:val="20"/>
          </w:rPr>
          <w:t>Июнь</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_Toc461375573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20</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74" w:history="1">
        <w:r w:rsidRPr="0070748F">
          <w:rPr>
            <w:rStyle w:val="aa"/>
            <w:rFonts w:ascii="Bookman Old Style" w:hAnsi="Bookman Old Style"/>
            <w:noProof/>
            <w:sz w:val="20"/>
            <w:szCs w:val="20"/>
          </w:rPr>
          <w:t>4.2.3. Выводы</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_Toc461375574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21</w:t>
        </w:r>
        <w:r w:rsidRPr="0070748F">
          <w:rPr>
            <w:rFonts w:ascii="Bookman Old Style" w:hAnsi="Bookman Old Style"/>
            <w:noProof/>
            <w:webHidden/>
            <w:sz w:val="20"/>
            <w:szCs w:val="20"/>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75" w:history="1">
        <w:r w:rsidRPr="0070748F">
          <w:rPr>
            <w:rStyle w:val="aa"/>
          </w:rPr>
          <w:t>4.3. ОПРЕДЕЛЕНИЕ СЕГМЕНТА РЫНКА</w:t>
        </w:r>
        <w:r w:rsidRPr="0070748F">
          <w:rPr>
            <w:webHidden/>
          </w:rPr>
          <w:tab/>
        </w:r>
        <w:r w:rsidRPr="0070748F">
          <w:rPr>
            <w:webHidden/>
          </w:rPr>
          <w:fldChar w:fldCharType="begin"/>
        </w:r>
        <w:r w:rsidRPr="0070748F">
          <w:rPr>
            <w:webHidden/>
          </w:rPr>
          <w:instrText xml:space="preserve"> PAGEREF _Toc461375575 \h </w:instrText>
        </w:r>
        <w:r w:rsidRPr="0070748F">
          <w:rPr>
            <w:webHidden/>
          </w:rPr>
        </w:r>
        <w:r w:rsidRPr="0070748F">
          <w:rPr>
            <w:webHidden/>
          </w:rPr>
          <w:fldChar w:fldCharType="separate"/>
        </w:r>
        <w:r w:rsidRPr="0070748F">
          <w:rPr>
            <w:webHidden/>
          </w:rPr>
          <w:t>23</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76" w:history="1">
        <w:r w:rsidRPr="0070748F">
          <w:rPr>
            <w:rStyle w:val="aa"/>
          </w:rPr>
          <w:t>4.4. АНАЛИЗ ФАКТИЧЕСКИХ ДАННЫХ О ЦЕНАХ СДЕЛОК И ПРЕДЛОЖЕНИЙ С ЭЛЕМЕНТАМИ ОБЪЕКТА ОЦЕНКИ, С УКАЗАНИЕМ ИНТЕРВАЛА ЗНАЧЕНИЙ ЦЕН КРАСНОЯРСКА</w:t>
        </w:r>
        <w:r w:rsidRPr="0070748F">
          <w:rPr>
            <w:webHidden/>
          </w:rPr>
          <w:tab/>
        </w:r>
        <w:r w:rsidRPr="0070748F">
          <w:rPr>
            <w:webHidden/>
          </w:rPr>
          <w:fldChar w:fldCharType="begin"/>
        </w:r>
        <w:r w:rsidRPr="0070748F">
          <w:rPr>
            <w:webHidden/>
          </w:rPr>
          <w:instrText xml:space="preserve"> PAGEREF _Toc461375576 \h </w:instrText>
        </w:r>
        <w:r w:rsidRPr="0070748F">
          <w:rPr>
            <w:webHidden/>
          </w:rPr>
        </w:r>
        <w:r w:rsidRPr="0070748F">
          <w:rPr>
            <w:webHidden/>
          </w:rPr>
          <w:fldChar w:fldCharType="separate"/>
        </w:r>
        <w:r w:rsidRPr="0070748F">
          <w:rPr>
            <w:webHidden/>
          </w:rPr>
          <w:t>23</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77" w:history="1">
        <w:r w:rsidRPr="0070748F">
          <w:rPr>
            <w:rStyle w:val="aa"/>
            <w:rFonts w:ascii="Bookman Old Style" w:hAnsi="Bookman Old Style"/>
            <w:noProof/>
            <w:sz w:val="20"/>
            <w:szCs w:val="20"/>
          </w:rPr>
          <w:t>4.4.1. Анализ вторичного рынка коммерческой недвижимости</w:t>
        </w:r>
        <w:r w:rsidRPr="0070748F">
          <w:rPr>
            <w:rStyle w:val="aa"/>
            <w:rFonts w:ascii="Bookman Old Style" w:hAnsi="Bookman Old Style"/>
            <w:noProof/>
            <w:sz w:val="20"/>
            <w:szCs w:val="20"/>
            <w:vertAlign w:val="superscript"/>
          </w:rPr>
          <w:t xml:space="preserve"> </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_Toc461375577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23</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78" w:history="1">
        <w:r w:rsidRPr="0070748F">
          <w:rPr>
            <w:rStyle w:val="aa"/>
            <w:rFonts w:ascii="Bookman Old Style" w:hAnsi="Bookman Old Style"/>
            <w:noProof/>
            <w:sz w:val="20"/>
            <w:szCs w:val="20"/>
          </w:rPr>
          <w:t>4.4.2. Анализ основных факторов, влияющих на спрос, предложение и цены</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_Toc461375578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25</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79" w:history="1">
        <w:r w:rsidRPr="0070748F">
          <w:rPr>
            <w:rStyle w:val="aa"/>
            <w:rFonts w:ascii="Bookman Old Style" w:hAnsi="Bookman Old Style"/>
            <w:noProof/>
            <w:sz w:val="20"/>
            <w:szCs w:val="20"/>
          </w:rPr>
          <w:t>4.4.3. Рынок земельных участков. Ценообразующие факторы, использовавшиеся при определении стоимости, и обоснование значений диапазонов значений ценообразующих факторов</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_Toc461375579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27</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80" w:history="1">
        <w:r w:rsidRPr="0070748F">
          <w:rPr>
            <w:rStyle w:val="aa"/>
            <w:rFonts w:ascii="Bookman Old Style" w:hAnsi="Bookman Old Style"/>
            <w:noProof/>
            <w:sz w:val="20"/>
            <w:szCs w:val="20"/>
          </w:rPr>
          <w:t>4.4.4. Рынок оборудования. Ценообразующие факторы, использовавшиеся при определении стоимости, и обоснование значений диапазонов значений ценообразующих факторов</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_Toc461375580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29</w:t>
        </w:r>
        <w:r w:rsidRPr="0070748F">
          <w:rPr>
            <w:rFonts w:ascii="Bookman Old Style" w:hAnsi="Bookman Old Style"/>
            <w:noProof/>
            <w:webHidden/>
            <w:sz w:val="20"/>
            <w:szCs w:val="20"/>
          </w:rPr>
          <w:fldChar w:fldCharType="end"/>
        </w:r>
      </w:hyperlink>
    </w:p>
    <w:p w:rsidR="0070748F" w:rsidRPr="0070748F" w:rsidRDefault="0070748F" w:rsidP="0070748F">
      <w:pPr>
        <w:pStyle w:val="11"/>
        <w:tabs>
          <w:tab w:val="clear" w:pos="10490"/>
          <w:tab w:val="right" w:leader="dot" w:pos="10206"/>
        </w:tabs>
        <w:spacing w:beforeLines="0" w:before="80" w:afterLines="0" w:after="80"/>
        <w:rPr>
          <w:rFonts w:eastAsiaTheme="minorEastAsia" w:cstheme="minorBidi"/>
        </w:rPr>
      </w:pPr>
      <w:hyperlink w:anchor="_Toc461375581" w:history="1">
        <w:r w:rsidRPr="0070748F">
          <w:rPr>
            <w:rStyle w:val="aa"/>
          </w:rPr>
          <w:t>5. ОПИСАНИЕ ПРОЦЕССА ОЦЕНКИ</w:t>
        </w:r>
        <w:r w:rsidRPr="0070748F">
          <w:rPr>
            <w:webHidden/>
          </w:rPr>
          <w:tab/>
        </w:r>
        <w:r w:rsidRPr="0070748F">
          <w:rPr>
            <w:webHidden/>
          </w:rPr>
          <w:fldChar w:fldCharType="begin"/>
        </w:r>
        <w:r w:rsidRPr="0070748F">
          <w:rPr>
            <w:webHidden/>
          </w:rPr>
          <w:instrText xml:space="preserve"> PAGEREF _Toc461375581 \h </w:instrText>
        </w:r>
        <w:r w:rsidRPr="0070748F">
          <w:rPr>
            <w:webHidden/>
          </w:rPr>
        </w:r>
        <w:r w:rsidRPr="0070748F">
          <w:rPr>
            <w:webHidden/>
          </w:rPr>
          <w:fldChar w:fldCharType="separate"/>
        </w:r>
        <w:r w:rsidRPr="0070748F">
          <w:rPr>
            <w:webHidden/>
          </w:rPr>
          <w:t>31</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82" w:history="1">
        <w:r w:rsidRPr="0070748F">
          <w:rPr>
            <w:rStyle w:val="aa"/>
          </w:rPr>
          <w:t>5.1. ОБЗОР ПОДХОДОВ</w:t>
        </w:r>
        <w:r w:rsidRPr="0070748F">
          <w:rPr>
            <w:webHidden/>
          </w:rPr>
          <w:tab/>
        </w:r>
        <w:r w:rsidRPr="0070748F">
          <w:rPr>
            <w:webHidden/>
          </w:rPr>
          <w:fldChar w:fldCharType="begin"/>
        </w:r>
        <w:r w:rsidRPr="0070748F">
          <w:rPr>
            <w:webHidden/>
          </w:rPr>
          <w:instrText xml:space="preserve"> PAGEREF _Toc461375582 \h </w:instrText>
        </w:r>
        <w:r w:rsidRPr="0070748F">
          <w:rPr>
            <w:webHidden/>
          </w:rPr>
        </w:r>
        <w:r w:rsidRPr="0070748F">
          <w:rPr>
            <w:webHidden/>
          </w:rPr>
          <w:fldChar w:fldCharType="separate"/>
        </w:r>
        <w:r w:rsidRPr="0070748F">
          <w:rPr>
            <w:webHidden/>
          </w:rPr>
          <w:t>31</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83" w:history="1">
        <w:r w:rsidRPr="0070748F">
          <w:rPr>
            <w:rStyle w:val="aa"/>
            <w:rFonts w:ascii="Bookman Old Style" w:hAnsi="Bookman Old Style"/>
            <w:noProof/>
            <w:sz w:val="20"/>
            <w:szCs w:val="20"/>
          </w:rPr>
          <w:t>5.1.1. Доходный подход при оценке недвижимости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_Toc461375583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31</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84" w:history="1">
        <w:r w:rsidRPr="0070748F">
          <w:rPr>
            <w:rStyle w:val="aa"/>
            <w:rFonts w:ascii="Bookman Old Style" w:hAnsi="Bookman Old Style"/>
            <w:noProof/>
            <w:sz w:val="20"/>
            <w:szCs w:val="20"/>
          </w:rPr>
          <w:t>5.1.2. Сравнительный подход при оценке недвижимости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_Toc461375584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32</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85" w:history="1">
        <w:r w:rsidRPr="0070748F">
          <w:rPr>
            <w:rStyle w:val="aa"/>
            <w:rFonts w:ascii="Bookman Old Style" w:hAnsi="Bookman Old Style"/>
            <w:noProof/>
            <w:sz w:val="20"/>
            <w:szCs w:val="20"/>
          </w:rPr>
          <w:t>5.1.3. Затратный подход при оценке недвижимости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_Toc461375585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33</w:t>
        </w:r>
        <w:r w:rsidRPr="0070748F">
          <w:rPr>
            <w:rFonts w:ascii="Bookman Old Style" w:hAnsi="Bookman Old Style"/>
            <w:noProof/>
            <w:webHidden/>
            <w:sz w:val="20"/>
            <w:szCs w:val="20"/>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86" w:history="1">
        <w:r w:rsidRPr="0070748F">
          <w:rPr>
            <w:rStyle w:val="aa"/>
          </w:rPr>
          <w:t>5.2. ОБОСНОВАНИЕ ВЫБОРА ПОДХОДОВ И МЕТОДОВ</w:t>
        </w:r>
        <w:r w:rsidRPr="0070748F">
          <w:rPr>
            <w:webHidden/>
          </w:rPr>
          <w:tab/>
        </w:r>
        <w:r w:rsidRPr="0070748F">
          <w:rPr>
            <w:webHidden/>
          </w:rPr>
          <w:fldChar w:fldCharType="begin"/>
        </w:r>
        <w:r w:rsidRPr="0070748F">
          <w:rPr>
            <w:webHidden/>
          </w:rPr>
          <w:instrText xml:space="preserve"> PAGEREF _Toc461375586 \h </w:instrText>
        </w:r>
        <w:r w:rsidRPr="0070748F">
          <w:rPr>
            <w:webHidden/>
          </w:rPr>
        </w:r>
        <w:r w:rsidRPr="0070748F">
          <w:rPr>
            <w:webHidden/>
          </w:rPr>
          <w:fldChar w:fldCharType="separate"/>
        </w:r>
        <w:r w:rsidRPr="0070748F">
          <w:rPr>
            <w:webHidden/>
          </w:rPr>
          <w:t>35</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87" w:history="1">
        <w:r w:rsidRPr="0070748F">
          <w:rPr>
            <w:rStyle w:val="aa"/>
            <w:rFonts w:ascii="Bookman Old Style" w:hAnsi="Bookman Old Style"/>
            <w:noProof/>
            <w:sz w:val="20"/>
            <w:szCs w:val="20"/>
          </w:rPr>
          <w:t>5.2.1. Обоснование выбора подхода и методов затратного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_Toc461375587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35</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88" w:history="1">
        <w:r w:rsidRPr="0070748F">
          <w:rPr>
            <w:rStyle w:val="aa"/>
            <w:rFonts w:ascii="Bookman Old Style" w:hAnsi="Bookman Old Style"/>
            <w:noProof/>
            <w:sz w:val="20"/>
            <w:szCs w:val="20"/>
          </w:rPr>
          <w:t>5.2.1.1. Обоснование применения, отказа от применения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_Toc461375588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35</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89" w:history="1">
        <w:r w:rsidRPr="0070748F">
          <w:rPr>
            <w:rStyle w:val="aa"/>
            <w:rFonts w:ascii="Bookman Old Style" w:hAnsi="Bookman Old Style"/>
            <w:noProof/>
            <w:sz w:val="20"/>
            <w:szCs w:val="20"/>
          </w:rPr>
          <w:t>5.2.1.2. Обоснование выбора методов затратного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_Toc461375589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35</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90" w:history="1">
        <w:r w:rsidRPr="0070748F">
          <w:rPr>
            <w:rStyle w:val="aa"/>
            <w:rFonts w:ascii="Bookman Old Style" w:hAnsi="Bookman Old Style"/>
            <w:noProof/>
            <w:sz w:val="20"/>
            <w:szCs w:val="20"/>
          </w:rPr>
          <w:t>5.2.2. Обоснование выбора подхода и методов сравнительного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_Toc461375590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91" w:history="1">
        <w:r w:rsidRPr="0070748F">
          <w:rPr>
            <w:rStyle w:val="aa"/>
            <w:rFonts w:ascii="Bookman Old Style" w:hAnsi="Bookman Old Style"/>
            <w:noProof/>
            <w:sz w:val="20"/>
            <w:szCs w:val="20"/>
          </w:rPr>
          <w:t>5.2.2.1. Обоснование применения, отказа от применения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_Toc461375591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92" w:history="1">
        <w:r w:rsidRPr="0070748F">
          <w:rPr>
            <w:rStyle w:val="aa"/>
            <w:rFonts w:ascii="Bookman Old Style" w:hAnsi="Bookman Old Style"/>
            <w:noProof/>
            <w:sz w:val="20"/>
            <w:szCs w:val="20"/>
          </w:rPr>
          <w:t>5.2.2.2. Обоснование выбора методов сравнительного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_Toc461375592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93" w:history="1">
        <w:r w:rsidRPr="0070748F">
          <w:rPr>
            <w:rStyle w:val="aa"/>
            <w:rFonts w:ascii="Bookman Old Style" w:hAnsi="Bookman Old Style"/>
            <w:noProof/>
            <w:sz w:val="20"/>
            <w:szCs w:val="20"/>
          </w:rPr>
          <w:t>5.2.3. Обоснование выбора подхода и методов доходного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_Toc461375593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37</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94" w:history="1">
        <w:r w:rsidRPr="0070748F">
          <w:rPr>
            <w:rStyle w:val="aa"/>
            <w:rFonts w:ascii="Bookman Old Style" w:hAnsi="Bookman Old Style"/>
            <w:noProof/>
            <w:sz w:val="20"/>
            <w:szCs w:val="20"/>
          </w:rPr>
          <w:t>5.2.3.1. Обоснование применения, отказа от применения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_Toc461375594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37</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95" w:history="1">
        <w:r w:rsidRPr="0070748F">
          <w:rPr>
            <w:rStyle w:val="aa"/>
            <w:rFonts w:ascii="Bookman Old Style" w:hAnsi="Bookman Old Style"/>
            <w:noProof/>
            <w:sz w:val="20"/>
            <w:szCs w:val="20"/>
          </w:rPr>
          <w:t>5.2.3.2. Обоснование выбора методов доходного подхода</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_Toc461375595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38</w:t>
        </w:r>
        <w:r w:rsidRPr="0070748F">
          <w:rPr>
            <w:rFonts w:ascii="Bookman Old Style" w:hAnsi="Bookman Old Style"/>
            <w:noProof/>
            <w:webHidden/>
            <w:sz w:val="20"/>
            <w:szCs w:val="20"/>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96" w:history="1">
        <w:r w:rsidRPr="0070748F">
          <w:rPr>
            <w:rStyle w:val="aa"/>
          </w:rPr>
          <w:t>5.3. АНАЛИЗ НАИБОЛЕЕ ЭФФЕКТИВНОГО ИСПОЛЬЗОВАНИЯ</w:t>
        </w:r>
        <w:r w:rsidRPr="0070748F">
          <w:rPr>
            <w:webHidden/>
          </w:rPr>
          <w:tab/>
        </w:r>
        <w:r w:rsidRPr="0070748F">
          <w:rPr>
            <w:webHidden/>
          </w:rPr>
          <w:fldChar w:fldCharType="begin"/>
        </w:r>
        <w:r w:rsidRPr="0070748F">
          <w:rPr>
            <w:webHidden/>
          </w:rPr>
          <w:instrText xml:space="preserve"> PAGEREF _Toc461375596 \h </w:instrText>
        </w:r>
        <w:r w:rsidRPr="0070748F">
          <w:rPr>
            <w:webHidden/>
          </w:rPr>
        </w:r>
        <w:r w:rsidRPr="0070748F">
          <w:rPr>
            <w:webHidden/>
          </w:rPr>
          <w:fldChar w:fldCharType="separate"/>
        </w:r>
        <w:r w:rsidRPr="0070748F">
          <w:rPr>
            <w:webHidden/>
          </w:rPr>
          <w:t>38</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97" w:history="1">
        <w:r w:rsidRPr="0070748F">
          <w:rPr>
            <w:rStyle w:val="aa"/>
            <w:rFonts w:ascii="Bookman Old Style" w:hAnsi="Bookman Old Style"/>
            <w:noProof/>
            <w:sz w:val="20"/>
            <w:szCs w:val="20"/>
          </w:rPr>
          <w:t>5.3.1. Анализ НЭИ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_Toc461375597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39</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598" w:history="1">
        <w:r w:rsidRPr="0070748F">
          <w:rPr>
            <w:rStyle w:val="aa"/>
            <w:rFonts w:ascii="Bookman Old Style" w:hAnsi="Bookman Old Style"/>
            <w:noProof/>
            <w:sz w:val="20"/>
            <w:szCs w:val="20"/>
          </w:rPr>
          <w:t>5.3.2. Выводы по анализу НЭИ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_Toc461375598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40</w:t>
        </w:r>
        <w:r w:rsidRPr="0070748F">
          <w:rPr>
            <w:rFonts w:ascii="Bookman Old Style" w:hAnsi="Bookman Old Style"/>
            <w:noProof/>
            <w:webHidden/>
            <w:sz w:val="20"/>
            <w:szCs w:val="20"/>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599" w:history="1">
        <w:r w:rsidRPr="0070748F">
          <w:rPr>
            <w:rStyle w:val="aa"/>
          </w:rPr>
          <w:t>5.4. РАСЧЕТ РЫНОЧНОЙ СТОИМОСТИ СРАВНИТЕЛЬНЫМ ПОДХОДОМ</w:t>
        </w:r>
        <w:r w:rsidRPr="0070748F">
          <w:rPr>
            <w:webHidden/>
          </w:rPr>
          <w:tab/>
        </w:r>
        <w:r w:rsidRPr="0070748F">
          <w:rPr>
            <w:webHidden/>
          </w:rPr>
          <w:fldChar w:fldCharType="begin"/>
        </w:r>
        <w:r w:rsidRPr="0070748F">
          <w:rPr>
            <w:webHidden/>
          </w:rPr>
          <w:instrText xml:space="preserve"> PAGEREF _Toc461375599 \h </w:instrText>
        </w:r>
        <w:r w:rsidRPr="0070748F">
          <w:rPr>
            <w:webHidden/>
          </w:rPr>
        </w:r>
        <w:r w:rsidRPr="0070748F">
          <w:rPr>
            <w:webHidden/>
          </w:rPr>
          <w:fldChar w:fldCharType="separate"/>
        </w:r>
        <w:r w:rsidRPr="0070748F">
          <w:rPr>
            <w:webHidden/>
          </w:rPr>
          <w:t>40</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0" w:history="1">
        <w:r w:rsidRPr="0070748F">
          <w:rPr>
            <w:rStyle w:val="aa"/>
            <w:rFonts w:ascii="Bookman Old Style" w:hAnsi="Bookman Old Style"/>
            <w:noProof/>
            <w:sz w:val="20"/>
            <w:szCs w:val="20"/>
          </w:rPr>
          <w:t>5.4.1. Последовательность определения стоимости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_Toc461375600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40</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1" w:history="1">
        <w:r w:rsidRPr="0070748F">
          <w:rPr>
            <w:rStyle w:val="aa"/>
            <w:rFonts w:ascii="Bookman Old Style" w:hAnsi="Bookman Old Style"/>
            <w:noProof/>
            <w:sz w:val="20"/>
            <w:szCs w:val="20"/>
          </w:rPr>
          <w:t>5.4.2. Выбор единиц сравнения</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_Toc461375601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41</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2" w:history="1">
        <w:r w:rsidRPr="0070748F">
          <w:rPr>
            <w:rStyle w:val="aa"/>
            <w:rFonts w:ascii="Bookman Old Style" w:hAnsi="Bookman Old Style"/>
            <w:noProof/>
            <w:sz w:val="20"/>
            <w:szCs w:val="20"/>
          </w:rPr>
          <w:t>5.4.3. Правило отбора аналогов</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_Toc461375602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42</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3" w:history="1">
        <w:r w:rsidRPr="0070748F">
          <w:rPr>
            <w:rStyle w:val="aa"/>
            <w:rFonts w:ascii="Bookman Old Style" w:hAnsi="Bookman Old Style"/>
            <w:noProof/>
            <w:sz w:val="20"/>
            <w:szCs w:val="20"/>
          </w:rPr>
          <w:t>5.4.4. Корректировка по элементам сравнения. Согласование скорректированных результатов расчетов.</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_Toc461375603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42</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4" w:history="1">
        <w:r w:rsidRPr="0070748F">
          <w:rPr>
            <w:rStyle w:val="aa"/>
            <w:rFonts w:ascii="Bookman Old Style" w:hAnsi="Bookman Old Style"/>
            <w:noProof/>
            <w:sz w:val="20"/>
            <w:szCs w:val="20"/>
          </w:rPr>
          <w:t>5.4.4.1. Расчет стоимости 1 кв.м. нежилого помещения производственно-складского назначения площадью 300-</w:t>
        </w:r>
        <w:r w:rsidRPr="0070748F">
          <w:rPr>
            <w:rStyle w:val="aa"/>
            <w:rFonts w:ascii="Bookman Old Style" w:hAnsi="Bookman Old Style"/>
            <w:noProof/>
            <w:sz w:val="20"/>
            <w:szCs w:val="20"/>
            <w:lang w:val="en-US"/>
          </w:rPr>
          <w:t>1000</w:t>
        </w:r>
        <w:r w:rsidRPr="0070748F">
          <w:rPr>
            <w:rStyle w:val="aa"/>
            <w:rFonts w:ascii="Bookman Old Style" w:hAnsi="Bookman Old Style"/>
            <w:noProof/>
            <w:sz w:val="20"/>
            <w:szCs w:val="20"/>
          </w:rPr>
          <w:t xml:space="preserve"> кв.м.</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_Toc461375604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42</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5" w:history="1">
        <w:r w:rsidRPr="0070748F">
          <w:rPr>
            <w:rStyle w:val="aa"/>
            <w:rFonts w:ascii="Bookman Old Style" w:hAnsi="Bookman Old Style"/>
            <w:bCs/>
            <w:noProof/>
            <w:sz w:val="20"/>
            <w:szCs w:val="20"/>
          </w:rPr>
          <w:t>5.4.5. Определение рыночной стоимости земельного участка сравнительным подходом</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_Toc461375605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6" w:history="1">
        <w:r w:rsidRPr="0070748F">
          <w:rPr>
            <w:rStyle w:val="aa"/>
            <w:rFonts w:ascii="Bookman Old Style" w:hAnsi="Bookman Old Style"/>
            <w:bCs/>
            <w:noProof/>
            <w:sz w:val="20"/>
            <w:szCs w:val="20"/>
          </w:rPr>
          <w:t xml:space="preserve">5.4.6. </w:t>
        </w:r>
        <w:r w:rsidRPr="0070748F">
          <w:rPr>
            <w:rStyle w:val="aa"/>
            <w:rFonts w:ascii="Bookman Old Style" w:hAnsi="Bookman Old Style"/>
            <w:noProof/>
            <w:sz w:val="20"/>
            <w:szCs w:val="20"/>
          </w:rPr>
          <w:t>Результаты расчета стоимости недвижимого имущества сравнительным подходом</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_Toc461375606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48</w:t>
        </w:r>
        <w:r w:rsidRPr="0070748F">
          <w:rPr>
            <w:rFonts w:ascii="Bookman Old Style" w:hAnsi="Bookman Old Style"/>
            <w:noProof/>
            <w:webHidden/>
            <w:sz w:val="20"/>
            <w:szCs w:val="20"/>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607" w:history="1">
        <w:r w:rsidRPr="0070748F">
          <w:rPr>
            <w:rStyle w:val="aa"/>
          </w:rPr>
          <w:t>5.5. ОПРЕДЕЛЕНИЕ СТОИМОСТИ ИМУЩЕСТВА ДОХОДНЫМ ПОДХОДОМ</w:t>
        </w:r>
        <w:r w:rsidRPr="0070748F">
          <w:rPr>
            <w:webHidden/>
          </w:rPr>
          <w:tab/>
        </w:r>
        <w:r w:rsidRPr="0070748F">
          <w:rPr>
            <w:webHidden/>
          </w:rPr>
          <w:fldChar w:fldCharType="begin"/>
        </w:r>
        <w:r w:rsidRPr="0070748F">
          <w:rPr>
            <w:webHidden/>
          </w:rPr>
          <w:instrText xml:space="preserve"> PAGEREF _Toc461375607 \h </w:instrText>
        </w:r>
        <w:r w:rsidRPr="0070748F">
          <w:rPr>
            <w:webHidden/>
          </w:rPr>
        </w:r>
        <w:r w:rsidRPr="0070748F">
          <w:rPr>
            <w:webHidden/>
          </w:rPr>
          <w:fldChar w:fldCharType="separate"/>
        </w:r>
        <w:r w:rsidRPr="0070748F">
          <w:rPr>
            <w:webHidden/>
          </w:rPr>
          <w:t>48</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8" w:history="1">
        <w:r w:rsidRPr="0070748F">
          <w:rPr>
            <w:rStyle w:val="aa"/>
            <w:rFonts w:ascii="Bookman Old Style" w:hAnsi="Bookman Old Style"/>
            <w:bCs/>
            <w:noProof/>
            <w:sz w:val="20"/>
            <w:szCs w:val="20"/>
          </w:rPr>
          <w:t>5.5.1. Выбор метода оценки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_Toc461375608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48</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09" w:history="1">
        <w:r w:rsidRPr="0070748F">
          <w:rPr>
            <w:rStyle w:val="aa"/>
            <w:rFonts w:ascii="Bookman Old Style" w:hAnsi="Bookman Old Style"/>
            <w:bCs/>
            <w:noProof/>
            <w:sz w:val="20"/>
            <w:szCs w:val="20"/>
          </w:rPr>
          <w:t>5.5.2. Расчет арендной ставки нежилого помещения</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_Toc461375609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49</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10" w:history="1">
        <w:r w:rsidRPr="0070748F">
          <w:rPr>
            <w:rStyle w:val="aa"/>
            <w:rFonts w:ascii="Bookman Old Style" w:hAnsi="Bookman Old Style"/>
            <w:bCs/>
            <w:noProof/>
            <w:sz w:val="20"/>
            <w:szCs w:val="20"/>
          </w:rPr>
          <w:t>5.5.3. Определение периода прогнозирования</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_Toc461375610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52</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11" w:history="1">
        <w:r w:rsidRPr="0070748F">
          <w:rPr>
            <w:rStyle w:val="aa"/>
            <w:rFonts w:ascii="Bookman Old Style" w:hAnsi="Bookman Old Style"/>
            <w:bCs/>
            <w:noProof/>
            <w:sz w:val="20"/>
            <w:szCs w:val="20"/>
          </w:rPr>
          <w:t>5.5.4. Расчет коэффициента капитализации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_Toc461375611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52</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12" w:history="1">
        <w:r w:rsidRPr="0070748F">
          <w:rPr>
            <w:rStyle w:val="aa"/>
            <w:rFonts w:ascii="Bookman Old Style" w:hAnsi="Bookman Old Style"/>
            <w:bCs/>
            <w:noProof/>
            <w:sz w:val="20"/>
            <w:szCs w:val="20"/>
          </w:rPr>
          <w:t>5.5.5. Расчет рыночной стоимости доходным подходом</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_Toc461375612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53</w:t>
        </w:r>
        <w:r w:rsidRPr="0070748F">
          <w:rPr>
            <w:rFonts w:ascii="Bookman Old Style" w:hAnsi="Bookman Old Style"/>
            <w:noProof/>
            <w:webHidden/>
            <w:sz w:val="20"/>
            <w:szCs w:val="20"/>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613" w:history="1">
        <w:r w:rsidRPr="0070748F">
          <w:rPr>
            <w:rStyle w:val="aa"/>
          </w:rPr>
          <w:t>5.6. ОПРЕДЕЛЕНИЕ СТОИМОСТИ ИМУЩЕСТВА ЗАТРАТНЫМ ПОДХОДОМ</w:t>
        </w:r>
        <w:r w:rsidRPr="0070748F">
          <w:rPr>
            <w:webHidden/>
          </w:rPr>
          <w:tab/>
        </w:r>
        <w:r w:rsidRPr="0070748F">
          <w:rPr>
            <w:webHidden/>
          </w:rPr>
          <w:fldChar w:fldCharType="begin"/>
        </w:r>
        <w:r w:rsidRPr="0070748F">
          <w:rPr>
            <w:webHidden/>
          </w:rPr>
          <w:instrText xml:space="preserve"> PAGEREF _Toc461375613 \h </w:instrText>
        </w:r>
        <w:r w:rsidRPr="0070748F">
          <w:rPr>
            <w:webHidden/>
          </w:rPr>
        </w:r>
        <w:r w:rsidRPr="0070748F">
          <w:rPr>
            <w:webHidden/>
          </w:rPr>
          <w:fldChar w:fldCharType="separate"/>
        </w:r>
        <w:r w:rsidRPr="0070748F">
          <w:rPr>
            <w:webHidden/>
          </w:rPr>
          <w:t>54</w:t>
        </w:r>
        <w:r w:rsidRPr="0070748F">
          <w:rPr>
            <w:webHidden/>
          </w:rPr>
          <w:fldChar w:fldCharType="end"/>
        </w:r>
      </w:hyperlink>
    </w:p>
    <w:p w:rsidR="0070748F" w:rsidRPr="0070748F" w:rsidRDefault="0070748F" w:rsidP="0070748F">
      <w:pPr>
        <w:pStyle w:val="28"/>
        <w:tabs>
          <w:tab w:val="clear" w:pos="10479"/>
          <w:tab w:val="right" w:leader="dot" w:pos="10206"/>
        </w:tabs>
        <w:spacing w:before="80" w:after="80"/>
        <w:ind w:left="0"/>
        <w:rPr>
          <w:rFonts w:eastAsiaTheme="minorEastAsia" w:cstheme="minorBidi"/>
        </w:rPr>
      </w:pPr>
      <w:hyperlink w:anchor="_Toc461375614" w:history="1">
        <w:r w:rsidRPr="0070748F">
          <w:rPr>
            <w:rStyle w:val="aa"/>
          </w:rPr>
          <w:t>5.6.1. Определение рыночной стоимости затратным подходом</w:t>
        </w:r>
        <w:r w:rsidRPr="0070748F">
          <w:rPr>
            <w:webHidden/>
          </w:rPr>
          <w:tab/>
        </w:r>
        <w:r w:rsidRPr="0070748F">
          <w:rPr>
            <w:webHidden/>
          </w:rPr>
          <w:fldChar w:fldCharType="begin"/>
        </w:r>
        <w:r w:rsidRPr="0070748F">
          <w:rPr>
            <w:webHidden/>
          </w:rPr>
          <w:instrText xml:space="preserve"> PAGEREF _Toc461375614 \h </w:instrText>
        </w:r>
        <w:r w:rsidRPr="0070748F">
          <w:rPr>
            <w:webHidden/>
          </w:rPr>
        </w:r>
        <w:r w:rsidRPr="0070748F">
          <w:rPr>
            <w:webHidden/>
          </w:rPr>
          <w:fldChar w:fldCharType="separate"/>
        </w:r>
        <w:r w:rsidRPr="0070748F">
          <w:rPr>
            <w:webHidden/>
          </w:rPr>
          <w:t>54</w:t>
        </w:r>
        <w:r w:rsidRPr="0070748F">
          <w:rPr>
            <w:webHidden/>
          </w:rPr>
          <w:fldChar w:fldCharType="end"/>
        </w:r>
      </w:hyperlink>
    </w:p>
    <w:p w:rsidR="0070748F" w:rsidRPr="0070748F" w:rsidRDefault="0070748F" w:rsidP="0070748F">
      <w:pPr>
        <w:pStyle w:val="11"/>
        <w:tabs>
          <w:tab w:val="clear" w:pos="10490"/>
          <w:tab w:val="right" w:leader="dot" w:pos="10206"/>
        </w:tabs>
        <w:spacing w:beforeLines="0" w:before="80" w:afterLines="0" w:after="80"/>
        <w:rPr>
          <w:rFonts w:eastAsiaTheme="minorEastAsia" w:cstheme="minorBidi"/>
        </w:rPr>
      </w:pPr>
      <w:hyperlink w:anchor="_Toc461375615" w:history="1">
        <w:r w:rsidRPr="0070748F">
          <w:rPr>
            <w:rStyle w:val="aa"/>
            <w:bCs/>
          </w:rPr>
          <w:t>5.6.1.2. Расч</w:t>
        </w:r>
        <w:r w:rsidRPr="0070748F">
          <w:rPr>
            <w:rStyle w:val="aa"/>
            <w:bCs/>
          </w:rPr>
          <w:t>е</w:t>
        </w:r>
        <w:r w:rsidRPr="0070748F">
          <w:rPr>
            <w:rStyle w:val="aa"/>
            <w:bCs/>
          </w:rPr>
          <w:t>т физического износа</w:t>
        </w:r>
        <w:r w:rsidRPr="0070748F">
          <w:rPr>
            <w:webHidden/>
          </w:rPr>
          <w:tab/>
        </w:r>
        <w:r w:rsidRPr="0070748F">
          <w:rPr>
            <w:webHidden/>
          </w:rPr>
          <w:fldChar w:fldCharType="begin"/>
        </w:r>
        <w:r w:rsidRPr="0070748F">
          <w:rPr>
            <w:webHidden/>
          </w:rPr>
          <w:instrText xml:space="preserve"> PAGEREF _Toc461375615 \h </w:instrText>
        </w:r>
        <w:r w:rsidRPr="0070748F">
          <w:rPr>
            <w:webHidden/>
          </w:rPr>
        </w:r>
        <w:r w:rsidRPr="0070748F">
          <w:rPr>
            <w:webHidden/>
          </w:rPr>
          <w:fldChar w:fldCharType="separate"/>
        </w:r>
        <w:r w:rsidRPr="0070748F">
          <w:rPr>
            <w:webHidden/>
          </w:rPr>
          <w:t>55</w:t>
        </w:r>
        <w:r w:rsidRPr="0070748F">
          <w:rPr>
            <w:webHidden/>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16" w:history="1">
        <w:r w:rsidRPr="0070748F">
          <w:rPr>
            <w:rStyle w:val="aa"/>
            <w:rFonts w:ascii="Bookman Old Style" w:hAnsi="Bookman Old Style"/>
            <w:bCs/>
            <w:noProof/>
            <w:sz w:val="20"/>
            <w:szCs w:val="20"/>
          </w:rPr>
          <w:t>5.6.1.3 Расчет функционального устаревания</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_Toc461375616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56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17" w:history="1">
        <w:r w:rsidRPr="0070748F">
          <w:rPr>
            <w:rStyle w:val="aa"/>
            <w:rFonts w:ascii="Bookman Old Style" w:hAnsi="Bookman Old Style"/>
            <w:bCs/>
            <w:noProof/>
            <w:sz w:val="20"/>
            <w:szCs w:val="20"/>
          </w:rPr>
          <w:t>5.6.1.4. Расчет внешнего устаревания</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_Toc461375617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56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18" w:history="1">
        <w:r w:rsidRPr="0070748F">
          <w:rPr>
            <w:rStyle w:val="aa"/>
            <w:rFonts w:ascii="Bookman Old Style" w:hAnsi="Bookman Old Style"/>
            <w:bCs/>
            <w:noProof/>
            <w:sz w:val="20"/>
            <w:szCs w:val="20"/>
          </w:rPr>
          <w:t>5.6.1.5. Расчет уменьшения стоимости</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_Toc461375618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56</w:t>
        </w:r>
        <w:r w:rsidRPr="0070748F">
          <w:rPr>
            <w:rFonts w:ascii="Bookman Old Style" w:hAnsi="Bookman Old Style"/>
            <w:noProof/>
            <w:webHidden/>
            <w:sz w:val="20"/>
            <w:szCs w:val="20"/>
          </w:rPr>
          <w:fldChar w:fldCharType="end"/>
        </w:r>
      </w:hyperlink>
    </w:p>
    <w:p w:rsidR="0070748F" w:rsidRPr="0070748F" w:rsidRDefault="0070748F" w:rsidP="0070748F">
      <w:pPr>
        <w:pStyle w:val="35"/>
        <w:rPr>
          <w:rFonts w:ascii="Bookman Old Style" w:eastAsiaTheme="minorEastAsia" w:hAnsi="Bookman Old Style" w:cstheme="minorBidi"/>
          <w:noProof/>
          <w:sz w:val="20"/>
          <w:szCs w:val="20"/>
        </w:rPr>
      </w:pPr>
      <w:hyperlink w:anchor="_Toc461375619" w:history="1">
        <w:r w:rsidRPr="0070748F">
          <w:rPr>
            <w:rStyle w:val="aa"/>
            <w:rFonts w:ascii="Bookman Old Style" w:hAnsi="Bookman Old Style"/>
            <w:bCs/>
            <w:noProof/>
            <w:sz w:val="20"/>
            <w:szCs w:val="20"/>
          </w:rPr>
          <w:t>5.6.1.6. Рыночная стоимость элемента Объекта оценки затратным подходом</w:t>
        </w:r>
        <w:r w:rsidRPr="0070748F">
          <w:rPr>
            <w:rFonts w:ascii="Bookman Old Style" w:hAnsi="Bookman Old Style"/>
            <w:noProof/>
            <w:webHidden/>
            <w:sz w:val="20"/>
            <w:szCs w:val="20"/>
          </w:rPr>
          <w:tab/>
        </w:r>
        <w:r w:rsidRPr="0070748F">
          <w:rPr>
            <w:rFonts w:ascii="Bookman Old Style" w:hAnsi="Bookman Old Style"/>
            <w:noProof/>
            <w:webHidden/>
            <w:sz w:val="20"/>
            <w:szCs w:val="20"/>
          </w:rPr>
          <w:fldChar w:fldCharType="begin"/>
        </w:r>
        <w:r w:rsidRPr="0070748F">
          <w:rPr>
            <w:rFonts w:ascii="Bookman Old Style" w:hAnsi="Bookman Old Style"/>
            <w:noProof/>
            <w:webHidden/>
            <w:sz w:val="20"/>
            <w:szCs w:val="20"/>
          </w:rPr>
          <w:instrText xml:space="preserve"> PAGEREF _Toc461375619 \h </w:instrText>
        </w:r>
        <w:r w:rsidRPr="0070748F">
          <w:rPr>
            <w:rFonts w:ascii="Bookman Old Style" w:hAnsi="Bookman Old Style"/>
            <w:noProof/>
            <w:webHidden/>
            <w:sz w:val="20"/>
            <w:szCs w:val="20"/>
          </w:rPr>
        </w:r>
        <w:r w:rsidRPr="0070748F">
          <w:rPr>
            <w:rFonts w:ascii="Bookman Old Style" w:hAnsi="Bookman Old Style"/>
            <w:noProof/>
            <w:webHidden/>
            <w:sz w:val="20"/>
            <w:szCs w:val="20"/>
          </w:rPr>
          <w:fldChar w:fldCharType="separate"/>
        </w:r>
        <w:r w:rsidRPr="0070748F">
          <w:rPr>
            <w:rFonts w:ascii="Bookman Old Style" w:hAnsi="Bookman Old Style"/>
            <w:noProof/>
            <w:webHidden/>
            <w:sz w:val="20"/>
            <w:szCs w:val="20"/>
          </w:rPr>
          <w:t>57</w:t>
        </w:r>
        <w:r w:rsidRPr="0070748F">
          <w:rPr>
            <w:rFonts w:ascii="Bookman Old Style" w:hAnsi="Bookman Old Style"/>
            <w:noProof/>
            <w:webHidden/>
            <w:sz w:val="20"/>
            <w:szCs w:val="20"/>
          </w:rPr>
          <w:fldChar w:fldCharType="end"/>
        </w:r>
      </w:hyperlink>
    </w:p>
    <w:p w:rsidR="0070748F" w:rsidRPr="0070748F" w:rsidRDefault="0070748F" w:rsidP="0070748F">
      <w:pPr>
        <w:pStyle w:val="11"/>
        <w:tabs>
          <w:tab w:val="clear" w:pos="10490"/>
          <w:tab w:val="right" w:leader="dot" w:pos="10206"/>
        </w:tabs>
        <w:spacing w:beforeLines="0" w:before="80" w:afterLines="0" w:after="80"/>
        <w:rPr>
          <w:rFonts w:eastAsiaTheme="minorEastAsia" w:cstheme="minorBidi"/>
        </w:rPr>
      </w:pPr>
      <w:hyperlink w:anchor="_Toc461375620" w:history="1">
        <w:r w:rsidRPr="0070748F">
          <w:rPr>
            <w:rStyle w:val="aa"/>
          </w:rPr>
          <w:t>6. СОГЛАСОВАНИЕ РЕЗУЛЬТАТОВ</w:t>
        </w:r>
        <w:r w:rsidRPr="0070748F">
          <w:rPr>
            <w:webHidden/>
          </w:rPr>
          <w:tab/>
        </w:r>
        <w:r w:rsidRPr="0070748F">
          <w:rPr>
            <w:webHidden/>
          </w:rPr>
          <w:fldChar w:fldCharType="begin"/>
        </w:r>
        <w:r w:rsidRPr="0070748F">
          <w:rPr>
            <w:webHidden/>
          </w:rPr>
          <w:instrText xml:space="preserve"> PAGEREF _Toc461375620 \h </w:instrText>
        </w:r>
        <w:r w:rsidRPr="0070748F">
          <w:rPr>
            <w:webHidden/>
          </w:rPr>
        </w:r>
        <w:r w:rsidRPr="0070748F">
          <w:rPr>
            <w:webHidden/>
          </w:rPr>
          <w:fldChar w:fldCharType="separate"/>
        </w:r>
        <w:r w:rsidRPr="0070748F">
          <w:rPr>
            <w:webHidden/>
          </w:rPr>
          <w:t>58</w:t>
        </w:r>
        <w:r w:rsidRPr="0070748F">
          <w:rPr>
            <w:webHidden/>
          </w:rPr>
          <w:fldChar w:fldCharType="end"/>
        </w:r>
      </w:hyperlink>
    </w:p>
    <w:p w:rsidR="0070748F" w:rsidRPr="0070748F" w:rsidRDefault="0070748F" w:rsidP="0070748F">
      <w:pPr>
        <w:pStyle w:val="11"/>
        <w:tabs>
          <w:tab w:val="clear" w:pos="10490"/>
          <w:tab w:val="right" w:leader="dot" w:pos="10206"/>
        </w:tabs>
        <w:spacing w:beforeLines="0" w:before="80" w:afterLines="0" w:after="80"/>
        <w:rPr>
          <w:rFonts w:eastAsiaTheme="minorEastAsia" w:cstheme="minorBidi"/>
        </w:rPr>
      </w:pPr>
      <w:hyperlink w:anchor="_Toc461375621" w:history="1">
        <w:r w:rsidRPr="0070748F">
          <w:rPr>
            <w:rStyle w:val="aa"/>
          </w:rPr>
          <w:t>7. ИТОГОВОЕ ЗАКЛЮЧЕНИЕ О СТОИМОСТИ ОБЪЕКТА ОЦЕНКИ</w:t>
        </w:r>
        <w:r w:rsidRPr="0070748F">
          <w:rPr>
            <w:webHidden/>
          </w:rPr>
          <w:tab/>
        </w:r>
        <w:r w:rsidRPr="0070748F">
          <w:rPr>
            <w:webHidden/>
          </w:rPr>
          <w:fldChar w:fldCharType="begin"/>
        </w:r>
        <w:r w:rsidRPr="0070748F">
          <w:rPr>
            <w:webHidden/>
          </w:rPr>
          <w:instrText xml:space="preserve"> PAGEREF _Toc461375621 \h </w:instrText>
        </w:r>
        <w:r w:rsidRPr="0070748F">
          <w:rPr>
            <w:webHidden/>
          </w:rPr>
        </w:r>
        <w:r w:rsidRPr="0070748F">
          <w:rPr>
            <w:webHidden/>
          </w:rPr>
          <w:fldChar w:fldCharType="separate"/>
        </w:r>
        <w:r w:rsidRPr="0070748F">
          <w:rPr>
            <w:webHidden/>
          </w:rPr>
          <w:t>61</w:t>
        </w:r>
        <w:r w:rsidRPr="0070748F">
          <w:rPr>
            <w:webHidden/>
          </w:rPr>
          <w:fldChar w:fldCharType="end"/>
        </w:r>
      </w:hyperlink>
    </w:p>
    <w:p w:rsidR="0070748F" w:rsidRDefault="00E52AAB" w:rsidP="0070748F">
      <w:pPr>
        <w:tabs>
          <w:tab w:val="right" w:leader="dot" w:pos="10206"/>
        </w:tabs>
        <w:autoSpaceDE w:val="0"/>
        <w:autoSpaceDN w:val="0"/>
        <w:adjustRightInd w:val="0"/>
        <w:spacing w:before="80" w:after="80"/>
        <w:rPr>
          <w:rFonts w:ascii="Bookman Old Style" w:hAnsi="Bookman Old Style"/>
          <w:bCs/>
          <w:noProof/>
          <w:color w:val="000000"/>
          <w:sz w:val="20"/>
          <w:szCs w:val="20"/>
        </w:rPr>
      </w:pPr>
      <w:r w:rsidRPr="0070748F">
        <w:rPr>
          <w:rFonts w:ascii="Bookman Old Style" w:hAnsi="Bookman Old Style"/>
          <w:bCs/>
          <w:noProof/>
          <w:color w:val="000000"/>
          <w:sz w:val="20"/>
          <w:szCs w:val="20"/>
          <w:highlight w:val="yellow"/>
        </w:rPr>
        <w:fldChar w:fldCharType="end"/>
      </w:r>
    </w:p>
    <w:p w:rsidR="0070748F" w:rsidRDefault="0070748F" w:rsidP="0070748F">
      <w:pPr>
        <w:tabs>
          <w:tab w:val="right" w:leader="dot" w:pos="10206"/>
        </w:tabs>
        <w:autoSpaceDE w:val="0"/>
        <w:autoSpaceDN w:val="0"/>
        <w:adjustRightInd w:val="0"/>
        <w:spacing w:before="80" w:after="80"/>
        <w:rPr>
          <w:rFonts w:ascii="Bookman Old Style" w:hAnsi="Bookman Old Style"/>
          <w:bCs/>
          <w:noProof/>
          <w:color w:val="000000"/>
          <w:sz w:val="20"/>
          <w:szCs w:val="20"/>
        </w:rPr>
      </w:pPr>
    </w:p>
    <w:p w:rsidR="001C66A6" w:rsidRPr="00CB2C00" w:rsidRDefault="0003598A" w:rsidP="0070748F">
      <w:pPr>
        <w:tabs>
          <w:tab w:val="right" w:leader="dot" w:pos="10206"/>
        </w:tabs>
        <w:autoSpaceDE w:val="0"/>
        <w:autoSpaceDN w:val="0"/>
        <w:adjustRightInd w:val="0"/>
        <w:spacing w:before="80" w:after="80"/>
        <w:rPr>
          <w:rFonts w:asciiTheme="majorHAnsi" w:hAnsiTheme="majorHAnsi"/>
          <w:bCs/>
          <w:sz w:val="20"/>
          <w:szCs w:val="20"/>
        </w:rPr>
      </w:pPr>
      <w:r w:rsidRPr="00CB2C00">
        <w:rPr>
          <w:rFonts w:asciiTheme="majorHAnsi" w:hAnsiTheme="majorHAnsi"/>
          <w:bCs/>
          <w:noProof/>
          <w:color w:val="000000"/>
          <w:sz w:val="20"/>
          <w:szCs w:val="20"/>
        </w:rPr>
        <w:lastRenderedPageBreak/>
        <w:t>ПРИЛОЖЕНИЯ</w:t>
      </w:r>
      <w:r w:rsidR="00644B89" w:rsidRPr="00CB2C00">
        <w:rPr>
          <w:rFonts w:asciiTheme="majorHAnsi" w:hAnsiTheme="majorHAnsi"/>
          <w:bCs/>
          <w:noProof/>
          <w:color w:val="000000"/>
          <w:sz w:val="20"/>
          <w:szCs w:val="20"/>
        </w:rPr>
        <w:t>:</w:t>
      </w:r>
    </w:p>
    <w:tbl>
      <w:tblPr>
        <w:tblW w:w="10632" w:type="dxa"/>
        <w:tblInd w:w="-34" w:type="dxa"/>
        <w:tblLayout w:type="fixed"/>
        <w:tblLook w:val="04A0" w:firstRow="1" w:lastRow="0" w:firstColumn="1" w:lastColumn="0" w:noHBand="0" w:noVBand="1"/>
      </w:tblPr>
      <w:tblGrid>
        <w:gridCol w:w="10632"/>
      </w:tblGrid>
      <w:tr w:rsidR="00FE3A72" w:rsidRPr="00BB36C6" w:rsidTr="0070748F">
        <w:tc>
          <w:tcPr>
            <w:tcW w:w="10632" w:type="dxa"/>
            <w:shd w:val="clear" w:color="auto" w:fill="auto"/>
          </w:tcPr>
          <w:p w:rsidR="00FE3A72" w:rsidRPr="00BB36C6" w:rsidRDefault="00FE3A72" w:rsidP="000A4482">
            <w:pPr>
              <w:tabs>
                <w:tab w:val="right" w:leader="dot" w:pos="9923"/>
              </w:tabs>
              <w:autoSpaceDE w:val="0"/>
              <w:autoSpaceDN w:val="0"/>
              <w:adjustRightInd w:val="0"/>
              <w:spacing w:before="60" w:after="60"/>
              <w:rPr>
                <w:rFonts w:asciiTheme="majorHAnsi" w:hAnsiTheme="majorHAnsi"/>
                <w:bCs/>
                <w:noProof/>
                <w:sz w:val="18"/>
                <w:szCs w:val="18"/>
              </w:rPr>
            </w:pPr>
            <w:r w:rsidRPr="00BB36C6">
              <w:rPr>
                <w:rFonts w:asciiTheme="majorHAnsi" w:hAnsiTheme="majorHAnsi"/>
                <w:bCs/>
                <w:noProof/>
                <w:sz w:val="18"/>
                <w:szCs w:val="18"/>
              </w:rPr>
              <w:t xml:space="preserve">Приложение № </w:t>
            </w:r>
            <w:r w:rsidR="007F31DC" w:rsidRPr="00BB36C6">
              <w:rPr>
                <w:rFonts w:asciiTheme="majorHAnsi" w:hAnsiTheme="majorHAnsi"/>
                <w:bCs/>
                <w:noProof/>
                <w:sz w:val="18"/>
                <w:szCs w:val="18"/>
              </w:rPr>
              <w:t>1</w:t>
            </w:r>
            <w:r w:rsidRPr="00BB36C6">
              <w:rPr>
                <w:rFonts w:asciiTheme="majorHAnsi" w:hAnsiTheme="majorHAnsi"/>
                <w:bCs/>
                <w:noProof/>
                <w:sz w:val="18"/>
                <w:szCs w:val="18"/>
              </w:rPr>
              <w:t xml:space="preserve">. </w:t>
            </w:r>
            <w:r w:rsidR="00C33B02" w:rsidRPr="00C33B02">
              <w:rPr>
                <w:rFonts w:asciiTheme="majorHAnsi" w:hAnsiTheme="majorHAnsi"/>
                <w:bCs/>
                <w:noProof/>
                <w:sz w:val="18"/>
                <w:szCs w:val="18"/>
              </w:rPr>
              <w:t>Копия инвентаризационн</w:t>
            </w:r>
            <w:r w:rsidR="000A4482">
              <w:rPr>
                <w:rFonts w:asciiTheme="majorHAnsi" w:hAnsiTheme="majorHAnsi"/>
                <w:bCs/>
                <w:noProof/>
                <w:sz w:val="18"/>
                <w:szCs w:val="18"/>
              </w:rPr>
              <w:t>ых</w:t>
            </w:r>
            <w:r w:rsidR="00C33B02" w:rsidRPr="00C33B02">
              <w:rPr>
                <w:rFonts w:asciiTheme="majorHAnsi" w:hAnsiTheme="majorHAnsi"/>
                <w:bCs/>
                <w:noProof/>
                <w:sz w:val="18"/>
                <w:szCs w:val="18"/>
              </w:rPr>
              <w:t xml:space="preserve"> опис</w:t>
            </w:r>
            <w:r w:rsidR="000A4482">
              <w:rPr>
                <w:rFonts w:asciiTheme="majorHAnsi" w:hAnsiTheme="majorHAnsi"/>
                <w:bCs/>
                <w:noProof/>
                <w:sz w:val="18"/>
                <w:szCs w:val="18"/>
              </w:rPr>
              <w:t>ей</w:t>
            </w:r>
          </w:p>
        </w:tc>
      </w:tr>
      <w:tr w:rsidR="008115FB" w:rsidRPr="00BB36C6" w:rsidTr="0070748F">
        <w:tc>
          <w:tcPr>
            <w:tcW w:w="10632" w:type="dxa"/>
            <w:shd w:val="clear" w:color="auto" w:fill="auto"/>
          </w:tcPr>
          <w:p w:rsidR="008115FB" w:rsidRPr="00BB36C6" w:rsidRDefault="004F3E02" w:rsidP="0070748F">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Приложение № 2</w:t>
            </w:r>
            <w:r w:rsidR="008115FB" w:rsidRPr="00BB36C6">
              <w:rPr>
                <w:rFonts w:asciiTheme="majorHAnsi" w:hAnsiTheme="majorHAnsi"/>
                <w:bCs/>
                <w:noProof/>
                <w:sz w:val="18"/>
                <w:szCs w:val="18"/>
              </w:rPr>
              <w:t xml:space="preserve">. </w:t>
            </w:r>
            <w:r w:rsidR="0070748F">
              <w:rPr>
                <w:rFonts w:asciiTheme="majorHAnsi" w:hAnsiTheme="majorHAnsi"/>
                <w:bCs/>
                <w:noProof/>
                <w:sz w:val="18"/>
                <w:szCs w:val="18"/>
              </w:rPr>
              <w:t>Копия технического</w:t>
            </w:r>
            <w:r w:rsidR="00C33B02">
              <w:rPr>
                <w:rFonts w:asciiTheme="majorHAnsi" w:hAnsiTheme="majorHAnsi"/>
                <w:bCs/>
                <w:noProof/>
                <w:sz w:val="18"/>
                <w:szCs w:val="18"/>
              </w:rPr>
              <w:t xml:space="preserve"> паспорт</w:t>
            </w:r>
            <w:r w:rsidR="0070748F">
              <w:rPr>
                <w:rFonts w:asciiTheme="majorHAnsi" w:hAnsiTheme="majorHAnsi"/>
                <w:bCs/>
                <w:noProof/>
                <w:sz w:val="18"/>
                <w:szCs w:val="18"/>
              </w:rPr>
              <w:t>а</w:t>
            </w:r>
            <w:r w:rsidR="00C33B02">
              <w:rPr>
                <w:rFonts w:asciiTheme="majorHAnsi" w:hAnsiTheme="majorHAnsi"/>
                <w:bCs/>
                <w:noProof/>
                <w:sz w:val="18"/>
                <w:szCs w:val="18"/>
              </w:rPr>
              <w:t>. Копия кадастрового паспорта</w:t>
            </w:r>
          </w:p>
        </w:tc>
      </w:tr>
      <w:tr w:rsidR="004F3E02" w:rsidRPr="00BB36C6" w:rsidTr="0070748F">
        <w:tc>
          <w:tcPr>
            <w:tcW w:w="10632" w:type="dxa"/>
            <w:shd w:val="clear" w:color="auto" w:fill="auto"/>
          </w:tcPr>
          <w:p w:rsidR="004F3E02" w:rsidRDefault="000A4482" w:rsidP="00730F2B">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 xml:space="preserve">Приложение № </w:t>
            </w:r>
            <w:r w:rsidR="0070748F">
              <w:rPr>
                <w:rFonts w:asciiTheme="majorHAnsi" w:hAnsiTheme="majorHAnsi"/>
                <w:bCs/>
                <w:noProof/>
                <w:sz w:val="18"/>
                <w:szCs w:val="18"/>
              </w:rPr>
              <w:t>3</w:t>
            </w:r>
            <w:r>
              <w:rPr>
                <w:rFonts w:asciiTheme="majorHAnsi" w:hAnsiTheme="majorHAnsi"/>
                <w:bCs/>
                <w:noProof/>
                <w:sz w:val="18"/>
                <w:szCs w:val="18"/>
              </w:rPr>
              <w:t xml:space="preserve">. </w:t>
            </w:r>
            <w:r w:rsidR="004F3E02" w:rsidRPr="00BB36C6">
              <w:rPr>
                <w:rFonts w:asciiTheme="majorHAnsi" w:hAnsiTheme="majorHAnsi"/>
                <w:bCs/>
                <w:noProof/>
                <w:sz w:val="18"/>
                <w:szCs w:val="18"/>
              </w:rPr>
              <w:t xml:space="preserve"> Материалы подтверждающие источник получения информации при расчете стоимости сравнительным </w:t>
            </w:r>
            <w:r w:rsidR="00730F2B">
              <w:rPr>
                <w:rFonts w:asciiTheme="majorHAnsi" w:hAnsiTheme="majorHAnsi"/>
                <w:bCs/>
                <w:noProof/>
                <w:sz w:val="18"/>
                <w:szCs w:val="18"/>
              </w:rPr>
              <w:t xml:space="preserve">, </w:t>
            </w:r>
            <w:r w:rsidR="00C33B02">
              <w:rPr>
                <w:rFonts w:asciiTheme="majorHAnsi" w:hAnsiTheme="majorHAnsi"/>
                <w:bCs/>
                <w:noProof/>
                <w:sz w:val="18"/>
                <w:szCs w:val="18"/>
              </w:rPr>
              <w:t xml:space="preserve"> </w:t>
            </w:r>
            <w:r w:rsidR="009E33BE">
              <w:rPr>
                <w:rFonts w:asciiTheme="majorHAnsi" w:hAnsiTheme="majorHAnsi"/>
                <w:bCs/>
                <w:noProof/>
                <w:sz w:val="18"/>
                <w:szCs w:val="18"/>
              </w:rPr>
              <w:t xml:space="preserve">доходным </w:t>
            </w:r>
            <w:r w:rsidR="00730F2B">
              <w:rPr>
                <w:rFonts w:asciiTheme="majorHAnsi" w:hAnsiTheme="majorHAnsi"/>
                <w:bCs/>
                <w:noProof/>
                <w:sz w:val="18"/>
                <w:szCs w:val="18"/>
              </w:rPr>
              <w:t xml:space="preserve">и затратным </w:t>
            </w:r>
            <w:r w:rsidR="009E33BE">
              <w:rPr>
                <w:rFonts w:asciiTheme="majorHAnsi" w:hAnsiTheme="majorHAnsi"/>
                <w:bCs/>
                <w:noProof/>
                <w:sz w:val="18"/>
                <w:szCs w:val="18"/>
              </w:rPr>
              <w:t>подходами</w:t>
            </w:r>
            <w:r>
              <w:rPr>
                <w:rFonts w:asciiTheme="majorHAnsi" w:hAnsiTheme="majorHAnsi"/>
                <w:bCs/>
                <w:noProof/>
                <w:sz w:val="18"/>
                <w:szCs w:val="18"/>
              </w:rPr>
              <w:t xml:space="preserve"> </w:t>
            </w:r>
          </w:p>
        </w:tc>
      </w:tr>
      <w:tr w:rsidR="008115FB" w:rsidRPr="00BB36C6" w:rsidTr="0070748F">
        <w:tc>
          <w:tcPr>
            <w:tcW w:w="10632" w:type="dxa"/>
            <w:shd w:val="clear" w:color="auto" w:fill="auto"/>
          </w:tcPr>
          <w:p w:rsidR="008115FB" w:rsidRPr="00BB36C6" w:rsidRDefault="004F3E02" w:rsidP="001620E2">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Приложение № 4</w:t>
            </w:r>
            <w:r w:rsidR="008115FB" w:rsidRPr="00BB36C6">
              <w:rPr>
                <w:rFonts w:asciiTheme="majorHAnsi" w:hAnsiTheme="majorHAnsi"/>
                <w:bCs/>
                <w:noProof/>
                <w:sz w:val="18"/>
                <w:szCs w:val="18"/>
              </w:rPr>
              <w:t xml:space="preserve">. </w:t>
            </w:r>
            <w:r w:rsidR="00644B89" w:rsidRPr="00BB36C6">
              <w:rPr>
                <w:rFonts w:asciiTheme="majorHAnsi" w:hAnsiTheme="majorHAnsi"/>
                <w:bCs/>
                <w:noProof/>
                <w:sz w:val="18"/>
                <w:szCs w:val="18"/>
              </w:rPr>
              <w:t>Материалы подтверждающие авторство используемой информации при расчете корректировок</w:t>
            </w:r>
          </w:p>
        </w:tc>
      </w:tr>
      <w:tr w:rsidR="00AE2861" w:rsidRPr="00BB36C6" w:rsidTr="0070748F">
        <w:tc>
          <w:tcPr>
            <w:tcW w:w="10632" w:type="dxa"/>
          </w:tcPr>
          <w:p w:rsidR="00AE2861" w:rsidRPr="00BB36C6" w:rsidRDefault="00180F9A" w:rsidP="00AE2861">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Приложение № 5</w:t>
            </w:r>
            <w:r w:rsidR="00AE2861" w:rsidRPr="00AE2861">
              <w:rPr>
                <w:rFonts w:asciiTheme="majorHAnsi" w:hAnsiTheme="majorHAnsi"/>
                <w:bCs/>
                <w:noProof/>
                <w:sz w:val="18"/>
                <w:szCs w:val="18"/>
              </w:rPr>
              <w:t>. Копии документов оценщика, подтверждающие возможность проведения оценки, в соответствии с действующим законодательством</w:t>
            </w:r>
          </w:p>
        </w:tc>
      </w:tr>
    </w:tbl>
    <w:p w:rsidR="00717883" w:rsidRDefault="00717883" w:rsidP="00A6541F">
      <w:pPr>
        <w:pStyle w:val="1"/>
        <w:jc w:val="center"/>
        <w:rPr>
          <w:rFonts w:ascii="Bookman Old Style" w:hAnsi="Bookman Old Style"/>
        </w:rPr>
      </w:pPr>
      <w:bookmarkStart w:id="18" w:name="_Toc133200863"/>
      <w:bookmarkStart w:id="19" w:name="_Toc170273658"/>
      <w:bookmarkStart w:id="20" w:name="_Toc200193933"/>
    </w:p>
    <w:p w:rsidR="004F3E02" w:rsidRDefault="004F3E02" w:rsidP="004F3E02"/>
    <w:p w:rsidR="00B50B21" w:rsidRDefault="00B50B21" w:rsidP="004F3E02"/>
    <w:p w:rsidR="00B50B21" w:rsidRDefault="00B50B21" w:rsidP="004F3E02">
      <w:bookmarkStart w:id="21" w:name="_GoBack"/>
      <w:bookmarkEnd w:id="21"/>
    </w:p>
    <w:p w:rsidR="00B50B21" w:rsidRDefault="00B50B21"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70748F" w:rsidRDefault="0070748F" w:rsidP="004F3E02"/>
    <w:p w:rsidR="00B50B21" w:rsidRDefault="00B50B21" w:rsidP="004F3E02"/>
    <w:p w:rsidR="00166A17" w:rsidRPr="00490A50" w:rsidRDefault="006533EA" w:rsidP="00A6541F">
      <w:pPr>
        <w:pStyle w:val="1"/>
        <w:jc w:val="center"/>
        <w:rPr>
          <w:rFonts w:ascii="Bookman Old Style" w:hAnsi="Bookman Old Style"/>
        </w:rPr>
      </w:pPr>
      <w:bookmarkStart w:id="22" w:name="_Toc461375542"/>
      <w:r w:rsidRPr="00490A50">
        <w:rPr>
          <w:rFonts w:ascii="Bookman Old Style" w:hAnsi="Bookman Old Style"/>
        </w:rPr>
        <w:lastRenderedPageBreak/>
        <w:t xml:space="preserve">1. </w:t>
      </w:r>
      <w:r w:rsidR="00166A17" w:rsidRPr="00490A50">
        <w:rPr>
          <w:rFonts w:ascii="Bookman Old Style" w:hAnsi="Bookman Old Style"/>
        </w:rPr>
        <w:t>ОБЩИЕ СВЕДЕНИЯ</w:t>
      </w:r>
      <w:bookmarkEnd w:id="18"/>
      <w:bookmarkEnd w:id="19"/>
      <w:bookmarkEnd w:id="20"/>
      <w:bookmarkEnd w:id="22"/>
    </w:p>
    <w:p w:rsidR="009C31F0" w:rsidRPr="00490A50" w:rsidRDefault="00166A17" w:rsidP="00D70966">
      <w:pPr>
        <w:pStyle w:val="2"/>
        <w:spacing w:before="120" w:after="120"/>
        <w:rPr>
          <w:rFonts w:ascii="Bookman Old Style" w:hAnsi="Bookman Old Style"/>
          <w:b/>
          <w:sz w:val="20"/>
          <w:szCs w:val="20"/>
        </w:rPr>
      </w:pPr>
      <w:bookmarkStart w:id="23" w:name="_Toc133200864"/>
      <w:bookmarkStart w:id="24" w:name="_Toc170273659"/>
      <w:bookmarkStart w:id="25" w:name="_Toc200193934"/>
      <w:bookmarkStart w:id="26" w:name="_Toc461375543"/>
      <w:r w:rsidRPr="00490A50">
        <w:rPr>
          <w:rFonts w:ascii="Bookman Old Style" w:hAnsi="Bookman Old Style"/>
          <w:b/>
          <w:sz w:val="20"/>
          <w:szCs w:val="20"/>
        </w:rPr>
        <w:t xml:space="preserve">1.1. </w:t>
      </w:r>
      <w:bookmarkEnd w:id="23"/>
      <w:bookmarkEnd w:id="24"/>
      <w:r w:rsidR="002D7CC7" w:rsidRPr="00490A50">
        <w:rPr>
          <w:rFonts w:ascii="Bookman Old Style" w:hAnsi="Bookman Old Style"/>
          <w:b/>
          <w:sz w:val="20"/>
          <w:szCs w:val="20"/>
        </w:rPr>
        <w:t>ОСНОВНЫЕ ФАКТЫ И ВЫВОДЫ</w:t>
      </w:r>
      <w:bookmarkEnd w:id="25"/>
      <w:bookmarkEnd w:id="26"/>
    </w:p>
    <w:tbl>
      <w:tblPr>
        <w:tblW w:w="1059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68"/>
        <w:gridCol w:w="7430"/>
      </w:tblGrid>
      <w:tr w:rsidR="007227CA" w:rsidRPr="00D70966" w:rsidTr="00D70966">
        <w:trPr>
          <w:cantSplit/>
          <w:trHeight w:val="284"/>
        </w:trPr>
        <w:tc>
          <w:tcPr>
            <w:tcW w:w="10598" w:type="dxa"/>
            <w:gridSpan w:val="2"/>
            <w:shd w:val="clear" w:color="auto" w:fill="auto"/>
            <w:vAlign w:val="center"/>
          </w:tcPr>
          <w:p w:rsidR="007227CA" w:rsidRPr="00D70966" w:rsidRDefault="007227CA" w:rsidP="00D70966">
            <w:pPr>
              <w:autoSpaceDE w:val="0"/>
              <w:autoSpaceDN w:val="0"/>
              <w:adjustRightInd w:val="0"/>
              <w:spacing w:before="60" w:after="60"/>
              <w:jc w:val="center"/>
              <w:rPr>
                <w:rFonts w:asciiTheme="majorHAnsi" w:hAnsiTheme="majorHAnsi"/>
                <w:sz w:val="18"/>
                <w:szCs w:val="18"/>
              </w:rPr>
            </w:pPr>
            <w:r w:rsidRPr="00D70966">
              <w:rPr>
                <w:rFonts w:asciiTheme="majorHAnsi" w:hAnsiTheme="majorHAnsi"/>
                <w:b/>
                <w:sz w:val="18"/>
                <w:szCs w:val="18"/>
              </w:rPr>
              <w:t>ОБЩАЯ ИНФОРМАЦИЯ, ИДЕНТИФИЦИРУЮЩАЯ ОБЪЕКТ ОЦЕНКИ</w:t>
            </w:r>
          </w:p>
        </w:tc>
      </w:tr>
      <w:tr w:rsidR="00BF7B39" w:rsidRPr="00D70966" w:rsidTr="003651AC">
        <w:trPr>
          <w:cantSplit/>
          <w:trHeight w:val="284"/>
        </w:trPr>
        <w:tc>
          <w:tcPr>
            <w:tcW w:w="3168" w:type="dxa"/>
            <w:shd w:val="clear" w:color="auto" w:fill="F2F2F2" w:themeFill="background1" w:themeFillShade="F2"/>
            <w:vAlign w:val="center"/>
          </w:tcPr>
          <w:p w:rsidR="00BF7B39" w:rsidRPr="00D70966" w:rsidRDefault="00BF7B39" w:rsidP="00D70966">
            <w:pPr>
              <w:spacing w:before="60" w:after="60"/>
              <w:rPr>
                <w:rFonts w:asciiTheme="majorHAnsi" w:hAnsiTheme="majorHAnsi"/>
                <w:b/>
                <w:sz w:val="18"/>
                <w:szCs w:val="18"/>
              </w:rPr>
            </w:pPr>
            <w:bookmarkStart w:id="27" w:name="_Toc133200865"/>
            <w:r w:rsidRPr="00D70966">
              <w:rPr>
                <w:rFonts w:asciiTheme="majorHAnsi" w:hAnsiTheme="majorHAnsi"/>
                <w:b/>
                <w:sz w:val="18"/>
                <w:szCs w:val="18"/>
              </w:rPr>
              <w:t>Объект оценки</w:t>
            </w:r>
          </w:p>
        </w:tc>
        <w:tc>
          <w:tcPr>
            <w:tcW w:w="7430" w:type="dxa"/>
            <w:vAlign w:val="center"/>
          </w:tcPr>
          <w:p w:rsidR="00D70966" w:rsidRDefault="00490A50" w:rsidP="00D70966">
            <w:pPr>
              <w:spacing w:before="60" w:after="60"/>
              <w:rPr>
                <w:rFonts w:asciiTheme="majorHAnsi" w:hAnsiTheme="majorHAnsi"/>
                <w:sz w:val="18"/>
                <w:szCs w:val="18"/>
              </w:rPr>
            </w:pPr>
            <w:r w:rsidRPr="00D70966">
              <w:rPr>
                <w:rFonts w:asciiTheme="majorHAnsi" w:hAnsiTheme="majorHAnsi"/>
                <w:sz w:val="18"/>
                <w:szCs w:val="18"/>
              </w:rPr>
              <w:t>Объект</w:t>
            </w:r>
            <w:r w:rsidR="005F38D0">
              <w:rPr>
                <w:rFonts w:asciiTheme="majorHAnsi" w:hAnsiTheme="majorHAnsi"/>
                <w:sz w:val="18"/>
                <w:szCs w:val="18"/>
              </w:rPr>
              <w:t>ом</w:t>
            </w:r>
            <w:r w:rsidR="00FB490B" w:rsidRPr="00D70966">
              <w:rPr>
                <w:rFonts w:asciiTheme="majorHAnsi" w:hAnsiTheme="majorHAnsi"/>
                <w:sz w:val="18"/>
                <w:szCs w:val="18"/>
              </w:rPr>
              <w:t xml:space="preserve"> оценки</w:t>
            </w:r>
            <w:r w:rsidRPr="00D70966">
              <w:rPr>
                <w:rFonts w:asciiTheme="majorHAnsi" w:hAnsiTheme="majorHAnsi"/>
                <w:sz w:val="18"/>
                <w:szCs w:val="18"/>
              </w:rPr>
              <w:t xml:space="preserve">, </w:t>
            </w:r>
            <w:r w:rsidR="004B02E5" w:rsidRPr="00D70966">
              <w:rPr>
                <w:rFonts w:asciiTheme="majorHAnsi" w:hAnsiTheme="majorHAnsi"/>
                <w:sz w:val="18"/>
                <w:szCs w:val="18"/>
              </w:rPr>
              <w:t>определенны</w:t>
            </w:r>
            <w:r w:rsidR="00450F20">
              <w:rPr>
                <w:rFonts w:asciiTheme="majorHAnsi" w:hAnsiTheme="majorHAnsi"/>
                <w:sz w:val="18"/>
                <w:szCs w:val="18"/>
              </w:rPr>
              <w:t xml:space="preserve">ми </w:t>
            </w:r>
            <w:r w:rsidR="009A5535" w:rsidRPr="00D70966">
              <w:rPr>
                <w:rFonts w:asciiTheme="majorHAnsi" w:hAnsiTheme="majorHAnsi"/>
                <w:sz w:val="18"/>
                <w:szCs w:val="18"/>
              </w:rPr>
              <w:t>З</w:t>
            </w:r>
            <w:r w:rsidRPr="00D70966">
              <w:rPr>
                <w:rFonts w:asciiTheme="majorHAnsi" w:hAnsiTheme="majorHAnsi"/>
                <w:sz w:val="18"/>
                <w:szCs w:val="18"/>
              </w:rPr>
              <w:t>аданием на оценку,</w:t>
            </w:r>
            <w:r w:rsidR="009A5535" w:rsidRPr="00D70966">
              <w:rPr>
                <w:rFonts w:asciiTheme="majorHAnsi" w:hAnsiTheme="majorHAnsi"/>
                <w:sz w:val="18"/>
                <w:szCs w:val="18"/>
              </w:rPr>
              <w:t xml:space="preserve"> </w:t>
            </w:r>
            <w:r w:rsidR="00CA37FF">
              <w:rPr>
                <w:rFonts w:asciiTheme="majorHAnsi" w:hAnsiTheme="majorHAnsi"/>
                <w:sz w:val="18"/>
                <w:szCs w:val="18"/>
              </w:rPr>
              <w:t>явля</w:t>
            </w:r>
            <w:r w:rsidR="005F38D0">
              <w:rPr>
                <w:rFonts w:asciiTheme="majorHAnsi" w:hAnsiTheme="majorHAnsi"/>
                <w:sz w:val="18"/>
                <w:szCs w:val="18"/>
              </w:rPr>
              <w:t>е</w:t>
            </w:r>
            <w:r w:rsidR="00CA37FF">
              <w:rPr>
                <w:rFonts w:asciiTheme="majorHAnsi" w:hAnsiTheme="majorHAnsi"/>
                <w:sz w:val="18"/>
                <w:szCs w:val="18"/>
              </w:rPr>
              <w:t>тся</w:t>
            </w:r>
            <w:r w:rsidR="00D70966" w:rsidRPr="00D70966">
              <w:rPr>
                <w:rFonts w:asciiTheme="majorHAnsi" w:hAnsiTheme="majorHAnsi"/>
                <w:sz w:val="18"/>
                <w:szCs w:val="18"/>
              </w:rPr>
              <w:t xml:space="preserve"> (</w:t>
            </w:r>
            <w:r w:rsidR="004B2237">
              <w:rPr>
                <w:rFonts w:asciiTheme="majorHAnsi" w:hAnsiTheme="majorHAnsi"/>
                <w:sz w:val="18"/>
                <w:szCs w:val="18"/>
              </w:rPr>
              <w:t xml:space="preserve">поименный </w:t>
            </w:r>
            <w:r w:rsidR="006A5FB2">
              <w:rPr>
                <w:rFonts w:asciiTheme="majorHAnsi" w:hAnsiTheme="majorHAnsi"/>
                <w:sz w:val="18"/>
                <w:szCs w:val="18"/>
              </w:rPr>
              <w:t xml:space="preserve">состав элементов </w:t>
            </w:r>
            <w:r w:rsidR="006A5FB2" w:rsidRPr="00B452F3">
              <w:rPr>
                <w:rFonts w:asciiTheme="majorHAnsi" w:hAnsiTheme="majorHAnsi"/>
                <w:sz w:val="18"/>
                <w:szCs w:val="18"/>
              </w:rPr>
              <w:t xml:space="preserve">Объекта оценки </w:t>
            </w:r>
            <w:r w:rsidR="005B783B" w:rsidRPr="00B452F3">
              <w:rPr>
                <w:rFonts w:asciiTheme="majorHAnsi" w:hAnsiTheme="majorHAnsi"/>
                <w:sz w:val="18"/>
                <w:szCs w:val="18"/>
              </w:rPr>
              <w:t xml:space="preserve">в </w:t>
            </w:r>
            <w:r w:rsidR="00D70966" w:rsidRPr="00B452F3">
              <w:rPr>
                <w:rFonts w:asciiTheme="majorHAnsi" w:hAnsiTheme="majorHAnsi"/>
                <w:sz w:val="18"/>
                <w:szCs w:val="18"/>
              </w:rPr>
              <w:t xml:space="preserve">пункте </w:t>
            </w:r>
            <w:r w:rsidR="001012A7" w:rsidRPr="00B452F3">
              <w:rPr>
                <w:rFonts w:asciiTheme="majorHAnsi" w:hAnsiTheme="majorHAnsi"/>
                <w:sz w:val="18"/>
                <w:szCs w:val="18"/>
              </w:rPr>
              <w:t>3.1.1</w:t>
            </w:r>
            <w:r w:rsidR="00D70966" w:rsidRPr="00B452F3">
              <w:rPr>
                <w:rFonts w:asciiTheme="majorHAnsi" w:hAnsiTheme="majorHAnsi"/>
                <w:sz w:val="18"/>
                <w:szCs w:val="18"/>
              </w:rPr>
              <w:t>.):</w:t>
            </w:r>
          </w:p>
          <w:p w:rsidR="00D70966" w:rsidRPr="00B452F3" w:rsidRDefault="005F178F" w:rsidP="00AB1FB9">
            <w:pPr>
              <w:pStyle w:val="aff2"/>
              <w:numPr>
                <w:ilvl w:val="0"/>
                <w:numId w:val="7"/>
              </w:numPr>
              <w:spacing w:before="60" w:after="60"/>
              <w:rPr>
                <w:rFonts w:asciiTheme="majorHAnsi" w:hAnsiTheme="majorHAnsi"/>
                <w:sz w:val="18"/>
                <w:szCs w:val="18"/>
              </w:rPr>
            </w:pPr>
            <w:r w:rsidRPr="005F178F">
              <w:rPr>
                <w:rFonts w:asciiTheme="majorHAnsi" w:hAnsiTheme="majorHAnsi"/>
                <w:sz w:val="18"/>
                <w:szCs w:val="18"/>
              </w:rPr>
              <w:t>Недвижимое и движимое имуществ</w:t>
            </w:r>
            <w:proofErr w:type="gramStart"/>
            <w:r w:rsidRPr="005F178F">
              <w:rPr>
                <w:rFonts w:asciiTheme="majorHAnsi" w:hAnsiTheme="majorHAnsi"/>
                <w:sz w:val="18"/>
                <w:szCs w:val="18"/>
              </w:rPr>
              <w:t>о ООО</w:t>
            </w:r>
            <w:proofErr w:type="gramEnd"/>
            <w:r w:rsidRPr="005F178F">
              <w:rPr>
                <w:rFonts w:asciiTheme="majorHAnsi" w:hAnsiTheme="majorHAnsi"/>
                <w:sz w:val="18"/>
                <w:szCs w:val="18"/>
              </w:rPr>
              <w:t xml:space="preserve"> «Окно», находящееся в залоге у АКБ «</w:t>
            </w:r>
            <w:proofErr w:type="spellStart"/>
            <w:r w:rsidRPr="005F178F">
              <w:rPr>
                <w:rFonts w:asciiTheme="majorHAnsi" w:hAnsiTheme="majorHAnsi"/>
                <w:sz w:val="18"/>
                <w:szCs w:val="18"/>
              </w:rPr>
              <w:t>Ланта</w:t>
            </w:r>
            <w:proofErr w:type="spellEnd"/>
            <w:r w:rsidRPr="005F178F">
              <w:rPr>
                <w:rFonts w:asciiTheme="majorHAnsi" w:hAnsiTheme="majorHAnsi"/>
                <w:sz w:val="18"/>
                <w:szCs w:val="18"/>
              </w:rPr>
              <w:t>-Банк»</w:t>
            </w:r>
            <w:r w:rsidR="000A4482" w:rsidRPr="000A4482">
              <w:rPr>
                <w:rFonts w:asciiTheme="majorHAnsi" w:hAnsiTheme="majorHAnsi"/>
                <w:sz w:val="18"/>
                <w:szCs w:val="18"/>
              </w:rPr>
              <w:t>, предназначенное к реализации путем проведения торгов</w:t>
            </w:r>
          </w:p>
          <w:p w:rsidR="006428B3" w:rsidRPr="00B452F3" w:rsidRDefault="0002357B" w:rsidP="00D70966">
            <w:pPr>
              <w:autoSpaceDE w:val="0"/>
              <w:autoSpaceDN w:val="0"/>
              <w:adjustRightInd w:val="0"/>
              <w:spacing w:before="60" w:after="60"/>
              <w:jc w:val="both"/>
              <w:rPr>
                <w:rFonts w:asciiTheme="majorHAnsi" w:hAnsiTheme="majorHAnsi"/>
                <w:sz w:val="18"/>
                <w:szCs w:val="18"/>
              </w:rPr>
            </w:pPr>
            <w:r w:rsidRPr="00B452F3">
              <w:rPr>
                <w:rFonts w:asciiTheme="majorHAnsi" w:hAnsiTheme="majorHAnsi"/>
                <w:sz w:val="18"/>
                <w:szCs w:val="18"/>
              </w:rPr>
              <w:t>Принадлежаще</w:t>
            </w:r>
            <w:r w:rsidR="006428B3" w:rsidRPr="00B452F3">
              <w:rPr>
                <w:rFonts w:asciiTheme="majorHAnsi" w:hAnsiTheme="majorHAnsi"/>
                <w:sz w:val="18"/>
                <w:szCs w:val="18"/>
              </w:rPr>
              <w:t>е:</w:t>
            </w:r>
          </w:p>
          <w:p w:rsidR="00415019" w:rsidRPr="006A5FB2" w:rsidRDefault="00D703A8" w:rsidP="000A4482">
            <w:pPr>
              <w:spacing w:before="60" w:after="60"/>
              <w:rPr>
                <w:rFonts w:asciiTheme="majorHAnsi" w:hAnsiTheme="majorHAnsi"/>
                <w:sz w:val="18"/>
                <w:szCs w:val="18"/>
              </w:rPr>
            </w:pPr>
            <w:r w:rsidRPr="00D703A8">
              <w:rPr>
                <w:rFonts w:asciiTheme="majorHAnsi" w:hAnsiTheme="majorHAnsi"/>
                <w:sz w:val="18"/>
                <w:szCs w:val="18"/>
              </w:rPr>
              <w:t xml:space="preserve">Обществу с ограниченной ответственностью </w:t>
            </w:r>
            <w:r w:rsidR="00B452F3" w:rsidRPr="00B452F3">
              <w:rPr>
                <w:rFonts w:asciiTheme="majorHAnsi" w:hAnsiTheme="majorHAnsi"/>
                <w:sz w:val="18"/>
                <w:szCs w:val="18"/>
              </w:rPr>
              <w:t>«</w:t>
            </w:r>
            <w:r w:rsidR="000A4482">
              <w:rPr>
                <w:rFonts w:asciiTheme="majorHAnsi" w:hAnsiTheme="majorHAnsi"/>
                <w:sz w:val="18"/>
                <w:szCs w:val="18"/>
              </w:rPr>
              <w:t>Окно</w:t>
            </w:r>
            <w:r w:rsidR="00B452F3" w:rsidRPr="00B452F3">
              <w:rPr>
                <w:rFonts w:asciiTheme="majorHAnsi" w:hAnsiTheme="majorHAnsi"/>
                <w:sz w:val="18"/>
                <w:szCs w:val="18"/>
              </w:rPr>
              <w:t xml:space="preserve">» </w:t>
            </w:r>
          </w:p>
        </w:tc>
      </w:tr>
      <w:tr w:rsidR="00A6541F" w:rsidRPr="00D70966" w:rsidTr="003651AC">
        <w:trPr>
          <w:cantSplit/>
          <w:trHeight w:val="284"/>
        </w:trPr>
        <w:tc>
          <w:tcPr>
            <w:tcW w:w="3168" w:type="dxa"/>
            <w:shd w:val="clear" w:color="auto" w:fill="F2F2F2" w:themeFill="background1" w:themeFillShade="F2"/>
            <w:vAlign w:val="center"/>
          </w:tcPr>
          <w:p w:rsidR="00A6541F" w:rsidRPr="00D70966" w:rsidRDefault="00A6541F" w:rsidP="00D70966">
            <w:pPr>
              <w:autoSpaceDE w:val="0"/>
              <w:autoSpaceDN w:val="0"/>
              <w:adjustRightInd w:val="0"/>
              <w:spacing w:before="60" w:after="60"/>
              <w:rPr>
                <w:rFonts w:asciiTheme="majorHAnsi" w:hAnsiTheme="majorHAnsi"/>
                <w:sz w:val="18"/>
                <w:szCs w:val="18"/>
              </w:rPr>
            </w:pPr>
            <w:r w:rsidRPr="00D70966">
              <w:rPr>
                <w:rFonts w:asciiTheme="majorHAnsi" w:hAnsiTheme="majorHAnsi"/>
                <w:b/>
                <w:bCs/>
                <w:sz w:val="18"/>
                <w:szCs w:val="18"/>
              </w:rPr>
              <w:t>Цель и задача оценки</w:t>
            </w:r>
          </w:p>
        </w:tc>
        <w:tc>
          <w:tcPr>
            <w:tcW w:w="7430" w:type="dxa"/>
            <w:vAlign w:val="center"/>
          </w:tcPr>
          <w:p w:rsidR="00A6541F" w:rsidRPr="006C2178" w:rsidRDefault="00D703A8" w:rsidP="00B452F3">
            <w:pPr>
              <w:autoSpaceDE w:val="0"/>
              <w:autoSpaceDN w:val="0"/>
              <w:adjustRightInd w:val="0"/>
              <w:spacing w:before="60" w:after="60"/>
              <w:rPr>
                <w:rFonts w:asciiTheme="majorHAnsi" w:hAnsiTheme="majorHAnsi"/>
                <w:sz w:val="18"/>
                <w:szCs w:val="18"/>
              </w:rPr>
            </w:pPr>
            <w:r w:rsidRPr="00D703A8">
              <w:rPr>
                <w:rFonts w:asciiTheme="majorHAnsi" w:hAnsiTheme="majorHAnsi"/>
                <w:iCs/>
                <w:color w:val="000000"/>
                <w:sz w:val="18"/>
                <w:szCs w:val="18"/>
              </w:rPr>
              <w:t>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w:t>
            </w:r>
          </w:p>
        </w:tc>
      </w:tr>
      <w:tr w:rsidR="00A6541F" w:rsidRPr="00D70966" w:rsidTr="003651AC">
        <w:trPr>
          <w:cantSplit/>
          <w:trHeight w:val="284"/>
        </w:trPr>
        <w:tc>
          <w:tcPr>
            <w:tcW w:w="3168" w:type="dxa"/>
            <w:shd w:val="clear" w:color="auto" w:fill="F2F2F2" w:themeFill="background1" w:themeFillShade="F2"/>
            <w:vAlign w:val="center"/>
          </w:tcPr>
          <w:p w:rsidR="00A6541F" w:rsidRPr="00D70966" w:rsidRDefault="00A6541F" w:rsidP="00D70966">
            <w:pPr>
              <w:autoSpaceDE w:val="0"/>
              <w:autoSpaceDN w:val="0"/>
              <w:adjustRightInd w:val="0"/>
              <w:spacing w:before="60" w:after="60"/>
              <w:rPr>
                <w:rFonts w:asciiTheme="majorHAnsi" w:hAnsiTheme="majorHAnsi"/>
                <w:sz w:val="18"/>
                <w:szCs w:val="18"/>
              </w:rPr>
            </w:pPr>
            <w:r w:rsidRPr="00D70966">
              <w:rPr>
                <w:rFonts w:asciiTheme="majorHAnsi" w:hAnsiTheme="majorHAnsi"/>
                <w:b/>
                <w:bCs/>
                <w:sz w:val="18"/>
                <w:szCs w:val="18"/>
              </w:rPr>
              <w:t>Основание оценки</w:t>
            </w:r>
          </w:p>
        </w:tc>
        <w:tc>
          <w:tcPr>
            <w:tcW w:w="7430" w:type="dxa"/>
            <w:vAlign w:val="center"/>
          </w:tcPr>
          <w:p w:rsidR="00A6541F" w:rsidRPr="006C2178" w:rsidRDefault="00A6541F" w:rsidP="006C2178">
            <w:pPr>
              <w:autoSpaceDE w:val="0"/>
              <w:autoSpaceDN w:val="0"/>
              <w:adjustRightInd w:val="0"/>
              <w:spacing w:before="60" w:after="60"/>
              <w:rPr>
                <w:rFonts w:asciiTheme="majorHAnsi" w:hAnsiTheme="majorHAnsi"/>
                <w:sz w:val="18"/>
                <w:szCs w:val="18"/>
              </w:rPr>
            </w:pPr>
            <w:r w:rsidRPr="006C2178">
              <w:rPr>
                <w:rFonts w:asciiTheme="majorHAnsi" w:hAnsiTheme="majorHAnsi"/>
                <w:sz w:val="18"/>
                <w:szCs w:val="18"/>
              </w:rPr>
              <w:t xml:space="preserve">Договор </w:t>
            </w:r>
            <w:r w:rsidR="003C32E4" w:rsidRPr="00B452F3">
              <w:rPr>
                <w:rFonts w:asciiTheme="majorHAnsi" w:hAnsiTheme="majorHAnsi"/>
                <w:sz w:val="18"/>
                <w:szCs w:val="18"/>
              </w:rPr>
              <w:t xml:space="preserve">№ </w:t>
            </w:r>
            <w:r w:rsidR="000A4482" w:rsidRPr="000A4482">
              <w:rPr>
                <w:rFonts w:asciiTheme="majorHAnsi" w:hAnsiTheme="majorHAnsi"/>
                <w:sz w:val="18"/>
                <w:szCs w:val="18"/>
              </w:rPr>
              <w:t xml:space="preserve">09/08-16 от «09» августа 2016 </w:t>
            </w:r>
            <w:r w:rsidR="003C32E4" w:rsidRPr="00AE3595">
              <w:rPr>
                <w:rFonts w:asciiTheme="majorHAnsi" w:hAnsiTheme="majorHAnsi"/>
                <w:sz w:val="18"/>
                <w:szCs w:val="18"/>
              </w:rPr>
              <w:t>года</w:t>
            </w:r>
          </w:p>
        </w:tc>
      </w:tr>
      <w:tr w:rsidR="00F61A8F" w:rsidRPr="00B00070"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sz w:val="18"/>
                <w:szCs w:val="18"/>
              </w:rPr>
            </w:pPr>
            <w:r w:rsidRPr="00B00070">
              <w:rPr>
                <w:rFonts w:asciiTheme="majorHAnsi" w:hAnsiTheme="majorHAnsi"/>
                <w:b/>
                <w:bCs/>
                <w:sz w:val="18"/>
                <w:szCs w:val="18"/>
              </w:rPr>
              <w:t xml:space="preserve">Дата оценки </w:t>
            </w:r>
          </w:p>
        </w:tc>
        <w:tc>
          <w:tcPr>
            <w:tcW w:w="7430" w:type="dxa"/>
            <w:vAlign w:val="center"/>
          </w:tcPr>
          <w:p w:rsidR="00F61A8F" w:rsidRPr="00B452F3" w:rsidRDefault="00C33B02" w:rsidP="000A4482">
            <w:pPr>
              <w:autoSpaceDE w:val="0"/>
              <w:autoSpaceDN w:val="0"/>
              <w:adjustRightInd w:val="0"/>
              <w:spacing w:before="60" w:after="60"/>
              <w:rPr>
                <w:rFonts w:ascii="Cambria" w:hAnsi="Cambria"/>
                <w:sz w:val="18"/>
                <w:szCs w:val="18"/>
              </w:rPr>
            </w:pPr>
            <w:r>
              <w:rPr>
                <w:rFonts w:ascii="Cambria" w:hAnsi="Cambria"/>
                <w:sz w:val="18"/>
                <w:szCs w:val="18"/>
              </w:rPr>
              <w:t>«</w:t>
            </w:r>
            <w:r w:rsidR="000A4482">
              <w:rPr>
                <w:rFonts w:ascii="Cambria" w:hAnsi="Cambria"/>
                <w:sz w:val="18"/>
                <w:szCs w:val="18"/>
              </w:rPr>
              <w:t>26</w:t>
            </w:r>
            <w:r w:rsidR="00B452F3" w:rsidRPr="00B452F3">
              <w:rPr>
                <w:rFonts w:ascii="Cambria" w:hAnsi="Cambria"/>
                <w:sz w:val="18"/>
                <w:szCs w:val="18"/>
              </w:rPr>
              <w:t xml:space="preserve">» </w:t>
            </w:r>
            <w:r>
              <w:rPr>
                <w:rFonts w:ascii="Cambria" w:hAnsi="Cambria"/>
                <w:sz w:val="18"/>
                <w:szCs w:val="18"/>
              </w:rPr>
              <w:t>августа</w:t>
            </w:r>
            <w:r w:rsidR="00B452F3" w:rsidRPr="00B452F3">
              <w:rPr>
                <w:rFonts w:ascii="Cambria" w:hAnsi="Cambria"/>
                <w:sz w:val="18"/>
                <w:szCs w:val="18"/>
              </w:rPr>
              <w:t xml:space="preserve"> 2016</w:t>
            </w:r>
            <w:r w:rsidR="00F61A8F" w:rsidRPr="00B452F3">
              <w:rPr>
                <w:rFonts w:ascii="Cambria" w:hAnsi="Cambria"/>
                <w:sz w:val="18"/>
                <w:szCs w:val="18"/>
              </w:rPr>
              <w:t>года</w:t>
            </w:r>
          </w:p>
        </w:tc>
      </w:tr>
      <w:tr w:rsidR="00F61A8F" w:rsidRPr="00B00070"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b/>
                <w:bCs/>
                <w:sz w:val="18"/>
                <w:szCs w:val="18"/>
              </w:rPr>
            </w:pPr>
            <w:r w:rsidRPr="00B00070">
              <w:rPr>
                <w:rFonts w:asciiTheme="majorHAnsi" w:hAnsiTheme="majorHAnsi"/>
                <w:b/>
                <w:bCs/>
                <w:sz w:val="18"/>
                <w:szCs w:val="18"/>
              </w:rPr>
              <w:t>Дата составления отчета</w:t>
            </w:r>
          </w:p>
        </w:tc>
        <w:tc>
          <w:tcPr>
            <w:tcW w:w="7430" w:type="dxa"/>
            <w:vAlign w:val="center"/>
          </w:tcPr>
          <w:p w:rsidR="00F61A8F" w:rsidRPr="00B452F3" w:rsidRDefault="000A4482" w:rsidP="00C33B02">
            <w:pPr>
              <w:autoSpaceDE w:val="0"/>
              <w:autoSpaceDN w:val="0"/>
              <w:adjustRightInd w:val="0"/>
              <w:spacing w:before="60" w:after="60"/>
              <w:rPr>
                <w:rFonts w:ascii="Cambria" w:hAnsi="Cambria"/>
                <w:sz w:val="18"/>
                <w:szCs w:val="18"/>
              </w:rPr>
            </w:pPr>
            <w:r>
              <w:rPr>
                <w:rFonts w:ascii="Cambria" w:hAnsi="Cambria"/>
                <w:sz w:val="18"/>
                <w:szCs w:val="18"/>
              </w:rPr>
              <w:t>«31</w:t>
            </w:r>
            <w:r w:rsidR="00B452F3" w:rsidRPr="00B452F3">
              <w:rPr>
                <w:rFonts w:ascii="Cambria" w:hAnsi="Cambria"/>
                <w:sz w:val="18"/>
                <w:szCs w:val="18"/>
              </w:rPr>
              <w:t xml:space="preserve">» </w:t>
            </w:r>
            <w:r w:rsidR="00C33B02">
              <w:rPr>
                <w:rFonts w:ascii="Cambria" w:hAnsi="Cambria"/>
                <w:sz w:val="18"/>
                <w:szCs w:val="18"/>
              </w:rPr>
              <w:t>августа</w:t>
            </w:r>
            <w:r w:rsidR="00B452F3" w:rsidRPr="00B452F3">
              <w:rPr>
                <w:rFonts w:ascii="Cambria" w:hAnsi="Cambria"/>
                <w:sz w:val="18"/>
                <w:szCs w:val="18"/>
              </w:rPr>
              <w:t xml:space="preserve"> 2016 </w:t>
            </w:r>
            <w:r w:rsidR="00F61A8F" w:rsidRPr="00B452F3">
              <w:rPr>
                <w:rFonts w:ascii="Cambria" w:hAnsi="Cambria"/>
                <w:sz w:val="18"/>
                <w:szCs w:val="18"/>
              </w:rPr>
              <w:t>года</w:t>
            </w:r>
          </w:p>
        </w:tc>
      </w:tr>
      <w:tr w:rsidR="00F61A8F" w:rsidRPr="00D70966"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b/>
                <w:bCs/>
                <w:sz w:val="18"/>
                <w:szCs w:val="18"/>
              </w:rPr>
            </w:pPr>
            <w:r w:rsidRPr="00B00070">
              <w:rPr>
                <w:rFonts w:asciiTheme="majorHAnsi" w:hAnsiTheme="majorHAnsi"/>
                <w:b/>
                <w:bCs/>
                <w:sz w:val="18"/>
                <w:szCs w:val="18"/>
              </w:rPr>
              <w:t>Срок проведения оценки</w:t>
            </w:r>
          </w:p>
        </w:tc>
        <w:tc>
          <w:tcPr>
            <w:tcW w:w="7430" w:type="dxa"/>
            <w:vAlign w:val="center"/>
          </w:tcPr>
          <w:p w:rsidR="00F61A8F" w:rsidRPr="00F219E5" w:rsidRDefault="00F61A8F" w:rsidP="000A4482">
            <w:pPr>
              <w:autoSpaceDE w:val="0"/>
              <w:autoSpaceDN w:val="0"/>
              <w:adjustRightInd w:val="0"/>
              <w:spacing w:before="60" w:after="60"/>
              <w:rPr>
                <w:rFonts w:ascii="Cambria" w:hAnsi="Cambria"/>
                <w:sz w:val="18"/>
                <w:szCs w:val="18"/>
              </w:rPr>
            </w:pPr>
            <w:r w:rsidRPr="00F219E5">
              <w:rPr>
                <w:rFonts w:ascii="Cambria" w:hAnsi="Cambria"/>
                <w:sz w:val="18"/>
                <w:szCs w:val="18"/>
              </w:rPr>
              <w:t xml:space="preserve">С </w:t>
            </w:r>
            <w:r w:rsidRPr="00AE3595">
              <w:rPr>
                <w:rFonts w:ascii="Cambria" w:hAnsi="Cambria"/>
                <w:sz w:val="18"/>
                <w:szCs w:val="18"/>
              </w:rPr>
              <w:t>«</w:t>
            </w:r>
            <w:r w:rsidR="000A4482">
              <w:rPr>
                <w:rFonts w:ascii="Cambria" w:hAnsi="Cambria"/>
                <w:sz w:val="18"/>
                <w:szCs w:val="18"/>
              </w:rPr>
              <w:t>09</w:t>
            </w:r>
            <w:r w:rsidRPr="00AE3595">
              <w:rPr>
                <w:rFonts w:ascii="Cambria" w:hAnsi="Cambria"/>
                <w:sz w:val="18"/>
                <w:szCs w:val="18"/>
              </w:rPr>
              <w:t xml:space="preserve">» </w:t>
            </w:r>
            <w:r w:rsidR="00C33B02">
              <w:rPr>
                <w:rFonts w:ascii="Cambria" w:hAnsi="Cambria"/>
                <w:sz w:val="18"/>
                <w:szCs w:val="18"/>
              </w:rPr>
              <w:t>августа</w:t>
            </w:r>
            <w:r w:rsidRPr="00AE3595">
              <w:rPr>
                <w:rFonts w:ascii="Cambria" w:hAnsi="Cambria"/>
                <w:sz w:val="18"/>
                <w:szCs w:val="18"/>
              </w:rPr>
              <w:t xml:space="preserve"> 201</w:t>
            </w:r>
            <w:r w:rsidR="00B452F3">
              <w:rPr>
                <w:rFonts w:ascii="Cambria" w:hAnsi="Cambria"/>
                <w:sz w:val="18"/>
                <w:szCs w:val="18"/>
              </w:rPr>
              <w:t>6</w:t>
            </w:r>
            <w:r w:rsidRPr="00AE3595">
              <w:rPr>
                <w:rFonts w:ascii="Cambria" w:hAnsi="Cambria"/>
                <w:sz w:val="18"/>
                <w:szCs w:val="18"/>
              </w:rPr>
              <w:t xml:space="preserve"> года</w:t>
            </w:r>
            <w:r w:rsidR="00C33B02">
              <w:rPr>
                <w:rFonts w:ascii="Cambria" w:hAnsi="Cambria"/>
                <w:sz w:val="18"/>
                <w:szCs w:val="18"/>
              </w:rPr>
              <w:t xml:space="preserve"> по «</w:t>
            </w:r>
            <w:r w:rsidR="000A4482">
              <w:rPr>
                <w:rFonts w:ascii="Cambria" w:hAnsi="Cambria"/>
                <w:sz w:val="18"/>
                <w:szCs w:val="18"/>
              </w:rPr>
              <w:t>31</w:t>
            </w:r>
            <w:r w:rsidRPr="00F219E5">
              <w:rPr>
                <w:rFonts w:ascii="Cambria" w:hAnsi="Cambria"/>
                <w:sz w:val="18"/>
                <w:szCs w:val="18"/>
              </w:rPr>
              <w:t xml:space="preserve">» </w:t>
            </w:r>
            <w:r w:rsidR="00C33B02">
              <w:rPr>
                <w:rFonts w:ascii="Cambria" w:hAnsi="Cambria"/>
                <w:sz w:val="18"/>
                <w:szCs w:val="18"/>
              </w:rPr>
              <w:t>августа</w:t>
            </w:r>
            <w:r w:rsidRPr="00F219E5">
              <w:rPr>
                <w:rFonts w:ascii="Cambria" w:hAnsi="Cambria"/>
                <w:sz w:val="18"/>
                <w:szCs w:val="18"/>
              </w:rPr>
              <w:t xml:space="preserve"> 201</w:t>
            </w:r>
            <w:r w:rsidR="00B452F3">
              <w:rPr>
                <w:rFonts w:ascii="Cambria" w:hAnsi="Cambria"/>
                <w:sz w:val="18"/>
                <w:szCs w:val="18"/>
              </w:rPr>
              <w:t>6</w:t>
            </w:r>
            <w:r w:rsidRPr="00F219E5">
              <w:rPr>
                <w:rFonts w:ascii="Cambria" w:hAnsi="Cambria"/>
                <w:sz w:val="18"/>
                <w:szCs w:val="18"/>
              </w:rPr>
              <w:t xml:space="preserve"> года</w:t>
            </w:r>
          </w:p>
        </w:tc>
      </w:tr>
      <w:tr w:rsidR="00F61A8F" w:rsidRPr="00D70966" w:rsidTr="00890164">
        <w:trPr>
          <w:cantSplit/>
          <w:trHeight w:val="284"/>
        </w:trPr>
        <w:tc>
          <w:tcPr>
            <w:tcW w:w="10598" w:type="dxa"/>
            <w:gridSpan w:val="2"/>
            <w:shd w:val="clear" w:color="auto" w:fill="auto"/>
            <w:vAlign w:val="center"/>
          </w:tcPr>
          <w:p w:rsidR="00F61A8F" w:rsidRPr="00D70966" w:rsidRDefault="00F61A8F" w:rsidP="00D70966">
            <w:pPr>
              <w:autoSpaceDE w:val="0"/>
              <w:autoSpaceDN w:val="0"/>
              <w:adjustRightInd w:val="0"/>
              <w:spacing w:before="60" w:after="60"/>
              <w:jc w:val="center"/>
              <w:rPr>
                <w:rFonts w:asciiTheme="majorHAnsi" w:hAnsiTheme="majorHAnsi"/>
                <w:sz w:val="18"/>
                <w:szCs w:val="18"/>
              </w:rPr>
            </w:pPr>
            <w:r w:rsidRPr="00D70966">
              <w:rPr>
                <w:rFonts w:asciiTheme="majorHAnsi" w:hAnsiTheme="majorHAnsi"/>
                <w:b/>
                <w:bCs/>
                <w:sz w:val="18"/>
                <w:szCs w:val="18"/>
              </w:rPr>
              <w:t>РЕЗУЛЬТАТЫ ОЦЕНКИ</w:t>
            </w:r>
          </w:p>
        </w:tc>
      </w:tr>
      <w:tr w:rsidR="00C33B02" w:rsidRPr="00D70966" w:rsidTr="00D845B7">
        <w:trPr>
          <w:cantSplit/>
          <w:trHeight w:val="284"/>
        </w:trPr>
        <w:tc>
          <w:tcPr>
            <w:tcW w:w="3168" w:type="dxa"/>
            <w:shd w:val="clear" w:color="auto" w:fill="F2F2F2" w:themeFill="background1" w:themeFillShade="F2"/>
            <w:vAlign w:val="center"/>
          </w:tcPr>
          <w:p w:rsidR="00C33B02" w:rsidRPr="00D70966" w:rsidRDefault="00C33B02" w:rsidP="00D70966">
            <w:pPr>
              <w:autoSpaceDE w:val="0"/>
              <w:autoSpaceDN w:val="0"/>
              <w:adjustRightInd w:val="0"/>
              <w:spacing w:before="60" w:after="60"/>
              <w:rPr>
                <w:rFonts w:asciiTheme="majorHAnsi" w:hAnsiTheme="majorHAnsi"/>
                <w:b/>
                <w:bCs/>
                <w:sz w:val="18"/>
                <w:szCs w:val="18"/>
              </w:rPr>
            </w:pPr>
            <w:r w:rsidRPr="00D70966">
              <w:rPr>
                <w:rFonts w:asciiTheme="majorHAnsi" w:hAnsiTheme="majorHAnsi"/>
                <w:b/>
                <w:bCs/>
                <w:sz w:val="18"/>
                <w:szCs w:val="18"/>
              </w:rPr>
              <w:t>Затратный подход</w:t>
            </w:r>
          </w:p>
        </w:tc>
        <w:tc>
          <w:tcPr>
            <w:tcW w:w="7430" w:type="dxa"/>
            <w:shd w:val="clear" w:color="auto" w:fill="FFFFFF" w:themeFill="background1"/>
            <w:vAlign w:val="center"/>
          </w:tcPr>
          <w:p w:rsidR="00C33B02" w:rsidRPr="00192166" w:rsidRDefault="000A4482" w:rsidP="008A4DCE">
            <w:pPr>
              <w:spacing w:before="60" w:after="60"/>
              <w:rPr>
                <w:rFonts w:asciiTheme="majorHAnsi" w:hAnsiTheme="majorHAnsi"/>
                <w:bCs/>
                <w:color w:val="000000"/>
                <w:sz w:val="18"/>
                <w:szCs w:val="18"/>
              </w:rPr>
            </w:pPr>
            <w:r w:rsidRPr="00192166">
              <w:rPr>
                <w:rFonts w:asciiTheme="majorHAnsi" w:hAnsiTheme="majorHAnsi"/>
                <w:bCs/>
                <w:color w:val="000000"/>
                <w:sz w:val="18"/>
                <w:szCs w:val="18"/>
              </w:rPr>
              <w:t xml:space="preserve">Стоимость, определенная с использованием подхода составляет </w:t>
            </w:r>
            <w:r w:rsidR="00192166" w:rsidRPr="00192166">
              <w:rPr>
                <w:rFonts w:asciiTheme="majorHAnsi" w:hAnsiTheme="majorHAnsi"/>
                <w:bCs/>
                <w:color w:val="000000"/>
                <w:sz w:val="18"/>
                <w:szCs w:val="18"/>
              </w:rPr>
              <w:t>157 400</w:t>
            </w:r>
            <w:r w:rsidRPr="00192166">
              <w:rPr>
                <w:rFonts w:asciiTheme="majorHAnsi" w:hAnsiTheme="majorHAnsi"/>
                <w:bCs/>
                <w:color w:val="000000"/>
                <w:sz w:val="18"/>
                <w:szCs w:val="18"/>
              </w:rPr>
              <w:t xml:space="preserve"> рублей</w:t>
            </w:r>
          </w:p>
        </w:tc>
      </w:tr>
      <w:tr w:rsidR="00C33B02" w:rsidRPr="00D70966" w:rsidTr="003651AC">
        <w:trPr>
          <w:cantSplit/>
          <w:trHeight w:val="284"/>
        </w:trPr>
        <w:tc>
          <w:tcPr>
            <w:tcW w:w="3168" w:type="dxa"/>
            <w:shd w:val="clear" w:color="auto" w:fill="F2F2F2" w:themeFill="background1" w:themeFillShade="F2"/>
            <w:vAlign w:val="center"/>
          </w:tcPr>
          <w:p w:rsidR="00C33B02" w:rsidRPr="006C2178" w:rsidRDefault="00C33B02" w:rsidP="00D70966">
            <w:pPr>
              <w:autoSpaceDE w:val="0"/>
              <w:autoSpaceDN w:val="0"/>
              <w:adjustRightInd w:val="0"/>
              <w:spacing w:before="60" w:after="60"/>
              <w:rPr>
                <w:rFonts w:asciiTheme="majorHAnsi" w:hAnsiTheme="majorHAnsi"/>
                <w:b/>
                <w:bCs/>
                <w:sz w:val="18"/>
                <w:szCs w:val="18"/>
              </w:rPr>
            </w:pPr>
            <w:r w:rsidRPr="006C2178">
              <w:rPr>
                <w:rFonts w:asciiTheme="majorHAnsi" w:hAnsiTheme="majorHAnsi"/>
                <w:b/>
                <w:bCs/>
                <w:sz w:val="18"/>
                <w:szCs w:val="18"/>
              </w:rPr>
              <w:t>Сравнительный подход</w:t>
            </w:r>
          </w:p>
        </w:tc>
        <w:tc>
          <w:tcPr>
            <w:tcW w:w="7430" w:type="dxa"/>
            <w:vAlign w:val="center"/>
          </w:tcPr>
          <w:p w:rsidR="00C33B02" w:rsidRPr="00192166" w:rsidRDefault="00C33B02" w:rsidP="009E33BE">
            <w:pPr>
              <w:spacing w:before="60" w:after="60"/>
              <w:rPr>
                <w:rFonts w:asciiTheme="majorHAnsi" w:hAnsiTheme="majorHAnsi"/>
                <w:color w:val="000000"/>
                <w:sz w:val="18"/>
                <w:szCs w:val="18"/>
              </w:rPr>
            </w:pPr>
            <w:r w:rsidRPr="00192166">
              <w:rPr>
                <w:rFonts w:asciiTheme="majorHAnsi" w:hAnsiTheme="majorHAnsi"/>
                <w:color w:val="000000"/>
                <w:sz w:val="18"/>
                <w:szCs w:val="18"/>
              </w:rPr>
              <w:t xml:space="preserve">Стоимость, определенная с использованием подхода составляет </w:t>
            </w:r>
            <w:r w:rsidR="0070748F" w:rsidRPr="0070748F">
              <w:rPr>
                <w:rFonts w:asciiTheme="majorHAnsi" w:hAnsiTheme="majorHAnsi"/>
                <w:color w:val="000000"/>
                <w:sz w:val="18"/>
                <w:szCs w:val="18"/>
              </w:rPr>
              <w:t xml:space="preserve">8 002 300 </w:t>
            </w:r>
            <w:r w:rsidRPr="00192166">
              <w:rPr>
                <w:rFonts w:asciiTheme="majorHAnsi" w:hAnsiTheme="majorHAnsi"/>
                <w:color w:val="000000"/>
                <w:sz w:val="18"/>
                <w:szCs w:val="18"/>
              </w:rPr>
              <w:t>руб.</w:t>
            </w:r>
          </w:p>
        </w:tc>
      </w:tr>
      <w:tr w:rsidR="00C33B02" w:rsidRPr="00D70966" w:rsidTr="003651AC">
        <w:trPr>
          <w:cantSplit/>
          <w:trHeight w:val="284"/>
        </w:trPr>
        <w:tc>
          <w:tcPr>
            <w:tcW w:w="3168" w:type="dxa"/>
            <w:shd w:val="clear" w:color="auto" w:fill="F2F2F2" w:themeFill="background1" w:themeFillShade="F2"/>
            <w:vAlign w:val="center"/>
          </w:tcPr>
          <w:p w:rsidR="00C33B02" w:rsidRPr="00D70966" w:rsidRDefault="00C33B02" w:rsidP="00D70966">
            <w:pPr>
              <w:autoSpaceDE w:val="0"/>
              <w:autoSpaceDN w:val="0"/>
              <w:adjustRightInd w:val="0"/>
              <w:spacing w:before="60" w:after="60"/>
              <w:rPr>
                <w:rFonts w:asciiTheme="majorHAnsi" w:hAnsiTheme="majorHAnsi"/>
                <w:b/>
                <w:bCs/>
                <w:sz w:val="18"/>
                <w:szCs w:val="18"/>
              </w:rPr>
            </w:pPr>
            <w:r w:rsidRPr="00D70966">
              <w:rPr>
                <w:rFonts w:asciiTheme="majorHAnsi" w:hAnsiTheme="majorHAnsi"/>
                <w:b/>
                <w:bCs/>
                <w:sz w:val="18"/>
                <w:szCs w:val="18"/>
              </w:rPr>
              <w:t>Доходный подход</w:t>
            </w:r>
          </w:p>
        </w:tc>
        <w:tc>
          <w:tcPr>
            <w:tcW w:w="7430" w:type="dxa"/>
            <w:shd w:val="clear" w:color="auto" w:fill="auto"/>
            <w:vAlign w:val="center"/>
          </w:tcPr>
          <w:p w:rsidR="00C33B02" w:rsidRPr="00192166" w:rsidRDefault="00C33B02" w:rsidP="009E33BE">
            <w:pPr>
              <w:spacing w:before="60" w:after="60"/>
              <w:rPr>
                <w:rFonts w:asciiTheme="majorHAnsi" w:eastAsia="BatangChe" w:hAnsiTheme="majorHAnsi"/>
                <w:color w:val="000000"/>
                <w:sz w:val="18"/>
                <w:szCs w:val="18"/>
              </w:rPr>
            </w:pPr>
            <w:r w:rsidRPr="00192166">
              <w:rPr>
                <w:rFonts w:asciiTheme="majorHAnsi" w:eastAsia="BatangChe" w:hAnsiTheme="majorHAnsi"/>
                <w:color w:val="000000"/>
                <w:sz w:val="18"/>
                <w:szCs w:val="18"/>
              </w:rPr>
              <w:t xml:space="preserve">Стоимость, определенная с использованием подхода составляет </w:t>
            </w:r>
            <w:r w:rsidR="00192166" w:rsidRPr="00192166">
              <w:rPr>
                <w:rFonts w:asciiTheme="majorHAnsi" w:eastAsia="BatangChe" w:hAnsiTheme="majorHAnsi"/>
                <w:color w:val="000000"/>
                <w:sz w:val="18"/>
                <w:szCs w:val="18"/>
              </w:rPr>
              <w:t xml:space="preserve">7 020 500 </w:t>
            </w:r>
            <w:r w:rsidRPr="00192166">
              <w:rPr>
                <w:rFonts w:asciiTheme="majorHAnsi" w:eastAsia="BatangChe" w:hAnsiTheme="majorHAnsi"/>
                <w:color w:val="000000"/>
                <w:sz w:val="18"/>
                <w:szCs w:val="18"/>
              </w:rPr>
              <w:t>руб.</w:t>
            </w:r>
          </w:p>
        </w:tc>
      </w:tr>
      <w:tr w:rsidR="00F61A8F" w:rsidRPr="00D70966" w:rsidTr="003651AC">
        <w:trPr>
          <w:cantSplit/>
          <w:trHeight w:val="284"/>
        </w:trPr>
        <w:tc>
          <w:tcPr>
            <w:tcW w:w="3168" w:type="dxa"/>
            <w:shd w:val="clear" w:color="auto" w:fill="F2F2F2" w:themeFill="background1" w:themeFillShade="F2"/>
            <w:vAlign w:val="center"/>
          </w:tcPr>
          <w:p w:rsidR="00F61A8F" w:rsidRPr="00BD2606" w:rsidRDefault="00F61A8F" w:rsidP="00D70966">
            <w:pPr>
              <w:autoSpaceDE w:val="0"/>
              <w:autoSpaceDN w:val="0"/>
              <w:adjustRightInd w:val="0"/>
              <w:spacing w:before="60" w:after="60"/>
              <w:rPr>
                <w:rFonts w:asciiTheme="majorHAnsi" w:hAnsiTheme="majorHAnsi"/>
                <w:b/>
                <w:bCs/>
                <w:sz w:val="18"/>
                <w:szCs w:val="18"/>
              </w:rPr>
            </w:pPr>
            <w:r>
              <w:rPr>
                <w:rFonts w:asciiTheme="majorHAnsi" w:hAnsiTheme="majorHAnsi"/>
                <w:b/>
                <w:bCs/>
                <w:sz w:val="18"/>
                <w:szCs w:val="18"/>
              </w:rPr>
              <w:t xml:space="preserve">Итоговая величина </w:t>
            </w:r>
            <w:r w:rsidRPr="00D70966">
              <w:rPr>
                <w:rFonts w:asciiTheme="majorHAnsi" w:hAnsiTheme="majorHAnsi"/>
                <w:b/>
                <w:bCs/>
                <w:sz w:val="18"/>
                <w:szCs w:val="18"/>
              </w:rPr>
              <w:t xml:space="preserve">стоимости </w:t>
            </w:r>
            <w:r>
              <w:rPr>
                <w:rFonts w:asciiTheme="majorHAnsi" w:hAnsiTheme="majorHAnsi"/>
                <w:b/>
                <w:bCs/>
                <w:sz w:val="18"/>
                <w:szCs w:val="18"/>
              </w:rPr>
              <w:t>О</w:t>
            </w:r>
            <w:r w:rsidRPr="00D70966">
              <w:rPr>
                <w:rFonts w:asciiTheme="majorHAnsi" w:hAnsiTheme="majorHAnsi"/>
                <w:b/>
                <w:bCs/>
                <w:sz w:val="18"/>
                <w:szCs w:val="18"/>
              </w:rPr>
              <w:t>бъект</w:t>
            </w:r>
            <w:r>
              <w:rPr>
                <w:rFonts w:asciiTheme="majorHAnsi" w:hAnsiTheme="majorHAnsi"/>
                <w:b/>
                <w:bCs/>
                <w:sz w:val="18"/>
                <w:szCs w:val="18"/>
              </w:rPr>
              <w:t xml:space="preserve">а </w:t>
            </w:r>
            <w:r w:rsidRPr="00D70966">
              <w:rPr>
                <w:rFonts w:asciiTheme="majorHAnsi" w:hAnsiTheme="majorHAnsi"/>
                <w:b/>
                <w:bCs/>
                <w:sz w:val="18"/>
                <w:szCs w:val="18"/>
              </w:rPr>
              <w:t>оценки</w:t>
            </w:r>
          </w:p>
        </w:tc>
        <w:tc>
          <w:tcPr>
            <w:tcW w:w="7430" w:type="dxa"/>
            <w:vAlign w:val="center"/>
          </w:tcPr>
          <w:p w:rsidR="00F61A8F" w:rsidRPr="00192166" w:rsidRDefault="00F61A8F" w:rsidP="00D70966">
            <w:pPr>
              <w:autoSpaceDE w:val="0"/>
              <w:autoSpaceDN w:val="0"/>
              <w:adjustRightInd w:val="0"/>
              <w:spacing w:before="60" w:after="60"/>
              <w:rPr>
                <w:rFonts w:asciiTheme="majorHAnsi" w:hAnsiTheme="majorHAnsi"/>
                <w:b/>
                <w:i/>
                <w:sz w:val="18"/>
                <w:szCs w:val="18"/>
              </w:rPr>
            </w:pPr>
            <w:r w:rsidRPr="00192166">
              <w:rPr>
                <w:rFonts w:asciiTheme="majorHAnsi" w:hAnsiTheme="majorHAnsi"/>
                <w:b/>
                <w:i/>
                <w:sz w:val="18"/>
                <w:szCs w:val="18"/>
              </w:rPr>
              <w:t xml:space="preserve">Рыночная стоимость Объекта оценки на Дату оценки округленно составляет: </w:t>
            </w:r>
          </w:p>
          <w:p w:rsidR="00F61A8F" w:rsidRPr="00192166" w:rsidRDefault="0070748F" w:rsidP="00A7343D">
            <w:pPr>
              <w:autoSpaceDE w:val="0"/>
              <w:autoSpaceDN w:val="0"/>
              <w:adjustRightInd w:val="0"/>
              <w:spacing w:before="60" w:after="60"/>
              <w:rPr>
                <w:rFonts w:asciiTheme="majorHAnsi" w:hAnsiTheme="majorHAnsi"/>
                <w:b/>
                <w:i/>
                <w:sz w:val="18"/>
                <w:szCs w:val="18"/>
              </w:rPr>
            </w:pPr>
            <w:r w:rsidRPr="0070748F">
              <w:rPr>
                <w:rFonts w:asciiTheme="majorHAnsi" w:hAnsiTheme="majorHAnsi" w:cs="Calibri"/>
                <w:b/>
                <w:bCs/>
                <w:i/>
                <w:sz w:val="18"/>
                <w:szCs w:val="18"/>
              </w:rPr>
              <w:t>7 743 100, семь миллионов семьсот сорок три тысячи сто рублей</w:t>
            </w:r>
            <w:r w:rsidR="00180F9A" w:rsidRPr="00192166">
              <w:rPr>
                <w:rFonts w:asciiTheme="majorHAnsi" w:hAnsiTheme="majorHAnsi" w:cs="Calibri"/>
                <w:b/>
                <w:bCs/>
                <w:i/>
                <w:sz w:val="18"/>
                <w:szCs w:val="18"/>
              </w:rPr>
              <w:t>,</w:t>
            </w:r>
            <w:r w:rsidR="00A7343D" w:rsidRPr="00192166">
              <w:rPr>
                <w:rFonts w:asciiTheme="majorHAnsi" w:hAnsiTheme="majorHAnsi" w:cs="Calibri"/>
                <w:b/>
                <w:bCs/>
                <w:i/>
                <w:sz w:val="18"/>
                <w:szCs w:val="18"/>
              </w:rPr>
              <w:t xml:space="preserve">  </w:t>
            </w:r>
            <w:r w:rsidR="00180F9A" w:rsidRPr="00192166">
              <w:rPr>
                <w:rFonts w:asciiTheme="majorHAnsi" w:hAnsiTheme="majorHAnsi" w:cs="Calibri"/>
                <w:b/>
                <w:bCs/>
                <w:i/>
                <w:sz w:val="18"/>
                <w:szCs w:val="18"/>
              </w:rPr>
              <w:t>НДС не облагается</w:t>
            </w:r>
          </w:p>
        </w:tc>
      </w:tr>
    </w:tbl>
    <w:p w:rsidR="00954C52" w:rsidRPr="001F52AA" w:rsidRDefault="00954C52" w:rsidP="009948B1">
      <w:pPr>
        <w:pStyle w:val="2"/>
        <w:spacing w:before="120" w:after="120"/>
        <w:rPr>
          <w:rFonts w:ascii="Bookman Old Style" w:hAnsi="Bookman Old Style"/>
          <w:b/>
          <w:sz w:val="20"/>
          <w:szCs w:val="20"/>
        </w:rPr>
      </w:pPr>
      <w:bookmarkStart w:id="28" w:name="_Toc170273660"/>
      <w:bookmarkStart w:id="29" w:name="_Toc200193935"/>
      <w:bookmarkStart w:id="30" w:name="_Toc461375544"/>
      <w:r w:rsidRPr="001F52AA">
        <w:rPr>
          <w:rFonts w:ascii="Bookman Old Style" w:hAnsi="Bookman Old Style"/>
          <w:b/>
          <w:sz w:val="20"/>
          <w:szCs w:val="20"/>
        </w:rPr>
        <w:t xml:space="preserve">1.2. </w:t>
      </w:r>
      <w:bookmarkEnd w:id="27"/>
      <w:bookmarkEnd w:id="28"/>
      <w:r w:rsidR="001E4609" w:rsidRPr="001F52AA">
        <w:rPr>
          <w:rFonts w:ascii="Bookman Old Style" w:hAnsi="Bookman Old Style"/>
          <w:b/>
          <w:sz w:val="20"/>
          <w:szCs w:val="20"/>
        </w:rPr>
        <w:t>СВЕДЕНИЯ О ЗАДАНИИ НА ОЦЕНКУ</w:t>
      </w:r>
      <w:bookmarkEnd w:id="29"/>
      <w:bookmarkEnd w:id="30"/>
    </w:p>
    <w:p w:rsidR="009D5C7A" w:rsidRPr="00B452F3" w:rsidRDefault="00FB06EC" w:rsidP="009948B1">
      <w:pPr>
        <w:spacing w:before="120" w:after="120"/>
        <w:ind w:firstLine="709"/>
        <w:jc w:val="both"/>
        <w:rPr>
          <w:rFonts w:ascii="Bookman Old Style" w:hAnsi="Bookman Old Style"/>
          <w:sz w:val="20"/>
          <w:szCs w:val="20"/>
        </w:rPr>
      </w:pPr>
      <w:bookmarkStart w:id="31" w:name="_Toc200179615"/>
      <w:bookmarkStart w:id="32" w:name="_Toc133200869"/>
      <w:bookmarkStart w:id="33" w:name="_Toc170273664"/>
      <w:r w:rsidRPr="007653B3">
        <w:rPr>
          <w:rFonts w:ascii="Bookman Old Style" w:hAnsi="Bookman Old Style"/>
          <w:sz w:val="20"/>
          <w:szCs w:val="20"/>
        </w:rPr>
        <w:t xml:space="preserve">Между, </w:t>
      </w:r>
      <w:r w:rsidR="00B452F3" w:rsidRPr="00B452F3">
        <w:rPr>
          <w:rFonts w:ascii="Bookman Old Style" w:hAnsi="Bookman Old Style"/>
          <w:sz w:val="20"/>
          <w:szCs w:val="20"/>
        </w:rPr>
        <w:t xml:space="preserve">Обществом с ограниченной ответственностью </w:t>
      </w:r>
      <w:r w:rsidR="00516196" w:rsidRPr="007653B3">
        <w:rPr>
          <w:rFonts w:ascii="Bookman Old Style" w:hAnsi="Bookman Old Style"/>
          <w:sz w:val="20"/>
          <w:szCs w:val="20"/>
        </w:rPr>
        <w:t>«</w:t>
      </w:r>
      <w:r w:rsidR="000A4482">
        <w:rPr>
          <w:rFonts w:ascii="Bookman Old Style" w:hAnsi="Bookman Old Style"/>
          <w:sz w:val="20"/>
          <w:szCs w:val="20"/>
        </w:rPr>
        <w:t>Окно</w:t>
      </w:r>
      <w:r w:rsidR="00516196" w:rsidRPr="007653B3">
        <w:rPr>
          <w:rFonts w:ascii="Bookman Old Style" w:hAnsi="Bookman Old Style"/>
          <w:sz w:val="20"/>
          <w:szCs w:val="20"/>
        </w:rPr>
        <w:t>»</w:t>
      </w:r>
      <w:r w:rsidR="00EB2BAD" w:rsidRPr="007653B3">
        <w:rPr>
          <w:rStyle w:val="aff0"/>
          <w:rFonts w:ascii="Bookman Old Style" w:hAnsi="Bookman Old Style"/>
          <w:sz w:val="20"/>
          <w:szCs w:val="20"/>
        </w:rPr>
        <w:footnoteReference w:id="1"/>
      </w:r>
      <w:r w:rsidR="00EB2BAD" w:rsidRPr="007653B3">
        <w:rPr>
          <w:rFonts w:ascii="Bookman Old Style" w:hAnsi="Bookman Old Style"/>
          <w:sz w:val="20"/>
          <w:szCs w:val="20"/>
        </w:rPr>
        <w:t xml:space="preserve">, в лице конкурсного </w:t>
      </w:r>
      <w:r w:rsidR="00EB2BAD" w:rsidRPr="00B452F3">
        <w:rPr>
          <w:rFonts w:ascii="Bookman Old Style" w:hAnsi="Bookman Old Style"/>
          <w:sz w:val="20"/>
          <w:szCs w:val="20"/>
        </w:rPr>
        <w:t xml:space="preserve">управляющего </w:t>
      </w:r>
      <w:r w:rsidR="000A4482" w:rsidRPr="000A4482">
        <w:rPr>
          <w:rFonts w:ascii="Bookman Old Style" w:hAnsi="Bookman Old Style"/>
          <w:sz w:val="20"/>
          <w:szCs w:val="20"/>
        </w:rPr>
        <w:t>Епифановой Лины Алексеевны</w:t>
      </w:r>
      <w:r w:rsidR="00B452F3" w:rsidRPr="00B452F3">
        <w:rPr>
          <w:rFonts w:ascii="Bookman Old Style" w:hAnsi="Bookman Old Style"/>
          <w:sz w:val="20"/>
          <w:szCs w:val="20"/>
        </w:rPr>
        <w:t>, действующего на основании Решения Арбитражного суда Красноярского края</w:t>
      </w:r>
      <w:proofErr w:type="gramStart"/>
      <w:r w:rsidR="00B452F3" w:rsidRPr="00B452F3">
        <w:rPr>
          <w:rFonts w:ascii="Bookman Old Style" w:hAnsi="Bookman Old Style"/>
          <w:sz w:val="20"/>
          <w:szCs w:val="20"/>
        </w:rPr>
        <w:t>.</w:t>
      </w:r>
      <w:proofErr w:type="gramEnd"/>
      <w:r w:rsidR="00B452F3" w:rsidRPr="00B452F3">
        <w:rPr>
          <w:rFonts w:ascii="Bookman Old Style" w:hAnsi="Bookman Old Style"/>
          <w:sz w:val="20"/>
          <w:szCs w:val="20"/>
        </w:rPr>
        <w:t xml:space="preserve"> </w:t>
      </w:r>
      <w:proofErr w:type="gramStart"/>
      <w:r w:rsidR="00B452F3" w:rsidRPr="00B452F3">
        <w:rPr>
          <w:rFonts w:ascii="Bookman Old Style" w:hAnsi="Bookman Old Style"/>
          <w:sz w:val="20"/>
          <w:szCs w:val="20"/>
        </w:rPr>
        <w:t>п</w:t>
      </w:r>
      <w:proofErr w:type="gramEnd"/>
      <w:r w:rsidR="00B452F3" w:rsidRPr="00B452F3">
        <w:rPr>
          <w:rFonts w:ascii="Bookman Old Style" w:hAnsi="Bookman Old Style"/>
          <w:sz w:val="20"/>
          <w:szCs w:val="20"/>
        </w:rPr>
        <w:t xml:space="preserve">о делу </w:t>
      </w:r>
      <w:r w:rsidR="000A4482" w:rsidRPr="000A4482">
        <w:rPr>
          <w:rFonts w:ascii="Bookman Old Style" w:hAnsi="Bookman Old Style"/>
          <w:sz w:val="20"/>
          <w:szCs w:val="20"/>
        </w:rPr>
        <w:t>А</w:t>
      </w:r>
      <w:r w:rsidR="000A4482">
        <w:rPr>
          <w:rFonts w:ascii="Bookman Old Style" w:hAnsi="Bookman Old Style"/>
          <w:sz w:val="20"/>
          <w:szCs w:val="20"/>
        </w:rPr>
        <w:t xml:space="preserve">33-20224/2015 от «14» июня 2016 </w:t>
      </w:r>
      <w:r w:rsidR="00EB2BAD" w:rsidRPr="00B452F3">
        <w:rPr>
          <w:rFonts w:ascii="Bookman Old Style" w:hAnsi="Bookman Old Style"/>
          <w:sz w:val="20"/>
          <w:szCs w:val="20"/>
        </w:rPr>
        <w:t xml:space="preserve">года, и </w:t>
      </w:r>
    </w:p>
    <w:p w:rsidR="00FB06EC" w:rsidRPr="00BF1194" w:rsidRDefault="00EB2BAD" w:rsidP="009948B1">
      <w:pPr>
        <w:spacing w:before="120" w:after="120"/>
        <w:ind w:firstLine="709"/>
        <w:jc w:val="both"/>
        <w:rPr>
          <w:rFonts w:ascii="Bookman Old Style" w:hAnsi="Bookman Old Style"/>
          <w:sz w:val="20"/>
          <w:szCs w:val="20"/>
        </w:rPr>
      </w:pPr>
      <w:r w:rsidRPr="00EB2BAD">
        <w:rPr>
          <w:rFonts w:ascii="Bookman Old Style" w:hAnsi="Bookman Old Style"/>
          <w:sz w:val="20"/>
          <w:szCs w:val="20"/>
        </w:rPr>
        <w:t>Общество</w:t>
      </w:r>
      <w:r>
        <w:rPr>
          <w:rFonts w:ascii="Bookman Old Style" w:hAnsi="Bookman Old Style"/>
          <w:sz w:val="20"/>
          <w:szCs w:val="20"/>
        </w:rPr>
        <w:t>м</w:t>
      </w:r>
      <w:r w:rsidRPr="00EB2BAD">
        <w:rPr>
          <w:rFonts w:ascii="Bookman Old Style" w:hAnsi="Bookman Old Style"/>
          <w:sz w:val="20"/>
          <w:szCs w:val="20"/>
        </w:rPr>
        <w:t xml:space="preserve"> с ограниченной ответственностью «Агентство оценки собственности «Золотое правило»</w:t>
      </w:r>
      <w:r w:rsidR="001B120F">
        <w:rPr>
          <w:rStyle w:val="aff0"/>
          <w:rFonts w:ascii="Bookman Old Style" w:hAnsi="Bookman Old Style"/>
          <w:sz w:val="20"/>
          <w:szCs w:val="20"/>
        </w:rPr>
        <w:footnoteReference w:id="2"/>
      </w:r>
      <w:r w:rsidRPr="00EB2BAD">
        <w:rPr>
          <w:rFonts w:ascii="Bookman Old Style" w:hAnsi="Bookman Old Style"/>
          <w:sz w:val="20"/>
          <w:szCs w:val="20"/>
        </w:rPr>
        <w:t xml:space="preserve">, в лице генерального директора Золотарева Олега Сергеевича, действующего на основании Устава, </w:t>
      </w:r>
      <w:r w:rsidR="00FB06EC" w:rsidRPr="00BF1194">
        <w:rPr>
          <w:rFonts w:ascii="Bookman Old Style" w:hAnsi="Bookman Old Style"/>
          <w:sz w:val="20"/>
          <w:szCs w:val="20"/>
        </w:rPr>
        <w:t xml:space="preserve">подписан Договор </w:t>
      </w:r>
      <w:r w:rsidRPr="00BF1194">
        <w:rPr>
          <w:rFonts w:ascii="Bookman Old Style" w:hAnsi="Bookman Old Style"/>
          <w:sz w:val="20"/>
          <w:szCs w:val="20"/>
        </w:rPr>
        <w:t>на проведение оценки</w:t>
      </w:r>
      <w:r w:rsidR="00FB06EC" w:rsidRPr="00BF1194">
        <w:rPr>
          <w:rFonts w:ascii="Bookman Old Style" w:hAnsi="Bookman Old Style"/>
          <w:sz w:val="20"/>
          <w:szCs w:val="20"/>
        </w:rPr>
        <w:t>:</w:t>
      </w:r>
    </w:p>
    <w:p w:rsidR="00FB06EC" w:rsidRPr="00AA51E2" w:rsidRDefault="006C2178" w:rsidP="00AB1FB9">
      <w:pPr>
        <w:pStyle w:val="aff2"/>
        <w:numPr>
          <w:ilvl w:val="0"/>
          <w:numId w:val="6"/>
        </w:numPr>
        <w:spacing w:before="120" w:after="120"/>
        <w:contextualSpacing w:val="0"/>
        <w:rPr>
          <w:rFonts w:ascii="Bookman Old Style" w:hAnsi="Bookman Old Style"/>
          <w:sz w:val="20"/>
          <w:szCs w:val="20"/>
        </w:rPr>
      </w:pPr>
      <w:r w:rsidRPr="00AA51E2">
        <w:rPr>
          <w:rFonts w:ascii="Bookman Old Style" w:hAnsi="Bookman Old Style"/>
          <w:sz w:val="20"/>
          <w:szCs w:val="20"/>
        </w:rPr>
        <w:t xml:space="preserve">№ </w:t>
      </w:r>
      <w:r w:rsidR="000A4482" w:rsidRPr="000A4482">
        <w:rPr>
          <w:rFonts w:ascii="Bookman Old Style" w:hAnsi="Bookman Old Style"/>
          <w:sz w:val="20"/>
          <w:szCs w:val="20"/>
        </w:rPr>
        <w:t xml:space="preserve">09/08-16 от «09» августа 2016 </w:t>
      </w:r>
      <w:r w:rsidR="003C32E4" w:rsidRPr="00AA51E2">
        <w:rPr>
          <w:rFonts w:ascii="Bookman Old Style" w:hAnsi="Bookman Old Style"/>
          <w:sz w:val="20"/>
          <w:szCs w:val="20"/>
        </w:rPr>
        <w:t>года</w:t>
      </w:r>
      <w:r w:rsidR="00FB06EC" w:rsidRPr="00AA51E2">
        <w:rPr>
          <w:rFonts w:ascii="Bookman Old Style" w:hAnsi="Bookman Old Style"/>
          <w:sz w:val="20"/>
          <w:szCs w:val="20"/>
        </w:rPr>
        <w:t xml:space="preserve"> и </w:t>
      </w:r>
      <w:r w:rsidR="00EB2BAD" w:rsidRPr="00AA51E2">
        <w:rPr>
          <w:rFonts w:ascii="Bookman Old Style" w:hAnsi="Bookman Old Style"/>
          <w:sz w:val="20"/>
          <w:szCs w:val="20"/>
        </w:rPr>
        <w:t>З</w:t>
      </w:r>
      <w:r w:rsidR="00FB06EC" w:rsidRPr="00AA51E2">
        <w:rPr>
          <w:rFonts w:ascii="Bookman Old Style" w:hAnsi="Bookman Old Style"/>
          <w:sz w:val="20"/>
          <w:szCs w:val="20"/>
        </w:rPr>
        <w:t>адание на оценку;</w:t>
      </w:r>
      <w:r w:rsidR="008051C9" w:rsidRPr="00AA51E2">
        <w:rPr>
          <w:rFonts w:ascii="Bookman Old Style" w:hAnsi="Bookman Old Style"/>
          <w:sz w:val="20"/>
          <w:szCs w:val="20"/>
        </w:rPr>
        <w:t xml:space="preserve"> </w:t>
      </w:r>
    </w:p>
    <w:p w:rsidR="004428A6" w:rsidRDefault="004428A6" w:rsidP="009948B1">
      <w:pPr>
        <w:spacing w:before="120" w:after="120"/>
        <w:ind w:firstLine="708"/>
        <w:jc w:val="both"/>
        <w:rPr>
          <w:rFonts w:ascii="Bookman Old Style" w:hAnsi="Bookman Old Style"/>
          <w:sz w:val="20"/>
          <w:szCs w:val="20"/>
        </w:rPr>
      </w:pPr>
      <w:r w:rsidRPr="00323983">
        <w:rPr>
          <w:rFonts w:ascii="Bookman Old Style" w:hAnsi="Bookman Old Style"/>
          <w:sz w:val="20"/>
          <w:szCs w:val="20"/>
        </w:rPr>
        <w:t>Задание на оценку, определенное Заказчиком</w:t>
      </w:r>
      <w:r w:rsidR="00EB2BAD" w:rsidRPr="00323983">
        <w:rPr>
          <w:rFonts w:ascii="Bookman Old Style" w:hAnsi="Bookman Old Style"/>
          <w:sz w:val="20"/>
          <w:szCs w:val="20"/>
        </w:rPr>
        <w:t xml:space="preserve"> О</w:t>
      </w:r>
      <w:r w:rsidRPr="00323983">
        <w:rPr>
          <w:rFonts w:ascii="Bookman Old Style" w:hAnsi="Bookman Old Style"/>
          <w:sz w:val="20"/>
          <w:szCs w:val="20"/>
        </w:rPr>
        <w:t>тчета</w:t>
      </w:r>
      <w:r w:rsidR="00EB2BAD" w:rsidRPr="00323983">
        <w:rPr>
          <w:rFonts w:ascii="Bookman Old Style" w:hAnsi="Bookman Old Style"/>
          <w:sz w:val="20"/>
          <w:szCs w:val="20"/>
        </w:rPr>
        <w:t xml:space="preserve"> об оценке</w:t>
      </w:r>
      <w:r w:rsidRPr="00323983">
        <w:rPr>
          <w:rFonts w:ascii="Bookman Old Style" w:hAnsi="Bookman Old Style"/>
          <w:sz w:val="20"/>
          <w:szCs w:val="20"/>
        </w:rPr>
        <w:t>, включает в себя следующие сведения:</w:t>
      </w:r>
    </w:p>
    <w:p w:rsidR="004428A6" w:rsidRDefault="004428A6" w:rsidP="009948B1">
      <w:pPr>
        <w:numPr>
          <w:ilvl w:val="0"/>
          <w:numId w:val="1"/>
        </w:numPr>
        <w:spacing w:before="120" w:after="120"/>
        <w:ind w:left="426"/>
        <w:jc w:val="both"/>
        <w:rPr>
          <w:rFonts w:ascii="Bookman Old Style" w:hAnsi="Bookman Old Style"/>
          <w:sz w:val="20"/>
          <w:szCs w:val="20"/>
        </w:rPr>
      </w:pPr>
      <w:r w:rsidRPr="00323983">
        <w:rPr>
          <w:rFonts w:ascii="Bookman Old Style" w:hAnsi="Bookman Old Style"/>
          <w:sz w:val="20"/>
          <w:szCs w:val="20"/>
        </w:rPr>
        <w:t xml:space="preserve">Объект оценки: </w:t>
      </w:r>
    </w:p>
    <w:p w:rsidR="005F178F" w:rsidRPr="00023975" w:rsidRDefault="005F178F" w:rsidP="005F178F">
      <w:pPr>
        <w:autoSpaceDE w:val="0"/>
        <w:autoSpaceDN w:val="0"/>
        <w:adjustRightInd w:val="0"/>
        <w:spacing w:before="120" w:after="120"/>
        <w:ind w:left="720"/>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Недвижимое и движимое имуществ</w:t>
      </w:r>
      <w:proofErr w:type="gramStart"/>
      <w:r w:rsidRPr="00023975">
        <w:rPr>
          <w:rFonts w:ascii="Bookman Old Style" w:hAnsi="Bookman Old Style"/>
          <w:color w:val="000000" w:themeColor="text1"/>
          <w:sz w:val="20"/>
          <w:szCs w:val="20"/>
        </w:rPr>
        <w:t>о ООО</w:t>
      </w:r>
      <w:proofErr w:type="gramEnd"/>
      <w:r w:rsidRPr="00023975">
        <w:rPr>
          <w:rFonts w:ascii="Bookman Old Style" w:hAnsi="Bookman Old Style"/>
          <w:color w:val="000000" w:themeColor="text1"/>
          <w:sz w:val="20"/>
          <w:szCs w:val="20"/>
        </w:rPr>
        <w:t xml:space="preserve"> «Окно», находящееся в залоге у </w:t>
      </w:r>
      <w:r w:rsidRPr="00091921">
        <w:rPr>
          <w:rFonts w:ascii="Bookman Old Style" w:hAnsi="Bookman Old Style"/>
          <w:color w:val="000000" w:themeColor="text1"/>
          <w:sz w:val="20"/>
          <w:szCs w:val="20"/>
        </w:rPr>
        <w:t>АКБ «</w:t>
      </w:r>
      <w:proofErr w:type="spellStart"/>
      <w:r w:rsidRPr="00091921">
        <w:rPr>
          <w:rFonts w:ascii="Bookman Old Style" w:hAnsi="Bookman Old Style"/>
          <w:color w:val="000000" w:themeColor="text1"/>
          <w:sz w:val="20"/>
          <w:szCs w:val="20"/>
        </w:rPr>
        <w:t>Ланта</w:t>
      </w:r>
      <w:proofErr w:type="spellEnd"/>
      <w:r w:rsidRPr="00091921">
        <w:rPr>
          <w:rFonts w:ascii="Bookman Old Style" w:hAnsi="Bookman Old Style"/>
          <w:color w:val="000000" w:themeColor="text1"/>
          <w:sz w:val="20"/>
          <w:szCs w:val="20"/>
        </w:rPr>
        <w:t>-Банк»</w:t>
      </w:r>
      <w:r w:rsidRPr="00023975">
        <w:rPr>
          <w:rFonts w:ascii="Bookman Old Style" w:hAnsi="Bookman Old Style"/>
          <w:color w:val="000000" w:themeColor="text1"/>
          <w:sz w:val="20"/>
          <w:szCs w:val="20"/>
        </w:rPr>
        <w:t>, в составе элементов:</w:t>
      </w:r>
    </w:p>
    <w:p w:rsidR="005F178F" w:rsidRPr="00091921" w:rsidRDefault="005F178F" w:rsidP="005F04AC">
      <w:pPr>
        <w:numPr>
          <w:ilvl w:val="1"/>
          <w:numId w:val="53"/>
        </w:numPr>
        <w:autoSpaceDE w:val="0"/>
        <w:autoSpaceDN w:val="0"/>
        <w:adjustRightInd w:val="0"/>
        <w:spacing w:before="120" w:after="120"/>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Помещение, назначение: нежилое, общая площадь 525,6 кв.м., этаж №1, адрес:  г. Красноярск,  ул. Айвазовского 37 «А», стр. 2, пом. 1, Кадастровый номер: 24:50:0500203:461</w:t>
      </w:r>
    </w:p>
    <w:p w:rsidR="005F178F" w:rsidRPr="00091921" w:rsidRDefault="005F178F" w:rsidP="005F04AC">
      <w:pPr>
        <w:numPr>
          <w:ilvl w:val="1"/>
          <w:numId w:val="53"/>
        </w:numPr>
        <w:autoSpaceDE w:val="0"/>
        <w:autoSpaceDN w:val="0"/>
        <w:adjustRightInd w:val="0"/>
        <w:spacing w:before="120" w:after="120"/>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Общая долевая собственность, доля в праве ½</w:t>
      </w:r>
      <w:proofErr w:type="gramStart"/>
      <w:r w:rsidRPr="00091921">
        <w:rPr>
          <w:rFonts w:ascii="Bookman Old Style" w:hAnsi="Bookman Old Style"/>
          <w:color w:val="000000" w:themeColor="text1"/>
          <w:sz w:val="20"/>
          <w:szCs w:val="20"/>
        </w:rPr>
        <w:t xml:space="preserve"> ,</w:t>
      </w:r>
      <w:proofErr w:type="gramEnd"/>
      <w:r w:rsidRPr="00091921">
        <w:rPr>
          <w:rFonts w:ascii="Bookman Old Style" w:hAnsi="Bookman Old Style"/>
          <w:color w:val="000000" w:themeColor="text1"/>
          <w:sz w:val="20"/>
          <w:szCs w:val="20"/>
        </w:rPr>
        <w:t xml:space="preserve"> Земельный участок, категория земель: земли населенных пунктов, Общая площадь 1181 кв. м., адрес : г. Красноярск, ул. Айвазовского, 37 «А»</w:t>
      </w:r>
      <w:r>
        <w:rPr>
          <w:rFonts w:ascii="Bookman Old Style" w:hAnsi="Bookman Old Style"/>
          <w:color w:val="000000" w:themeColor="text1"/>
          <w:sz w:val="20"/>
          <w:szCs w:val="20"/>
        </w:rPr>
        <w:t>.</w:t>
      </w:r>
      <w:r w:rsidRPr="00091921">
        <w:rPr>
          <w:rFonts w:ascii="Bookman Old Style" w:hAnsi="Bookman Old Style"/>
          <w:color w:val="000000" w:themeColor="text1"/>
          <w:sz w:val="20"/>
          <w:szCs w:val="20"/>
        </w:rPr>
        <w:t xml:space="preserve"> </w:t>
      </w:r>
      <w:r>
        <w:rPr>
          <w:rFonts w:ascii="Bookman Old Style" w:hAnsi="Bookman Old Style"/>
          <w:color w:val="000000" w:themeColor="text1"/>
          <w:sz w:val="20"/>
          <w:szCs w:val="20"/>
        </w:rPr>
        <w:t>К</w:t>
      </w:r>
      <w:r w:rsidRPr="00091921">
        <w:rPr>
          <w:rFonts w:ascii="Bookman Old Style" w:hAnsi="Bookman Old Style"/>
          <w:color w:val="000000" w:themeColor="text1"/>
          <w:sz w:val="20"/>
          <w:szCs w:val="20"/>
        </w:rPr>
        <w:t>адастровый номер: 24:50:0500203:15;</w:t>
      </w:r>
    </w:p>
    <w:p w:rsidR="00C33B02" w:rsidRDefault="005F178F" w:rsidP="005F04AC">
      <w:pPr>
        <w:numPr>
          <w:ilvl w:val="1"/>
          <w:numId w:val="53"/>
        </w:numPr>
        <w:autoSpaceDE w:val="0"/>
        <w:autoSpaceDN w:val="0"/>
        <w:adjustRightInd w:val="0"/>
        <w:spacing w:before="120" w:after="120"/>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 xml:space="preserve">Стойка 150 мм*4м, </w:t>
      </w:r>
      <w:proofErr w:type="spellStart"/>
      <w:r w:rsidRPr="00091921">
        <w:rPr>
          <w:rFonts w:ascii="Bookman Old Style" w:hAnsi="Bookman Old Style"/>
          <w:color w:val="000000" w:themeColor="text1"/>
          <w:sz w:val="20"/>
          <w:szCs w:val="20"/>
        </w:rPr>
        <w:t>Naturall</w:t>
      </w:r>
      <w:proofErr w:type="spellEnd"/>
      <w:r w:rsidRPr="00091921">
        <w:rPr>
          <w:rFonts w:ascii="Bookman Old Style" w:hAnsi="Bookman Old Style"/>
          <w:color w:val="000000" w:themeColor="text1"/>
          <w:sz w:val="20"/>
          <w:szCs w:val="20"/>
        </w:rPr>
        <w:t xml:space="preserve"> </w:t>
      </w:r>
      <w:proofErr w:type="spellStart"/>
      <w:r w:rsidRPr="00091921">
        <w:rPr>
          <w:rFonts w:ascii="Bookman Old Style" w:hAnsi="Bookman Old Style"/>
          <w:color w:val="000000" w:themeColor="text1"/>
          <w:sz w:val="20"/>
          <w:szCs w:val="20"/>
        </w:rPr>
        <w:t>Noce</w:t>
      </w:r>
      <w:proofErr w:type="spellEnd"/>
      <w:r w:rsidRPr="00091921">
        <w:rPr>
          <w:rFonts w:ascii="Bookman Old Style" w:hAnsi="Bookman Old Style"/>
          <w:color w:val="000000" w:themeColor="text1"/>
          <w:sz w:val="20"/>
          <w:szCs w:val="20"/>
        </w:rPr>
        <w:t xml:space="preserve"> </w:t>
      </w:r>
      <w:proofErr w:type="spellStart"/>
      <w:r w:rsidRPr="00091921">
        <w:rPr>
          <w:rFonts w:ascii="Bookman Old Style" w:hAnsi="Bookman Old Style"/>
          <w:color w:val="000000" w:themeColor="text1"/>
          <w:sz w:val="20"/>
          <w:szCs w:val="20"/>
        </w:rPr>
        <w:t>Scuro</w:t>
      </w:r>
      <w:proofErr w:type="spellEnd"/>
      <w:r w:rsidRPr="00091921">
        <w:rPr>
          <w:rFonts w:ascii="Bookman Old Style" w:hAnsi="Bookman Old Style"/>
          <w:color w:val="000000" w:themeColor="text1"/>
          <w:sz w:val="20"/>
          <w:szCs w:val="20"/>
        </w:rPr>
        <w:t xml:space="preserve"> в количестве 200 штук</w:t>
      </w:r>
    </w:p>
    <w:p w:rsidR="005F178F" w:rsidRPr="000A4482" w:rsidRDefault="005F178F" w:rsidP="005F178F">
      <w:pPr>
        <w:autoSpaceDE w:val="0"/>
        <w:autoSpaceDN w:val="0"/>
        <w:adjustRightInd w:val="0"/>
        <w:spacing w:before="120" w:after="120"/>
        <w:ind w:left="1440"/>
        <w:jc w:val="both"/>
        <w:rPr>
          <w:rFonts w:ascii="Bookman Old Style" w:hAnsi="Bookman Old Style"/>
          <w:color w:val="000000" w:themeColor="text1"/>
          <w:sz w:val="20"/>
          <w:szCs w:val="20"/>
        </w:rPr>
      </w:pPr>
    </w:p>
    <w:p w:rsidR="004428A6" w:rsidRDefault="004428A6" w:rsidP="009948B1">
      <w:pPr>
        <w:numPr>
          <w:ilvl w:val="0"/>
          <w:numId w:val="1"/>
        </w:numPr>
        <w:spacing w:before="120" w:after="120"/>
        <w:ind w:left="426"/>
        <w:jc w:val="both"/>
        <w:rPr>
          <w:rFonts w:ascii="Bookman Old Style" w:hAnsi="Bookman Old Style"/>
          <w:sz w:val="20"/>
          <w:szCs w:val="20"/>
        </w:rPr>
      </w:pPr>
      <w:r w:rsidRPr="001F0401">
        <w:rPr>
          <w:rFonts w:ascii="Bookman Old Style" w:hAnsi="Bookman Old Style"/>
          <w:sz w:val="20"/>
          <w:szCs w:val="20"/>
        </w:rPr>
        <w:lastRenderedPageBreak/>
        <w:t>Имущественные права</w:t>
      </w:r>
      <w:r>
        <w:rPr>
          <w:rFonts w:ascii="Bookman Old Style" w:hAnsi="Bookman Old Style"/>
          <w:sz w:val="20"/>
          <w:szCs w:val="20"/>
        </w:rPr>
        <w:t xml:space="preserve"> Заказчика отчета на О</w:t>
      </w:r>
      <w:r w:rsidRPr="001F0401">
        <w:rPr>
          <w:rFonts w:ascii="Bookman Old Style" w:hAnsi="Bookman Old Style"/>
          <w:sz w:val="20"/>
          <w:szCs w:val="20"/>
        </w:rPr>
        <w:t>бъект оценки:</w:t>
      </w:r>
    </w:p>
    <w:p w:rsidR="004428A6" w:rsidRDefault="00B452F3" w:rsidP="009948B1">
      <w:pPr>
        <w:spacing w:before="120" w:after="120"/>
        <w:ind w:left="425"/>
        <w:jc w:val="both"/>
        <w:rPr>
          <w:rFonts w:ascii="Bookman Old Style" w:hAnsi="Bookman Old Style"/>
          <w:sz w:val="20"/>
          <w:szCs w:val="20"/>
        </w:rPr>
      </w:pPr>
      <w:r w:rsidRPr="00B452F3">
        <w:rPr>
          <w:rFonts w:ascii="Bookman Old Style" w:hAnsi="Bookman Old Style"/>
          <w:sz w:val="20"/>
          <w:szCs w:val="20"/>
        </w:rPr>
        <w:t>Право собственности</w:t>
      </w:r>
      <w:r w:rsidR="00D37972">
        <w:rPr>
          <w:rFonts w:ascii="Bookman Old Style" w:hAnsi="Bookman Old Style"/>
          <w:sz w:val="20"/>
          <w:szCs w:val="20"/>
        </w:rPr>
        <w:t>;</w:t>
      </w:r>
    </w:p>
    <w:p w:rsidR="00C07FF6" w:rsidRDefault="00874BE8" w:rsidP="009948B1">
      <w:pPr>
        <w:pStyle w:val="aff2"/>
        <w:numPr>
          <w:ilvl w:val="0"/>
          <w:numId w:val="1"/>
        </w:numPr>
        <w:spacing w:before="120" w:after="120"/>
        <w:ind w:left="426" w:hanging="357"/>
        <w:contextualSpacing w:val="0"/>
        <w:jc w:val="both"/>
        <w:rPr>
          <w:rFonts w:ascii="Bookman Old Style" w:hAnsi="Bookman Old Style"/>
          <w:sz w:val="20"/>
          <w:szCs w:val="20"/>
        </w:rPr>
      </w:pPr>
      <w:proofErr w:type="gramStart"/>
      <w:r>
        <w:rPr>
          <w:rFonts w:ascii="Bookman Old Style" w:hAnsi="Bookman Old Style"/>
          <w:sz w:val="20"/>
          <w:szCs w:val="20"/>
        </w:rPr>
        <w:t>Права</w:t>
      </w:r>
      <w:proofErr w:type="gramEnd"/>
      <w:r>
        <w:rPr>
          <w:rFonts w:ascii="Bookman Old Style" w:hAnsi="Bookman Old Style"/>
          <w:sz w:val="20"/>
          <w:szCs w:val="20"/>
        </w:rPr>
        <w:t xml:space="preserve"> учитываемые при оценке</w:t>
      </w:r>
      <w:r w:rsidR="00C07FF6">
        <w:rPr>
          <w:rFonts w:ascii="Bookman Old Style" w:hAnsi="Bookman Old Style"/>
          <w:sz w:val="20"/>
          <w:szCs w:val="20"/>
        </w:rPr>
        <w:t>:</w:t>
      </w:r>
    </w:p>
    <w:p w:rsidR="00C07FF6" w:rsidRDefault="00D703A8" w:rsidP="009948B1">
      <w:pPr>
        <w:pStyle w:val="aff2"/>
        <w:spacing w:before="120" w:after="120"/>
        <w:ind w:left="426"/>
        <w:contextualSpacing w:val="0"/>
        <w:jc w:val="both"/>
        <w:rPr>
          <w:rFonts w:ascii="Bookman Old Style" w:hAnsi="Bookman Old Style"/>
          <w:sz w:val="20"/>
          <w:szCs w:val="20"/>
        </w:rPr>
      </w:pPr>
      <w:r w:rsidRPr="00D703A8">
        <w:rPr>
          <w:rFonts w:ascii="Bookman Old Style" w:hAnsi="Bookman Old Style"/>
          <w:sz w:val="20"/>
          <w:szCs w:val="20"/>
        </w:rPr>
        <w:t>Переход права собственности</w:t>
      </w:r>
      <w:r w:rsidR="00C07FF6">
        <w:rPr>
          <w:rFonts w:ascii="Bookman Old Style" w:hAnsi="Bookman Old Style"/>
          <w:sz w:val="20"/>
          <w:szCs w:val="20"/>
        </w:rPr>
        <w:t>;</w:t>
      </w:r>
    </w:p>
    <w:p w:rsidR="003A18EF" w:rsidRDefault="003A18EF" w:rsidP="009948B1">
      <w:pPr>
        <w:pStyle w:val="aff2"/>
        <w:spacing w:before="120" w:after="120"/>
        <w:ind w:left="426"/>
        <w:contextualSpacing w:val="0"/>
        <w:rPr>
          <w:rFonts w:ascii="Bookman Old Style" w:hAnsi="Bookman Old Style"/>
          <w:sz w:val="20"/>
          <w:szCs w:val="20"/>
        </w:rPr>
      </w:pPr>
      <w:r>
        <w:rPr>
          <w:rFonts w:ascii="Bookman Old Style" w:hAnsi="Bookman Old Style"/>
          <w:sz w:val="20"/>
          <w:szCs w:val="20"/>
        </w:rPr>
        <w:t>Ины</w:t>
      </w:r>
      <w:r w:rsidR="001571B7">
        <w:rPr>
          <w:rFonts w:ascii="Bookman Old Style" w:hAnsi="Bookman Old Style"/>
          <w:sz w:val="20"/>
          <w:szCs w:val="20"/>
        </w:rPr>
        <w:t>е ограничения</w:t>
      </w:r>
      <w:r>
        <w:rPr>
          <w:rFonts w:ascii="Bookman Old Style" w:hAnsi="Bookman Old Style"/>
          <w:sz w:val="20"/>
          <w:szCs w:val="20"/>
        </w:rPr>
        <w:t xml:space="preserve"> (обременени</w:t>
      </w:r>
      <w:r w:rsidR="001571B7">
        <w:rPr>
          <w:rFonts w:ascii="Bookman Old Style" w:hAnsi="Bookman Old Style"/>
          <w:sz w:val="20"/>
          <w:szCs w:val="20"/>
        </w:rPr>
        <w:t>я</w:t>
      </w:r>
      <w:r>
        <w:rPr>
          <w:rFonts w:ascii="Bookman Old Style" w:hAnsi="Bookman Old Style"/>
          <w:sz w:val="20"/>
          <w:szCs w:val="20"/>
        </w:rPr>
        <w:t>) прав – не установлено.</w:t>
      </w:r>
    </w:p>
    <w:p w:rsidR="004428A6" w:rsidRPr="00A20003" w:rsidRDefault="004428A6" w:rsidP="009948B1">
      <w:pPr>
        <w:pStyle w:val="aff2"/>
        <w:numPr>
          <w:ilvl w:val="0"/>
          <w:numId w:val="1"/>
        </w:numPr>
        <w:spacing w:before="120" w:after="120"/>
        <w:ind w:left="426"/>
        <w:contextualSpacing w:val="0"/>
        <w:jc w:val="both"/>
        <w:rPr>
          <w:rFonts w:ascii="Bookman Old Style" w:hAnsi="Bookman Old Style"/>
          <w:sz w:val="20"/>
          <w:szCs w:val="20"/>
        </w:rPr>
      </w:pPr>
      <w:r w:rsidRPr="00A20003">
        <w:rPr>
          <w:rFonts w:ascii="Bookman Old Style" w:hAnsi="Bookman Old Style"/>
          <w:sz w:val="20"/>
          <w:szCs w:val="20"/>
        </w:rPr>
        <w:t>Цель и задачи оценки:</w:t>
      </w:r>
    </w:p>
    <w:p w:rsidR="004428A6" w:rsidRPr="00957D3E" w:rsidRDefault="00D703A8" w:rsidP="009948B1">
      <w:pPr>
        <w:spacing w:before="120" w:after="120"/>
        <w:ind w:left="426"/>
        <w:jc w:val="both"/>
        <w:rPr>
          <w:rFonts w:ascii="Bookman Old Style" w:hAnsi="Bookman Old Style"/>
          <w:iCs/>
          <w:sz w:val="20"/>
          <w:szCs w:val="20"/>
        </w:rPr>
      </w:pPr>
      <w:r w:rsidRPr="00D703A8">
        <w:rPr>
          <w:rFonts w:ascii="Bookman Old Style" w:hAnsi="Bookman Old Style"/>
          <w:iCs/>
          <w:sz w:val="20"/>
          <w:szCs w:val="20"/>
        </w:rPr>
        <w:t>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w:t>
      </w:r>
      <w:r w:rsidR="004428A6">
        <w:rPr>
          <w:rFonts w:ascii="Bookman Old Style" w:hAnsi="Bookman Old Style"/>
          <w:iCs/>
          <w:sz w:val="20"/>
          <w:szCs w:val="20"/>
        </w:rPr>
        <w:t>;</w:t>
      </w:r>
    </w:p>
    <w:p w:rsidR="004428A6" w:rsidRPr="001F0401" w:rsidRDefault="004428A6" w:rsidP="009948B1">
      <w:pPr>
        <w:numPr>
          <w:ilvl w:val="0"/>
          <w:numId w:val="1"/>
        </w:numPr>
        <w:spacing w:before="120" w:after="120"/>
        <w:ind w:left="426"/>
        <w:jc w:val="both"/>
        <w:rPr>
          <w:rFonts w:ascii="Bookman Old Style" w:hAnsi="Bookman Old Style"/>
          <w:sz w:val="20"/>
          <w:szCs w:val="20"/>
        </w:rPr>
      </w:pPr>
      <w:r w:rsidRPr="001F0401">
        <w:rPr>
          <w:rFonts w:ascii="Bookman Old Style" w:hAnsi="Bookman Old Style"/>
          <w:sz w:val="20"/>
          <w:szCs w:val="20"/>
        </w:rPr>
        <w:t>Предполагаемое использование результатов оценки и связанные с этим ограничения:</w:t>
      </w:r>
    </w:p>
    <w:p w:rsidR="00D703A8" w:rsidRDefault="00D703A8" w:rsidP="009948B1">
      <w:pPr>
        <w:spacing w:before="120" w:after="120"/>
        <w:ind w:left="426"/>
        <w:jc w:val="both"/>
        <w:rPr>
          <w:rFonts w:ascii="Bookman Old Style" w:hAnsi="Bookman Old Style"/>
          <w:iCs/>
          <w:sz w:val="20"/>
          <w:szCs w:val="20"/>
        </w:rPr>
      </w:pPr>
      <w:r>
        <w:rPr>
          <w:rFonts w:ascii="Bookman Old Style" w:hAnsi="Bookman Old Style"/>
          <w:iCs/>
          <w:sz w:val="20"/>
          <w:szCs w:val="20"/>
        </w:rPr>
        <w:t>Предполагаемое использование результатов оценки:</w:t>
      </w:r>
    </w:p>
    <w:p w:rsidR="00D703A8" w:rsidRDefault="00D703A8" w:rsidP="005F04AC">
      <w:pPr>
        <w:pStyle w:val="aff2"/>
        <w:numPr>
          <w:ilvl w:val="0"/>
          <w:numId w:val="42"/>
        </w:numPr>
        <w:spacing w:before="120" w:after="120"/>
        <w:ind w:left="709"/>
        <w:contextualSpacing w:val="0"/>
        <w:jc w:val="both"/>
        <w:rPr>
          <w:rFonts w:ascii="Bookman Old Style" w:hAnsi="Bookman Old Style"/>
          <w:iCs/>
          <w:sz w:val="20"/>
          <w:szCs w:val="20"/>
        </w:rPr>
      </w:pPr>
      <w:r w:rsidRPr="009C359C">
        <w:rPr>
          <w:rFonts w:ascii="Bookman Old Style" w:hAnsi="Bookman Old Style"/>
          <w:iCs/>
          <w:sz w:val="20"/>
          <w:szCs w:val="20"/>
        </w:rPr>
        <w:t>Организация торгов по продаже</w:t>
      </w:r>
      <w:r>
        <w:rPr>
          <w:rFonts w:ascii="Bookman Old Style" w:hAnsi="Bookman Old Style"/>
          <w:iCs/>
          <w:sz w:val="20"/>
          <w:szCs w:val="20"/>
        </w:rPr>
        <w:t>;</w:t>
      </w:r>
      <w:r w:rsidRPr="00407274">
        <w:rPr>
          <w:rFonts w:ascii="Bookman Old Style" w:hAnsi="Bookman Old Style"/>
          <w:iCs/>
          <w:sz w:val="20"/>
          <w:szCs w:val="20"/>
        </w:rPr>
        <w:t xml:space="preserve"> </w:t>
      </w:r>
    </w:p>
    <w:p w:rsidR="00D703A8" w:rsidRDefault="00D703A8" w:rsidP="009948B1">
      <w:pPr>
        <w:spacing w:before="120" w:after="120"/>
        <w:ind w:left="426"/>
        <w:jc w:val="both"/>
        <w:rPr>
          <w:rFonts w:ascii="Bookman Old Style" w:hAnsi="Bookman Old Style"/>
          <w:iCs/>
          <w:sz w:val="20"/>
          <w:szCs w:val="20"/>
        </w:rPr>
      </w:pPr>
      <w:r>
        <w:rPr>
          <w:rFonts w:ascii="Bookman Old Style" w:hAnsi="Bookman Old Style"/>
          <w:iCs/>
          <w:sz w:val="20"/>
          <w:szCs w:val="20"/>
        </w:rPr>
        <w:t>Ограничения использования результатов оценки:</w:t>
      </w:r>
    </w:p>
    <w:p w:rsidR="0002357B" w:rsidRDefault="00D703A8" w:rsidP="005F04AC">
      <w:pPr>
        <w:numPr>
          <w:ilvl w:val="0"/>
          <w:numId w:val="42"/>
        </w:numPr>
        <w:spacing w:before="120" w:after="120"/>
        <w:ind w:left="709"/>
        <w:rPr>
          <w:rFonts w:ascii="Bookman Old Style" w:hAnsi="Bookman Old Style"/>
          <w:iCs/>
          <w:sz w:val="20"/>
          <w:szCs w:val="20"/>
        </w:rPr>
      </w:pPr>
      <w:r w:rsidRPr="0002357B">
        <w:rPr>
          <w:rFonts w:ascii="Bookman Old Style" w:hAnsi="Bookman Old Style"/>
          <w:iCs/>
          <w:sz w:val="20"/>
          <w:szCs w:val="20"/>
        </w:rPr>
        <w:t>Результаты оценки не могут быть использованы никаким способом, кроме того, который указан в предполагаемом использовании</w:t>
      </w:r>
      <w:r w:rsidR="0002357B">
        <w:rPr>
          <w:rFonts w:ascii="Bookman Old Style" w:hAnsi="Bookman Old Style"/>
          <w:iCs/>
          <w:sz w:val="20"/>
          <w:szCs w:val="20"/>
        </w:rPr>
        <w:t>;</w:t>
      </w:r>
    </w:p>
    <w:p w:rsidR="004428A6" w:rsidRPr="00231648" w:rsidRDefault="004428A6" w:rsidP="009948B1">
      <w:pPr>
        <w:pStyle w:val="aff2"/>
        <w:numPr>
          <w:ilvl w:val="0"/>
          <w:numId w:val="1"/>
        </w:numPr>
        <w:spacing w:before="120" w:after="120"/>
        <w:ind w:left="426"/>
        <w:contextualSpacing w:val="0"/>
        <w:jc w:val="both"/>
        <w:rPr>
          <w:rFonts w:ascii="Bookman Old Style" w:hAnsi="Bookman Old Style"/>
          <w:sz w:val="20"/>
          <w:szCs w:val="20"/>
        </w:rPr>
      </w:pPr>
      <w:r w:rsidRPr="00231648">
        <w:rPr>
          <w:rFonts w:ascii="Bookman Old Style" w:hAnsi="Bookman Old Style"/>
          <w:sz w:val="20"/>
          <w:szCs w:val="20"/>
        </w:rPr>
        <w:t xml:space="preserve">Вид </w:t>
      </w:r>
      <w:r>
        <w:rPr>
          <w:rFonts w:ascii="Bookman Old Style" w:hAnsi="Bookman Old Style"/>
          <w:sz w:val="20"/>
          <w:szCs w:val="20"/>
        </w:rPr>
        <w:t xml:space="preserve">определяемой </w:t>
      </w:r>
      <w:r w:rsidRPr="00231648">
        <w:rPr>
          <w:rFonts w:ascii="Bookman Old Style" w:hAnsi="Bookman Old Style"/>
          <w:sz w:val="20"/>
          <w:szCs w:val="20"/>
        </w:rPr>
        <w:t>стоимости:</w:t>
      </w:r>
    </w:p>
    <w:p w:rsidR="004428A6" w:rsidRPr="001F0401" w:rsidRDefault="004428A6" w:rsidP="009948B1">
      <w:pPr>
        <w:spacing w:before="120" w:after="120"/>
        <w:ind w:left="426"/>
        <w:jc w:val="both"/>
        <w:rPr>
          <w:rFonts w:ascii="Bookman Old Style" w:hAnsi="Bookman Old Style"/>
          <w:sz w:val="20"/>
          <w:szCs w:val="20"/>
        </w:rPr>
      </w:pPr>
      <w:r w:rsidRPr="001F0401">
        <w:rPr>
          <w:rFonts w:ascii="Bookman Old Style" w:hAnsi="Bookman Old Style"/>
          <w:sz w:val="20"/>
          <w:szCs w:val="20"/>
        </w:rPr>
        <w:t>Рыночная стоимость</w:t>
      </w:r>
      <w:r w:rsidR="00D37972">
        <w:rPr>
          <w:rFonts w:ascii="Bookman Old Style" w:hAnsi="Bookman Old Style"/>
          <w:sz w:val="20"/>
          <w:szCs w:val="20"/>
        </w:rPr>
        <w:t>;</w:t>
      </w:r>
    </w:p>
    <w:p w:rsidR="004428A6" w:rsidRPr="005C32A0" w:rsidRDefault="004428A6" w:rsidP="009948B1">
      <w:pPr>
        <w:numPr>
          <w:ilvl w:val="0"/>
          <w:numId w:val="1"/>
        </w:numPr>
        <w:spacing w:before="120" w:after="120"/>
        <w:ind w:left="426"/>
        <w:jc w:val="both"/>
        <w:rPr>
          <w:rFonts w:ascii="Bookman Old Style" w:hAnsi="Bookman Old Style"/>
          <w:sz w:val="20"/>
          <w:szCs w:val="20"/>
        </w:rPr>
      </w:pPr>
      <w:r w:rsidRPr="005C32A0">
        <w:rPr>
          <w:rFonts w:ascii="Bookman Old Style" w:hAnsi="Bookman Old Style"/>
          <w:sz w:val="20"/>
          <w:szCs w:val="20"/>
        </w:rPr>
        <w:t>Дата оценки:</w:t>
      </w:r>
    </w:p>
    <w:p w:rsidR="00F61A8F" w:rsidRPr="005C32A0" w:rsidRDefault="00F61A8F" w:rsidP="009948B1">
      <w:pPr>
        <w:spacing w:before="120" w:after="120"/>
        <w:ind w:left="426"/>
        <w:jc w:val="both"/>
        <w:rPr>
          <w:rFonts w:ascii="Bookman Old Style" w:hAnsi="Bookman Old Style"/>
          <w:sz w:val="20"/>
          <w:szCs w:val="20"/>
        </w:rPr>
      </w:pPr>
      <w:r w:rsidRPr="00E66C5F">
        <w:rPr>
          <w:rFonts w:ascii="Bookman Old Style" w:hAnsi="Bookman Old Style"/>
          <w:sz w:val="20"/>
          <w:szCs w:val="20"/>
        </w:rPr>
        <w:t>«</w:t>
      </w:r>
      <w:r w:rsidR="000A4482">
        <w:rPr>
          <w:rFonts w:ascii="Bookman Old Style" w:hAnsi="Bookman Old Style"/>
          <w:sz w:val="20"/>
          <w:szCs w:val="20"/>
        </w:rPr>
        <w:t>26</w:t>
      </w:r>
      <w:r w:rsidRPr="00E66C5F">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E66C5F">
        <w:rPr>
          <w:rFonts w:ascii="Bookman Old Style" w:hAnsi="Bookman Old Style"/>
          <w:sz w:val="20"/>
          <w:szCs w:val="20"/>
        </w:rPr>
        <w:t>201</w:t>
      </w:r>
      <w:r w:rsidR="007259A8">
        <w:rPr>
          <w:rFonts w:ascii="Bookman Old Style" w:hAnsi="Bookman Old Style"/>
          <w:sz w:val="20"/>
          <w:szCs w:val="20"/>
        </w:rPr>
        <w:t>6</w:t>
      </w:r>
      <w:r w:rsidRPr="00E66C5F">
        <w:rPr>
          <w:rFonts w:ascii="Bookman Old Style" w:hAnsi="Bookman Old Style"/>
          <w:sz w:val="20"/>
          <w:szCs w:val="20"/>
        </w:rPr>
        <w:t xml:space="preserve"> года;</w:t>
      </w:r>
    </w:p>
    <w:p w:rsidR="00F61A8F" w:rsidRPr="00F67AFF" w:rsidRDefault="00F61A8F" w:rsidP="009948B1">
      <w:pPr>
        <w:numPr>
          <w:ilvl w:val="0"/>
          <w:numId w:val="1"/>
        </w:numPr>
        <w:spacing w:before="120" w:after="120"/>
        <w:ind w:left="426"/>
        <w:jc w:val="both"/>
        <w:rPr>
          <w:rFonts w:ascii="Bookman Old Style" w:hAnsi="Bookman Old Style"/>
          <w:sz w:val="20"/>
          <w:szCs w:val="20"/>
        </w:rPr>
      </w:pPr>
      <w:r w:rsidRPr="00F67AFF">
        <w:rPr>
          <w:rFonts w:ascii="Bookman Old Style" w:hAnsi="Bookman Old Style"/>
          <w:sz w:val="20"/>
          <w:szCs w:val="20"/>
        </w:rPr>
        <w:t>Срок проведения оценки:</w:t>
      </w:r>
    </w:p>
    <w:p w:rsidR="004428A6" w:rsidRDefault="00F61A8F" w:rsidP="009948B1">
      <w:pPr>
        <w:spacing w:before="120" w:after="120"/>
        <w:ind w:left="426"/>
        <w:jc w:val="both"/>
        <w:rPr>
          <w:rFonts w:ascii="Bookman Old Style" w:hAnsi="Bookman Old Style"/>
          <w:sz w:val="20"/>
          <w:szCs w:val="20"/>
        </w:rPr>
      </w:pPr>
      <w:r w:rsidRPr="00255DD5">
        <w:rPr>
          <w:rFonts w:ascii="Bookman Old Style" w:hAnsi="Bookman Old Style"/>
          <w:sz w:val="20"/>
          <w:szCs w:val="20"/>
        </w:rPr>
        <w:t>С «</w:t>
      </w:r>
      <w:r w:rsidR="00AA51E2">
        <w:rPr>
          <w:rFonts w:ascii="Bookman Old Style" w:hAnsi="Bookman Old Style"/>
          <w:sz w:val="20"/>
          <w:szCs w:val="20"/>
        </w:rPr>
        <w:t>0</w:t>
      </w:r>
      <w:r w:rsidR="000A4482">
        <w:rPr>
          <w:rFonts w:ascii="Bookman Old Style" w:hAnsi="Bookman Old Style"/>
          <w:sz w:val="20"/>
          <w:szCs w:val="20"/>
        </w:rPr>
        <w:t>9</w:t>
      </w:r>
      <w:r w:rsidRPr="00255DD5">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255DD5">
        <w:rPr>
          <w:rFonts w:ascii="Bookman Old Style" w:hAnsi="Bookman Old Style"/>
          <w:sz w:val="20"/>
          <w:szCs w:val="20"/>
        </w:rPr>
        <w:t>201</w:t>
      </w:r>
      <w:r w:rsidR="007259A8">
        <w:rPr>
          <w:rFonts w:ascii="Bookman Old Style" w:hAnsi="Bookman Old Style"/>
          <w:sz w:val="20"/>
          <w:szCs w:val="20"/>
        </w:rPr>
        <w:t>6</w:t>
      </w:r>
      <w:r w:rsidRPr="00255DD5">
        <w:rPr>
          <w:rFonts w:ascii="Bookman Old Style" w:hAnsi="Bookman Old Style"/>
          <w:sz w:val="20"/>
          <w:szCs w:val="20"/>
        </w:rPr>
        <w:t xml:space="preserve"> года до «</w:t>
      </w:r>
      <w:r w:rsidR="000A4482">
        <w:rPr>
          <w:rFonts w:ascii="Bookman Old Style" w:hAnsi="Bookman Old Style"/>
          <w:sz w:val="20"/>
          <w:szCs w:val="20"/>
        </w:rPr>
        <w:t>31</w:t>
      </w:r>
      <w:r w:rsidRPr="00255DD5">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255DD5">
        <w:rPr>
          <w:rFonts w:ascii="Bookman Old Style" w:hAnsi="Bookman Old Style"/>
          <w:sz w:val="20"/>
          <w:szCs w:val="20"/>
        </w:rPr>
        <w:t>201</w:t>
      </w:r>
      <w:r w:rsidR="007259A8">
        <w:rPr>
          <w:rFonts w:ascii="Bookman Old Style" w:hAnsi="Bookman Old Style"/>
          <w:sz w:val="20"/>
          <w:szCs w:val="20"/>
        </w:rPr>
        <w:t>6</w:t>
      </w:r>
      <w:r w:rsidRPr="00255DD5">
        <w:rPr>
          <w:rFonts w:ascii="Bookman Old Style" w:hAnsi="Bookman Old Style"/>
          <w:sz w:val="20"/>
          <w:szCs w:val="20"/>
        </w:rPr>
        <w:t xml:space="preserve"> года</w:t>
      </w:r>
      <w:r w:rsidR="00C33B02">
        <w:rPr>
          <w:rFonts w:ascii="Bookman Old Style" w:hAnsi="Bookman Old Style"/>
          <w:sz w:val="20"/>
          <w:szCs w:val="20"/>
        </w:rPr>
        <w:t xml:space="preserve"> </w:t>
      </w:r>
    </w:p>
    <w:p w:rsidR="004428A6" w:rsidRDefault="004428A6" w:rsidP="009948B1">
      <w:pPr>
        <w:numPr>
          <w:ilvl w:val="0"/>
          <w:numId w:val="1"/>
        </w:numPr>
        <w:spacing w:before="120" w:after="120"/>
        <w:ind w:left="426"/>
        <w:jc w:val="both"/>
        <w:rPr>
          <w:rFonts w:ascii="Bookman Old Style" w:hAnsi="Bookman Old Style"/>
          <w:sz w:val="20"/>
          <w:szCs w:val="20"/>
        </w:rPr>
      </w:pPr>
      <w:r>
        <w:rPr>
          <w:rFonts w:ascii="Bookman Old Style" w:hAnsi="Bookman Old Style"/>
          <w:sz w:val="20"/>
          <w:szCs w:val="20"/>
        </w:rPr>
        <w:t>Д</w:t>
      </w:r>
      <w:r w:rsidRPr="001F0401">
        <w:rPr>
          <w:rFonts w:ascii="Bookman Old Style" w:hAnsi="Bookman Old Style"/>
          <w:sz w:val="20"/>
          <w:szCs w:val="20"/>
        </w:rPr>
        <w:t>опущения и ограничения, на которых должна основываться оценка:</w:t>
      </w:r>
    </w:p>
    <w:p w:rsidR="00854648" w:rsidRDefault="00854648" w:rsidP="009948B1">
      <w:pPr>
        <w:spacing w:before="120" w:after="120"/>
        <w:ind w:left="426"/>
        <w:jc w:val="both"/>
        <w:rPr>
          <w:rFonts w:ascii="Bookman Old Style" w:hAnsi="Bookman Old Style"/>
          <w:sz w:val="20"/>
          <w:szCs w:val="20"/>
        </w:rPr>
      </w:pPr>
      <w:r>
        <w:rPr>
          <w:rFonts w:ascii="Bookman Old Style" w:hAnsi="Bookman Old Style"/>
          <w:sz w:val="20"/>
          <w:szCs w:val="20"/>
        </w:rPr>
        <w:t>Расчет рыночной стоимости проведен с учетом следующих ограничений и допущений</w:t>
      </w:r>
      <w:r w:rsidR="002C1C6A">
        <w:rPr>
          <w:rFonts w:ascii="Bookman Old Style" w:hAnsi="Bookman Old Style"/>
          <w:sz w:val="20"/>
          <w:szCs w:val="20"/>
        </w:rPr>
        <w:t>, с учетом характера активов и цели оценки</w:t>
      </w:r>
      <w:r>
        <w:rPr>
          <w:rFonts w:ascii="Bookman Old Style" w:hAnsi="Bookman Old Style"/>
          <w:sz w:val="20"/>
          <w:szCs w:val="20"/>
        </w:rPr>
        <w:t>:</w:t>
      </w:r>
      <w:r w:rsidR="00FA73DD">
        <w:rPr>
          <w:rFonts w:ascii="Bookman Old Style" w:hAnsi="Bookman Old Style"/>
          <w:sz w:val="20"/>
          <w:szCs w:val="20"/>
        </w:rPr>
        <w:t xml:space="preserve"> </w:t>
      </w:r>
    </w:p>
    <w:p w:rsidR="004428A6" w:rsidRDefault="00D703A8" w:rsidP="005F04AC">
      <w:pPr>
        <w:pStyle w:val="aff2"/>
        <w:numPr>
          <w:ilvl w:val="0"/>
          <w:numId w:val="19"/>
        </w:numPr>
        <w:spacing w:before="120" w:after="120"/>
        <w:ind w:left="714" w:hanging="357"/>
        <w:contextualSpacing w:val="0"/>
        <w:jc w:val="both"/>
        <w:rPr>
          <w:rFonts w:ascii="Bookman Old Style" w:hAnsi="Bookman Old Style"/>
          <w:sz w:val="20"/>
          <w:szCs w:val="20"/>
        </w:rPr>
      </w:pPr>
      <w:r w:rsidRPr="00D703A8">
        <w:rPr>
          <w:rFonts w:ascii="Bookman Old Style" w:hAnsi="Bookman Old Style"/>
          <w:sz w:val="20"/>
          <w:szCs w:val="20"/>
        </w:rPr>
        <w:t>Расчет рыночной стоимости Объекта оценки, НДС не облагается</w:t>
      </w:r>
      <w:r w:rsidR="002476C5">
        <w:rPr>
          <w:rFonts w:ascii="Bookman Old Style" w:hAnsi="Bookman Old Style"/>
          <w:sz w:val="20"/>
          <w:szCs w:val="20"/>
        </w:rPr>
        <w:t>.</w:t>
      </w:r>
      <w:r w:rsidR="007259A8">
        <w:rPr>
          <w:rFonts w:ascii="Bookman Old Style" w:hAnsi="Bookman Old Style"/>
          <w:sz w:val="20"/>
          <w:szCs w:val="20"/>
        </w:rPr>
        <w:t xml:space="preserve"> </w:t>
      </w:r>
    </w:p>
    <w:p w:rsidR="003A18EF" w:rsidRDefault="003A18EF" w:rsidP="005F04AC">
      <w:pPr>
        <w:pStyle w:val="aff2"/>
        <w:numPr>
          <w:ilvl w:val="0"/>
          <w:numId w:val="19"/>
        </w:numPr>
        <w:spacing w:before="120" w:after="120"/>
        <w:ind w:left="714" w:hanging="357"/>
        <w:contextualSpacing w:val="0"/>
        <w:jc w:val="both"/>
        <w:rPr>
          <w:rFonts w:ascii="Bookman Old Style" w:hAnsi="Bookman Old Style"/>
          <w:sz w:val="20"/>
          <w:szCs w:val="20"/>
        </w:rPr>
      </w:pPr>
      <w:r>
        <w:rPr>
          <w:rFonts w:ascii="Bookman Old Style" w:hAnsi="Bookman Old Style"/>
          <w:sz w:val="20"/>
          <w:szCs w:val="20"/>
        </w:rPr>
        <w:t>Итоговый результат оценки Объекта оценки, а также его элементов, выражается без  приведения суждения оценщика о возможных границах интервала полученной стоимости.</w:t>
      </w:r>
    </w:p>
    <w:p w:rsidR="00A17181" w:rsidRDefault="00A17181" w:rsidP="005F04AC">
      <w:pPr>
        <w:pStyle w:val="aff2"/>
        <w:numPr>
          <w:ilvl w:val="0"/>
          <w:numId w:val="19"/>
        </w:numPr>
        <w:spacing w:before="120" w:after="120"/>
        <w:ind w:left="714" w:hanging="357"/>
        <w:contextualSpacing w:val="0"/>
        <w:jc w:val="both"/>
        <w:rPr>
          <w:rFonts w:ascii="Bookman Old Style" w:hAnsi="Bookman Old Style"/>
          <w:sz w:val="20"/>
          <w:szCs w:val="20"/>
        </w:rPr>
      </w:pPr>
      <w:r w:rsidRPr="003D4050">
        <w:rPr>
          <w:rFonts w:ascii="Bookman Old Style" w:hAnsi="Bookman Old Style"/>
          <w:sz w:val="20"/>
          <w:szCs w:val="20"/>
        </w:rPr>
        <w:t>Общий перечень ограничен</w:t>
      </w:r>
      <w:r w:rsidR="0044502E" w:rsidRPr="003D4050">
        <w:rPr>
          <w:rFonts w:ascii="Bookman Old Style" w:hAnsi="Bookman Old Style"/>
          <w:sz w:val="20"/>
          <w:szCs w:val="20"/>
        </w:rPr>
        <w:t>ий и допущений устанавливается о</w:t>
      </w:r>
      <w:r w:rsidRPr="003D4050">
        <w:rPr>
          <w:rFonts w:ascii="Bookman Old Style" w:hAnsi="Bookman Old Style"/>
          <w:sz w:val="20"/>
          <w:szCs w:val="20"/>
        </w:rPr>
        <w:t>ценщиком в пункте 1.4. Отчета об оценке.</w:t>
      </w:r>
      <w:r w:rsidR="00450F20" w:rsidRPr="003D4050">
        <w:rPr>
          <w:rFonts w:ascii="Bookman Old Style" w:hAnsi="Bookman Old Style"/>
          <w:sz w:val="20"/>
          <w:szCs w:val="20"/>
        </w:rPr>
        <w:t xml:space="preserve"> </w:t>
      </w:r>
    </w:p>
    <w:p w:rsidR="00284ACB" w:rsidRDefault="00284ACB" w:rsidP="005F04AC">
      <w:pPr>
        <w:pStyle w:val="aff2"/>
        <w:numPr>
          <w:ilvl w:val="0"/>
          <w:numId w:val="19"/>
        </w:numPr>
        <w:spacing w:before="120" w:after="120"/>
        <w:ind w:left="714" w:hanging="357"/>
        <w:contextualSpacing w:val="0"/>
        <w:jc w:val="both"/>
        <w:rPr>
          <w:rFonts w:ascii="Bookman Old Style" w:hAnsi="Bookman Old Style"/>
          <w:sz w:val="20"/>
          <w:szCs w:val="20"/>
        </w:rPr>
      </w:pPr>
      <w:r>
        <w:rPr>
          <w:rFonts w:ascii="Bookman Old Style" w:hAnsi="Bookman Old Style"/>
          <w:sz w:val="20"/>
          <w:szCs w:val="20"/>
        </w:rPr>
        <w:t xml:space="preserve">Расчет проводится на основании имеющейся документации </w:t>
      </w:r>
      <w:proofErr w:type="gramStart"/>
      <w:r>
        <w:rPr>
          <w:rFonts w:ascii="Bookman Old Style" w:hAnsi="Bookman Old Style"/>
          <w:sz w:val="20"/>
          <w:szCs w:val="20"/>
        </w:rPr>
        <w:t>о</w:t>
      </w:r>
      <w:proofErr w:type="gramEnd"/>
      <w:r>
        <w:rPr>
          <w:rFonts w:ascii="Bookman Old Style" w:hAnsi="Bookman Old Style"/>
          <w:sz w:val="20"/>
          <w:szCs w:val="20"/>
        </w:rPr>
        <w:t xml:space="preserve"> Объекте оценки.</w:t>
      </w:r>
    </w:p>
    <w:p w:rsidR="00721929" w:rsidRPr="00721929" w:rsidRDefault="00721929" w:rsidP="009948B1">
      <w:pPr>
        <w:numPr>
          <w:ilvl w:val="0"/>
          <w:numId w:val="1"/>
        </w:numPr>
        <w:spacing w:before="120" w:after="120"/>
        <w:ind w:left="567"/>
        <w:jc w:val="both"/>
        <w:rPr>
          <w:rFonts w:ascii="Bookman Old Style" w:hAnsi="Bookman Old Style"/>
          <w:sz w:val="20"/>
          <w:szCs w:val="20"/>
        </w:rPr>
      </w:pPr>
      <w:r w:rsidRPr="00721929">
        <w:rPr>
          <w:rFonts w:ascii="Bookman Old Style" w:hAnsi="Bookman Old Style"/>
          <w:sz w:val="20"/>
          <w:szCs w:val="20"/>
        </w:rPr>
        <w:t>Иные расчетные величины</w:t>
      </w:r>
    </w:p>
    <w:p w:rsidR="00721929" w:rsidRPr="00721929" w:rsidRDefault="00721929" w:rsidP="009948B1">
      <w:pPr>
        <w:spacing w:before="120" w:after="120"/>
        <w:ind w:left="567"/>
        <w:jc w:val="both"/>
        <w:rPr>
          <w:rFonts w:ascii="Bookman Old Style" w:hAnsi="Bookman Old Style"/>
          <w:sz w:val="20"/>
          <w:szCs w:val="20"/>
        </w:rPr>
      </w:pPr>
      <w:r w:rsidRPr="00721929">
        <w:rPr>
          <w:rFonts w:ascii="Bookman Old Style" w:hAnsi="Bookman Old Style"/>
          <w:sz w:val="20"/>
          <w:szCs w:val="20"/>
        </w:rPr>
        <w:t>В данной работе расчет не проводился</w:t>
      </w:r>
    </w:p>
    <w:p w:rsidR="00721929" w:rsidRPr="00721929" w:rsidRDefault="00721929" w:rsidP="009948B1">
      <w:pPr>
        <w:numPr>
          <w:ilvl w:val="0"/>
          <w:numId w:val="1"/>
        </w:numPr>
        <w:spacing w:before="120" w:after="120"/>
        <w:ind w:left="567"/>
        <w:jc w:val="both"/>
        <w:rPr>
          <w:rFonts w:ascii="Bookman Old Style" w:hAnsi="Bookman Old Style"/>
          <w:sz w:val="20"/>
          <w:szCs w:val="20"/>
        </w:rPr>
      </w:pPr>
      <w:r w:rsidRPr="00721929">
        <w:rPr>
          <w:rFonts w:ascii="Bookman Old Style" w:hAnsi="Bookman Old Style"/>
          <w:sz w:val="20"/>
          <w:szCs w:val="20"/>
        </w:rPr>
        <w:t>Возможные границы интервала стоимости</w:t>
      </w:r>
    </w:p>
    <w:p w:rsidR="00721929" w:rsidRDefault="00721929" w:rsidP="009948B1">
      <w:pPr>
        <w:spacing w:before="120" w:after="120"/>
        <w:ind w:left="567"/>
        <w:jc w:val="both"/>
        <w:rPr>
          <w:rFonts w:ascii="Bookman Old Style" w:hAnsi="Bookman Old Style"/>
          <w:sz w:val="20"/>
          <w:szCs w:val="20"/>
        </w:rPr>
      </w:pPr>
      <w:r w:rsidRPr="00721929">
        <w:rPr>
          <w:rFonts w:ascii="Bookman Old Style" w:hAnsi="Bookman Old Style"/>
          <w:sz w:val="20"/>
          <w:szCs w:val="20"/>
        </w:rPr>
        <w:t>От Оценщика не требуется определения интервала, в котором может находиться стоимость</w:t>
      </w:r>
    </w:p>
    <w:p w:rsidR="00721929" w:rsidRPr="00721929" w:rsidRDefault="00721929" w:rsidP="009948B1">
      <w:pPr>
        <w:numPr>
          <w:ilvl w:val="0"/>
          <w:numId w:val="1"/>
        </w:numPr>
        <w:autoSpaceDE w:val="0"/>
        <w:autoSpaceDN w:val="0"/>
        <w:adjustRightInd w:val="0"/>
        <w:spacing w:before="120" w:after="120"/>
        <w:ind w:left="567"/>
        <w:rPr>
          <w:rFonts w:ascii="Bookman Old Style" w:hAnsi="Bookman Old Style"/>
          <w:sz w:val="20"/>
          <w:szCs w:val="20"/>
        </w:rPr>
      </w:pPr>
      <w:r w:rsidRPr="00721929">
        <w:rPr>
          <w:rFonts w:ascii="Bookman Old Style" w:hAnsi="Bookman Old Style"/>
          <w:sz w:val="20"/>
          <w:szCs w:val="20"/>
        </w:rPr>
        <w:t>Применяемые стандарты оценки</w:t>
      </w:r>
    </w:p>
    <w:p w:rsidR="00721929" w:rsidRPr="00721929" w:rsidRDefault="00721929" w:rsidP="009948B1">
      <w:pPr>
        <w:spacing w:before="120" w:after="120"/>
        <w:ind w:left="567"/>
        <w:jc w:val="both"/>
        <w:rPr>
          <w:rFonts w:ascii="Bookman Old Style" w:hAnsi="Bookman Old Style" w:cs="Courier New"/>
          <w:sz w:val="20"/>
          <w:szCs w:val="20"/>
        </w:rPr>
      </w:pPr>
      <w:r w:rsidRPr="00721929">
        <w:rPr>
          <w:rFonts w:ascii="Bookman Old Style" w:hAnsi="Bookman Old Style" w:cs="Courier New"/>
          <w:sz w:val="20"/>
          <w:szCs w:val="20"/>
        </w:rPr>
        <w:t>Федеральные стандарты оценочной деятельности, обязательные к применению субъектами оценочной деятельности:</w:t>
      </w:r>
    </w:p>
    <w:p w:rsidR="00721929" w:rsidRPr="00721929" w:rsidRDefault="00721929" w:rsidP="005F04AC">
      <w:pPr>
        <w:numPr>
          <w:ilvl w:val="0"/>
          <w:numId w:val="38"/>
        </w:numPr>
        <w:spacing w:before="120" w:after="120"/>
        <w:ind w:left="714" w:hanging="357"/>
        <w:jc w:val="both"/>
        <w:rPr>
          <w:rFonts w:ascii="Bookman Old Style" w:hAnsi="Bookman Old Style" w:cs="Bookman Old Style"/>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оценки «Общие понятия оценки, подходы и требования к проведению оценки» (ФСО N 1), утвержденный Приказом Минэкономразвития России от 20 мая 2015 г. N 297;</w:t>
      </w:r>
    </w:p>
    <w:p w:rsidR="00721929" w:rsidRPr="00721929" w:rsidRDefault="00721929" w:rsidP="005F04AC">
      <w:pPr>
        <w:numPr>
          <w:ilvl w:val="0"/>
          <w:numId w:val="38"/>
        </w:numPr>
        <w:spacing w:before="120" w:after="120"/>
        <w:ind w:left="714" w:hanging="357"/>
        <w:jc w:val="both"/>
        <w:rPr>
          <w:rFonts w:ascii="Bookman Old Style" w:hAnsi="Bookman Old Style" w:cs="Courier New"/>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 xml:space="preserve">оценки «Цель оценки и виды стоимости» (ФСО N 2), утвержденный </w:t>
      </w:r>
      <w:r w:rsidRPr="00721929">
        <w:rPr>
          <w:rFonts w:ascii="Bookman Old Style" w:hAnsi="Bookman Old Style" w:cs="Courier New"/>
          <w:sz w:val="20"/>
          <w:szCs w:val="20"/>
        </w:rPr>
        <w:t>Приказом Минэкономразвития России от 20 мая 2015 г. N 298;</w:t>
      </w:r>
    </w:p>
    <w:p w:rsidR="00721929" w:rsidRPr="00721929" w:rsidRDefault="00721929" w:rsidP="005F04AC">
      <w:pPr>
        <w:numPr>
          <w:ilvl w:val="0"/>
          <w:numId w:val="38"/>
        </w:numPr>
        <w:spacing w:before="120" w:after="120"/>
        <w:ind w:left="714" w:hanging="357"/>
        <w:jc w:val="both"/>
        <w:rPr>
          <w:rFonts w:ascii="Bookman Old Style" w:hAnsi="Bookman Old Style" w:cs="Courier New"/>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оценки «Требования к отчету об оценке» (ФСО N 3), утвержденный Приказом Минэкономразвития России от 20 мая 2015 г. N 299;</w:t>
      </w:r>
    </w:p>
    <w:p w:rsidR="007259A8" w:rsidRDefault="007259A8" w:rsidP="005F04AC">
      <w:pPr>
        <w:numPr>
          <w:ilvl w:val="0"/>
          <w:numId w:val="38"/>
        </w:numPr>
        <w:spacing w:before="120" w:after="120"/>
        <w:jc w:val="both"/>
        <w:rPr>
          <w:rFonts w:ascii="Bookman Old Style" w:hAnsi="Bookman Old Style" w:cs="Courier New"/>
          <w:sz w:val="20"/>
          <w:szCs w:val="20"/>
        </w:rPr>
      </w:pPr>
      <w:r w:rsidRPr="007259A8">
        <w:rPr>
          <w:rFonts w:ascii="Bookman Old Style" w:hAnsi="Bookman Old Style" w:cs="Courier New"/>
          <w:sz w:val="20"/>
          <w:szCs w:val="20"/>
        </w:rPr>
        <w:t>Федеральный стандарт оценки «Оценка недвижимости» (ФСО № 7), утвержденный Приказом Минэкономразвития РФ от 25 сентября 2014 года № 611;</w:t>
      </w:r>
    </w:p>
    <w:p w:rsidR="000A4482" w:rsidRPr="007259A8" w:rsidRDefault="000A4482" w:rsidP="005F04AC">
      <w:pPr>
        <w:numPr>
          <w:ilvl w:val="0"/>
          <w:numId w:val="38"/>
        </w:numPr>
        <w:spacing w:before="120" w:after="120"/>
        <w:jc w:val="both"/>
        <w:rPr>
          <w:rFonts w:ascii="Bookman Old Style" w:hAnsi="Bookman Old Style" w:cs="Courier New"/>
          <w:sz w:val="20"/>
          <w:szCs w:val="20"/>
        </w:rPr>
      </w:pPr>
      <w:r w:rsidRPr="000A4482">
        <w:rPr>
          <w:rFonts w:ascii="Bookman Old Style" w:hAnsi="Bookman Old Style" w:cs="Courier New"/>
          <w:sz w:val="20"/>
          <w:szCs w:val="20"/>
        </w:rPr>
        <w:lastRenderedPageBreak/>
        <w:t>Федерального стандарта «Оценка стоимости машин и оборудования» (ФСО № 10) утв. Приказом Минэкономразвития России № 328 от 01.06.2015 года</w:t>
      </w:r>
      <w:r>
        <w:rPr>
          <w:rFonts w:ascii="Bookman Old Style" w:hAnsi="Bookman Old Style" w:cs="Courier New"/>
          <w:sz w:val="20"/>
          <w:szCs w:val="20"/>
        </w:rPr>
        <w:t>;</w:t>
      </w:r>
    </w:p>
    <w:p w:rsidR="00721929" w:rsidRPr="00721929" w:rsidRDefault="007259A8" w:rsidP="005F04AC">
      <w:pPr>
        <w:numPr>
          <w:ilvl w:val="0"/>
          <w:numId w:val="38"/>
        </w:numPr>
        <w:spacing w:before="120" w:after="120"/>
        <w:jc w:val="both"/>
        <w:rPr>
          <w:rFonts w:ascii="Bookman Old Style" w:hAnsi="Bookman Old Style" w:cs="Courier New"/>
          <w:sz w:val="20"/>
          <w:szCs w:val="20"/>
        </w:rPr>
      </w:pPr>
      <w:r w:rsidRPr="007259A8">
        <w:rPr>
          <w:rFonts w:ascii="Bookman Old Style" w:hAnsi="Bookman Old Style" w:cs="Courier New"/>
          <w:sz w:val="20"/>
          <w:szCs w:val="20"/>
        </w:rPr>
        <w:t>Стандарт</w:t>
      </w:r>
      <w:r>
        <w:rPr>
          <w:rFonts w:ascii="Bookman Old Style" w:hAnsi="Bookman Old Style" w:cs="Courier New"/>
          <w:sz w:val="20"/>
          <w:szCs w:val="20"/>
        </w:rPr>
        <w:t>ы</w:t>
      </w:r>
      <w:r w:rsidRPr="007259A8">
        <w:rPr>
          <w:rFonts w:ascii="Bookman Old Style" w:hAnsi="Bookman Old Style" w:cs="Courier New"/>
          <w:sz w:val="20"/>
          <w:szCs w:val="20"/>
        </w:rPr>
        <w:t xml:space="preserve"> и правила, установленными НП СРО «НКСО»</w:t>
      </w:r>
      <w:r w:rsidR="00721929" w:rsidRPr="00721929">
        <w:rPr>
          <w:rFonts w:ascii="Bookman Old Style" w:hAnsi="Bookman Old Style" w:cs="Courier New"/>
          <w:sz w:val="20"/>
          <w:szCs w:val="20"/>
        </w:rPr>
        <w:t>.</w:t>
      </w:r>
    </w:p>
    <w:p w:rsidR="006A5323" w:rsidRPr="00D7010B" w:rsidRDefault="006A5323" w:rsidP="009948B1">
      <w:pPr>
        <w:pStyle w:val="2"/>
        <w:spacing w:before="120" w:after="120"/>
        <w:rPr>
          <w:rFonts w:ascii="Bookman Old Style" w:hAnsi="Bookman Old Style"/>
          <w:b/>
          <w:sz w:val="20"/>
          <w:szCs w:val="20"/>
        </w:rPr>
      </w:pPr>
      <w:bookmarkStart w:id="34" w:name="_Toc461375545"/>
      <w:r w:rsidRPr="00D7010B">
        <w:rPr>
          <w:rFonts w:ascii="Bookman Old Style" w:hAnsi="Bookman Old Style"/>
          <w:b/>
          <w:sz w:val="20"/>
          <w:szCs w:val="20"/>
        </w:rPr>
        <w:t>1.3. СВЕДЕНИЯ О ЗАКАЗЧИКЕ ОЦЕНКИ И ОБ ОЦЕНЩИКЕ</w:t>
      </w:r>
      <w:bookmarkEnd w:id="31"/>
      <w:bookmarkEnd w:id="34"/>
    </w:p>
    <w:p w:rsidR="006A5323" w:rsidRPr="00864EA6" w:rsidRDefault="006A5323" w:rsidP="009948B1">
      <w:pPr>
        <w:pStyle w:val="3"/>
        <w:spacing w:after="120"/>
        <w:rPr>
          <w:rFonts w:ascii="Bookman Old Style" w:hAnsi="Bookman Old Style"/>
          <w:sz w:val="20"/>
          <w:szCs w:val="20"/>
        </w:rPr>
      </w:pPr>
      <w:bookmarkStart w:id="35" w:name="_Toc197327037"/>
      <w:bookmarkStart w:id="36" w:name="_Toc200179616"/>
      <w:bookmarkStart w:id="37" w:name="_Toc461375546"/>
      <w:r>
        <w:rPr>
          <w:rFonts w:ascii="Bookman Old Style" w:hAnsi="Bookman Old Style"/>
          <w:sz w:val="20"/>
          <w:szCs w:val="20"/>
        </w:rPr>
        <w:t>1.</w:t>
      </w:r>
      <w:r w:rsidRPr="00864EA6">
        <w:rPr>
          <w:rFonts w:ascii="Bookman Old Style" w:hAnsi="Bookman Old Style"/>
          <w:sz w:val="20"/>
          <w:szCs w:val="20"/>
        </w:rPr>
        <w:t>3.1. Сведения о заказчике оценки</w:t>
      </w:r>
      <w:bookmarkEnd w:id="35"/>
      <w:bookmarkEnd w:id="36"/>
      <w:bookmarkEnd w:id="37"/>
    </w:p>
    <w:p w:rsidR="00AC0AD8" w:rsidRDefault="00AC0AD8" w:rsidP="009948B1">
      <w:pPr>
        <w:spacing w:before="120" w:after="120"/>
        <w:ind w:firstLine="708"/>
        <w:rPr>
          <w:rFonts w:ascii="Bookman Old Style" w:hAnsi="Bookman Old Style"/>
          <w:sz w:val="20"/>
          <w:szCs w:val="20"/>
        </w:rPr>
      </w:pPr>
      <w:bookmarkStart w:id="38" w:name="_Toc193714851"/>
      <w:bookmarkStart w:id="39" w:name="_Toc196937152"/>
      <w:bookmarkStart w:id="40" w:name="_Toc197327038"/>
      <w:bookmarkStart w:id="41" w:name="_Toc200179617"/>
      <w:r>
        <w:rPr>
          <w:rFonts w:ascii="Bookman Old Style" w:hAnsi="Bookman Old Style"/>
          <w:sz w:val="20"/>
          <w:szCs w:val="20"/>
        </w:rPr>
        <w:t>Заказчиком оценки является:</w:t>
      </w:r>
    </w:p>
    <w:p w:rsidR="00510910" w:rsidRPr="007653B3" w:rsidRDefault="007259A8" w:rsidP="009948B1">
      <w:pPr>
        <w:autoSpaceDE w:val="0"/>
        <w:autoSpaceDN w:val="0"/>
        <w:adjustRightInd w:val="0"/>
        <w:spacing w:before="120" w:after="120"/>
        <w:ind w:left="708"/>
        <w:jc w:val="both"/>
        <w:rPr>
          <w:rFonts w:ascii="Bookman Old Style" w:hAnsi="Bookman Old Style"/>
          <w:sz w:val="20"/>
          <w:szCs w:val="20"/>
        </w:rPr>
      </w:pPr>
      <w:r w:rsidRPr="007259A8">
        <w:rPr>
          <w:rFonts w:ascii="Bookman Old Style" w:hAnsi="Bookman Old Style"/>
          <w:sz w:val="20"/>
          <w:szCs w:val="20"/>
        </w:rPr>
        <w:t>Общество с ограниченной ответственностью «</w:t>
      </w:r>
      <w:r w:rsidR="000A4482">
        <w:rPr>
          <w:rFonts w:ascii="Bookman Old Style" w:hAnsi="Bookman Old Style"/>
          <w:sz w:val="20"/>
          <w:szCs w:val="20"/>
        </w:rPr>
        <w:t>Окно</w:t>
      </w:r>
      <w:r w:rsidRPr="007259A8">
        <w:rPr>
          <w:rFonts w:ascii="Bookman Old Style" w:hAnsi="Bookman Old Style"/>
          <w:sz w:val="20"/>
          <w:szCs w:val="20"/>
        </w:rPr>
        <w:t xml:space="preserve">» в лице конкурсного управляющего </w:t>
      </w:r>
      <w:r w:rsidR="000A4482" w:rsidRPr="000A4482">
        <w:rPr>
          <w:rFonts w:ascii="Bookman Old Style" w:hAnsi="Bookman Old Style"/>
          <w:sz w:val="20"/>
          <w:szCs w:val="20"/>
        </w:rPr>
        <w:t>Епифановой Лины Алексеевны</w:t>
      </w:r>
      <w:r w:rsidR="001B120F" w:rsidRPr="007259A8">
        <w:rPr>
          <w:rFonts w:ascii="Bookman Old Style" w:hAnsi="Bookman Old Style"/>
          <w:sz w:val="20"/>
          <w:szCs w:val="20"/>
        </w:rPr>
        <w:t>, действующего на основании</w:t>
      </w:r>
      <w:r w:rsidR="00510910" w:rsidRPr="007653B3">
        <w:rPr>
          <w:rFonts w:ascii="Bookman Old Style" w:hAnsi="Bookman Old Style"/>
          <w:sz w:val="20"/>
          <w:szCs w:val="20"/>
        </w:rPr>
        <w:t>:</w:t>
      </w:r>
      <w:r w:rsidR="000A4482">
        <w:rPr>
          <w:rFonts w:ascii="Bookman Old Style" w:hAnsi="Bookman Old Style"/>
          <w:sz w:val="20"/>
          <w:szCs w:val="20"/>
        </w:rPr>
        <w:t xml:space="preserve"> </w:t>
      </w:r>
    </w:p>
    <w:p w:rsidR="00AC0AD8" w:rsidRPr="00B12755" w:rsidRDefault="007259A8" w:rsidP="00AB1FB9">
      <w:pPr>
        <w:pStyle w:val="aff2"/>
        <w:numPr>
          <w:ilvl w:val="0"/>
          <w:numId w:val="8"/>
        </w:numPr>
        <w:autoSpaceDE w:val="0"/>
        <w:autoSpaceDN w:val="0"/>
        <w:adjustRightInd w:val="0"/>
        <w:spacing w:before="120" w:after="120"/>
        <w:contextualSpacing w:val="0"/>
        <w:jc w:val="both"/>
        <w:rPr>
          <w:rFonts w:ascii="Bookman Old Style" w:hAnsi="Bookman Old Style"/>
          <w:sz w:val="20"/>
          <w:szCs w:val="20"/>
        </w:rPr>
      </w:pPr>
      <w:r w:rsidRPr="00BC25F6">
        <w:rPr>
          <w:rFonts w:ascii="Bookman Old Style" w:hAnsi="Bookman Old Style"/>
          <w:sz w:val="20"/>
          <w:szCs w:val="20"/>
        </w:rPr>
        <w:t>Решения</w:t>
      </w:r>
      <w:r w:rsidR="001B120F" w:rsidRPr="00BC25F6">
        <w:rPr>
          <w:rFonts w:ascii="Bookman Old Style" w:hAnsi="Bookman Old Style"/>
          <w:sz w:val="20"/>
          <w:szCs w:val="20"/>
        </w:rPr>
        <w:t xml:space="preserve"> Арбитражного суда Красноярского края по делу № </w:t>
      </w:r>
      <w:r w:rsidR="000A4482">
        <w:rPr>
          <w:rFonts w:ascii="Bookman Old Style" w:hAnsi="Bookman Old Style"/>
          <w:bCs/>
          <w:sz w:val="20"/>
          <w:szCs w:val="20"/>
        </w:rPr>
        <w:t xml:space="preserve">А33-20224/2015 от </w:t>
      </w:r>
      <w:r w:rsidR="000A4482" w:rsidRPr="000A4482">
        <w:rPr>
          <w:rFonts w:ascii="Bookman Old Style" w:hAnsi="Bookman Old Style"/>
          <w:bCs/>
          <w:sz w:val="20"/>
          <w:szCs w:val="20"/>
        </w:rPr>
        <w:t>14</w:t>
      </w:r>
      <w:r w:rsidR="000A4482">
        <w:rPr>
          <w:rFonts w:ascii="Bookman Old Style" w:hAnsi="Bookman Old Style"/>
          <w:bCs/>
          <w:sz w:val="20"/>
          <w:szCs w:val="20"/>
        </w:rPr>
        <w:t>.06.</w:t>
      </w:r>
      <w:r w:rsidR="00C33B02" w:rsidRPr="00C33B02">
        <w:rPr>
          <w:rFonts w:ascii="Bookman Old Style" w:hAnsi="Bookman Old Style"/>
          <w:bCs/>
          <w:sz w:val="20"/>
          <w:szCs w:val="20"/>
        </w:rPr>
        <w:t>201</w:t>
      </w:r>
      <w:r w:rsidR="00AA51E2">
        <w:rPr>
          <w:rFonts w:ascii="Bookman Old Style" w:hAnsi="Bookman Old Style"/>
          <w:bCs/>
          <w:sz w:val="20"/>
          <w:szCs w:val="20"/>
        </w:rPr>
        <w:t>6</w:t>
      </w:r>
      <w:r w:rsidR="00C12562" w:rsidRPr="00BC25F6">
        <w:rPr>
          <w:rFonts w:ascii="Bookman Old Style" w:hAnsi="Bookman Old Style"/>
          <w:sz w:val="20"/>
          <w:szCs w:val="20"/>
        </w:rPr>
        <w:t xml:space="preserve"> </w:t>
      </w:r>
      <w:r w:rsidR="001B120F" w:rsidRPr="00B12755">
        <w:rPr>
          <w:rFonts w:ascii="Bookman Old Style" w:hAnsi="Bookman Old Style"/>
          <w:sz w:val="20"/>
          <w:szCs w:val="20"/>
        </w:rPr>
        <w:t>года</w:t>
      </w:r>
      <w:r w:rsidR="00510910" w:rsidRPr="00B12755">
        <w:rPr>
          <w:rFonts w:ascii="Bookman Old Style" w:hAnsi="Bookman Old Style"/>
          <w:sz w:val="20"/>
          <w:szCs w:val="20"/>
        </w:rPr>
        <w:t>;</w:t>
      </w:r>
    </w:p>
    <w:p w:rsidR="00AC0AD8" w:rsidRPr="00B12755" w:rsidRDefault="00AC0AD8" w:rsidP="009948B1">
      <w:pPr>
        <w:autoSpaceDE w:val="0"/>
        <w:autoSpaceDN w:val="0"/>
        <w:adjustRightInd w:val="0"/>
        <w:spacing w:before="120" w:after="120"/>
        <w:ind w:left="709"/>
        <w:rPr>
          <w:rFonts w:ascii="Bookman Old Style" w:hAnsi="Bookman Old Style"/>
          <w:sz w:val="20"/>
          <w:szCs w:val="20"/>
        </w:rPr>
      </w:pPr>
      <w:r w:rsidRPr="00B12755">
        <w:rPr>
          <w:rFonts w:ascii="Bookman Old Style" w:hAnsi="Bookman Old Style"/>
          <w:sz w:val="20"/>
          <w:szCs w:val="20"/>
        </w:rPr>
        <w:t xml:space="preserve">Адрес постоянно действующего исполнительного органа: </w:t>
      </w:r>
    </w:p>
    <w:p w:rsidR="00AC0AD8" w:rsidRPr="00B12755" w:rsidRDefault="000A4482" w:rsidP="00AB1FB9">
      <w:pPr>
        <w:pStyle w:val="aff2"/>
        <w:numPr>
          <w:ilvl w:val="0"/>
          <w:numId w:val="8"/>
        </w:numPr>
        <w:autoSpaceDE w:val="0"/>
        <w:autoSpaceDN w:val="0"/>
        <w:adjustRightInd w:val="0"/>
        <w:spacing w:before="120" w:after="120"/>
        <w:contextualSpacing w:val="0"/>
        <w:rPr>
          <w:rFonts w:ascii="Bookman Old Style" w:hAnsi="Bookman Old Style"/>
          <w:sz w:val="20"/>
          <w:szCs w:val="20"/>
        </w:rPr>
      </w:pPr>
      <w:r w:rsidRPr="000A4482">
        <w:rPr>
          <w:rFonts w:ascii="Bookman Old Style" w:hAnsi="Bookman Old Style"/>
          <w:sz w:val="20"/>
          <w:szCs w:val="20"/>
        </w:rPr>
        <w:t>660031, г. Красноярск, ул. Айвазовского, 37А</w:t>
      </w:r>
      <w:r w:rsidR="00AC0AD8" w:rsidRPr="00B12755">
        <w:rPr>
          <w:rFonts w:ascii="Bookman Old Style" w:hAnsi="Bookman Old Style"/>
          <w:sz w:val="20"/>
          <w:szCs w:val="20"/>
        </w:rPr>
        <w:t>;</w:t>
      </w:r>
    </w:p>
    <w:p w:rsidR="00AC0AD8" w:rsidRPr="00B12755" w:rsidRDefault="00AC0AD8" w:rsidP="009948B1">
      <w:pPr>
        <w:autoSpaceDE w:val="0"/>
        <w:autoSpaceDN w:val="0"/>
        <w:adjustRightInd w:val="0"/>
        <w:spacing w:before="120" w:after="120"/>
        <w:ind w:firstLine="709"/>
        <w:rPr>
          <w:rFonts w:ascii="Bookman Old Style" w:hAnsi="Bookman Old Style"/>
          <w:sz w:val="20"/>
          <w:szCs w:val="20"/>
        </w:rPr>
      </w:pPr>
      <w:r w:rsidRPr="00B12755">
        <w:rPr>
          <w:rFonts w:ascii="Bookman Old Style" w:hAnsi="Bookman Old Style"/>
          <w:sz w:val="20"/>
          <w:szCs w:val="20"/>
        </w:rPr>
        <w:t xml:space="preserve">Почтовый адрес: </w:t>
      </w:r>
    </w:p>
    <w:p w:rsidR="00E2741C" w:rsidRPr="00B12755" w:rsidRDefault="000A4482" w:rsidP="00AB1FB9">
      <w:pPr>
        <w:pStyle w:val="aff2"/>
        <w:numPr>
          <w:ilvl w:val="0"/>
          <w:numId w:val="8"/>
        </w:numPr>
        <w:autoSpaceDE w:val="0"/>
        <w:autoSpaceDN w:val="0"/>
        <w:adjustRightInd w:val="0"/>
        <w:spacing w:before="120" w:after="120"/>
        <w:contextualSpacing w:val="0"/>
        <w:rPr>
          <w:rFonts w:ascii="Bookman Old Style" w:hAnsi="Bookman Old Style"/>
          <w:sz w:val="20"/>
          <w:szCs w:val="20"/>
        </w:rPr>
      </w:pPr>
      <w:r w:rsidRPr="000A4482">
        <w:rPr>
          <w:rFonts w:ascii="Bookman Old Style" w:hAnsi="Bookman Old Style"/>
          <w:sz w:val="20"/>
          <w:szCs w:val="20"/>
        </w:rPr>
        <w:t>660031, г. Красноярск, ул. Айвазовского, 37А</w:t>
      </w:r>
      <w:r w:rsidR="00E2741C" w:rsidRPr="00B12755">
        <w:rPr>
          <w:rFonts w:ascii="Bookman Old Style" w:hAnsi="Bookman Old Style"/>
          <w:sz w:val="20"/>
          <w:szCs w:val="20"/>
        </w:rPr>
        <w:t>;</w:t>
      </w:r>
    </w:p>
    <w:p w:rsidR="00AC0AD8" w:rsidRPr="00C12562" w:rsidRDefault="00A24931" w:rsidP="009948B1">
      <w:pPr>
        <w:autoSpaceDE w:val="0"/>
        <w:autoSpaceDN w:val="0"/>
        <w:adjustRightInd w:val="0"/>
        <w:spacing w:before="120" w:after="120"/>
        <w:ind w:left="708"/>
        <w:rPr>
          <w:rFonts w:ascii="Bookman Old Style" w:hAnsi="Bookman Old Style"/>
          <w:sz w:val="20"/>
          <w:szCs w:val="20"/>
        </w:rPr>
      </w:pPr>
      <w:r w:rsidRPr="00B12755">
        <w:rPr>
          <w:rFonts w:ascii="Bookman Old Style" w:hAnsi="Bookman Old Style"/>
          <w:sz w:val="20"/>
          <w:szCs w:val="20"/>
        </w:rPr>
        <w:t xml:space="preserve">ОГРН </w:t>
      </w:r>
      <w:r w:rsidR="000A4482" w:rsidRPr="000A4482">
        <w:rPr>
          <w:rFonts w:ascii="Bookman Old Style" w:hAnsi="Bookman Old Style"/>
          <w:bCs/>
          <w:sz w:val="20"/>
          <w:szCs w:val="20"/>
        </w:rPr>
        <w:t>1022402059272 от 31.10.2002</w:t>
      </w:r>
      <w:r w:rsidR="000A4482">
        <w:rPr>
          <w:rFonts w:ascii="Bookman Old Style" w:hAnsi="Bookman Old Style"/>
          <w:bCs/>
          <w:sz w:val="20"/>
          <w:szCs w:val="20"/>
        </w:rPr>
        <w:t xml:space="preserve"> </w:t>
      </w:r>
      <w:r w:rsidR="00C12562" w:rsidRPr="00B12755">
        <w:rPr>
          <w:rFonts w:ascii="Bookman Old Style" w:hAnsi="Bookman Old Style"/>
          <w:bCs/>
          <w:sz w:val="20"/>
          <w:szCs w:val="20"/>
        </w:rPr>
        <w:t>года</w:t>
      </w:r>
      <w:r w:rsidR="00AC0AD8" w:rsidRPr="00C12562">
        <w:rPr>
          <w:rFonts w:ascii="Bookman Old Style" w:hAnsi="Bookman Old Style"/>
          <w:sz w:val="20"/>
          <w:szCs w:val="20"/>
        </w:rPr>
        <w:t>;</w:t>
      </w:r>
    </w:p>
    <w:p w:rsidR="00C12562" w:rsidRPr="00C12562" w:rsidRDefault="00C12562" w:rsidP="009948B1">
      <w:pPr>
        <w:autoSpaceDE w:val="0"/>
        <w:autoSpaceDN w:val="0"/>
        <w:adjustRightInd w:val="0"/>
        <w:spacing w:before="120" w:after="120"/>
        <w:ind w:left="709"/>
        <w:rPr>
          <w:rFonts w:ascii="Bookman Old Style" w:hAnsi="Bookman Old Style"/>
          <w:bCs/>
          <w:sz w:val="20"/>
          <w:szCs w:val="20"/>
        </w:rPr>
      </w:pPr>
      <w:r w:rsidRPr="00B12755">
        <w:rPr>
          <w:rFonts w:ascii="Bookman Old Style" w:hAnsi="Bookman Old Style"/>
          <w:bCs/>
          <w:sz w:val="20"/>
          <w:szCs w:val="20"/>
        </w:rPr>
        <w:t xml:space="preserve">ИНН </w:t>
      </w:r>
      <w:r w:rsidR="000A4482" w:rsidRPr="000A4482">
        <w:rPr>
          <w:rFonts w:ascii="Bookman Old Style" w:hAnsi="Bookman Old Style"/>
          <w:bCs/>
          <w:sz w:val="20"/>
          <w:szCs w:val="20"/>
        </w:rPr>
        <w:t>2462016961</w:t>
      </w:r>
      <w:r w:rsidR="000A4482">
        <w:rPr>
          <w:rFonts w:ascii="Bookman Old Style" w:hAnsi="Bookman Old Style"/>
          <w:bCs/>
          <w:sz w:val="20"/>
          <w:szCs w:val="20"/>
        </w:rPr>
        <w:t xml:space="preserve"> </w:t>
      </w:r>
      <w:r w:rsidRPr="00B12755">
        <w:rPr>
          <w:rFonts w:ascii="Bookman Old Style" w:hAnsi="Bookman Old Style"/>
          <w:bCs/>
          <w:sz w:val="20"/>
          <w:szCs w:val="20"/>
        </w:rPr>
        <w:t xml:space="preserve">КПП </w:t>
      </w:r>
      <w:r w:rsidR="000A4482" w:rsidRPr="000A4482">
        <w:rPr>
          <w:rFonts w:ascii="Bookman Old Style" w:hAnsi="Bookman Old Style"/>
          <w:bCs/>
          <w:sz w:val="20"/>
          <w:szCs w:val="20"/>
        </w:rPr>
        <w:t>246201001</w:t>
      </w:r>
    </w:p>
    <w:p w:rsidR="00B12755" w:rsidRPr="00B12755" w:rsidRDefault="00C12562" w:rsidP="005F178F">
      <w:pPr>
        <w:autoSpaceDE w:val="0"/>
        <w:autoSpaceDN w:val="0"/>
        <w:adjustRightInd w:val="0"/>
        <w:spacing w:before="100" w:after="100"/>
        <w:ind w:left="709"/>
        <w:rPr>
          <w:rFonts w:ascii="Bookman Old Style" w:hAnsi="Bookman Old Style"/>
          <w:bCs/>
          <w:sz w:val="20"/>
          <w:szCs w:val="20"/>
        </w:rPr>
      </w:pPr>
      <w:proofErr w:type="gramStart"/>
      <w:r w:rsidRPr="00B12755">
        <w:rPr>
          <w:rFonts w:ascii="Bookman Old Style" w:hAnsi="Bookman Old Style"/>
          <w:bCs/>
          <w:sz w:val="20"/>
          <w:szCs w:val="20"/>
        </w:rPr>
        <w:t>Р</w:t>
      </w:r>
      <w:proofErr w:type="gramEnd"/>
      <w:r w:rsidRPr="00B12755">
        <w:rPr>
          <w:rFonts w:ascii="Bookman Old Style" w:hAnsi="Bookman Old Style"/>
          <w:bCs/>
          <w:sz w:val="20"/>
          <w:szCs w:val="20"/>
        </w:rPr>
        <w:t>/</w:t>
      </w:r>
      <w:proofErr w:type="spellStart"/>
      <w:r w:rsidRPr="00B12755">
        <w:rPr>
          <w:rFonts w:ascii="Bookman Old Style" w:hAnsi="Bookman Old Style"/>
          <w:bCs/>
          <w:sz w:val="20"/>
          <w:szCs w:val="20"/>
        </w:rPr>
        <w:t>сч</w:t>
      </w:r>
      <w:proofErr w:type="spellEnd"/>
      <w:r w:rsidRPr="00B12755">
        <w:rPr>
          <w:rFonts w:ascii="Bookman Old Style" w:hAnsi="Bookman Old Style"/>
          <w:bCs/>
          <w:sz w:val="20"/>
          <w:szCs w:val="20"/>
        </w:rPr>
        <w:t xml:space="preserve"> </w:t>
      </w:r>
      <w:r w:rsidR="000A4482" w:rsidRPr="000A4482">
        <w:rPr>
          <w:rFonts w:ascii="Bookman Old Style" w:hAnsi="Bookman Old Style"/>
          <w:bCs/>
          <w:sz w:val="20"/>
          <w:szCs w:val="20"/>
        </w:rPr>
        <w:t>40702810800600002964 в НОВОСИБИРСКОМ ФИЛИАЛЕ ОАО "БАНК МОСКВЫ</w:t>
      </w:r>
      <w:r w:rsidR="000A4482">
        <w:rPr>
          <w:rFonts w:ascii="Bookman Old Style" w:hAnsi="Bookman Old Style"/>
          <w:bCs/>
          <w:sz w:val="20"/>
          <w:szCs w:val="20"/>
        </w:rPr>
        <w:t>»</w:t>
      </w:r>
    </w:p>
    <w:p w:rsidR="00B12755" w:rsidRPr="00B12755" w:rsidRDefault="00C12562" w:rsidP="005F178F">
      <w:pPr>
        <w:autoSpaceDE w:val="0"/>
        <w:autoSpaceDN w:val="0"/>
        <w:adjustRightInd w:val="0"/>
        <w:spacing w:before="100" w:after="100"/>
        <w:ind w:left="709"/>
        <w:rPr>
          <w:rFonts w:ascii="Bookman Old Style" w:hAnsi="Bookman Old Style"/>
          <w:bCs/>
          <w:sz w:val="20"/>
          <w:szCs w:val="20"/>
        </w:rPr>
      </w:pPr>
      <w:r w:rsidRPr="00B12755">
        <w:rPr>
          <w:rFonts w:ascii="Bookman Old Style" w:hAnsi="Bookman Old Style"/>
          <w:bCs/>
          <w:sz w:val="20"/>
          <w:szCs w:val="20"/>
        </w:rPr>
        <w:t>К/</w:t>
      </w:r>
      <w:proofErr w:type="spellStart"/>
      <w:r w:rsidRPr="00B12755">
        <w:rPr>
          <w:rFonts w:ascii="Bookman Old Style" w:hAnsi="Bookman Old Style"/>
          <w:bCs/>
          <w:sz w:val="20"/>
          <w:szCs w:val="20"/>
        </w:rPr>
        <w:t>сч</w:t>
      </w:r>
      <w:proofErr w:type="spellEnd"/>
      <w:r w:rsidRPr="00B12755">
        <w:rPr>
          <w:rFonts w:ascii="Bookman Old Style" w:hAnsi="Bookman Old Style"/>
          <w:bCs/>
          <w:sz w:val="20"/>
          <w:szCs w:val="20"/>
        </w:rPr>
        <w:t xml:space="preserve"> </w:t>
      </w:r>
      <w:r w:rsidR="000A4482" w:rsidRPr="000A4482">
        <w:rPr>
          <w:rFonts w:ascii="Bookman Old Style" w:hAnsi="Bookman Old Style"/>
          <w:bCs/>
          <w:sz w:val="20"/>
          <w:szCs w:val="20"/>
        </w:rPr>
        <w:t>30101810900000000762</w:t>
      </w:r>
    </w:p>
    <w:p w:rsidR="00B12755" w:rsidRPr="00B12755" w:rsidRDefault="00C12562" w:rsidP="005F178F">
      <w:pPr>
        <w:autoSpaceDE w:val="0"/>
        <w:autoSpaceDN w:val="0"/>
        <w:adjustRightInd w:val="0"/>
        <w:spacing w:before="100" w:after="100"/>
        <w:ind w:left="709"/>
        <w:rPr>
          <w:rFonts w:ascii="Bookman Old Style" w:hAnsi="Bookman Old Style"/>
          <w:bCs/>
          <w:sz w:val="20"/>
          <w:szCs w:val="20"/>
        </w:rPr>
      </w:pPr>
      <w:r w:rsidRPr="00B12755">
        <w:rPr>
          <w:rFonts w:ascii="Bookman Old Style" w:hAnsi="Bookman Old Style"/>
          <w:bCs/>
          <w:sz w:val="20"/>
          <w:szCs w:val="20"/>
        </w:rPr>
        <w:t xml:space="preserve">БИК </w:t>
      </w:r>
      <w:r w:rsidR="000A4482" w:rsidRPr="000A4482">
        <w:rPr>
          <w:rFonts w:ascii="Bookman Old Style" w:hAnsi="Bookman Old Style"/>
          <w:bCs/>
          <w:sz w:val="20"/>
          <w:szCs w:val="20"/>
        </w:rPr>
        <w:t>045004762</w:t>
      </w:r>
    </w:p>
    <w:p w:rsidR="00FB24F6" w:rsidRPr="00864EA6" w:rsidRDefault="00FB24F6" w:rsidP="005F178F">
      <w:pPr>
        <w:pStyle w:val="3"/>
        <w:spacing w:before="100" w:after="100"/>
        <w:rPr>
          <w:rFonts w:ascii="Bookman Old Style" w:hAnsi="Bookman Old Style"/>
          <w:sz w:val="20"/>
          <w:szCs w:val="20"/>
        </w:rPr>
      </w:pPr>
      <w:bookmarkStart w:id="42" w:name="_Toc197672438"/>
      <w:bookmarkStart w:id="43" w:name="_Toc197677088"/>
      <w:bookmarkStart w:id="44" w:name="_Toc200797745"/>
      <w:bookmarkStart w:id="45" w:name="_Toc200797974"/>
      <w:bookmarkStart w:id="46" w:name="_Toc200857483"/>
      <w:bookmarkStart w:id="47" w:name="_Toc201378022"/>
      <w:bookmarkStart w:id="48" w:name="_Toc201378565"/>
      <w:bookmarkStart w:id="49" w:name="_Toc202604572"/>
      <w:bookmarkStart w:id="50" w:name="_Toc207115218"/>
      <w:bookmarkStart w:id="51" w:name="_Toc207164866"/>
      <w:bookmarkStart w:id="52" w:name="_Toc207164921"/>
      <w:bookmarkStart w:id="53" w:name="_Toc207181410"/>
      <w:bookmarkStart w:id="54" w:name="_Toc260339886"/>
      <w:bookmarkStart w:id="55" w:name="_Toc461375547"/>
      <w:r>
        <w:rPr>
          <w:rFonts w:ascii="Bookman Old Style" w:hAnsi="Bookman Old Style"/>
          <w:sz w:val="20"/>
          <w:szCs w:val="20"/>
        </w:rPr>
        <w:t>1.</w:t>
      </w:r>
      <w:r w:rsidRPr="00864EA6">
        <w:rPr>
          <w:rFonts w:ascii="Bookman Old Style" w:hAnsi="Bookman Old Style"/>
          <w:sz w:val="20"/>
          <w:szCs w:val="20"/>
        </w:rPr>
        <w:t>3.2. Сведения о юридическом лице</w:t>
      </w:r>
      <w:bookmarkEnd w:id="42"/>
      <w:bookmarkEnd w:id="43"/>
      <w:bookmarkEnd w:id="44"/>
      <w:bookmarkEnd w:id="45"/>
      <w:bookmarkEnd w:id="46"/>
      <w:bookmarkEnd w:id="47"/>
      <w:bookmarkEnd w:id="48"/>
      <w:bookmarkEnd w:id="49"/>
      <w:bookmarkEnd w:id="50"/>
      <w:bookmarkEnd w:id="51"/>
      <w:bookmarkEnd w:id="52"/>
      <w:bookmarkEnd w:id="53"/>
      <w:r>
        <w:rPr>
          <w:rFonts w:ascii="Bookman Old Style" w:hAnsi="Bookman Old Style"/>
          <w:sz w:val="20"/>
          <w:szCs w:val="20"/>
        </w:rPr>
        <w:t xml:space="preserve"> оценщика</w:t>
      </w:r>
      <w:bookmarkEnd w:id="54"/>
      <w:bookmarkEnd w:id="55"/>
    </w:p>
    <w:p w:rsidR="00FB24F6" w:rsidRDefault="00FB24F6" w:rsidP="005F178F">
      <w:pPr>
        <w:spacing w:before="100" w:after="100"/>
        <w:ind w:left="709"/>
        <w:rPr>
          <w:rFonts w:ascii="Bookman Old Style" w:hAnsi="Bookman Old Style"/>
          <w:sz w:val="20"/>
          <w:szCs w:val="20"/>
        </w:rPr>
      </w:pPr>
      <w:bookmarkStart w:id="56" w:name="_Toc206269748"/>
      <w:bookmarkStart w:id="57" w:name="_Toc213831236"/>
      <w:bookmarkStart w:id="58" w:name="_Toc216160109"/>
      <w:bookmarkStart w:id="59" w:name="_Toc234901996"/>
      <w:bookmarkStart w:id="60" w:name="_Toc196937150"/>
      <w:bookmarkStart w:id="61" w:name="_Toc197327041"/>
      <w:bookmarkStart w:id="62" w:name="_Toc200179620"/>
      <w:bookmarkEnd w:id="38"/>
      <w:bookmarkEnd w:id="39"/>
      <w:bookmarkEnd w:id="40"/>
      <w:bookmarkEnd w:id="41"/>
      <w:r>
        <w:rPr>
          <w:rFonts w:ascii="Bookman Old Style" w:hAnsi="Bookman Old Style"/>
          <w:sz w:val="20"/>
          <w:szCs w:val="20"/>
        </w:rPr>
        <w:t>Общество с ограниченной ответственностью «Агентство оценки собственности «Золотое правило» в лице генерального директора Золотарева Олега Сергеевича, действующего на основании:</w:t>
      </w:r>
    </w:p>
    <w:p w:rsidR="00FB24F6" w:rsidRPr="006A2361" w:rsidRDefault="00FB24F6" w:rsidP="005F178F">
      <w:pPr>
        <w:pStyle w:val="aff2"/>
        <w:numPr>
          <w:ilvl w:val="0"/>
          <w:numId w:val="8"/>
        </w:numPr>
        <w:spacing w:before="100" w:after="100"/>
        <w:contextualSpacing w:val="0"/>
        <w:jc w:val="both"/>
        <w:rPr>
          <w:rFonts w:ascii="Bookman Old Style" w:hAnsi="Bookman Old Style"/>
          <w:sz w:val="20"/>
          <w:szCs w:val="20"/>
        </w:rPr>
      </w:pPr>
      <w:r w:rsidRPr="006A2361">
        <w:rPr>
          <w:rFonts w:ascii="Bookman Old Style" w:hAnsi="Bookman Old Style"/>
          <w:sz w:val="20"/>
          <w:szCs w:val="20"/>
        </w:rPr>
        <w:t>Устава общества;</w:t>
      </w:r>
    </w:p>
    <w:p w:rsidR="00FB24F6" w:rsidRDefault="00FB24F6" w:rsidP="005F178F">
      <w:pPr>
        <w:spacing w:before="100" w:after="100"/>
        <w:ind w:left="708"/>
        <w:rPr>
          <w:rFonts w:ascii="Bookman Old Style" w:hAnsi="Bookman Old Style"/>
          <w:sz w:val="20"/>
          <w:szCs w:val="20"/>
        </w:rPr>
      </w:pPr>
      <w:r>
        <w:rPr>
          <w:rFonts w:ascii="Bookman Old Style" w:hAnsi="Bookman Old Style"/>
          <w:sz w:val="20"/>
          <w:szCs w:val="20"/>
        </w:rPr>
        <w:t xml:space="preserve">Адрес постоянно действующего исполнительного органа: </w:t>
      </w:r>
    </w:p>
    <w:p w:rsidR="00FB24F6" w:rsidRPr="006A2361" w:rsidRDefault="00FB24F6" w:rsidP="005F178F">
      <w:pPr>
        <w:pStyle w:val="aff2"/>
        <w:numPr>
          <w:ilvl w:val="0"/>
          <w:numId w:val="8"/>
        </w:numPr>
        <w:spacing w:before="100" w:after="100"/>
        <w:contextualSpacing w:val="0"/>
        <w:rPr>
          <w:rFonts w:ascii="Bookman Old Style" w:hAnsi="Bookman Old Style"/>
          <w:sz w:val="20"/>
          <w:szCs w:val="20"/>
        </w:rPr>
      </w:pPr>
      <w:r w:rsidRPr="006A2361">
        <w:rPr>
          <w:rFonts w:ascii="Bookman Old Style" w:hAnsi="Bookman Old Style"/>
          <w:sz w:val="20"/>
          <w:szCs w:val="20"/>
        </w:rPr>
        <w:t>660041, Россия, Красноярский край, г. Красноярск, ул. Ак</w:t>
      </w:r>
      <w:r w:rsidR="008F4C8C" w:rsidRPr="006A2361">
        <w:rPr>
          <w:rFonts w:ascii="Bookman Old Style" w:hAnsi="Bookman Old Style"/>
          <w:sz w:val="20"/>
          <w:szCs w:val="20"/>
        </w:rPr>
        <w:t xml:space="preserve">адемика </w:t>
      </w:r>
      <w:r w:rsidRPr="006A2361">
        <w:rPr>
          <w:rFonts w:ascii="Bookman Old Style" w:hAnsi="Bookman Old Style"/>
          <w:sz w:val="20"/>
          <w:szCs w:val="20"/>
        </w:rPr>
        <w:t>Киренского, д. 87 офис 54;</w:t>
      </w:r>
    </w:p>
    <w:p w:rsidR="00FB24F6" w:rsidRDefault="00FB24F6" w:rsidP="005F178F">
      <w:pPr>
        <w:spacing w:before="100" w:after="100"/>
        <w:ind w:left="708"/>
        <w:rPr>
          <w:rFonts w:ascii="Bookman Old Style" w:hAnsi="Bookman Old Style"/>
          <w:sz w:val="20"/>
          <w:szCs w:val="20"/>
        </w:rPr>
      </w:pPr>
      <w:r>
        <w:rPr>
          <w:rFonts w:ascii="Bookman Old Style" w:hAnsi="Bookman Old Style"/>
          <w:sz w:val="20"/>
          <w:szCs w:val="20"/>
        </w:rPr>
        <w:t xml:space="preserve">Местонахождение: </w:t>
      </w:r>
    </w:p>
    <w:p w:rsidR="00FB24F6" w:rsidRPr="006A2361" w:rsidRDefault="00197F69" w:rsidP="005F178F">
      <w:pPr>
        <w:pStyle w:val="aff2"/>
        <w:numPr>
          <w:ilvl w:val="0"/>
          <w:numId w:val="8"/>
        </w:numPr>
        <w:spacing w:before="100" w:after="100"/>
        <w:contextualSpacing w:val="0"/>
        <w:rPr>
          <w:rFonts w:ascii="Bookman Old Style" w:hAnsi="Bookman Old Style"/>
          <w:sz w:val="20"/>
          <w:szCs w:val="20"/>
        </w:rPr>
      </w:pPr>
      <w:bookmarkStart w:id="63" w:name="_Toc196937153"/>
      <w:bookmarkStart w:id="64" w:name="_Toc197326722"/>
      <w:bookmarkStart w:id="65" w:name="_Toc197327039"/>
      <w:bookmarkStart w:id="66" w:name="_Toc197672439"/>
      <w:bookmarkStart w:id="67" w:name="_Toc197677089"/>
      <w:bookmarkStart w:id="68" w:name="_Toc200797746"/>
      <w:bookmarkStart w:id="69" w:name="_Toc200797975"/>
      <w:bookmarkStart w:id="70" w:name="_Toc200857484"/>
      <w:bookmarkStart w:id="71" w:name="_Toc201378023"/>
      <w:bookmarkStart w:id="72" w:name="_Toc201378566"/>
      <w:bookmarkStart w:id="73" w:name="_Toc202604573"/>
      <w:bookmarkStart w:id="74" w:name="_Toc207115219"/>
      <w:bookmarkStart w:id="75" w:name="_Toc207164867"/>
      <w:bookmarkStart w:id="76" w:name="_Toc207164922"/>
      <w:bookmarkStart w:id="77" w:name="_Toc207181411"/>
      <w:bookmarkStart w:id="78" w:name="_Toc207552358"/>
      <w:bookmarkStart w:id="79" w:name="_Toc207601569"/>
      <w:bookmarkStart w:id="80" w:name="_Toc207601757"/>
      <w:bookmarkStart w:id="81" w:name="_Toc211058682"/>
      <w:bookmarkStart w:id="82" w:name="_Toc211058827"/>
      <w:bookmarkStart w:id="83" w:name="_Toc211140719"/>
      <w:r w:rsidRPr="00197F69">
        <w:rPr>
          <w:rFonts w:ascii="Bookman Old Style" w:hAnsi="Bookman Old Style"/>
          <w:sz w:val="20"/>
          <w:szCs w:val="20"/>
        </w:rPr>
        <w:t>660041, Россия, Красноярский край, г. Красноярск, ул. Академика Киренского, д. 87 офис 54</w:t>
      </w:r>
      <w:r w:rsidR="00FB24F6" w:rsidRPr="006A2361">
        <w:rPr>
          <w:rFonts w:ascii="Bookman Old Style" w:hAnsi="Bookman Old Style"/>
          <w:sz w:val="20"/>
          <w:szCs w:val="20"/>
        </w:rPr>
        <w:t>;</w:t>
      </w:r>
    </w:p>
    <w:p w:rsidR="00197F69" w:rsidRDefault="00197F69" w:rsidP="005F178F">
      <w:pPr>
        <w:spacing w:before="100" w:after="100"/>
        <w:ind w:left="708"/>
        <w:rPr>
          <w:rFonts w:ascii="Bookman Old Style" w:hAnsi="Bookman Old Style"/>
          <w:sz w:val="20"/>
          <w:szCs w:val="20"/>
        </w:rPr>
      </w:pPr>
      <w:bookmarkStart w:id="84" w:name="_Toc219279623"/>
      <w:r>
        <w:rPr>
          <w:rFonts w:ascii="Bookman Old Style" w:hAnsi="Bookman Old Style"/>
          <w:sz w:val="20"/>
          <w:szCs w:val="20"/>
        </w:rPr>
        <w:t>П</w:t>
      </w:r>
      <w:r w:rsidRPr="00197F69">
        <w:rPr>
          <w:rFonts w:ascii="Bookman Old Style" w:hAnsi="Bookman Old Style"/>
          <w:sz w:val="20"/>
          <w:szCs w:val="20"/>
        </w:rPr>
        <w:t>очтовый адрес</w:t>
      </w:r>
      <w:r>
        <w:rPr>
          <w:rFonts w:ascii="Bookman Old Style" w:hAnsi="Bookman Old Style"/>
          <w:sz w:val="20"/>
          <w:szCs w:val="20"/>
        </w:rPr>
        <w:t>:</w:t>
      </w:r>
    </w:p>
    <w:p w:rsidR="00197F69" w:rsidRDefault="00197F69" w:rsidP="005F178F">
      <w:pPr>
        <w:spacing w:before="100" w:after="100"/>
        <w:ind w:left="708"/>
        <w:rPr>
          <w:rFonts w:ascii="Bookman Old Style" w:hAnsi="Bookman Old Style"/>
          <w:sz w:val="20"/>
          <w:szCs w:val="20"/>
        </w:rPr>
      </w:pPr>
      <w:r>
        <w:rPr>
          <w:rFonts w:ascii="Bookman Old Style" w:hAnsi="Bookman Old Style"/>
          <w:sz w:val="20"/>
          <w:szCs w:val="20"/>
        </w:rPr>
        <w:t xml:space="preserve">660017, </w:t>
      </w:r>
      <w:r w:rsidRPr="00197F69">
        <w:rPr>
          <w:rFonts w:ascii="Bookman Old Style" w:hAnsi="Bookman Old Style"/>
          <w:sz w:val="20"/>
          <w:szCs w:val="20"/>
        </w:rPr>
        <w:t>Россия, Красноярский край, г. Красноярск</w:t>
      </w:r>
      <w:r>
        <w:rPr>
          <w:rFonts w:ascii="Bookman Old Style" w:hAnsi="Bookman Old Style"/>
          <w:sz w:val="20"/>
          <w:szCs w:val="20"/>
        </w:rPr>
        <w:t>, ул. Бограда д. 92 офис 207;</w:t>
      </w:r>
    </w:p>
    <w:p w:rsidR="00FB24F6" w:rsidRPr="000610D7" w:rsidRDefault="00FB24F6" w:rsidP="005F178F">
      <w:pPr>
        <w:spacing w:before="100" w:after="100"/>
        <w:ind w:left="708"/>
        <w:rPr>
          <w:rFonts w:ascii="Bookman Old Style" w:hAnsi="Bookman Old Style"/>
          <w:sz w:val="20"/>
          <w:szCs w:val="20"/>
        </w:rPr>
      </w:pPr>
      <w:r w:rsidRPr="000610D7">
        <w:rPr>
          <w:rFonts w:ascii="Bookman Old Style" w:hAnsi="Bookman Old Style"/>
          <w:sz w:val="20"/>
          <w:szCs w:val="20"/>
        </w:rPr>
        <w:t>ОГРН 1082468049300 дата регистрации 16.10.2008 года</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0610D7">
        <w:rPr>
          <w:rFonts w:ascii="Bookman Old Style" w:hAnsi="Bookman Old Style"/>
          <w:sz w:val="20"/>
          <w:szCs w:val="20"/>
        </w:rPr>
        <w:t xml:space="preserve"> Межрайонной ИФНС № 23 по Красноярскому краю</w:t>
      </w:r>
      <w:bookmarkEnd w:id="84"/>
    </w:p>
    <w:p w:rsidR="00FB24F6" w:rsidRDefault="00FB24F6" w:rsidP="005F178F">
      <w:pPr>
        <w:spacing w:before="100" w:after="100"/>
        <w:ind w:left="708"/>
        <w:rPr>
          <w:rFonts w:ascii="Bookman Old Style" w:hAnsi="Bookman Old Style"/>
          <w:sz w:val="20"/>
          <w:szCs w:val="20"/>
        </w:rPr>
      </w:pPr>
      <w:r w:rsidRPr="00647F43">
        <w:rPr>
          <w:rFonts w:ascii="Bookman Old Style" w:hAnsi="Bookman Old Style"/>
          <w:sz w:val="20"/>
          <w:szCs w:val="20"/>
        </w:rPr>
        <w:t>ИНН</w:t>
      </w:r>
      <w:r>
        <w:rPr>
          <w:rFonts w:ascii="Bookman Old Style" w:hAnsi="Bookman Old Style"/>
          <w:sz w:val="20"/>
          <w:szCs w:val="20"/>
        </w:rPr>
        <w:t xml:space="preserve"> 2463209187</w:t>
      </w:r>
      <w:r w:rsidRPr="00647F43">
        <w:rPr>
          <w:rFonts w:ascii="Bookman Old Style" w:hAnsi="Bookman Old Style"/>
          <w:sz w:val="20"/>
          <w:szCs w:val="20"/>
        </w:rPr>
        <w:t xml:space="preserve">, </w:t>
      </w:r>
      <w:r>
        <w:rPr>
          <w:rFonts w:ascii="Bookman Old Style" w:hAnsi="Bookman Old Style"/>
          <w:sz w:val="20"/>
          <w:szCs w:val="20"/>
        </w:rPr>
        <w:t>КПП 246301001</w:t>
      </w:r>
    </w:p>
    <w:p w:rsidR="00FB24F6" w:rsidRDefault="00FB24F6" w:rsidP="005F178F">
      <w:pPr>
        <w:spacing w:before="100" w:after="100"/>
        <w:ind w:left="708"/>
        <w:rPr>
          <w:rFonts w:ascii="Bookman Old Style" w:hAnsi="Bookman Old Style"/>
          <w:sz w:val="20"/>
          <w:szCs w:val="20"/>
        </w:rPr>
      </w:pPr>
      <w:proofErr w:type="gramStart"/>
      <w:r>
        <w:rPr>
          <w:rFonts w:ascii="Bookman Old Style" w:hAnsi="Bookman Old Style"/>
          <w:sz w:val="20"/>
          <w:szCs w:val="20"/>
        </w:rPr>
        <w:t>р</w:t>
      </w:r>
      <w:proofErr w:type="gramEnd"/>
      <w:r w:rsidRPr="00647F43">
        <w:rPr>
          <w:rFonts w:ascii="Bookman Old Style" w:hAnsi="Bookman Old Style"/>
          <w:sz w:val="20"/>
          <w:szCs w:val="20"/>
        </w:rPr>
        <w:t xml:space="preserve">/счет </w:t>
      </w:r>
      <w:r>
        <w:rPr>
          <w:rFonts w:ascii="Bookman Old Style" w:hAnsi="Bookman Old Style"/>
          <w:sz w:val="20"/>
          <w:szCs w:val="20"/>
        </w:rPr>
        <w:t>40702810831280030059</w:t>
      </w:r>
      <w:r w:rsidRPr="00647F43">
        <w:rPr>
          <w:rFonts w:ascii="Bookman Old Style" w:hAnsi="Bookman Old Style"/>
          <w:sz w:val="20"/>
          <w:szCs w:val="20"/>
        </w:rPr>
        <w:t xml:space="preserve"> в </w:t>
      </w:r>
      <w:r>
        <w:rPr>
          <w:rFonts w:ascii="Bookman Old Style" w:hAnsi="Bookman Old Style"/>
          <w:sz w:val="20"/>
          <w:szCs w:val="20"/>
        </w:rPr>
        <w:t>Красноярском городском ОСБ № 161 Сберегательного банка РФ</w:t>
      </w:r>
    </w:p>
    <w:p w:rsidR="00FB24F6" w:rsidRDefault="00FB24F6" w:rsidP="005F178F">
      <w:pPr>
        <w:spacing w:before="100" w:after="100"/>
        <w:ind w:left="708"/>
        <w:rPr>
          <w:rFonts w:ascii="Bookman Old Style" w:hAnsi="Bookman Old Style"/>
          <w:sz w:val="20"/>
          <w:szCs w:val="20"/>
        </w:rPr>
      </w:pPr>
      <w:proofErr w:type="gramStart"/>
      <w:r>
        <w:rPr>
          <w:rFonts w:ascii="Bookman Old Style" w:hAnsi="Bookman Old Style"/>
          <w:sz w:val="20"/>
          <w:szCs w:val="20"/>
        </w:rPr>
        <w:t>к</w:t>
      </w:r>
      <w:proofErr w:type="gramEnd"/>
      <w:r>
        <w:rPr>
          <w:rFonts w:ascii="Bookman Old Style" w:hAnsi="Bookman Old Style"/>
          <w:sz w:val="20"/>
          <w:szCs w:val="20"/>
        </w:rPr>
        <w:t>/счет 30101810800000000627</w:t>
      </w:r>
    </w:p>
    <w:p w:rsidR="00FB24F6" w:rsidRDefault="00FB24F6" w:rsidP="005F178F">
      <w:pPr>
        <w:spacing w:before="100" w:after="100"/>
        <w:ind w:left="708"/>
        <w:rPr>
          <w:rFonts w:ascii="Bookman Old Style" w:hAnsi="Bookman Old Style"/>
          <w:sz w:val="20"/>
          <w:szCs w:val="20"/>
        </w:rPr>
      </w:pPr>
      <w:r w:rsidRPr="00647F43">
        <w:rPr>
          <w:rFonts w:ascii="Bookman Old Style" w:hAnsi="Bookman Old Style"/>
          <w:sz w:val="20"/>
          <w:szCs w:val="20"/>
        </w:rPr>
        <w:t>БИК 040407</w:t>
      </w:r>
      <w:r>
        <w:rPr>
          <w:rFonts w:ascii="Bookman Old Style" w:hAnsi="Bookman Old Style"/>
          <w:sz w:val="20"/>
          <w:szCs w:val="20"/>
        </w:rPr>
        <w:t>627</w:t>
      </w:r>
    </w:p>
    <w:p w:rsidR="00FB24F6" w:rsidRDefault="00FB24F6" w:rsidP="005F178F">
      <w:pPr>
        <w:spacing w:before="100" w:after="100"/>
        <w:ind w:left="708"/>
        <w:rPr>
          <w:rFonts w:ascii="Bookman Old Style" w:hAnsi="Bookman Old Style"/>
          <w:sz w:val="20"/>
          <w:szCs w:val="20"/>
        </w:rPr>
      </w:pPr>
      <w:r>
        <w:rPr>
          <w:rFonts w:ascii="Bookman Old Style" w:hAnsi="Bookman Old Style"/>
          <w:sz w:val="20"/>
          <w:szCs w:val="20"/>
        </w:rPr>
        <w:t>Прочие сведения:</w:t>
      </w:r>
    </w:p>
    <w:p w:rsidR="00FB24F6" w:rsidRPr="006A2361" w:rsidRDefault="00FB24F6" w:rsidP="005F178F">
      <w:pPr>
        <w:pStyle w:val="aff2"/>
        <w:numPr>
          <w:ilvl w:val="0"/>
          <w:numId w:val="8"/>
        </w:numPr>
        <w:spacing w:before="100" w:after="100"/>
        <w:ind w:left="714" w:hanging="357"/>
        <w:contextualSpacing w:val="0"/>
        <w:jc w:val="both"/>
        <w:rPr>
          <w:rFonts w:ascii="Bookman Old Style" w:hAnsi="Bookman Old Style"/>
          <w:sz w:val="20"/>
          <w:szCs w:val="20"/>
        </w:rPr>
      </w:pPr>
      <w:r w:rsidRPr="006A2361">
        <w:rPr>
          <w:rFonts w:ascii="Bookman Old Style" w:hAnsi="Bookman Old Style"/>
          <w:sz w:val="20"/>
          <w:szCs w:val="20"/>
        </w:rPr>
        <w:t>Членство НП «Российская коллегия оценщиков», номер по реестру 241037, зарегистрирован на основании решения п. 17.2. Протокола № 18 от 24.11.2008 г.;</w:t>
      </w:r>
    </w:p>
    <w:p w:rsidR="00C834FF" w:rsidRDefault="00FA73DD" w:rsidP="005F178F">
      <w:pPr>
        <w:pStyle w:val="aff2"/>
        <w:numPr>
          <w:ilvl w:val="0"/>
          <w:numId w:val="8"/>
        </w:numPr>
        <w:spacing w:before="100" w:after="100"/>
        <w:contextualSpacing w:val="0"/>
        <w:jc w:val="both"/>
        <w:rPr>
          <w:rFonts w:ascii="Bookman Old Style" w:hAnsi="Bookman Old Style"/>
          <w:sz w:val="20"/>
          <w:szCs w:val="20"/>
        </w:rPr>
      </w:pPr>
      <w:r>
        <w:rPr>
          <w:rFonts w:ascii="Bookman Old Style" w:hAnsi="Bookman Old Style"/>
          <w:sz w:val="20"/>
          <w:szCs w:val="20"/>
        </w:rPr>
        <w:t>Полис № 989148471</w:t>
      </w:r>
      <w:r w:rsidR="00C834FF" w:rsidRPr="00EE4780">
        <w:rPr>
          <w:rFonts w:ascii="Bookman Old Style" w:hAnsi="Bookman Old Style"/>
          <w:sz w:val="20"/>
          <w:szCs w:val="20"/>
        </w:rPr>
        <w:t xml:space="preserve"> от 10 ноября 201</w:t>
      </w:r>
      <w:r w:rsidR="00E6411F">
        <w:rPr>
          <w:rFonts w:ascii="Bookman Old Style" w:hAnsi="Bookman Old Style"/>
          <w:sz w:val="20"/>
          <w:szCs w:val="20"/>
        </w:rPr>
        <w:t>5</w:t>
      </w:r>
      <w:r w:rsidR="00C834FF" w:rsidRPr="00EE4780">
        <w:rPr>
          <w:rFonts w:ascii="Bookman Old Style" w:hAnsi="Bookman Old Style"/>
          <w:sz w:val="20"/>
          <w:szCs w:val="20"/>
        </w:rPr>
        <w:t xml:space="preserve"> года, ОСАО «РЕСО-Гарантия», срок действия с «17» ноября 201</w:t>
      </w:r>
      <w:r>
        <w:rPr>
          <w:rFonts w:ascii="Bookman Old Style" w:hAnsi="Bookman Old Style"/>
          <w:sz w:val="20"/>
          <w:szCs w:val="20"/>
        </w:rPr>
        <w:t>5</w:t>
      </w:r>
      <w:r w:rsidR="00C834FF" w:rsidRPr="00EE4780">
        <w:rPr>
          <w:rFonts w:ascii="Bookman Old Style" w:hAnsi="Bookman Old Style"/>
          <w:sz w:val="20"/>
          <w:szCs w:val="20"/>
        </w:rPr>
        <w:t xml:space="preserve"> г. по «16» ноября 201</w:t>
      </w:r>
      <w:r>
        <w:rPr>
          <w:rFonts w:ascii="Bookman Old Style" w:hAnsi="Bookman Old Style"/>
          <w:sz w:val="20"/>
          <w:szCs w:val="20"/>
        </w:rPr>
        <w:t>6</w:t>
      </w:r>
      <w:r w:rsidR="00C834FF" w:rsidRPr="00EE4780">
        <w:rPr>
          <w:rFonts w:ascii="Bookman Old Style" w:hAnsi="Bookman Old Style"/>
          <w:sz w:val="20"/>
          <w:szCs w:val="20"/>
        </w:rPr>
        <w:t xml:space="preserve"> г., страховая сумма 50 000 000 (пятьдесят миллионов) рублей;</w:t>
      </w:r>
    </w:p>
    <w:p w:rsidR="00FB24F6" w:rsidRPr="00864EA6" w:rsidRDefault="00FB24F6" w:rsidP="005F178F">
      <w:pPr>
        <w:pStyle w:val="3"/>
        <w:spacing w:before="100" w:after="100"/>
        <w:rPr>
          <w:rFonts w:ascii="Bookman Old Style" w:hAnsi="Bookman Old Style"/>
          <w:sz w:val="20"/>
          <w:szCs w:val="20"/>
        </w:rPr>
      </w:pPr>
      <w:bookmarkStart w:id="85" w:name="_Toc196937154"/>
      <w:bookmarkStart w:id="86" w:name="_Toc197327040"/>
      <w:bookmarkStart w:id="87" w:name="_Toc197672440"/>
      <w:bookmarkStart w:id="88" w:name="_Toc197677090"/>
      <w:bookmarkStart w:id="89" w:name="_Toc200797747"/>
      <w:bookmarkStart w:id="90" w:name="_Toc200797976"/>
      <w:bookmarkStart w:id="91" w:name="_Toc200857485"/>
      <w:bookmarkStart w:id="92" w:name="_Toc201378024"/>
      <w:bookmarkStart w:id="93" w:name="_Toc201378567"/>
      <w:bookmarkStart w:id="94" w:name="_Toc202604574"/>
      <w:bookmarkStart w:id="95" w:name="_Toc207115220"/>
      <w:bookmarkStart w:id="96" w:name="_Toc207164868"/>
      <w:bookmarkStart w:id="97" w:name="_Toc207164923"/>
      <w:bookmarkStart w:id="98" w:name="_Toc207181412"/>
      <w:bookmarkStart w:id="99" w:name="_Toc260339887"/>
      <w:bookmarkStart w:id="100" w:name="_Toc461375548"/>
      <w:r>
        <w:rPr>
          <w:rFonts w:ascii="Bookman Old Style" w:hAnsi="Bookman Old Style"/>
          <w:sz w:val="20"/>
          <w:szCs w:val="20"/>
        </w:rPr>
        <w:lastRenderedPageBreak/>
        <w:t>1.</w:t>
      </w:r>
      <w:r w:rsidRPr="00864EA6">
        <w:rPr>
          <w:rFonts w:ascii="Bookman Old Style" w:hAnsi="Bookman Old Style"/>
          <w:sz w:val="20"/>
          <w:szCs w:val="20"/>
        </w:rPr>
        <w:t>3.3. Сведения о</w:t>
      </w:r>
      <w:r>
        <w:rPr>
          <w:rFonts w:ascii="Bookman Old Style" w:hAnsi="Bookman Old Style"/>
          <w:sz w:val="20"/>
          <w:szCs w:val="20"/>
        </w:rPr>
        <w:t xml:space="preserve"> </w:t>
      </w:r>
      <w:r w:rsidRPr="00864EA6">
        <w:rPr>
          <w:rFonts w:ascii="Bookman Old Style" w:hAnsi="Bookman Old Style"/>
          <w:sz w:val="20"/>
          <w:szCs w:val="20"/>
        </w:rPr>
        <w:t>специалистах</w:t>
      </w:r>
      <w:bookmarkEnd w:id="85"/>
      <w:bookmarkEnd w:id="86"/>
      <w:bookmarkEnd w:id="87"/>
      <w:bookmarkEnd w:id="88"/>
      <w:bookmarkEnd w:id="89"/>
      <w:bookmarkEnd w:id="90"/>
      <w:bookmarkEnd w:id="91"/>
      <w:bookmarkEnd w:id="92"/>
      <w:bookmarkEnd w:id="93"/>
      <w:bookmarkEnd w:id="94"/>
      <w:bookmarkEnd w:id="95"/>
      <w:bookmarkEnd w:id="96"/>
      <w:bookmarkEnd w:id="97"/>
      <w:bookmarkEnd w:id="98"/>
      <w:r>
        <w:rPr>
          <w:rFonts w:ascii="Bookman Old Style" w:hAnsi="Bookman Old Style"/>
          <w:sz w:val="20"/>
          <w:szCs w:val="20"/>
        </w:rPr>
        <w:t>-оценщиках</w:t>
      </w:r>
      <w:bookmarkEnd w:id="99"/>
      <w:bookmarkEnd w:id="100"/>
      <w:r w:rsidRPr="00864EA6">
        <w:rPr>
          <w:rFonts w:ascii="Bookman Old Style" w:hAnsi="Bookman Old Style"/>
          <w:sz w:val="20"/>
          <w:szCs w:val="20"/>
        </w:rPr>
        <w:t xml:space="preserve"> </w:t>
      </w:r>
    </w:p>
    <w:p w:rsidR="00FB24F6" w:rsidRDefault="00FB24F6" w:rsidP="005F178F">
      <w:pPr>
        <w:autoSpaceDE w:val="0"/>
        <w:autoSpaceDN w:val="0"/>
        <w:adjustRightInd w:val="0"/>
        <w:spacing w:before="100" w:after="100"/>
        <w:ind w:firstLine="709"/>
        <w:rPr>
          <w:rFonts w:ascii="Bookman Old Style" w:hAnsi="Bookman Old Style"/>
          <w:sz w:val="20"/>
          <w:szCs w:val="20"/>
        </w:rPr>
      </w:pPr>
      <w:r w:rsidRPr="00FB22D3">
        <w:rPr>
          <w:rFonts w:ascii="Bookman Old Style" w:hAnsi="Bookman Old Style"/>
          <w:sz w:val="20"/>
          <w:szCs w:val="20"/>
        </w:rPr>
        <w:t>В данной работе принимали участие следующие специалисты:</w:t>
      </w:r>
    </w:p>
    <w:p w:rsidR="00C12562" w:rsidRDefault="00C12562" w:rsidP="005F04AC">
      <w:pPr>
        <w:pStyle w:val="aff2"/>
        <w:numPr>
          <w:ilvl w:val="0"/>
          <w:numId w:val="16"/>
        </w:numPr>
        <w:spacing w:before="100" w:after="100"/>
        <w:contextualSpacing w:val="0"/>
        <w:jc w:val="both"/>
        <w:rPr>
          <w:rFonts w:ascii="Bookman Old Style" w:hAnsi="Bookman Old Style"/>
          <w:sz w:val="20"/>
          <w:szCs w:val="20"/>
        </w:rPr>
      </w:pPr>
      <w:bookmarkStart w:id="101" w:name="_Toc304994724"/>
      <w:bookmarkStart w:id="102" w:name="_Toc307216804"/>
      <w:bookmarkStart w:id="103" w:name="_Toc307484742"/>
      <w:bookmarkStart w:id="104" w:name="_Toc309744716"/>
      <w:bookmarkStart w:id="105" w:name="_Toc309820412"/>
      <w:bookmarkStart w:id="106" w:name="_Toc311124872"/>
      <w:bookmarkStart w:id="107" w:name="_Toc304994728"/>
      <w:bookmarkStart w:id="108" w:name="_Toc307216808"/>
      <w:bookmarkStart w:id="109" w:name="_Toc307484746"/>
      <w:bookmarkStart w:id="110" w:name="_Toc309744720"/>
      <w:bookmarkStart w:id="111" w:name="_Toc309820416"/>
      <w:bookmarkStart w:id="112" w:name="_Toc311124876"/>
      <w:r w:rsidRPr="00D0599A">
        <w:rPr>
          <w:rFonts w:ascii="Bookman Old Style" w:hAnsi="Bookman Old Style"/>
          <w:sz w:val="20"/>
          <w:szCs w:val="20"/>
        </w:rPr>
        <w:t>Золотарев Олег Сергеевич;</w:t>
      </w:r>
    </w:p>
    <w:p w:rsidR="00C12562" w:rsidRPr="00D0599A" w:rsidRDefault="00C12562" w:rsidP="005F178F">
      <w:pPr>
        <w:pStyle w:val="aff2"/>
        <w:spacing w:before="100" w:after="100"/>
        <w:contextualSpacing w:val="0"/>
        <w:jc w:val="both"/>
        <w:rPr>
          <w:rFonts w:ascii="Bookman Old Style" w:hAnsi="Bookman Old Style"/>
          <w:sz w:val="20"/>
          <w:szCs w:val="20"/>
        </w:rPr>
      </w:pPr>
      <w:r w:rsidRPr="00D0599A">
        <w:rPr>
          <w:rFonts w:ascii="Bookman Old Style" w:hAnsi="Bookman Old Style"/>
          <w:sz w:val="20"/>
          <w:szCs w:val="20"/>
        </w:rPr>
        <w:t>Местонахождение оценщика:</w:t>
      </w:r>
    </w:p>
    <w:p w:rsidR="00C12562" w:rsidRPr="00D0599A" w:rsidRDefault="00C12562" w:rsidP="005F04AC">
      <w:pPr>
        <w:pStyle w:val="aff2"/>
        <w:numPr>
          <w:ilvl w:val="0"/>
          <w:numId w:val="16"/>
        </w:numPr>
        <w:spacing w:before="100" w:after="100"/>
        <w:contextualSpacing w:val="0"/>
        <w:jc w:val="both"/>
        <w:rPr>
          <w:rFonts w:ascii="Bookman Old Style" w:hAnsi="Bookman Old Style"/>
          <w:sz w:val="20"/>
          <w:szCs w:val="20"/>
        </w:rPr>
      </w:pPr>
      <w:r w:rsidRPr="00D0599A">
        <w:rPr>
          <w:rFonts w:ascii="Bookman Old Style" w:hAnsi="Bookman Old Style"/>
          <w:sz w:val="20"/>
          <w:szCs w:val="20"/>
        </w:rPr>
        <w:t>660017, Россия, Красноярский край, г. Красноярск, ул. Бограда, д. 92 офис 207</w:t>
      </w:r>
    </w:p>
    <w:p w:rsidR="00C12562" w:rsidRPr="00D0599A" w:rsidRDefault="00C12562" w:rsidP="005F178F">
      <w:pPr>
        <w:pStyle w:val="aff2"/>
        <w:spacing w:before="100" w:after="100"/>
        <w:contextualSpacing w:val="0"/>
        <w:jc w:val="both"/>
        <w:rPr>
          <w:rFonts w:ascii="Bookman Old Style" w:hAnsi="Bookman Old Style"/>
          <w:sz w:val="20"/>
          <w:szCs w:val="20"/>
        </w:rPr>
      </w:pPr>
      <w:r w:rsidRPr="00D0599A">
        <w:rPr>
          <w:rFonts w:ascii="Bookman Old Style" w:hAnsi="Bookman Old Style"/>
          <w:sz w:val="20"/>
          <w:szCs w:val="20"/>
        </w:rPr>
        <w:t xml:space="preserve">Место работы: </w:t>
      </w:r>
    </w:p>
    <w:p w:rsidR="00C12562" w:rsidRPr="00D0599A" w:rsidRDefault="00C12562" w:rsidP="005F04AC">
      <w:pPr>
        <w:pStyle w:val="aff2"/>
        <w:numPr>
          <w:ilvl w:val="0"/>
          <w:numId w:val="16"/>
        </w:numPr>
        <w:spacing w:before="100" w:after="100"/>
        <w:contextualSpacing w:val="0"/>
        <w:jc w:val="both"/>
        <w:rPr>
          <w:rFonts w:ascii="Bookman Old Style" w:hAnsi="Bookman Old Style"/>
          <w:sz w:val="20"/>
          <w:szCs w:val="20"/>
        </w:rPr>
      </w:pPr>
      <w:r w:rsidRPr="00D0599A">
        <w:rPr>
          <w:rFonts w:ascii="Bookman Old Style" w:hAnsi="Bookman Old Style"/>
          <w:sz w:val="20"/>
          <w:szCs w:val="20"/>
        </w:rPr>
        <w:t>ООО «АОС «Золотое правило» на основании трудового договора № 01 от 05 ноября 2008 года;</w:t>
      </w:r>
    </w:p>
    <w:p w:rsidR="00C12562" w:rsidRPr="00D0599A" w:rsidRDefault="00C12562" w:rsidP="005F178F">
      <w:pPr>
        <w:pStyle w:val="aff2"/>
        <w:spacing w:before="100" w:after="100"/>
        <w:contextualSpacing w:val="0"/>
        <w:jc w:val="both"/>
        <w:rPr>
          <w:rFonts w:ascii="Bookman Old Style" w:hAnsi="Bookman Old Style"/>
          <w:sz w:val="20"/>
          <w:szCs w:val="20"/>
        </w:rPr>
      </w:pPr>
      <w:r w:rsidRPr="00D0599A">
        <w:rPr>
          <w:rFonts w:ascii="Bookman Old Style" w:hAnsi="Bookman Old Style"/>
          <w:sz w:val="20"/>
          <w:szCs w:val="20"/>
        </w:rPr>
        <w:t xml:space="preserve">Членство СРО: </w:t>
      </w:r>
    </w:p>
    <w:p w:rsidR="00C12562" w:rsidRPr="00D0599A" w:rsidRDefault="00C12562" w:rsidP="005F04AC">
      <w:pPr>
        <w:pStyle w:val="aff2"/>
        <w:numPr>
          <w:ilvl w:val="0"/>
          <w:numId w:val="16"/>
        </w:numPr>
        <w:spacing w:before="100" w:after="100"/>
        <w:contextualSpacing w:val="0"/>
        <w:jc w:val="both"/>
        <w:rPr>
          <w:rFonts w:ascii="Bookman Old Style" w:hAnsi="Bookman Old Style"/>
          <w:sz w:val="20"/>
          <w:szCs w:val="20"/>
        </w:rPr>
      </w:pPr>
      <w:r w:rsidRPr="00D0599A">
        <w:rPr>
          <w:rFonts w:ascii="Bookman Old Style" w:hAnsi="Bookman Old Style"/>
          <w:sz w:val="20"/>
          <w:szCs w:val="20"/>
        </w:rPr>
        <w:t xml:space="preserve">Член саморегулируемой организации оценщиков (Выписка из реестра № </w:t>
      </w:r>
      <w:r>
        <w:rPr>
          <w:rFonts w:ascii="Bookman Old Style" w:hAnsi="Bookman Old Style"/>
          <w:sz w:val="20"/>
          <w:szCs w:val="20"/>
        </w:rPr>
        <w:t>1148 от 30</w:t>
      </w:r>
      <w:r w:rsidRPr="00D0599A">
        <w:rPr>
          <w:rFonts w:ascii="Bookman Old Style" w:hAnsi="Bookman Old Style"/>
          <w:sz w:val="20"/>
          <w:szCs w:val="20"/>
        </w:rPr>
        <w:t xml:space="preserve"> </w:t>
      </w:r>
      <w:r>
        <w:rPr>
          <w:rFonts w:ascii="Bookman Old Style" w:hAnsi="Bookman Old Style"/>
          <w:sz w:val="20"/>
          <w:szCs w:val="20"/>
        </w:rPr>
        <w:t>декабря 2014</w:t>
      </w:r>
      <w:r w:rsidRPr="00D0599A">
        <w:rPr>
          <w:rFonts w:ascii="Bookman Old Style" w:hAnsi="Bookman Old Style"/>
          <w:sz w:val="20"/>
          <w:szCs w:val="20"/>
        </w:rPr>
        <w:t xml:space="preserve"> года), регистрационный номер 0084</w:t>
      </w:r>
      <w:r>
        <w:rPr>
          <w:rFonts w:ascii="Bookman Old Style" w:hAnsi="Bookman Old Style"/>
          <w:sz w:val="20"/>
          <w:szCs w:val="20"/>
        </w:rPr>
        <w:t xml:space="preserve">8 – Некоммерческое партнерство </w:t>
      </w:r>
      <w:r w:rsidRPr="00D0599A">
        <w:rPr>
          <w:rFonts w:ascii="Bookman Old Style" w:hAnsi="Bookman Old Style"/>
          <w:sz w:val="20"/>
          <w:szCs w:val="20"/>
        </w:rPr>
        <w:t>Саморегулируемая организация «Национальная коллегия специалистов-оценщиков» (запись в реестр ФРС № 0006 от «19» декабря 2007 г.), имеющей место нахождения: 119017, г. Москва, Малая Ордынка, дом 13, строение 3;</w:t>
      </w:r>
    </w:p>
    <w:p w:rsidR="00C12562" w:rsidRPr="00D0599A" w:rsidRDefault="00C12562" w:rsidP="005F178F">
      <w:pPr>
        <w:pStyle w:val="aff2"/>
        <w:spacing w:before="100" w:after="100"/>
        <w:contextualSpacing w:val="0"/>
        <w:jc w:val="both"/>
        <w:rPr>
          <w:rFonts w:ascii="Bookman Old Style" w:hAnsi="Bookman Old Style"/>
          <w:sz w:val="20"/>
          <w:szCs w:val="20"/>
        </w:rPr>
      </w:pPr>
      <w:r w:rsidRPr="00D0599A">
        <w:rPr>
          <w:rFonts w:ascii="Bookman Old Style" w:hAnsi="Bookman Old Style"/>
          <w:sz w:val="20"/>
          <w:szCs w:val="20"/>
        </w:rPr>
        <w:t>Сведения о страховании:</w:t>
      </w:r>
    </w:p>
    <w:p w:rsidR="00C12562" w:rsidRPr="00C12562" w:rsidRDefault="00C12562" w:rsidP="005F04AC">
      <w:pPr>
        <w:pStyle w:val="aff2"/>
        <w:numPr>
          <w:ilvl w:val="0"/>
          <w:numId w:val="16"/>
        </w:numPr>
        <w:spacing w:before="100" w:after="100"/>
        <w:contextualSpacing w:val="0"/>
        <w:jc w:val="both"/>
        <w:rPr>
          <w:rFonts w:ascii="Bookman Old Style" w:hAnsi="Bookman Old Style"/>
          <w:sz w:val="20"/>
          <w:szCs w:val="20"/>
        </w:rPr>
      </w:pPr>
      <w:r w:rsidRPr="00C12562">
        <w:rPr>
          <w:rFonts w:ascii="Bookman Old Style" w:hAnsi="Bookman Old Style"/>
          <w:sz w:val="20"/>
          <w:szCs w:val="20"/>
        </w:rPr>
        <w:t>Полис № 881911107 от 15 января 2016 года в ОСАО «РЕСО-Гарантия», срок действия с «25» января 2015 года по «24» января 2017 года, страховая сумма 10 000 000 (десять миллионов) рублей.</w:t>
      </w:r>
      <w:bookmarkEnd w:id="101"/>
      <w:bookmarkEnd w:id="102"/>
      <w:bookmarkEnd w:id="103"/>
      <w:bookmarkEnd w:id="104"/>
      <w:bookmarkEnd w:id="105"/>
      <w:bookmarkEnd w:id="106"/>
    </w:p>
    <w:p w:rsidR="00C12562" w:rsidRPr="00927057" w:rsidRDefault="00C12562" w:rsidP="005F178F">
      <w:pPr>
        <w:spacing w:before="100" w:after="100"/>
        <w:ind w:firstLine="709"/>
        <w:rPr>
          <w:rFonts w:ascii="Bookman Old Style" w:hAnsi="Bookman Old Style"/>
          <w:sz w:val="20"/>
          <w:szCs w:val="20"/>
        </w:rPr>
      </w:pPr>
      <w:bookmarkStart w:id="113" w:name="_Toc304994725"/>
      <w:bookmarkStart w:id="114" w:name="_Toc307216805"/>
      <w:bookmarkStart w:id="115" w:name="_Toc307484743"/>
      <w:bookmarkStart w:id="116" w:name="_Toc309744717"/>
      <w:bookmarkStart w:id="117" w:name="_Toc309820413"/>
      <w:bookmarkStart w:id="118" w:name="_Toc311124873"/>
      <w:r w:rsidRPr="00927057">
        <w:rPr>
          <w:rFonts w:ascii="Bookman Old Style" w:hAnsi="Bookman Old Style"/>
          <w:sz w:val="20"/>
          <w:szCs w:val="20"/>
        </w:rPr>
        <w:t>Сведения об образовании:</w:t>
      </w:r>
      <w:bookmarkEnd w:id="113"/>
      <w:bookmarkEnd w:id="114"/>
      <w:bookmarkEnd w:id="115"/>
      <w:bookmarkEnd w:id="116"/>
      <w:bookmarkEnd w:id="117"/>
      <w:bookmarkEnd w:id="118"/>
      <w:r w:rsidRPr="00927057">
        <w:rPr>
          <w:rFonts w:ascii="Bookman Old Style" w:hAnsi="Bookman Old Style"/>
          <w:sz w:val="20"/>
          <w:szCs w:val="20"/>
        </w:rPr>
        <w:t xml:space="preserve"> </w:t>
      </w:r>
    </w:p>
    <w:p w:rsidR="00C12562" w:rsidRDefault="00C12562" w:rsidP="005F04AC">
      <w:pPr>
        <w:pStyle w:val="aff2"/>
        <w:numPr>
          <w:ilvl w:val="0"/>
          <w:numId w:val="16"/>
        </w:numPr>
        <w:spacing w:before="100" w:after="100"/>
        <w:contextualSpacing w:val="0"/>
        <w:rPr>
          <w:rFonts w:ascii="Bookman Old Style" w:hAnsi="Bookman Old Style"/>
          <w:sz w:val="20"/>
          <w:szCs w:val="20"/>
        </w:rPr>
      </w:pPr>
      <w:bookmarkStart w:id="119" w:name="_Toc304994726"/>
      <w:bookmarkStart w:id="120" w:name="_Toc307216806"/>
      <w:bookmarkStart w:id="121" w:name="_Toc307484744"/>
      <w:bookmarkStart w:id="122" w:name="_Toc309744718"/>
      <w:bookmarkStart w:id="123" w:name="_Toc309820414"/>
      <w:bookmarkStart w:id="124" w:name="_Toc311124874"/>
      <w:r w:rsidRPr="00EE5051">
        <w:rPr>
          <w:rFonts w:ascii="Bookman Old Style" w:hAnsi="Bookman Old Style"/>
          <w:sz w:val="20"/>
          <w:szCs w:val="20"/>
        </w:rPr>
        <w:t>Диплом о профессиональной переподготовке, серия ПП № 147828, выдан 31.05.2011 года ФГАУ ВПО «СФУ»;</w:t>
      </w:r>
      <w:bookmarkEnd w:id="119"/>
      <w:bookmarkEnd w:id="120"/>
      <w:bookmarkEnd w:id="121"/>
      <w:bookmarkEnd w:id="122"/>
      <w:bookmarkEnd w:id="123"/>
      <w:bookmarkEnd w:id="124"/>
    </w:p>
    <w:p w:rsidR="00C12562" w:rsidRPr="00927057" w:rsidRDefault="00C12562" w:rsidP="005F178F">
      <w:pPr>
        <w:spacing w:before="100" w:after="100"/>
        <w:ind w:firstLine="709"/>
        <w:rPr>
          <w:rFonts w:ascii="Bookman Old Style" w:hAnsi="Bookman Old Style"/>
          <w:sz w:val="20"/>
          <w:szCs w:val="20"/>
        </w:rPr>
      </w:pPr>
      <w:bookmarkStart w:id="125" w:name="_Toc304994727"/>
      <w:bookmarkStart w:id="126" w:name="_Toc307216807"/>
      <w:bookmarkStart w:id="127" w:name="_Toc307484745"/>
      <w:bookmarkStart w:id="128" w:name="_Toc309744719"/>
      <w:bookmarkStart w:id="129" w:name="_Toc309820415"/>
      <w:bookmarkStart w:id="130" w:name="_Toc311124875"/>
      <w:r w:rsidRPr="00927057">
        <w:rPr>
          <w:rFonts w:ascii="Bookman Old Style" w:hAnsi="Bookman Old Style"/>
          <w:sz w:val="20"/>
          <w:szCs w:val="20"/>
        </w:rPr>
        <w:t>Стаж работы:</w:t>
      </w:r>
      <w:bookmarkEnd w:id="125"/>
      <w:bookmarkEnd w:id="126"/>
      <w:bookmarkEnd w:id="127"/>
      <w:bookmarkEnd w:id="128"/>
      <w:bookmarkEnd w:id="129"/>
      <w:bookmarkEnd w:id="130"/>
      <w:r w:rsidRPr="00927057">
        <w:rPr>
          <w:rFonts w:ascii="Bookman Old Style" w:hAnsi="Bookman Old Style"/>
          <w:sz w:val="20"/>
          <w:szCs w:val="20"/>
        </w:rPr>
        <w:t xml:space="preserve"> </w:t>
      </w:r>
    </w:p>
    <w:p w:rsidR="008B6BBE" w:rsidRPr="00EE5051" w:rsidRDefault="00C12562" w:rsidP="005F04AC">
      <w:pPr>
        <w:pStyle w:val="aff2"/>
        <w:numPr>
          <w:ilvl w:val="0"/>
          <w:numId w:val="16"/>
        </w:numPr>
        <w:spacing w:before="100" w:after="100"/>
        <w:contextualSpacing w:val="0"/>
        <w:rPr>
          <w:rFonts w:ascii="Bookman Old Style" w:hAnsi="Bookman Old Style"/>
          <w:sz w:val="20"/>
          <w:szCs w:val="20"/>
        </w:rPr>
      </w:pPr>
      <w:r>
        <w:rPr>
          <w:rFonts w:ascii="Bookman Old Style" w:hAnsi="Bookman Old Style"/>
          <w:sz w:val="20"/>
          <w:szCs w:val="20"/>
        </w:rPr>
        <w:t>12</w:t>
      </w:r>
      <w:r w:rsidRPr="00EE5051">
        <w:rPr>
          <w:rFonts w:ascii="Bookman Old Style" w:hAnsi="Bookman Old Style"/>
          <w:sz w:val="20"/>
          <w:szCs w:val="20"/>
        </w:rPr>
        <w:t xml:space="preserve"> </w:t>
      </w:r>
      <w:r>
        <w:rPr>
          <w:rFonts w:ascii="Bookman Old Style" w:hAnsi="Bookman Old Style"/>
          <w:sz w:val="20"/>
          <w:szCs w:val="20"/>
        </w:rPr>
        <w:t>лет</w:t>
      </w:r>
      <w:r w:rsidR="008B6BBE" w:rsidRPr="00EE5051">
        <w:rPr>
          <w:rFonts w:ascii="Bookman Old Style" w:hAnsi="Bookman Old Style"/>
          <w:sz w:val="20"/>
          <w:szCs w:val="20"/>
        </w:rPr>
        <w:t>.</w:t>
      </w:r>
      <w:bookmarkEnd w:id="107"/>
      <w:bookmarkEnd w:id="108"/>
      <w:bookmarkEnd w:id="109"/>
      <w:bookmarkEnd w:id="110"/>
      <w:bookmarkEnd w:id="111"/>
      <w:bookmarkEnd w:id="112"/>
    </w:p>
    <w:p w:rsidR="00FB24F6" w:rsidRPr="00CB3B2A" w:rsidRDefault="00FB24F6" w:rsidP="005F178F">
      <w:pPr>
        <w:spacing w:before="100" w:after="100"/>
        <w:ind w:left="709"/>
        <w:jc w:val="both"/>
        <w:rPr>
          <w:rFonts w:ascii="Bookman Old Style" w:hAnsi="Bookman Old Style"/>
          <w:sz w:val="20"/>
          <w:szCs w:val="20"/>
        </w:rPr>
      </w:pPr>
      <w:r w:rsidRPr="00CB3B2A">
        <w:rPr>
          <w:rFonts w:ascii="Bookman Old Style" w:hAnsi="Bookman Old Style"/>
          <w:sz w:val="20"/>
          <w:szCs w:val="20"/>
        </w:rPr>
        <w:t>Степень участия в проведении оценки:</w:t>
      </w:r>
    </w:p>
    <w:p w:rsidR="00FB24F6" w:rsidRPr="008B6BBE" w:rsidRDefault="009240E6" w:rsidP="005F178F">
      <w:pPr>
        <w:pStyle w:val="aff2"/>
        <w:numPr>
          <w:ilvl w:val="0"/>
          <w:numId w:val="5"/>
        </w:numPr>
        <w:spacing w:before="100" w:after="100"/>
        <w:contextualSpacing w:val="0"/>
        <w:jc w:val="both"/>
        <w:rPr>
          <w:rFonts w:ascii="Bookman Old Style" w:hAnsi="Bookman Old Style"/>
          <w:sz w:val="20"/>
          <w:szCs w:val="20"/>
        </w:rPr>
      </w:pPr>
      <w:r>
        <w:rPr>
          <w:rFonts w:ascii="Bookman Old Style" w:hAnsi="Bookman Old Style"/>
          <w:sz w:val="20"/>
          <w:szCs w:val="20"/>
        </w:rPr>
        <w:t xml:space="preserve">Осмотр элементов Объекта оценки. </w:t>
      </w:r>
      <w:r w:rsidR="001A49DD">
        <w:rPr>
          <w:rFonts w:ascii="Bookman Old Style" w:hAnsi="Bookman Old Style"/>
          <w:sz w:val="20"/>
          <w:szCs w:val="20"/>
        </w:rPr>
        <w:t>А</w:t>
      </w:r>
      <w:r w:rsidR="00FB24F6" w:rsidRPr="008B6BBE">
        <w:rPr>
          <w:rFonts w:ascii="Bookman Old Style" w:hAnsi="Bookman Old Style"/>
          <w:sz w:val="20"/>
          <w:szCs w:val="20"/>
        </w:rPr>
        <w:t>нализ и обработка информации полученной в ходе проведения оценочной работы,</w:t>
      </w:r>
      <w:r w:rsidR="00130E77" w:rsidRPr="00130E77">
        <w:rPr>
          <w:rFonts w:ascii="Bookman Old Style" w:hAnsi="Bookman Old Style"/>
          <w:sz w:val="20"/>
          <w:szCs w:val="20"/>
        </w:rPr>
        <w:t xml:space="preserve"> </w:t>
      </w:r>
      <w:r w:rsidR="00130E77">
        <w:rPr>
          <w:rFonts w:ascii="Bookman Old Style" w:hAnsi="Bookman Old Style"/>
          <w:sz w:val="20"/>
          <w:szCs w:val="20"/>
        </w:rPr>
        <w:t>п</w:t>
      </w:r>
      <w:r w:rsidR="00130E77" w:rsidRPr="00130E77">
        <w:rPr>
          <w:rFonts w:ascii="Bookman Old Style" w:hAnsi="Bookman Old Style"/>
          <w:sz w:val="20"/>
          <w:szCs w:val="20"/>
        </w:rPr>
        <w:t>рименение подходов к оценке, включая выбор методов оценки и осуществление необходимых расчетов</w:t>
      </w:r>
      <w:r w:rsidR="00FB24F6" w:rsidRPr="008B6BBE">
        <w:rPr>
          <w:rFonts w:ascii="Bookman Old Style" w:hAnsi="Bookman Old Style"/>
          <w:sz w:val="20"/>
          <w:szCs w:val="20"/>
        </w:rPr>
        <w:t xml:space="preserve"> рыночной стоимости в соответствии с заданием на оценку, составление отчета об оценке.</w:t>
      </w:r>
    </w:p>
    <w:p w:rsidR="0020767B" w:rsidRPr="00E547F6" w:rsidRDefault="0020767B" w:rsidP="005F178F">
      <w:pPr>
        <w:pStyle w:val="3"/>
        <w:spacing w:before="100" w:after="100"/>
        <w:rPr>
          <w:rFonts w:ascii="Bookman Old Style" w:hAnsi="Bookman Old Style"/>
          <w:sz w:val="20"/>
          <w:szCs w:val="20"/>
        </w:rPr>
      </w:pPr>
      <w:bookmarkStart w:id="131" w:name="_Toc461375549"/>
      <w:r w:rsidRPr="000F5FD9">
        <w:rPr>
          <w:rFonts w:ascii="Bookman Old Style" w:hAnsi="Bookman Old Style"/>
          <w:sz w:val="20"/>
          <w:szCs w:val="20"/>
        </w:rPr>
        <w:t>1.3.4. Сведения о привлекаемых специалистах</w:t>
      </w:r>
      <w:bookmarkEnd w:id="56"/>
      <w:bookmarkEnd w:id="57"/>
      <w:bookmarkEnd w:id="58"/>
      <w:bookmarkEnd w:id="59"/>
      <w:bookmarkEnd w:id="131"/>
    </w:p>
    <w:p w:rsidR="001873C1" w:rsidRDefault="001873C1" w:rsidP="005F178F">
      <w:pPr>
        <w:spacing w:before="100" w:after="100"/>
        <w:jc w:val="both"/>
        <w:rPr>
          <w:rFonts w:ascii="Bookman Old Style" w:hAnsi="Bookman Old Style"/>
          <w:sz w:val="20"/>
          <w:szCs w:val="20"/>
        </w:rPr>
      </w:pPr>
      <w:r>
        <w:rPr>
          <w:rFonts w:ascii="Bookman Old Style" w:hAnsi="Bookman Old Style"/>
          <w:sz w:val="20"/>
          <w:szCs w:val="20"/>
        </w:rPr>
        <w:tab/>
      </w:r>
      <w:r w:rsidR="00C12562" w:rsidRPr="00C12562">
        <w:rPr>
          <w:rFonts w:ascii="Bookman Old Style" w:hAnsi="Bookman Old Style"/>
          <w:sz w:val="20"/>
          <w:szCs w:val="20"/>
        </w:rPr>
        <w:t>При составлении настоящего отчета, сторонние специалисты и экспертные организации привлечены не были</w:t>
      </w:r>
      <w:r>
        <w:rPr>
          <w:rFonts w:ascii="Bookman Old Style" w:hAnsi="Bookman Old Style"/>
          <w:sz w:val="20"/>
          <w:szCs w:val="20"/>
        </w:rPr>
        <w:t>.</w:t>
      </w:r>
      <w:r w:rsidR="00C12562">
        <w:rPr>
          <w:rFonts w:ascii="Bookman Old Style" w:hAnsi="Bookman Old Style"/>
          <w:sz w:val="20"/>
          <w:szCs w:val="20"/>
        </w:rPr>
        <w:t xml:space="preserve">  </w:t>
      </w:r>
    </w:p>
    <w:p w:rsidR="006A5323" w:rsidRPr="00D7010B" w:rsidRDefault="006A5323" w:rsidP="005F178F">
      <w:pPr>
        <w:pStyle w:val="2"/>
        <w:spacing w:before="100" w:after="100"/>
        <w:rPr>
          <w:rFonts w:ascii="Bookman Old Style" w:hAnsi="Bookman Old Style"/>
          <w:b/>
          <w:sz w:val="20"/>
          <w:szCs w:val="20"/>
        </w:rPr>
      </w:pPr>
      <w:bookmarkStart w:id="132" w:name="_Toc461375550"/>
      <w:r w:rsidRPr="00D7010B">
        <w:rPr>
          <w:rFonts w:ascii="Bookman Old Style" w:hAnsi="Bookman Old Style"/>
          <w:b/>
          <w:sz w:val="20"/>
          <w:szCs w:val="20"/>
        </w:rPr>
        <w:t xml:space="preserve">1.4. </w:t>
      </w:r>
      <w:bookmarkEnd w:id="60"/>
      <w:r w:rsidRPr="00D7010B">
        <w:rPr>
          <w:rFonts w:ascii="Bookman Old Style" w:hAnsi="Bookman Old Style"/>
          <w:b/>
          <w:sz w:val="20"/>
          <w:szCs w:val="20"/>
        </w:rPr>
        <w:t>ДОПУЩЕНИЯ И ОГРАНИЧИТЕЛЬНЫЕ УСЛОВИЯ</w:t>
      </w:r>
      <w:bookmarkEnd w:id="61"/>
      <w:bookmarkEnd w:id="62"/>
      <w:bookmarkEnd w:id="132"/>
    </w:p>
    <w:p w:rsidR="006A5323" w:rsidRPr="00FB22D3" w:rsidRDefault="006A5323" w:rsidP="005F178F">
      <w:pPr>
        <w:autoSpaceDE w:val="0"/>
        <w:autoSpaceDN w:val="0"/>
        <w:adjustRightInd w:val="0"/>
        <w:spacing w:before="100" w:after="100"/>
        <w:ind w:firstLine="709"/>
        <w:jc w:val="both"/>
        <w:rPr>
          <w:rFonts w:ascii="Bookman Old Style" w:hAnsi="Bookman Old Style"/>
          <w:color w:val="000000"/>
          <w:sz w:val="20"/>
          <w:szCs w:val="20"/>
        </w:rPr>
      </w:pPr>
      <w:r w:rsidRPr="00FB22D3">
        <w:rPr>
          <w:rFonts w:ascii="Bookman Old Style" w:hAnsi="Bookman Old Style"/>
          <w:color w:val="000000"/>
          <w:sz w:val="20"/>
          <w:szCs w:val="20"/>
        </w:rPr>
        <w:t xml:space="preserve">Выводы и </w:t>
      </w:r>
      <w:proofErr w:type="gramStart"/>
      <w:r w:rsidRPr="00FB22D3">
        <w:rPr>
          <w:rFonts w:ascii="Bookman Old Style" w:hAnsi="Bookman Old Style"/>
          <w:color w:val="000000"/>
          <w:sz w:val="20"/>
          <w:szCs w:val="20"/>
        </w:rPr>
        <w:t>заключения, сделанные Оценщиком в настоящем Отчете</w:t>
      </w:r>
      <w:r w:rsidR="003D346F">
        <w:rPr>
          <w:rFonts w:ascii="Bookman Old Style" w:hAnsi="Bookman Old Style"/>
          <w:color w:val="000000"/>
          <w:sz w:val="20"/>
          <w:szCs w:val="20"/>
        </w:rPr>
        <w:t xml:space="preserve"> об оценке</w:t>
      </w:r>
      <w:r w:rsidRPr="00FB22D3">
        <w:rPr>
          <w:rFonts w:ascii="Bookman Old Style" w:hAnsi="Bookman Old Style"/>
          <w:color w:val="000000"/>
          <w:sz w:val="20"/>
          <w:szCs w:val="20"/>
        </w:rPr>
        <w:t xml:space="preserve"> ограничиваются</w:t>
      </w:r>
      <w:proofErr w:type="gramEnd"/>
      <w:r w:rsidRPr="00FB22D3">
        <w:rPr>
          <w:rFonts w:ascii="Bookman Old Style" w:hAnsi="Bookman Old Style"/>
          <w:color w:val="000000"/>
          <w:sz w:val="20"/>
          <w:szCs w:val="20"/>
        </w:rPr>
        <w:t xml:space="preserve"> следующими условиями и положениями:</w:t>
      </w:r>
    </w:p>
    <w:p w:rsidR="009240E6" w:rsidRPr="00FB22D3" w:rsidRDefault="009240E6" w:rsidP="005F178F">
      <w:pPr>
        <w:numPr>
          <w:ilvl w:val="0"/>
          <w:numId w:val="3"/>
        </w:numPr>
        <w:spacing w:before="100" w:after="100"/>
        <w:jc w:val="both"/>
        <w:rPr>
          <w:rFonts w:ascii="Bookman Old Style" w:hAnsi="Bookman Old Style"/>
          <w:sz w:val="20"/>
          <w:szCs w:val="20"/>
        </w:rPr>
      </w:pPr>
      <w:bookmarkStart w:id="133" w:name="_Toc197327042"/>
      <w:bookmarkStart w:id="134" w:name="_Toc200179621"/>
      <w:r w:rsidRPr="00FB22D3">
        <w:rPr>
          <w:rFonts w:ascii="Bookman Old Style" w:hAnsi="Bookman Old Style"/>
          <w:sz w:val="20"/>
          <w:szCs w:val="20"/>
        </w:rPr>
        <w:t>При определении стоимости Объекта оценки определялась расчетная величина цены Объекта оценки, определенная на дату оценки в соответствии с выбранным видом стоимости. Совершение сделки</w:t>
      </w:r>
      <w:r>
        <w:rPr>
          <w:rFonts w:ascii="Bookman Old Style" w:hAnsi="Bookman Old Style"/>
          <w:sz w:val="20"/>
          <w:szCs w:val="20"/>
        </w:rPr>
        <w:t xml:space="preserve"> с О</w:t>
      </w:r>
      <w:r w:rsidRPr="00FB22D3">
        <w:rPr>
          <w:rFonts w:ascii="Bookman Old Style" w:hAnsi="Bookman Old Style"/>
          <w:sz w:val="20"/>
          <w:szCs w:val="20"/>
        </w:rPr>
        <w:t>бъектом оценки не является необходимым условием для установления его стоимости.</w:t>
      </w:r>
    </w:p>
    <w:p w:rsidR="009240E6" w:rsidRPr="00FB22D3" w:rsidRDefault="009240E6" w:rsidP="005F178F">
      <w:pPr>
        <w:numPr>
          <w:ilvl w:val="0"/>
          <w:numId w:val="3"/>
        </w:numPr>
        <w:suppressAutoHyphens/>
        <w:spacing w:before="100" w:after="100"/>
        <w:jc w:val="both"/>
        <w:rPr>
          <w:rFonts w:ascii="Bookman Old Style" w:hAnsi="Bookman Old Style"/>
          <w:sz w:val="20"/>
          <w:szCs w:val="20"/>
        </w:rPr>
      </w:pPr>
      <w:r w:rsidRPr="00FB22D3">
        <w:rPr>
          <w:rFonts w:ascii="Bookman Old Style" w:hAnsi="Bookman Old Style"/>
          <w:sz w:val="20"/>
          <w:szCs w:val="20"/>
        </w:rPr>
        <w:t>Оценщик осуществил сбор и анализ информации, нео</w:t>
      </w:r>
      <w:r>
        <w:rPr>
          <w:rFonts w:ascii="Bookman Old Style" w:hAnsi="Bookman Old Style"/>
          <w:sz w:val="20"/>
          <w:szCs w:val="20"/>
        </w:rPr>
        <w:t>бходимой для проведения оценки О</w:t>
      </w:r>
      <w:r w:rsidRPr="00FB22D3">
        <w:rPr>
          <w:rFonts w:ascii="Bookman Old Style" w:hAnsi="Bookman Old Style"/>
          <w:sz w:val="20"/>
          <w:szCs w:val="20"/>
        </w:rPr>
        <w:t>бъекта оценки. Были изучены количественные и качественные характеристики Объекта оценки, собрана информация, существенная для определения стоимости Объекта оценки теми подходами и методами, которые на основании суждения оценщика были применены при проведении оценки.</w:t>
      </w:r>
    </w:p>
    <w:p w:rsidR="009240E6" w:rsidRPr="00FB22D3" w:rsidRDefault="009240E6" w:rsidP="005F178F">
      <w:pPr>
        <w:numPr>
          <w:ilvl w:val="0"/>
          <w:numId w:val="3"/>
        </w:numPr>
        <w:spacing w:before="100" w:after="100"/>
        <w:jc w:val="both"/>
        <w:rPr>
          <w:rFonts w:ascii="Bookman Old Style" w:hAnsi="Bookman Old Style"/>
          <w:sz w:val="20"/>
          <w:szCs w:val="20"/>
        </w:rPr>
      </w:pPr>
      <w:r w:rsidRPr="00FB22D3">
        <w:rPr>
          <w:rFonts w:ascii="Bookman Old Style" w:hAnsi="Bookman Old Style"/>
          <w:sz w:val="20"/>
          <w:szCs w:val="20"/>
        </w:rPr>
        <w:t>Информация, используемая при проведении оценки, удовлетворяет требованиям достаточности и достоверности. Оценщик провел анализ достаточности и достоверности информации, используя доступные ему для этого средства и методы.</w:t>
      </w:r>
    </w:p>
    <w:p w:rsidR="009240E6" w:rsidRPr="00FB22D3" w:rsidRDefault="009240E6" w:rsidP="005F178F">
      <w:pPr>
        <w:numPr>
          <w:ilvl w:val="0"/>
          <w:numId w:val="3"/>
        </w:numPr>
        <w:suppressAutoHyphens/>
        <w:spacing w:before="100" w:after="100"/>
        <w:jc w:val="both"/>
        <w:rPr>
          <w:rFonts w:ascii="Bookman Old Style" w:hAnsi="Bookman Old Style"/>
          <w:sz w:val="20"/>
          <w:szCs w:val="20"/>
        </w:rPr>
      </w:pPr>
      <w:r w:rsidRPr="00FB22D3">
        <w:rPr>
          <w:rFonts w:ascii="Bookman Old Style" w:hAnsi="Bookman Old Style"/>
          <w:color w:val="000000"/>
          <w:sz w:val="20"/>
          <w:szCs w:val="20"/>
        </w:rPr>
        <w:t>При проведении оценки предполагалось разумное владение и компетентное управление Объектом оценки. Оценщик не гарантирует и не несет ответственность за убытки и потери Заказчика, которые явились следствием мошенничества, общей халатности или неправомочных действий третьих лиц в отношении Объекта оценки.</w:t>
      </w:r>
    </w:p>
    <w:p w:rsidR="009240E6" w:rsidRPr="00FB22D3" w:rsidRDefault="009240E6" w:rsidP="005F178F">
      <w:pPr>
        <w:numPr>
          <w:ilvl w:val="0"/>
          <w:numId w:val="3"/>
        </w:numPr>
        <w:suppressAutoHyphens/>
        <w:autoSpaceDE w:val="0"/>
        <w:autoSpaceDN w:val="0"/>
        <w:adjustRightInd w:val="0"/>
        <w:spacing w:before="100" w:after="100"/>
        <w:jc w:val="both"/>
        <w:rPr>
          <w:rFonts w:ascii="Bookman Old Style" w:hAnsi="Bookman Old Style"/>
          <w:color w:val="000000"/>
          <w:sz w:val="20"/>
          <w:szCs w:val="20"/>
        </w:rPr>
      </w:pPr>
      <w:r w:rsidRPr="00FB22D3">
        <w:rPr>
          <w:rFonts w:ascii="Bookman Old Style" w:hAnsi="Bookman Old Style"/>
          <w:color w:val="000000"/>
          <w:sz w:val="20"/>
          <w:szCs w:val="20"/>
        </w:rPr>
        <w:lastRenderedPageBreak/>
        <w:t xml:space="preserve">Отчет об оценке содержит профессиональное мнение Оценщика относительно стоимости Объекта оценки в указанных целях и </w:t>
      </w:r>
      <w:r>
        <w:rPr>
          <w:rFonts w:ascii="Bookman Old Style" w:hAnsi="Bookman Old Style"/>
          <w:color w:val="000000"/>
          <w:sz w:val="20"/>
          <w:szCs w:val="20"/>
        </w:rPr>
        <w:t>по состоянию на указанную дату</w:t>
      </w:r>
      <w:r w:rsidRPr="00FB22D3">
        <w:rPr>
          <w:rFonts w:ascii="Bookman Old Style" w:hAnsi="Bookman Old Style"/>
          <w:color w:val="000000"/>
          <w:sz w:val="20"/>
          <w:szCs w:val="20"/>
        </w:rPr>
        <w:t xml:space="preserve"> оценки. </w:t>
      </w:r>
    </w:p>
    <w:p w:rsidR="009240E6" w:rsidRPr="00FB22D3" w:rsidRDefault="009240E6" w:rsidP="005F178F">
      <w:pPr>
        <w:numPr>
          <w:ilvl w:val="0"/>
          <w:numId w:val="3"/>
        </w:numPr>
        <w:suppressAutoHyphens/>
        <w:autoSpaceDE w:val="0"/>
        <w:autoSpaceDN w:val="0"/>
        <w:adjustRightInd w:val="0"/>
        <w:spacing w:before="100" w:after="100"/>
        <w:jc w:val="both"/>
        <w:rPr>
          <w:rFonts w:ascii="Bookman Old Style" w:hAnsi="Bookman Old Style"/>
          <w:color w:val="000000"/>
          <w:sz w:val="20"/>
          <w:szCs w:val="20"/>
        </w:rPr>
      </w:pPr>
      <w:r w:rsidRPr="00FB22D3">
        <w:rPr>
          <w:rFonts w:ascii="Bookman Old Style" w:hAnsi="Bookman Old Style"/>
          <w:color w:val="000000"/>
          <w:sz w:val="20"/>
          <w:szCs w:val="20"/>
        </w:rPr>
        <w:t>Оценщик не несет ответственности за возможный уще</w:t>
      </w:r>
      <w:proofErr w:type="gramStart"/>
      <w:r w:rsidRPr="00FB22D3">
        <w:rPr>
          <w:rFonts w:ascii="Bookman Old Style" w:hAnsi="Bookman Old Style"/>
          <w:color w:val="000000"/>
          <w:sz w:val="20"/>
          <w:szCs w:val="20"/>
        </w:rPr>
        <w:t>рб в сл</w:t>
      </w:r>
      <w:proofErr w:type="gramEnd"/>
      <w:r w:rsidRPr="00FB22D3">
        <w:rPr>
          <w:rFonts w:ascii="Bookman Old Style" w:hAnsi="Bookman Old Style"/>
          <w:color w:val="000000"/>
          <w:sz w:val="20"/>
          <w:szCs w:val="20"/>
        </w:rPr>
        <w:t>учае несанкционированного использования и распространения настоящего Отчета об оценке (или любой его части).</w:t>
      </w:r>
      <w:r w:rsidRPr="00FB22D3">
        <w:rPr>
          <w:rFonts w:ascii="Bookman Old Style" w:hAnsi="Bookman Old Style"/>
          <w:sz w:val="20"/>
          <w:szCs w:val="20"/>
        </w:rPr>
        <w:t xml:space="preserve"> </w:t>
      </w:r>
    </w:p>
    <w:p w:rsidR="009240E6" w:rsidRPr="005F32B3" w:rsidRDefault="009240E6" w:rsidP="005F178F">
      <w:pPr>
        <w:numPr>
          <w:ilvl w:val="0"/>
          <w:numId w:val="3"/>
        </w:numPr>
        <w:suppressAutoHyphens/>
        <w:autoSpaceDE w:val="0"/>
        <w:autoSpaceDN w:val="0"/>
        <w:adjustRightInd w:val="0"/>
        <w:spacing w:before="100" w:after="100"/>
        <w:jc w:val="both"/>
        <w:rPr>
          <w:rFonts w:ascii="Bookman Old Style" w:hAnsi="Bookman Old Style"/>
          <w:color w:val="000000"/>
          <w:sz w:val="20"/>
          <w:szCs w:val="20"/>
        </w:rPr>
      </w:pPr>
      <w:r w:rsidRPr="00FB22D3">
        <w:rPr>
          <w:rFonts w:ascii="Bookman Old Style" w:hAnsi="Bookman Old Style"/>
          <w:sz w:val="20"/>
          <w:szCs w:val="20"/>
        </w:rPr>
        <w:t>Результаты оценки стоимости Объекта оценки основываются на информации, существовавшей на Дату оценки, и могут быть признаны рекомендуемыми для целей совершения сделки с объектом оценки в течение 6 месяцев от даты составления отчета об оценке стоимости или даты предоставления публичной оферты.</w:t>
      </w:r>
    </w:p>
    <w:p w:rsidR="009240E6" w:rsidRDefault="009240E6" w:rsidP="005F178F">
      <w:pPr>
        <w:numPr>
          <w:ilvl w:val="0"/>
          <w:numId w:val="3"/>
        </w:numPr>
        <w:suppressAutoHyphens/>
        <w:autoSpaceDE w:val="0"/>
        <w:autoSpaceDN w:val="0"/>
        <w:adjustRightInd w:val="0"/>
        <w:spacing w:before="100" w:after="100"/>
        <w:jc w:val="both"/>
        <w:rPr>
          <w:rFonts w:ascii="Bookman Old Style" w:hAnsi="Bookman Old Style"/>
          <w:color w:val="000000"/>
          <w:sz w:val="20"/>
          <w:szCs w:val="20"/>
        </w:rPr>
      </w:pPr>
      <w:r w:rsidRPr="00FB22D3">
        <w:rPr>
          <w:rFonts w:ascii="Bookman Old Style" w:hAnsi="Bookman Old Style"/>
          <w:sz w:val="20"/>
          <w:szCs w:val="20"/>
        </w:rPr>
        <w:t>Оценщик не принимает на себя ответственность за последующие изменения социальных, экономических, юридических и природных условий, которые могут повлиять на стоимость Объекта оценки.</w:t>
      </w:r>
    </w:p>
    <w:p w:rsidR="009240E6" w:rsidRPr="00CB3B2A" w:rsidRDefault="009240E6" w:rsidP="005F178F">
      <w:pPr>
        <w:numPr>
          <w:ilvl w:val="0"/>
          <w:numId w:val="3"/>
        </w:numPr>
        <w:suppressAutoHyphens/>
        <w:autoSpaceDE w:val="0"/>
        <w:autoSpaceDN w:val="0"/>
        <w:adjustRightInd w:val="0"/>
        <w:spacing w:before="100" w:after="100"/>
        <w:jc w:val="both"/>
        <w:rPr>
          <w:rFonts w:ascii="Bookman Old Style" w:hAnsi="Bookman Old Style"/>
          <w:color w:val="000000"/>
          <w:sz w:val="20"/>
          <w:szCs w:val="20"/>
        </w:rPr>
      </w:pPr>
      <w:r w:rsidRPr="00CB3B2A">
        <w:rPr>
          <w:rFonts w:ascii="Bookman Old Style" w:hAnsi="Bookman Old Style"/>
          <w:color w:val="000000"/>
          <w:sz w:val="20"/>
          <w:szCs w:val="20"/>
        </w:rPr>
        <w:t>Запрещается публикация отчета целиком или по частям или публикация ссылок на отчет, данных, содержащихся в отчете, имени и профессиональной принадлежности оценщика без его письменного согласия.</w:t>
      </w:r>
    </w:p>
    <w:p w:rsidR="006A5323" w:rsidRPr="00833849" w:rsidRDefault="006A5323" w:rsidP="005F178F">
      <w:pPr>
        <w:pStyle w:val="2"/>
        <w:spacing w:before="100" w:after="100"/>
        <w:rPr>
          <w:rFonts w:ascii="Bookman Old Style" w:hAnsi="Bookman Old Style"/>
          <w:b/>
          <w:sz w:val="20"/>
          <w:szCs w:val="20"/>
        </w:rPr>
      </w:pPr>
      <w:bookmarkStart w:id="135" w:name="_Toc461375551"/>
      <w:r w:rsidRPr="00833849">
        <w:rPr>
          <w:rFonts w:ascii="Bookman Old Style" w:hAnsi="Bookman Old Style"/>
          <w:b/>
          <w:sz w:val="20"/>
          <w:szCs w:val="20"/>
        </w:rPr>
        <w:t>1.5. ПРИМЕНЯЕМЫЕ СТАНДАРТЫ ОЦЕНОЧНОЙ ДЕЯТЕЛЬНОСТИ</w:t>
      </w:r>
      <w:bookmarkEnd w:id="133"/>
      <w:bookmarkEnd w:id="134"/>
      <w:bookmarkEnd w:id="135"/>
    </w:p>
    <w:p w:rsidR="00AB1AEC" w:rsidRDefault="00130E77" w:rsidP="005F178F">
      <w:pPr>
        <w:autoSpaceDE w:val="0"/>
        <w:autoSpaceDN w:val="0"/>
        <w:adjustRightInd w:val="0"/>
        <w:spacing w:before="100" w:after="100"/>
        <w:ind w:firstLine="708"/>
        <w:jc w:val="both"/>
        <w:rPr>
          <w:rFonts w:ascii="Bookman Old Style" w:hAnsi="Bookman Old Style"/>
          <w:sz w:val="20"/>
          <w:szCs w:val="20"/>
        </w:rPr>
      </w:pPr>
      <w:bookmarkStart w:id="136" w:name="_Toc200193961"/>
      <w:r>
        <w:rPr>
          <w:rFonts w:ascii="Bookman Old Style" w:hAnsi="Bookman Old Style"/>
          <w:sz w:val="20"/>
          <w:szCs w:val="20"/>
        </w:rPr>
        <w:t>При проведении оценки о</w:t>
      </w:r>
      <w:r w:rsidR="00AB1AEC">
        <w:rPr>
          <w:rFonts w:ascii="Bookman Old Style" w:hAnsi="Bookman Old Style"/>
          <w:sz w:val="20"/>
          <w:szCs w:val="20"/>
        </w:rPr>
        <w:t xml:space="preserve">ценщик руководствовался </w:t>
      </w:r>
      <w:proofErr w:type="gramStart"/>
      <w:r w:rsidR="00AB1AEC">
        <w:rPr>
          <w:rFonts w:ascii="Bookman Old Style" w:hAnsi="Bookman Old Style"/>
          <w:sz w:val="20"/>
          <w:szCs w:val="20"/>
        </w:rPr>
        <w:t>законодательством</w:t>
      </w:r>
      <w:proofErr w:type="gramEnd"/>
      <w:r w:rsidR="00AB1AEC">
        <w:rPr>
          <w:rFonts w:ascii="Bookman Old Style" w:hAnsi="Bookman Old Style"/>
          <w:sz w:val="20"/>
          <w:szCs w:val="20"/>
        </w:rPr>
        <w:t xml:space="preserve"> регулирующим оценочную деятельность на территории РФ.</w:t>
      </w:r>
    </w:p>
    <w:p w:rsidR="00AB1AEC" w:rsidRDefault="00AB1AEC" w:rsidP="005F178F">
      <w:pPr>
        <w:autoSpaceDE w:val="0"/>
        <w:autoSpaceDN w:val="0"/>
        <w:adjustRightInd w:val="0"/>
        <w:spacing w:before="100" w:after="100"/>
        <w:ind w:firstLine="708"/>
        <w:rPr>
          <w:rFonts w:ascii="Bookman Old Style" w:hAnsi="Bookman Old Style"/>
          <w:sz w:val="20"/>
          <w:szCs w:val="20"/>
        </w:rPr>
      </w:pPr>
      <w:r>
        <w:rPr>
          <w:rFonts w:ascii="Bookman Old Style" w:hAnsi="Bookman Old Style"/>
          <w:sz w:val="20"/>
          <w:szCs w:val="20"/>
        </w:rPr>
        <w:t xml:space="preserve">Закон </w:t>
      </w:r>
      <w:proofErr w:type="gramStart"/>
      <w:r>
        <w:rPr>
          <w:rFonts w:ascii="Bookman Old Style" w:hAnsi="Bookman Old Style"/>
          <w:sz w:val="20"/>
          <w:szCs w:val="20"/>
        </w:rPr>
        <w:t>РФ</w:t>
      </w:r>
      <w:proofErr w:type="gramEnd"/>
      <w:r>
        <w:rPr>
          <w:rFonts w:ascii="Bookman Old Style" w:hAnsi="Bookman Old Style"/>
          <w:sz w:val="20"/>
          <w:szCs w:val="20"/>
        </w:rPr>
        <w:t xml:space="preserve"> регулирующий оценочную деятельность:</w:t>
      </w:r>
    </w:p>
    <w:p w:rsidR="00AB1AEC" w:rsidRPr="00AB1AEC" w:rsidRDefault="003369D4" w:rsidP="005F04AC">
      <w:pPr>
        <w:pStyle w:val="aff2"/>
        <w:numPr>
          <w:ilvl w:val="0"/>
          <w:numId w:val="15"/>
        </w:numPr>
        <w:autoSpaceDE w:val="0"/>
        <w:autoSpaceDN w:val="0"/>
        <w:adjustRightInd w:val="0"/>
        <w:spacing w:before="100" w:after="100"/>
        <w:contextualSpacing w:val="0"/>
        <w:rPr>
          <w:rFonts w:ascii="Bookman Old Style" w:hAnsi="Bookman Old Style"/>
          <w:sz w:val="20"/>
          <w:szCs w:val="20"/>
        </w:rPr>
      </w:pPr>
      <w:r w:rsidRPr="003369D4">
        <w:rPr>
          <w:rFonts w:ascii="Bookman Old Style" w:hAnsi="Bookman Old Style"/>
          <w:sz w:val="20"/>
          <w:szCs w:val="20"/>
        </w:rPr>
        <w:t>Федеральный закон № 135-ФЗ «Об оценочной деятельности в Российской Федерации» от 29 июля 1998 года</w:t>
      </w:r>
      <w:r w:rsidR="00AB1AEC" w:rsidRPr="00AB1AEC">
        <w:rPr>
          <w:rFonts w:ascii="Bookman Old Style" w:hAnsi="Bookman Old Style"/>
          <w:sz w:val="20"/>
          <w:szCs w:val="20"/>
        </w:rPr>
        <w:t>.</w:t>
      </w:r>
    </w:p>
    <w:p w:rsidR="00B7637D" w:rsidRPr="009507FD" w:rsidRDefault="00B7637D" w:rsidP="005F178F">
      <w:pPr>
        <w:autoSpaceDE w:val="0"/>
        <w:autoSpaceDN w:val="0"/>
        <w:adjustRightInd w:val="0"/>
        <w:spacing w:before="100" w:after="100"/>
        <w:ind w:firstLine="708"/>
        <w:rPr>
          <w:rFonts w:ascii="Bookman Old Style" w:hAnsi="Bookman Old Style"/>
          <w:sz w:val="20"/>
          <w:szCs w:val="20"/>
        </w:rPr>
      </w:pPr>
      <w:r w:rsidRPr="009507FD">
        <w:rPr>
          <w:rFonts w:ascii="Bookman Old Style" w:hAnsi="Bookman Old Style"/>
          <w:sz w:val="20"/>
          <w:szCs w:val="20"/>
        </w:rPr>
        <w:t>Стандарты оценки, обязательные к применению субъектами оценочной деятельности:</w:t>
      </w:r>
    </w:p>
    <w:p w:rsidR="00C834FF" w:rsidRPr="00D84B49" w:rsidRDefault="00C834FF" w:rsidP="005F178F">
      <w:pPr>
        <w:autoSpaceDE w:val="0"/>
        <w:autoSpaceDN w:val="0"/>
        <w:adjustRightInd w:val="0"/>
        <w:spacing w:before="100" w:after="100"/>
        <w:ind w:firstLine="708"/>
        <w:jc w:val="both"/>
        <w:rPr>
          <w:rFonts w:ascii="Bookman Old Style" w:hAnsi="Bookman Old Style"/>
          <w:sz w:val="20"/>
          <w:szCs w:val="20"/>
        </w:rPr>
      </w:pPr>
      <w:r w:rsidRPr="00F8544E">
        <w:rPr>
          <w:rFonts w:ascii="Bookman Old Style" w:hAnsi="Bookman Old Style"/>
          <w:sz w:val="20"/>
          <w:szCs w:val="20"/>
        </w:rPr>
        <w:t xml:space="preserve">Закон </w:t>
      </w:r>
      <w:proofErr w:type="gramStart"/>
      <w:r w:rsidRPr="00F8544E">
        <w:rPr>
          <w:rFonts w:ascii="Bookman Old Style" w:hAnsi="Bookman Old Style"/>
          <w:sz w:val="20"/>
          <w:szCs w:val="20"/>
        </w:rPr>
        <w:t>РФ</w:t>
      </w:r>
      <w:proofErr w:type="gramEnd"/>
      <w:r w:rsidRPr="00F8544E">
        <w:rPr>
          <w:rFonts w:ascii="Bookman Old Style" w:hAnsi="Bookman Old Style"/>
          <w:sz w:val="20"/>
          <w:szCs w:val="20"/>
        </w:rPr>
        <w:t xml:space="preserve"> регулирующий оценочную деятельность:</w:t>
      </w:r>
    </w:p>
    <w:p w:rsidR="003369D4" w:rsidRPr="003F2915" w:rsidRDefault="003369D4" w:rsidP="005F04AC">
      <w:pPr>
        <w:pStyle w:val="a"/>
        <w:numPr>
          <w:ilvl w:val="0"/>
          <w:numId w:val="17"/>
        </w:numPr>
        <w:spacing w:before="100" w:after="100"/>
      </w:pPr>
      <w:r w:rsidRPr="003F2915">
        <w:t>Федеральный стандарт оценки № 1, утвержден приказом Минэкономразвития Р</w:t>
      </w:r>
      <w:r>
        <w:t>Ф</w:t>
      </w:r>
      <w:r w:rsidRPr="003F2915">
        <w:t xml:space="preserve"> от </w:t>
      </w:r>
      <w:r w:rsidR="006741C4" w:rsidRPr="006741C4">
        <w:t xml:space="preserve">20 мая 2015  </w:t>
      </w:r>
      <w:r w:rsidR="006741C4">
        <w:t xml:space="preserve"> года № 297</w:t>
      </w:r>
      <w:r w:rsidRPr="003F2915">
        <w:t>;</w:t>
      </w:r>
    </w:p>
    <w:p w:rsidR="003369D4" w:rsidRPr="003F2915" w:rsidRDefault="003369D4" w:rsidP="005F04AC">
      <w:pPr>
        <w:pStyle w:val="a"/>
        <w:numPr>
          <w:ilvl w:val="0"/>
          <w:numId w:val="17"/>
        </w:numPr>
        <w:spacing w:before="100" w:after="100"/>
      </w:pPr>
      <w:r w:rsidRPr="003F2915">
        <w:t>Федеральный стандарт оценки № 2, утвержден приказом Минэкономразвития Р</w:t>
      </w:r>
      <w:r>
        <w:t>Ф</w:t>
      </w:r>
      <w:r w:rsidRPr="003F2915">
        <w:t xml:space="preserve"> от </w:t>
      </w:r>
      <w:r w:rsidR="006741C4" w:rsidRPr="006741C4">
        <w:t xml:space="preserve">20 мая 2015 </w:t>
      </w:r>
      <w:r w:rsidRPr="003F2915">
        <w:t xml:space="preserve"> года № 2</w:t>
      </w:r>
      <w:r w:rsidR="006741C4">
        <w:t>98</w:t>
      </w:r>
      <w:r w:rsidRPr="003F2915">
        <w:t>;</w:t>
      </w:r>
    </w:p>
    <w:p w:rsidR="003369D4" w:rsidRDefault="003369D4" w:rsidP="005F04AC">
      <w:pPr>
        <w:pStyle w:val="a"/>
        <w:numPr>
          <w:ilvl w:val="0"/>
          <w:numId w:val="17"/>
        </w:numPr>
        <w:spacing w:before="100" w:after="100"/>
      </w:pPr>
      <w:r w:rsidRPr="003F2915">
        <w:t>Федеральный стандарт оценки № 3, утвержден приказом Минэкономразвития Р</w:t>
      </w:r>
      <w:r>
        <w:t>Ф</w:t>
      </w:r>
      <w:r w:rsidRPr="003F2915">
        <w:t xml:space="preserve"> от </w:t>
      </w:r>
      <w:r w:rsidR="006741C4" w:rsidRPr="006741C4">
        <w:t xml:space="preserve">20 мая 2015 </w:t>
      </w:r>
      <w:r w:rsidRPr="004C4A09">
        <w:t xml:space="preserve"> года № 2</w:t>
      </w:r>
      <w:r w:rsidR="006741C4">
        <w:t>99</w:t>
      </w:r>
      <w:r w:rsidRPr="004C4A09">
        <w:t>;</w:t>
      </w:r>
    </w:p>
    <w:p w:rsidR="005F178F" w:rsidRPr="005F178F" w:rsidRDefault="005F178F" w:rsidP="005F04AC">
      <w:pPr>
        <w:pStyle w:val="aff2"/>
        <w:numPr>
          <w:ilvl w:val="0"/>
          <w:numId w:val="17"/>
        </w:numPr>
        <w:spacing w:before="100" w:after="100"/>
        <w:contextualSpacing w:val="0"/>
        <w:rPr>
          <w:rFonts w:ascii="Bookman Old Style" w:hAnsi="Bookman Old Style"/>
          <w:sz w:val="20"/>
          <w:szCs w:val="20"/>
        </w:rPr>
      </w:pPr>
      <w:r w:rsidRPr="005F178F">
        <w:rPr>
          <w:rFonts w:ascii="Bookman Old Style" w:hAnsi="Bookman Old Style"/>
          <w:sz w:val="20"/>
          <w:szCs w:val="20"/>
        </w:rPr>
        <w:t xml:space="preserve">Федеральный стандарт оценки № </w:t>
      </w:r>
      <w:r>
        <w:rPr>
          <w:rFonts w:ascii="Bookman Old Style" w:hAnsi="Bookman Old Style"/>
          <w:sz w:val="20"/>
          <w:szCs w:val="20"/>
        </w:rPr>
        <w:t>7</w:t>
      </w:r>
      <w:r w:rsidRPr="005F178F">
        <w:rPr>
          <w:rFonts w:ascii="Bookman Old Style" w:hAnsi="Bookman Old Style"/>
          <w:sz w:val="20"/>
          <w:szCs w:val="20"/>
        </w:rPr>
        <w:t>, утвержден приказом Минэкономразвития РФ от 2</w:t>
      </w:r>
      <w:r>
        <w:rPr>
          <w:rFonts w:ascii="Bookman Old Style" w:hAnsi="Bookman Old Style"/>
          <w:sz w:val="20"/>
          <w:szCs w:val="20"/>
        </w:rPr>
        <w:t>5</w:t>
      </w:r>
      <w:r w:rsidRPr="005F178F">
        <w:rPr>
          <w:rFonts w:ascii="Bookman Old Style" w:hAnsi="Bookman Old Style"/>
          <w:sz w:val="20"/>
          <w:szCs w:val="20"/>
        </w:rPr>
        <w:t xml:space="preserve"> </w:t>
      </w:r>
      <w:r>
        <w:rPr>
          <w:rFonts w:ascii="Bookman Old Style" w:hAnsi="Bookman Old Style"/>
          <w:sz w:val="20"/>
          <w:szCs w:val="20"/>
        </w:rPr>
        <w:t>сентября 2014</w:t>
      </w:r>
      <w:r w:rsidRPr="005F178F">
        <w:rPr>
          <w:rFonts w:ascii="Bookman Old Style" w:hAnsi="Bookman Old Style"/>
          <w:sz w:val="20"/>
          <w:szCs w:val="20"/>
        </w:rPr>
        <w:t xml:space="preserve">  года № </w:t>
      </w:r>
      <w:r>
        <w:rPr>
          <w:rFonts w:ascii="Bookman Old Style" w:hAnsi="Bookman Old Style"/>
          <w:sz w:val="20"/>
          <w:szCs w:val="20"/>
        </w:rPr>
        <w:t>611</w:t>
      </w:r>
      <w:r w:rsidRPr="005F178F">
        <w:rPr>
          <w:rFonts w:ascii="Bookman Old Style" w:hAnsi="Bookman Old Style"/>
          <w:sz w:val="20"/>
          <w:szCs w:val="20"/>
        </w:rPr>
        <w:t>;</w:t>
      </w:r>
    </w:p>
    <w:p w:rsidR="000A4482" w:rsidRDefault="000A4482" w:rsidP="005F04AC">
      <w:pPr>
        <w:pStyle w:val="a"/>
        <w:numPr>
          <w:ilvl w:val="0"/>
          <w:numId w:val="17"/>
        </w:numPr>
        <w:spacing w:before="100" w:after="100"/>
      </w:pPr>
      <w:r w:rsidRPr="000A4482">
        <w:t xml:space="preserve">Федеральный стандарт оценки </w:t>
      </w:r>
      <w:r>
        <w:t>№ 10</w:t>
      </w:r>
      <w:r w:rsidRPr="000A4482">
        <w:t xml:space="preserve"> утвержден приказом Минэкономразвития РФ от </w:t>
      </w:r>
      <w:r>
        <w:t xml:space="preserve">01 июня 2015 </w:t>
      </w:r>
      <w:r w:rsidRPr="000A4482">
        <w:t>№ 328</w:t>
      </w:r>
      <w:r w:rsidR="003369D4">
        <w:t>.</w:t>
      </w:r>
      <w:r w:rsidR="006741C4">
        <w:t xml:space="preserve"> </w:t>
      </w:r>
    </w:p>
    <w:p w:rsidR="00C12562" w:rsidRPr="000A4482" w:rsidRDefault="00C12562" w:rsidP="005F04AC">
      <w:pPr>
        <w:pStyle w:val="a"/>
        <w:numPr>
          <w:ilvl w:val="0"/>
          <w:numId w:val="17"/>
        </w:numPr>
        <w:spacing w:before="100" w:after="100"/>
      </w:pPr>
      <w:r w:rsidRPr="000A4482">
        <w:t>Стандарты и правила оценочной деятельности, установленные НП СРО «НКСО»:</w:t>
      </w:r>
    </w:p>
    <w:p w:rsidR="00C12562" w:rsidRPr="009E14D4" w:rsidRDefault="00C12562" w:rsidP="005F04AC">
      <w:pPr>
        <w:numPr>
          <w:ilvl w:val="0"/>
          <w:numId w:val="39"/>
        </w:numPr>
        <w:tabs>
          <w:tab w:val="num" w:pos="426"/>
        </w:tabs>
        <w:autoSpaceDE w:val="0"/>
        <w:autoSpaceDN w:val="0"/>
        <w:adjustRightInd w:val="0"/>
        <w:spacing w:before="100" w:after="100"/>
        <w:ind w:left="709"/>
        <w:jc w:val="both"/>
        <w:rPr>
          <w:rFonts w:ascii="Bookman Old Style" w:hAnsi="Bookman Old Style"/>
          <w:sz w:val="20"/>
          <w:szCs w:val="20"/>
        </w:rPr>
      </w:pPr>
      <w:r w:rsidRPr="009E14D4">
        <w:rPr>
          <w:rFonts w:ascii="Bookman Old Style" w:hAnsi="Bookman Old Style"/>
          <w:bCs/>
          <w:sz w:val="20"/>
          <w:szCs w:val="20"/>
        </w:rPr>
        <w:t>«Основополагающий (базовый) стандарт», СТО СДС СРО НКСО 1.1-2007, утвержден Советом (Правлением) Некоммерческого партнерства «Саморегулируемая организация «Национальная коллегия специалистов-оценщиков», Протокол № 4 от «17» сентября 2007 г.;</w:t>
      </w:r>
    </w:p>
    <w:p w:rsidR="00C12562" w:rsidRPr="009E14D4" w:rsidRDefault="00C12562" w:rsidP="005F04AC">
      <w:pPr>
        <w:numPr>
          <w:ilvl w:val="0"/>
          <w:numId w:val="39"/>
        </w:numPr>
        <w:tabs>
          <w:tab w:val="num" w:pos="426"/>
        </w:tabs>
        <w:autoSpaceDE w:val="0"/>
        <w:autoSpaceDN w:val="0"/>
        <w:adjustRightInd w:val="0"/>
        <w:spacing w:before="100" w:after="100"/>
        <w:ind w:left="709"/>
        <w:jc w:val="both"/>
        <w:rPr>
          <w:rFonts w:ascii="Bookman Old Style" w:hAnsi="Bookman Old Style"/>
          <w:sz w:val="20"/>
          <w:szCs w:val="20"/>
        </w:rPr>
      </w:pPr>
      <w:r w:rsidRPr="009E14D4">
        <w:rPr>
          <w:rFonts w:ascii="Bookman Old Style" w:hAnsi="Bookman Old Style"/>
          <w:bCs/>
          <w:sz w:val="20"/>
          <w:szCs w:val="20"/>
        </w:rPr>
        <w:t xml:space="preserve">«Общие понятия оценки, подходы и требования к проведению оценки»,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3.1-2015, утвержден Правлением Ассоциации саморегулируемой организации «Национальная коллегия специалисто</w:t>
      </w:r>
      <w:proofErr w:type="gramStart"/>
      <w:r w:rsidRPr="009E14D4">
        <w:rPr>
          <w:rFonts w:ascii="Bookman Old Style" w:hAnsi="Bookman Old Style"/>
          <w:bCs/>
          <w:sz w:val="20"/>
          <w:szCs w:val="20"/>
        </w:rPr>
        <w:t>в-</w:t>
      </w:r>
      <w:proofErr w:type="gramEnd"/>
      <w:r w:rsidRPr="009E14D4">
        <w:rPr>
          <w:rFonts w:ascii="Bookman Old Style" w:hAnsi="Bookman Old Style"/>
          <w:bCs/>
          <w:sz w:val="20"/>
          <w:szCs w:val="20"/>
        </w:rPr>
        <w:t xml:space="preserve"> оценщиков», Протокол № 26 от «24» сентября 2015 года;</w:t>
      </w:r>
    </w:p>
    <w:p w:rsidR="00C12562" w:rsidRPr="009E14D4" w:rsidRDefault="00C12562" w:rsidP="005F04AC">
      <w:pPr>
        <w:numPr>
          <w:ilvl w:val="0"/>
          <w:numId w:val="39"/>
        </w:numPr>
        <w:tabs>
          <w:tab w:val="num" w:pos="426"/>
        </w:tabs>
        <w:autoSpaceDE w:val="0"/>
        <w:autoSpaceDN w:val="0"/>
        <w:adjustRightInd w:val="0"/>
        <w:spacing w:before="100" w:after="100"/>
        <w:ind w:left="709"/>
        <w:jc w:val="both"/>
        <w:rPr>
          <w:rFonts w:ascii="Bookman Old Style" w:hAnsi="Bookman Old Style"/>
          <w:sz w:val="20"/>
          <w:szCs w:val="20"/>
        </w:rPr>
      </w:pPr>
      <w:r w:rsidRPr="009E14D4">
        <w:rPr>
          <w:rFonts w:ascii="Bookman Old Style" w:hAnsi="Bookman Old Style"/>
          <w:bCs/>
          <w:sz w:val="20"/>
          <w:szCs w:val="20"/>
        </w:rPr>
        <w:t xml:space="preserve">«Цель оценки и виды стоимости»,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3.2-2015, утвержден Правлением Ассоциации саморегулируемой организации «Национальная коллегия специалисто</w:t>
      </w:r>
      <w:proofErr w:type="gramStart"/>
      <w:r w:rsidRPr="009E14D4">
        <w:rPr>
          <w:rFonts w:ascii="Bookman Old Style" w:hAnsi="Bookman Old Style"/>
          <w:bCs/>
          <w:sz w:val="20"/>
          <w:szCs w:val="20"/>
        </w:rPr>
        <w:t>в-</w:t>
      </w:r>
      <w:proofErr w:type="gramEnd"/>
      <w:r w:rsidRPr="009E14D4">
        <w:rPr>
          <w:rFonts w:ascii="Bookman Old Style" w:hAnsi="Bookman Old Style"/>
          <w:bCs/>
          <w:sz w:val="20"/>
          <w:szCs w:val="20"/>
        </w:rPr>
        <w:t xml:space="preserve"> оценщиков», Протокол № 26 от «24» сентября 2015 года;</w:t>
      </w:r>
    </w:p>
    <w:p w:rsidR="00C12562" w:rsidRPr="00110867" w:rsidRDefault="00C12562" w:rsidP="005F04AC">
      <w:pPr>
        <w:numPr>
          <w:ilvl w:val="0"/>
          <w:numId w:val="39"/>
        </w:numPr>
        <w:tabs>
          <w:tab w:val="num" w:pos="426"/>
        </w:tabs>
        <w:autoSpaceDE w:val="0"/>
        <w:autoSpaceDN w:val="0"/>
        <w:adjustRightInd w:val="0"/>
        <w:spacing w:before="100" w:after="100"/>
        <w:ind w:left="709"/>
        <w:jc w:val="both"/>
        <w:rPr>
          <w:rFonts w:ascii="Bookman Old Style" w:hAnsi="Bookman Old Style"/>
          <w:sz w:val="20"/>
          <w:szCs w:val="20"/>
        </w:rPr>
      </w:pPr>
      <w:r w:rsidRPr="009E14D4">
        <w:rPr>
          <w:rFonts w:ascii="Bookman Old Style" w:hAnsi="Bookman Old Style"/>
          <w:bCs/>
          <w:sz w:val="20"/>
          <w:szCs w:val="20"/>
        </w:rPr>
        <w:t xml:space="preserve">«Требования к отчету об оценке»,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3.3-2015, утвержден Правлением Ассоциации саморегулируемой организации «Национальная коллегия специалисто</w:t>
      </w:r>
      <w:proofErr w:type="gramStart"/>
      <w:r w:rsidRPr="009E14D4">
        <w:rPr>
          <w:rFonts w:ascii="Bookman Old Style" w:hAnsi="Bookman Old Style"/>
          <w:bCs/>
          <w:sz w:val="20"/>
          <w:szCs w:val="20"/>
        </w:rPr>
        <w:t>в-</w:t>
      </w:r>
      <w:proofErr w:type="gramEnd"/>
      <w:r w:rsidRPr="009E14D4">
        <w:rPr>
          <w:rFonts w:ascii="Bookman Old Style" w:hAnsi="Bookman Old Style"/>
          <w:bCs/>
          <w:sz w:val="20"/>
          <w:szCs w:val="20"/>
        </w:rPr>
        <w:t xml:space="preserve"> оценщиков», Протокол № 26 от «24» сентября 2015 года.</w:t>
      </w:r>
    </w:p>
    <w:p w:rsidR="00110867" w:rsidRPr="005F178F" w:rsidRDefault="00110867" w:rsidP="005F04AC">
      <w:pPr>
        <w:numPr>
          <w:ilvl w:val="0"/>
          <w:numId w:val="39"/>
        </w:numPr>
        <w:tabs>
          <w:tab w:val="num" w:pos="426"/>
        </w:tabs>
        <w:autoSpaceDE w:val="0"/>
        <w:autoSpaceDN w:val="0"/>
        <w:adjustRightInd w:val="0"/>
        <w:spacing w:before="100" w:after="100"/>
        <w:ind w:left="709"/>
        <w:jc w:val="both"/>
        <w:rPr>
          <w:rFonts w:ascii="Bookman Old Style" w:hAnsi="Bookman Old Style"/>
          <w:sz w:val="20"/>
          <w:szCs w:val="20"/>
        </w:rPr>
      </w:pPr>
      <w:r w:rsidRPr="00110867">
        <w:rPr>
          <w:rFonts w:ascii="Bookman Old Style" w:hAnsi="Bookman Old Style"/>
          <w:bCs/>
          <w:sz w:val="20"/>
          <w:szCs w:val="20"/>
        </w:rPr>
        <w:t>«</w:t>
      </w:r>
      <w:r>
        <w:rPr>
          <w:rFonts w:ascii="Bookman Old Style" w:hAnsi="Bookman Old Style"/>
          <w:bCs/>
          <w:sz w:val="20"/>
          <w:szCs w:val="20"/>
        </w:rPr>
        <w:t>Оценка недвижимости</w:t>
      </w:r>
      <w:r w:rsidRPr="00110867">
        <w:rPr>
          <w:rFonts w:ascii="Bookman Old Style" w:hAnsi="Bookman Old Style"/>
          <w:bCs/>
          <w:sz w:val="20"/>
          <w:szCs w:val="20"/>
        </w:rPr>
        <w:t xml:space="preserve">», СТО </w:t>
      </w:r>
      <w:r w:rsidRPr="00110867">
        <w:rPr>
          <w:rFonts w:ascii="Bookman Old Style" w:hAnsi="Bookman Old Style"/>
          <w:bCs/>
          <w:sz w:val="20"/>
          <w:szCs w:val="20"/>
          <w:lang w:val="en-US"/>
        </w:rPr>
        <w:t>C</w:t>
      </w:r>
      <w:r w:rsidRPr="00110867">
        <w:rPr>
          <w:rFonts w:ascii="Bookman Old Style" w:hAnsi="Bookman Old Style"/>
          <w:bCs/>
          <w:sz w:val="20"/>
          <w:szCs w:val="20"/>
        </w:rPr>
        <w:t>ДС СРО НКСО 3.</w:t>
      </w:r>
      <w:r>
        <w:rPr>
          <w:rFonts w:ascii="Bookman Old Style" w:hAnsi="Bookman Old Style"/>
          <w:bCs/>
          <w:sz w:val="20"/>
          <w:szCs w:val="20"/>
        </w:rPr>
        <w:t>7</w:t>
      </w:r>
      <w:r w:rsidRPr="00110867">
        <w:rPr>
          <w:rFonts w:ascii="Bookman Old Style" w:hAnsi="Bookman Old Style"/>
          <w:bCs/>
          <w:sz w:val="20"/>
          <w:szCs w:val="20"/>
        </w:rPr>
        <w:t>-2015, утвержден Правлением Ассоциации саморегулируемой организации «Национальная коллегия специалисто</w:t>
      </w:r>
      <w:proofErr w:type="gramStart"/>
      <w:r w:rsidRPr="00110867">
        <w:rPr>
          <w:rFonts w:ascii="Bookman Old Style" w:hAnsi="Bookman Old Style"/>
          <w:bCs/>
          <w:sz w:val="20"/>
          <w:szCs w:val="20"/>
        </w:rPr>
        <w:t>в-</w:t>
      </w:r>
      <w:proofErr w:type="gramEnd"/>
      <w:r w:rsidRPr="00110867">
        <w:rPr>
          <w:rFonts w:ascii="Bookman Old Style" w:hAnsi="Bookman Old Style"/>
          <w:bCs/>
          <w:sz w:val="20"/>
          <w:szCs w:val="20"/>
        </w:rPr>
        <w:t xml:space="preserve"> оценщиков», Протокол № 26 от «2</w:t>
      </w:r>
      <w:r>
        <w:rPr>
          <w:rFonts w:ascii="Bookman Old Style" w:hAnsi="Bookman Old Style"/>
          <w:bCs/>
          <w:sz w:val="20"/>
          <w:szCs w:val="20"/>
        </w:rPr>
        <w:t>4</w:t>
      </w:r>
      <w:r w:rsidRPr="00110867">
        <w:rPr>
          <w:rFonts w:ascii="Bookman Old Style" w:hAnsi="Bookman Old Style"/>
          <w:bCs/>
          <w:sz w:val="20"/>
          <w:szCs w:val="20"/>
        </w:rPr>
        <w:t>» сентября 2015 года.</w:t>
      </w:r>
    </w:p>
    <w:p w:rsidR="00C12562" w:rsidRPr="009E14D4" w:rsidRDefault="00C12562" w:rsidP="005F178F">
      <w:pPr>
        <w:autoSpaceDE w:val="0"/>
        <w:autoSpaceDN w:val="0"/>
        <w:adjustRightInd w:val="0"/>
        <w:spacing w:before="100" w:after="100"/>
        <w:ind w:left="714"/>
        <w:jc w:val="both"/>
        <w:rPr>
          <w:rFonts w:ascii="Bookman Old Style" w:hAnsi="Bookman Old Style"/>
          <w:sz w:val="20"/>
          <w:szCs w:val="20"/>
        </w:rPr>
      </w:pPr>
      <w:r w:rsidRPr="009E14D4">
        <w:rPr>
          <w:rFonts w:ascii="Bookman Old Style" w:hAnsi="Bookman Old Style"/>
          <w:sz w:val="20"/>
          <w:szCs w:val="20"/>
        </w:rPr>
        <w:t>Правила деловой и профессиональной этики:</w:t>
      </w:r>
    </w:p>
    <w:p w:rsidR="00C12562" w:rsidRPr="009E14D4" w:rsidRDefault="00C12562" w:rsidP="005F04AC">
      <w:pPr>
        <w:numPr>
          <w:ilvl w:val="0"/>
          <w:numId w:val="15"/>
        </w:numPr>
        <w:autoSpaceDE w:val="0"/>
        <w:autoSpaceDN w:val="0"/>
        <w:adjustRightInd w:val="0"/>
        <w:spacing w:before="100" w:after="100"/>
        <w:ind w:left="714" w:hanging="357"/>
        <w:rPr>
          <w:rFonts w:ascii="Bookman Old Style" w:hAnsi="Bookman Old Style"/>
          <w:sz w:val="20"/>
          <w:szCs w:val="20"/>
        </w:rPr>
      </w:pPr>
      <w:r w:rsidRPr="009E14D4">
        <w:rPr>
          <w:rFonts w:ascii="Bookman Old Style" w:hAnsi="Bookman Old Style"/>
          <w:sz w:val="20"/>
          <w:szCs w:val="20"/>
        </w:rPr>
        <w:t>СТО СДС СРО НКСО 1.2-2007 «Основные правила деятельности членов СРО НКСО (кодекс этики)».</w:t>
      </w:r>
    </w:p>
    <w:p w:rsidR="00C12562" w:rsidRDefault="00C12562" w:rsidP="005F178F">
      <w:pPr>
        <w:pStyle w:val="aff2"/>
        <w:autoSpaceDE w:val="0"/>
        <w:autoSpaceDN w:val="0"/>
        <w:adjustRightInd w:val="0"/>
        <w:spacing w:before="100" w:after="100"/>
        <w:contextualSpacing w:val="0"/>
        <w:jc w:val="both"/>
        <w:rPr>
          <w:rFonts w:ascii="Bookman Old Style" w:hAnsi="Bookman Old Style"/>
          <w:sz w:val="20"/>
          <w:szCs w:val="20"/>
        </w:rPr>
      </w:pPr>
      <w:r w:rsidRPr="009E14D4">
        <w:rPr>
          <w:rFonts w:ascii="Bookman Old Style" w:hAnsi="Bookman Old Style"/>
          <w:sz w:val="20"/>
          <w:szCs w:val="20"/>
        </w:rPr>
        <w:lastRenderedPageBreak/>
        <w:t>Утвержден Советом (Правлением) Некоммерческого партнерства «Саморегулируемая организация «Национальная коллегия специалистов-оценщиков», Протокол № 4 от «17» сентября 2007 года</w:t>
      </w:r>
    </w:p>
    <w:p w:rsidR="00C12562" w:rsidRDefault="00C12562" w:rsidP="005F178F">
      <w:pPr>
        <w:pStyle w:val="aff2"/>
        <w:autoSpaceDE w:val="0"/>
        <w:autoSpaceDN w:val="0"/>
        <w:adjustRightInd w:val="0"/>
        <w:spacing w:before="100" w:after="100"/>
        <w:contextualSpacing w:val="0"/>
        <w:jc w:val="both"/>
        <w:rPr>
          <w:rFonts w:ascii="Bookman Old Style" w:hAnsi="Bookman Old Style"/>
          <w:bCs/>
          <w:sz w:val="20"/>
          <w:szCs w:val="20"/>
        </w:rPr>
      </w:pPr>
      <w:r>
        <w:rPr>
          <w:rFonts w:ascii="Bookman Old Style" w:hAnsi="Bookman Old Style"/>
          <w:bCs/>
          <w:sz w:val="20"/>
          <w:szCs w:val="20"/>
        </w:rPr>
        <w:t>Обоснование применения ФСО № 1,2,3,7 и Стандартов НП СРО «НКСО»:</w:t>
      </w:r>
    </w:p>
    <w:p w:rsidR="000B2FB9" w:rsidRPr="000B2FB9" w:rsidRDefault="00C12562" w:rsidP="005F178F">
      <w:pPr>
        <w:autoSpaceDE w:val="0"/>
        <w:autoSpaceDN w:val="0"/>
        <w:adjustRightInd w:val="0"/>
        <w:spacing w:before="100" w:after="100"/>
        <w:ind w:left="709" w:firstLine="11"/>
        <w:jc w:val="both"/>
        <w:rPr>
          <w:rFonts w:ascii="Bookman Old Style" w:hAnsi="Bookman Old Style"/>
          <w:sz w:val="20"/>
          <w:szCs w:val="20"/>
        </w:rPr>
      </w:pPr>
      <w:r>
        <w:rPr>
          <w:rFonts w:ascii="Bookman Old Style" w:hAnsi="Bookman Old Style" w:cs="Tahoma"/>
          <w:sz w:val="20"/>
          <w:szCs w:val="20"/>
        </w:rPr>
        <w:t>В</w:t>
      </w:r>
      <w:r w:rsidRPr="000B2FB9">
        <w:rPr>
          <w:rFonts w:ascii="Bookman Old Style" w:hAnsi="Bookman Old Style" w:cs="Tahoma"/>
          <w:sz w:val="20"/>
          <w:szCs w:val="20"/>
        </w:rPr>
        <w:t xml:space="preserve"> соответствии со ст. 15 Федерального закона «Об оценочной деятельности в Российской Федерации» от 29.07.1998 г. №135-ФЗ при осуществлении оценочной деятельности на территории Российской Федерации оценщик должен соблюдать требования Федеральных стандартов оценки, а также стандартов и правил оценочной деятельности, утвержденные саморегулируемой организацией оценщи</w:t>
      </w:r>
      <w:r>
        <w:rPr>
          <w:rFonts w:ascii="Bookman Old Style" w:hAnsi="Bookman Old Style" w:cs="Tahoma"/>
          <w:sz w:val="20"/>
          <w:szCs w:val="20"/>
        </w:rPr>
        <w:t>ков, членом которой он является»</w:t>
      </w:r>
      <w:r w:rsidR="00A47A8E">
        <w:rPr>
          <w:rFonts w:ascii="Bookman Old Style" w:hAnsi="Bookman Old Style" w:cs="Tahoma"/>
          <w:sz w:val="20"/>
          <w:szCs w:val="20"/>
        </w:rPr>
        <w:t xml:space="preserve"> </w:t>
      </w:r>
    </w:p>
    <w:p w:rsidR="008A2639" w:rsidRPr="00C7102F" w:rsidRDefault="008A2639" w:rsidP="005F178F">
      <w:pPr>
        <w:pStyle w:val="2"/>
        <w:spacing w:before="100" w:after="100"/>
        <w:jc w:val="left"/>
        <w:rPr>
          <w:rFonts w:ascii="Bookman Old Style" w:hAnsi="Bookman Old Style"/>
          <w:b/>
          <w:sz w:val="20"/>
          <w:szCs w:val="20"/>
        </w:rPr>
      </w:pPr>
      <w:bookmarkStart w:id="137" w:name="_Toc461375552"/>
      <w:r w:rsidRPr="00C7102F">
        <w:rPr>
          <w:rFonts w:ascii="Bookman Old Style" w:hAnsi="Bookman Old Style"/>
          <w:b/>
          <w:sz w:val="20"/>
          <w:szCs w:val="20"/>
        </w:rPr>
        <w:t xml:space="preserve">1.6. </w:t>
      </w:r>
      <w:bookmarkEnd w:id="136"/>
      <w:r w:rsidR="00197F69" w:rsidRPr="00197F69">
        <w:rPr>
          <w:rFonts w:ascii="Bookman Old Style" w:hAnsi="Bookman Old Style"/>
          <w:b/>
          <w:sz w:val="20"/>
          <w:szCs w:val="20"/>
        </w:rPr>
        <w:t>ПЕРЕЧЕНЬ ИСПОЛЬЗОВАННЫХ ПРИ ПРОВЕДЕНИИ ОЦЕНКИ ОБЪЕКТА ОЦЕНКИ ДАННЫХ С УКАЗАНИЕМ ИСТОЧНИКОВ ИХ ПОЛУЧЕНИЯ</w:t>
      </w:r>
      <w:bookmarkEnd w:id="137"/>
      <w:r w:rsidR="00197F69" w:rsidRPr="00197F69">
        <w:rPr>
          <w:rFonts w:ascii="Bookman Old Style" w:hAnsi="Bookman Old Style"/>
          <w:b/>
          <w:sz w:val="20"/>
          <w:szCs w:val="20"/>
          <w:vertAlign w:val="superscript"/>
        </w:rPr>
        <w:t xml:space="preserve"> </w:t>
      </w:r>
    </w:p>
    <w:p w:rsidR="00197F69" w:rsidRPr="00197F69" w:rsidRDefault="00C72E77" w:rsidP="005F178F">
      <w:pPr>
        <w:spacing w:before="100" w:after="100"/>
        <w:jc w:val="both"/>
        <w:rPr>
          <w:rFonts w:ascii="Bookman Old Style" w:hAnsi="Bookman Old Style"/>
          <w:sz w:val="20"/>
          <w:szCs w:val="20"/>
        </w:rPr>
      </w:pPr>
      <w:r w:rsidRPr="00197F69">
        <w:rPr>
          <w:rFonts w:ascii="Bookman Old Style" w:hAnsi="Bookman Old Style"/>
          <w:sz w:val="20"/>
          <w:szCs w:val="20"/>
        </w:rPr>
        <w:tab/>
      </w:r>
      <w:r w:rsidR="00197F69" w:rsidRPr="00197F69">
        <w:rPr>
          <w:rFonts w:ascii="Bookman Old Style" w:hAnsi="Bookman Old Style"/>
          <w:sz w:val="20"/>
          <w:szCs w:val="20"/>
        </w:rPr>
        <w:t>При проведении оценки использованы следующие данные, предоставленные Заказчиком Отчета об оценке</w:t>
      </w:r>
      <w:r w:rsidR="00667C3A" w:rsidRPr="00667C3A">
        <w:rPr>
          <w:rFonts w:ascii="Bookman Old Style" w:hAnsi="Bookman Old Style"/>
          <w:sz w:val="20"/>
          <w:szCs w:val="20"/>
          <w:vertAlign w:val="superscript"/>
        </w:rPr>
        <w:footnoteReference w:id="3"/>
      </w:r>
      <w:r w:rsidR="00197F69" w:rsidRPr="00197F69">
        <w:rPr>
          <w:rFonts w:ascii="Bookman Old Style" w:hAnsi="Bookman Old Style"/>
          <w:sz w:val="20"/>
          <w:szCs w:val="20"/>
        </w:rPr>
        <w:t>:</w:t>
      </w:r>
    </w:p>
    <w:p w:rsidR="000A4482" w:rsidRDefault="00C33B02" w:rsidP="009B795D">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Pr>
          <w:rFonts w:ascii="Bookman Old Style" w:hAnsi="Bookman Old Style"/>
          <w:sz w:val="20"/>
          <w:szCs w:val="20"/>
        </w:rPr>
        <w:t xml:space="preserve">Копия </w:t>
      </w:r>
      <w:r w:rsidR="000A4482">
        <w:rPr>
          <w:rFonts w:ascii="Bookman Old Style" w:hAnsi="Bookman Old Style"/>
          <w:sz w:val="20"/>
          <w:szCs w:val="20"/>
        </w:rPr>
        <w:t xml:space="preserve">инвентаризационных </w:t>
      </w:r>
      <w:r w:rsidR="009B795D" w:rsidRPr="009B795D">
        <w:rPr>
          <w:rFonts w:ascii="Bookman Old Style" w:hAnsi="Bookman Old Style"/>
          <w:sz w:val="20"/>
          <w:szCs w:val="20"/>
        </w:rPr>
        <w:t xml:space="preserve">описей </w:t>
      </w:r>
      <w:r w:rsidR="000A4482" w:rsidRPr="00284ACB">
        <w:rPr>
          <w:rFonts w:ascii="Bookman Old Style" w:hAnsi="Bookman Old Style"/>
          <w:sz w:val="20"/>
          <w:szCs w:val="20"/>
          <w:vertAlign w:val="superscript"/>
        </w:rPr>
        <w:footnoteReference w:id="4"/>
      </w:r>
      <w:r w:rsidR="000A4482" w:rsidRPr="00284ACB">
        <w:rPr>
          <w:rFonts w:ascii="Bookman Old Style" w:hAnsi="Bookman Old Style"/>
          <w:sz w:val="20"/>
          <w:szCs w:val="20"/>
        </w:rPr>
        <w:t>;</w:t>
      </w:r>
    </w:p>
    <w:p w:rsidR="00C33B02" w:rsidRDefault="00C33B02" w:rsidP="005F178F">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sidRPr="00C33B02">
        <w:rPr>
          <w:rFonts w:ascii="Bookman Old Style" w:hAnsi="Bookman Old Style"/>
          <w:sz w:val="20"/>
          <w:szCs w:val="20"/>
        </w:rPr>
        <w:t xml:space="preserve">Копия </w:t>
      </w:r>
      <w:r w:rsidR="009B795D">
        <w:rPr>
          <w:rFonts w:ascii="Bookman Old Style" w:hAnsi="Bookman Old Style"/>
          <w:bCs/>
          <w:sz w:val="20"/>
          <w:szCs w:val="20"/>
        </w:rPr>
        <w:t>технического</w:t>
      </w:r>
      <w:r w:rsidRPr="00C33B02">
        <w:rPr>
          <w:rFonts w:ascii="Bookman Old Style" w:hAnsi="Bookman Old Style"/>
          <w:bCs/>
          <w:sz w:val="20"/>
          <w:szCs w:val="20"/>
        </w:rPr>
        <w:t xml:space="preserve"> паспорт</w:t>
      </w:r>
      <w:r w:rsidR="009B795D">
        <w:rPr>
          <w:rFonts w:ascii="Bookman Old Style" w:hAnsi="Bookman Old Style"/>
          <w:bCs/>
          <w:sz w:val="20"/>
          <w:szCs w:val="20"/>
        </w:rPr>
        <w:t>а</w:t>
      </w:r>
      <w:r w:rsidRPr="00C33B02">
        <w:rPr>
          <w:rFonts w:ascii="Bookman Old Style" w:hAnsi="Bookman Old Style"/>
          <w:bCs/>
          <w:sz w:val="20"/>
          <w:szCs w:val="20"/>
        </w:rPr>
        <w:t>. Копия кадастрового паспорта</w:t>
      </w:r>
      <w:r w:rsidRPr="00C33B02">
        <w:rPr>
          <w:rFonts w:ascii="Bookman Old Style" w:hAnsi="Bookman Old Style"/>
          <w:sz w:val="20"/>
          <w:szCs w:val="20"/>
        </w:rPr>
        <w:t>.</w:t>
      </w:r>
      <w:r w:rsidRPr="00C33B02">
        <w:rPr>
          <w:rFonts w:ascii="Bookman Old Style" w:hAnsi="Bookman Old Style"/>
          <w:sz w:val="20"/>
          <w:szCs w:val="20"/>
          <w:vertAlign w:val="superscript"/>
        </w:rPr>
        <w:footnoteReference w:id="5"/>
      </w:r>
    </w:p>
    <w:p w:rsidR="00197F69" w:rsidRPr="00197F69" w:rsidRDefault="00197F69" w:rsidP="005F178F">
      <w:pPr>
        <w:pStyle w:val="a"/>
        <w:numPr>
          <w:ilvl w:val="0"/>
          <w:numId w:val="0"/>
        </w:numPr>
        <w:spacing w:before="100" w:after="100"/>
        <w:ind w:left="709"/>
        <w:jc w:val="both"/>
      </w:pPr>
      <w:r w:rsidRPr="00197F69">
        <w:t>Прочие источники информации, используемые оценщиком при проведении оценки</w:t>
      </w:r>
      <w:r w:rsidRPr="00197F69">
        <w:rPr>
          <w:vertAlign w:val="superscript"/>
        </w:rPr>
        <w:footnoteReference w:id="6"/>
      </w:r>
      <w:r w:rsidRPr="00197F69">
        <w:t>:</w:t>
      </w:r>
    </w:p>
    <w:p w:rsidR="009E5808" w:rsidRDefault="00611BBE" w:rsidP="005F178F">
      <w:pPr>
        <w:pStyle w:val="a"/>
        <w:spacing w:before="100" w:after="100"/>
        <w:jc w:val="both"/>
      </w:pPr>
      <w:r>
        <w:t xml:space="preserve">Книги и периодические </w:t>
      </w:r>
      <w:proofErr w:type="gramStart"/>
      <w:r>
        <w:t>издания</w:t>
      </w:r>
      <w:proofErr w:type="gramEnd"/>
      <w:r>
        <w:t xml:space="preserve"> подтверждающие методики применяемые при проведении оценки;</w:t>
      </w:r>
    </w:p>
    <w:p w:rsidR="00611BBE" w:rsidRDefault="00611BBE" w:rsidP="005F178F">
      <w:pPr>
        <w:pStyle w:val="a"/>
        <w:spacing w:before="100" w:after="100"/>
        <w:jc w:val="both"/>
      </w:pPr>
      <w:r>
        <w:t>Данные риэлтерских агентств;</w:t>
      </w:r>
    </w:p>
    <w:p w:rsidR="00197F69" w:rsidRDefault="00197F69" w:rsidP="005F178F">
      <w:pPr>
        <w:pStyle w:val="a"/>
        <w:spacing w:before="100" w:after="100"/>
        <w:jc w:val="both"/>
      </w:pPr>
      <w:r w:rsidRPr="00197F69">
        <w:t>Данные интернет ресурсов;</w:t>
      </w:r>
    </w:p>
    <w:p w:rsidR="00197F69" w:rsidRDefault="00611BBE" w:rsidP="005F178F">
      <w:pPr>
        <w:pStyle w:val="a"/>
        <w:spacing w:before="100" w:after="100"/>
        <w:jc w:val="both"/>
      </w:pPr>
      <w:r>
        <w:t>Т</w:t>
      </w:r>
      <w:r w:rsidR="00197F69" w:rsidRPr="00197F69">
        <w:t>ехнические и нормативные материалы не</w:t>
      </w:r>
      <w:r w:rsidR="00667C3A">
        <w:t>обходимые при проведении оценки.</w:t>
      </w:r>
    </w:p>
    <w:p w:rsidR="006A5323" w:rsidRPr="00833849" w:rsidRDefault="006A5323" w:rsidP="005F178F">
      <w:pPr>
        <w:pStyle w:val="2"/>
        <w:spacing w:before="100" w:after="100"/>
        <w:rPr>
          <w:rFonts w:ascii="Bookman Old Style" w:hAnsi="Bookman Old Style"/>
          <w:b/>
          <w:sz w:val="20"/>
          <w:szCs w:val="20"/>
        </w:rPr>
      </w:pPr>
      <w:bookmarkStart w:id="138" w:name="_Toc197327043"/>
      <w:bookmarkStart w:id="139" w:name="_Toc200179622"/>
      <w:bookmarkStart w:id="140" w:name="_Toc461375553"/>
      <w:r w:rsidRPr="00833849">
        <w:rPr>
          <w:rFonts w:ascii="Bookman Old Style" w:hAnsi="Bookman Old Style"/>
          <w:b/>
          <w:sz w:val="20"/>
          <w:szCs w:val="20"/>
        </w:rPr>
        <w:t>1.</w:t>
      </w:r>
      <w:r w:rsidR="008A2639" w:rsidRPr="00833849">
        <w:rPr>
          <w:rFonts w:ascii="Bookman Old Style" w:hAnsi="Bookman Old Style"/>
          <w:b/>
          <w:sz w:val="20"/>
          <w:szCs w:val="20"/>
        </w:rPr>
        <w:t>7</w:t>
      </w:r>
      <w:r w:rsidRPr="00833849">
        <w:rPr>
          <w:rFonts w:ascii="Bookman Old Style" w:hAnsi="Bookman Old Style"/>
          <w:b/>
          <w:sz w:val="20"/>
          <w:szCs w:val="20"/>
        </w:rPr>
        <w:t>. ЗАЯВЛЕНИЕ ОЦЕНЩИКА</w:t>
      </w:r>
      <w:bookmarkEnd w:id="138"/>
      <w:bookmarkEnd w:id="139"/>
      <w:bookmarkEnd w:id="140"/>
    </w:p>
    <w:p w:rsidR="006A5323" w:rsidRPr="00FB22D3" w:rsidRDefault="006A5323" w:rsidP="005F178F">
      <w:pPr>
        <w:autoSpaceDE w:val="0"/>
        <w:autoSpaceDN w:val="0"/>
        <w:adjustRightInd w:val="0"/>
        <w:spacing w:before="100" w:after="100"/>
        <w:ind w:firstLine="709"/>
        <w:jc w:val="both"/>
        <w:rPr>
          <w:rFonts w:ascii="Bookman Old Style" w:hAnsi="Bookman Old Style"/>
          <w:sz w:val="20"/>
          <w:szCs w:val="20"/>
        </w:rPr>
      </w:pPr>
      <w:r w:rsidRPr="00FB22D3">
        <w:rPr>
          <w:rFonts w:ascii="Bookman Old Style" w:hAnsi="Bookman Old Style"/>
          <w:sz w:val="20"/>
          <w:szCs w:val="20"/>
        </w:rPr>
        <w:t>Подписавший настоящий Отчет</w:t>
      </w:r>
      <w:r w:rsidR="00A858FF">
        <w:rPr>
          <w:rFonts w:ascii="Bookman Old Style" w:hAnsi="Bookman Old Style"/>
          <w:sz w:val="20"/>
          <w:szCs w:val="20"/>
        </w:rPr>
        <w:t xml:space="preserve"> об оценке</w:t>
      </w:r>
      <w:r w:rsidRPr="00FB22D3">
        <w:rPr>
          <w:rFonts w:ascii="Bookman Old Style" w:hAnsi="Bookman Old Style"/>
          <w:sz w:val="20"/>
          <w:szCs w:val="20"/>
        </w:rPr>
        <w:t xml:space="preserve"> Оценщик настоящим удостоверяет:</w:t>
      </w:r>
    </w:p>
    <w:p w:rsidR="006A5323" w:rsidRPr="00FB22D3" w:rsidRDefault="006A5323" w:rsidP="005F178F">
      <w:pPr>
        <w:numPr>
          <w:ilvl w:val="0"/>
          <w:numId w:val="2"/>
        </w:numPr>
        <w:spacing w:before="100" w:after="100"/>
        <w:jc w:val="both"/>
        <w:rPr>
          <w:rFonts w:ascii="Bookman Old Style" w:hAnsi="Bookman Old Style"/>
          <w:sz w:val="20"/>
          <w:szCs w:val="20"/>
        </w:rPr>
      </w:pPr>
      <w:r w:rsidRPr="00FB22D3">
        <w:rPr>
          <w:rFonts w:ascii="Bookman Old Style" w:hAnsi="Bookman Old Style"/>
          <w:sz w:val="20"/>
          <w:szCs w:val="20"/>
        </w:rPr>
        <w:t xml:space="preserve">Оценщик не является учредителем, собственником, акционером, должностным лицом или работником юридического лица - заказчика, лицом, имеющим имущественный интерес в Объекте оценки, либо состоит с указанными лицами в близком родстве или свойстве. </w:t>
      </w:r>
    </w:p>
    <w:p w:rsidR="006A5323" w:rsidRPr="00FB22D3" w:rsidRDefault="006A5323" w:rsidP="005F178F">
      <w:pPr>
        <w:numPr>
          <w:ilvl w:val="0"/>
          <w:numId w:val="2"/>
        </w:numPr>
        <w:spacing w:before="100" w:after="100"/>
        <w:jc w:val="both"/>
        <w:rPr>
          <w:rFonts w:ascii="Bookman Old Style" w:hAnsi="Bookman Old Style"/>
          <w:sz w:val="20"/>
          <w:szCs w:val="20"/>
        </w:rPr>
      </w:pPr>
      <w:r w:rsidRPr="00FB22D3">
        <w:rPr>
          <w:rFonts w:ascii="Bookman Old Style" w:hAnsi="Bookman Old Style"/>
          <w:sz w:val="20"/>
          <w:szCs w:val="20"/>
        </w:rPr>
        <w:t xml:space="preserve">Оценщик не имеет вещных или обязательственных прав вне договора, относительно </w:t>
      </w:r>
      <w:r w:rsidR="00A858FF">
        <w:rPr>
          <w:rFonts w:ascii="Bookman Old Style" w:hAnsi="Bookman Old Style"/>
          <w:sz w:val="20"/>
          <w:szCs w:val="20"/>
        </w:rPr>
        <w:t>О</w:t>
      </w:r>
      <w:r w:rsidRPr="00FB22D3">
        <w:rPr>
          <w:rFonts w:ascii="Bookman Old Style" w:hAnsi="Bookman Old Style"/>
          <w:sz w:val="20"/>
          <w:szCs w:val="20"/>
        </w:rPr>
        <w:t>бъекта оценки;</w:t>
      </w:r>
    </w:p>
    <w:p w:rsidR="006A5323" w:rsidRPr="00FB22D3" w:rsidRDefault="006A5323" w:rsidP="005F178F">
      <w:pPr>
        <w:numPr>
          <w:ilvl w:val="0"/>
          <w:numId w:val="2"/>
        </w:numPr>
        <w:spacing w:before="100" w:after="100"/>
        <w:jc w:val="both"/>
        <w:rPr>
          <w:rFonts w:ascii="Bookman Old Style" w:hAnsi="Bookman Old Style"/>
          <w:sz w:val="20"/>
          <w:szCs w:val="20"/>
        </w:rPr>
      </w:pPr>
      <w:r w:rsidRPr="00FB22D3">
        <w:rPr>
          <w:rFonts w:ascii="Bookman Old Style" w:hAnsi="Bookman Old Style"/>
          <w:sz w:val="20"/>
          <w:szCs w:val="20"/>
        </w:rPr>
        <w:t>Оценщик не является участником (членом) или кредитором юридического лица – заказчика и юридическое лицо не является кредитором или страховщиком оценщика.</w:t>
      </w:r>
    </w:p>
    <w:p w:rsidR="006A5323" w:rsidRPr="00FB22D3" w:rsidRDefault="006A5323" w:rsidP="005F178F">
      <w:pPr>
        <w:numPr>
          <w:ilvl w:val="0"/>
          <w:numId w:val="2"/>
        </w:numPr>
        <w:spacing w:before="100" w:after="100"/>
        <w:jc w:val="both"/>
        <w:rPr>
          <w:rFonts w:ascii="Bookman Old Style" w:hAnsi="Bookman Old Style"/>
          <w:sz w:val="20"/>
          <w:szCs w:val="20"/>
        </w:rPr>
      </w:pPr>
      <w:r w:rsidRPr="00FB22D3">
        <w:rPr>
          <w:rFonts w:ascii="Bookman Old Style" w:hAnsi="Bookman Old Style"/>
          <w:sz w:val="20"/>
          <w:szCs w:val="20"/>
        </w:rPr>
        <w:t>Размер оплаты</w:t>
      </w:r>
      <w:r w:rsidR="00DE4C52">
        <w:rPr>
          <w:rFonts w:ascii="Bookman Old Style" w:hAnsi="Bookman Old Style"/>
          <w:sz w:val="20"/>
          <w:szCs w:val="20"/>
        </w:rPr>
        <w:t xml:space="preserve"> Оценщика за проведение оценки О</w:t>
      </w:r>
      <w:r w:rsidRPr="00FB22D3">
        <w:rPr>
          <w:rFonts w:ascii="Bookman Old Style" w:hAnsi="Bookman Old Style"/>
          <w:sz w:val="20"/>
          <w:szCs w:val="20"/>
        </w:rPr>
        <w:t>бъекта оценки не зависит от итоговой вел</w:t>
      </w:r>
      <w:r w:rsidR="00A858FF">
        <w:rPr>
          <w:rFonts w:ascii="Bookman Old Style" w:hAnsi="Bookman Old Style"/>
          <w:sz w:val="20"/>
          <w:szCs w:val="20"/>
        </w:rPr>
        <w:t>ичины стоимости Объекта оценки.</w:t>
      </w:r>
    </w:p>
    <w:p w:rsidR="00BB6065" w:rsidRPr="00B21788" w:rsidRDefault="00B21788" w:rsidP="005F178F">
      <w:pPr>
        <w:numPr>
          <w:ilvl w:val="0"/>
          <w:numId w:val="2"/>
        </w:numPr>
        <w:autoSpaceDE w:val="0"/>
        <w:autoSpaceDN w:val="0"/>
        <w:adjustRightInd w:val="0"/>
        <w:spacing w:before="100" w:after="100"/>
        <w:jc w:val="both"/>
        <w:rPr>
          <w:rFonts w:ascii="Bookman Old Style" w:hAnsi="Bookman Old Style"/>
          <w:sz w:val="20"/>
          <w:szCs w:val="20"/>
        </w:rPr>
      </w:pPr>
      <w:r w:rsidRPr="00B21788">
        <w:rPr>
          <w:rFonts w:ascii="Bookman Old Style" w:hAnsi="Bookman Old Style"/>
          <w:sz w:val="20"/>
          <w:szCs w:val="20"/>
        </w:rPr>
        <w:t>Оценщик осуществлял личный осмотр Объекта оценки. Осмотр и идентификация имущества проводился с привлечением сотрудников конкурсного управляющего. Оценщик провел анализ достаточности и достоверности полученной в результате осмотра информации, использование дополнительной информации не ведет к изменению итоговой величины стоимости Объекта оценки</w:t>
      </w:r>
      <w:r w:rsidR="0056394F" w:rsidRPr="00B21788">
        <w:rPr>
          <w:rFonts w:ascii="Bookman Old Style" w:hAnsi="Bookman Old Style"/>
          <w:sz w:val="20"/>
          <w:szCs w:val="20"/>
        </w:rPr>
        <w:t>.</w:t>
      </w:r>
    </w:p>
    <w:p w:rsidR="009948B1" w:rsidRDefault="009948B1" w:rsidP="009948B1">
      <w:pPr>
        <w:spacing w:before="120" w:after="120"/>
        <w:jc w:val="both"/>
        <w:rPr>
          <w:rFonts w:ascii="Bookman Old Style" w:hAnsi="Bookman Old Style"/>
          <w:sz w:val="20"/>
          <w:szCs w:val="20"/>
        </w:rPr>
      </w:pPr>
    </w:p>
    <w:p w:rsidR="006A5323" w:rsidRPr="00BE6191" w:rsidRDefault="00D154C6" w:rsidP="00BE6191">
      <w:pPr>
        <w:jc w:val="both"/>
        <w:rPr>
          <w:rFonts w:ascii="Bookman Old Style" w:hAnsi="Bookman Old Style"/>
          <w:sz w:val="20"/>
          <w:szCs w:val="20"/>
        </w:rPr>
      </w:pPr>
      <w:r>
        <w:rPr>
          <w:rFonts w:ascii="Bookman Old Style" w:hAnsi="Bookman Old Style"/>
          <w:sz w:val="20"/>
          <w:szCs w:val="20"/>
        </w:rPr>
        <w:t>О</w:t>
      </w:r>
      <w:r w:rsidR="00BE6191" w:rsidRPr="00BE6191">
        <w:rPr>
          <w:rFonts w:ascii="Bookman Old Style" w:hAnsi="Bookman Old Style"/>
          <w:sz w:val="20"/>
          <w:szCs w:val="20"/>
        </w:rPr>
        <w:t>ценщик</w:t>
      </w:r>
    </w:p>
    <w:p w:rsidR="00BE6191" w:rsidRPr="00BE6191" w:rsidRDefault="00BE6191" w:rsidP="00BE6191">
      <w:pPr>
        <w:jc w:val="both"/>
        <w:rPr>
          <w:rFonts w:ascii="Bookman Old Style" w:hAnsi="Bookman Old Style"/>
          <w:sz w:val="20"/>
          <w:szCs w:val="20"/>
        </w:rPr>
      </w:pPr>
      <w:r w:rsidRPr="00BE6191">
        <w:rPr>
          <w:rFonts w:ascii="Bookman Old Style" w:hAnsi="Bookman Old Style"/>
          <w:sz w:val="20"/>
          <w:szCs w:val="20"/>
        </w:rPr>
        <w:t>ООО «Агентство оценки собственности</w:t>
      </w:r>
    </w:p>
    <w:p w:rsidR="00E03117" w:rsidRDefault="00BE6191" w:rsidP="00D154C6">
      <w:pPr>
        <w:jc w:val="both"/>
        <w:rPr>
          <w:rFonts w:ascii="Bookman Old Style" w:hAnsi="Bookman Old Style"/>
          <w:noProof/>
          <w:sz w:val="20"/>
          <w:szCs w:val="20"/>
        </w:rPr>
      </w:pPr>
      <w:r w:rsidRPr="00BE6191">
        <w:rPr>
          <w:rFonts w:ascii="Bookman Old Style" w:hAnsi="Bookman Old Style"/>
          <w:sz w:val="20"/>
          <w:szCs w:val="20"/>
        </w:rPr>
        <w:t>«Золотое правило»</w:t>
      </w:r>
      <w:r w:rsidR="00E80348">
        <w:rPr>
          <w:rFonts w:ascii="Bookman Old Style" w:hAnsi="Bookman Old Style"/>
          <w:b/>
          <w:noProof/>
          <w:sz w:val="20"/>
          <w:szCs w:val="20"/>
        </w:rPr>
        <w:t xml:space="preserve">                                                                       </w:t>
      </w:r>
      <w:r w:rsidR="00B86D63">
        <w:rPr>
          <w:rFonts w:ascii="Bookman Old Style" w:hAnsi="Bookman Old Style"/>
          <w:b/>
          <w:noProof/>
          <w:sz w:val="20"/>
          <w:szCs w:val="20"/>
        </w:rPr>
        <w:t xml:space="preserve">                            </w:t>
      </w:r>
      <w:r w:rsidR="00BC25F6">
        <w:rPr>
          <w:rFonts w:ascii="Bookman Old Style" w:hAnsi="Bookman Old Style"/>
          <w:noProof/>
          <w:sz w:val="20"/>
          <w:szCs w:val="20"/>
        </w:rPr>
        <w:t>О.С.Золотарев</w:t>
      </w:r>
    </w:p>
    <w:p w:rsidR="009948B1" w:rsidRDefault="009948B1" w:rsidP="00D154C6">
      <w:pPr>
        <w:jc w:val="both"/>
        <w:rPr>
          <w:rFonts w:ascii="Bookman Old Style" w:hAnsi="Bookman Old Style"/>
          <w:noProof/>
          <w:sz w:val="20"/>
          <w:szCs w:val="20"/>
        </w:rPr>
      </w:pPr>
      <w:r>
        <w:rPr>
          <w:rFonts w:ascii="Bookman Old Style" w:hAnsi="Bookman Old Style"/>
          <w:b/>
          <w:noProof/>
          <w:sz w:val="20"/>
          <w:szCs w:val="20"/>
        </w:rPr>
        <mc:AlternateContent>
          <mc:Choice Requires="wps">
            <w:drawing>
              <wp:anchor distT="0" distB="0" distL="114300" distR="114300" simplePos="0" relativeHeight="251659776" behindDoc="0" locked="0" layoutInCell="1" allowOverlap="1" wp14:anchorId="72D0973F" wp14:editId="47473490">
                <wp:simplePos x="0" y="0"/>
                <wp:positionH relativeFrom="column">
                  <wp:posOffset>3736340</wp:posOffset>
                </wp:positionH>
                <wp:positionV relativeFrom="paragraph">
                  <wp:posOffset>69215</wp:posOffset>
                </wp:positionV>
                <wp:extent cx="2788285" cy="0"/>
                <wp:effectExtent l="0" t="0" r="12065" b="19050"/>
                <wp:wrapNone/>
                <wp:docPr id="43"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8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2pt,5.45pt" to="513.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"/>
            </w:pict>
          </mc:Fallback>
        </mc:AlternateContent>
      </w: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BD32C8" w:rsidRPr="00300E68" w:rsidRDefault="00BD32C8" w:rsidP="00300E68">
      <w:pPr>
        <w:pStyle w:val="1"/>
        <w:jc w:val="center"/>
        <w:rPr>
          <w:rFonts w:ascii="Bookman Old Style" w:hAnsi="Bookman Old Style"/>
        </w:rPr>
      </w:pPr>
      <w:bookmarkStart w:id="141" w:name="_Toc189989841"/>
      <w:bookmarkStart w:id="142" w:name="_Toc197327044"/>
      <w:bookmarkStart w:id="143" w:name="_Toc200179623"/>
      <w:bookmarkStart w:id="144" w:name="_Toc133200872"/>
      <w:bookmarkStart w:id="145" w:name="_Toc170273667"/>
      <w:bookmarkStart w:id="146" w:name="_Toc200193947"/>
      <w:bookmarkStart w:id="147" w:name="_Toc461375554"/>
      <w:bookmarkEnd w:id="32"/>
      <w:bookmarkEnd w:id="33"/>
      <w:r w:rsidRPr="00300E68">
        <w:rPr>
          <w:rFonts w:ascii="Bookman Old Style" w:hAnsi="Bookman Old Style"/>
        </w:rPr>
        <w:lastRenderedPageBreak/>
        <w:t>2. ПОСЛЕДОВАТЕЛЬНОСТЬ ОПРЕДЕЛЕНИЯ СТОИМОСТИ</w:t>
      </w:r>
      <w:bookmarkEnd w:id="141"/>
      <w:bookmarkEnd w:id="142"/>
      <w:bookmarkEnd w:id="143"/>
      <w:bookmarkEnd w:id="147"/>
    </w:p>
    <w:p w:rsidR="00BD32C8" w:rsidRPr="00300E68" w:rsidRDefault="00BD32C8" w:rsidP="00300E68">
      <w:pPr>
        <w:pStyle w:val="2"/>
        <w:spacing w:before="120" w:after="120"/>
        <w:rPr>
          <w:rFonts w:ascii="Bookman Old Style" w:hAnsi="Bookman Old Style"/>
          <w:b/>
          <w:sz w:val="20"/>
          <w:szCs w:val="20"/>
        </w:rPr>
      </w:pPr>
      <w:bookmarkStart w:id="148" w:name="_Toc189989842"/>
      <w:bookmarkStart w:id="149" w:name="_Toc197327045"/>
      <w:bookmarkStart w:id="150" w:name="_Toc200179624"/>
      <w:bookmarkStart w:id="151" w:name="_Toc461375555"/>
      <w:r w:rsidRPr="00300E68">
        <w:rPr>
          <w:rFonts w:ascii="Bookman Old Style" w:hAnsi="Bookman Old Style"/>
          <w:b/>
          <w:sz w:val="20"/>
          <w:szCs w:val="20"/>
        </w:rPr>
        <w:t>2.1. ОБЪЕМ И ЭТАПЫ ИССЛЕДОВАНИЯ</w:t>
      </w:r>
      <w:bookmarkEnd w:id="148"/>
      <w:bookmarkEnd w:id="149"/>
      <w:bookmarkEnd w:id="150"/>
      <w:bookmarkEnd w:id="151"/>
    </w:p>
    <w:p w:rsidR="00BD32C8" w:rsidRPr="00FB22D3" w:rsidRDefault="00BD32C8" w:rsidP="000A1998">
      <w:pPr>
        <w:autoSpaceDE w:val="0"/>
        <w:autoSpaceDN w:val="0"/>
        <w:adjustRightInd w:val="0"/>
        <w:spacing w:before="120" w:after="120"/>
        <w:ind w:firstLine="708"/>
        <w:jc w:val="both"/>
        <w:rPr>
          <w:rFonts w:ascii="Bookman Old Style" w:hAnsi="Bookman Old Style"/>
          <w:sz w:val="20"/>
          <w:szCs w:val="20"/>
        </w:rPr>
      </w:pPr>
      <w:r w:rsidRPr="00FB22D3">
        <w:rPr>
          <w:rFonts w:ascii="Bookman Old Style" w:hAnsi="Bookman Old Style"/>
          <w:sz w:val="20"/>
          <w:szCs w:val="20"/>
        </w:rPr>
        <w:t>Объем и этапы исследований</w:t>
      </w:r>
      <w:r w:rsidR="000A1998">
        <w:rPr>
          <w:rFonts w:ascii="Bookman Old Style" w:hAnsi="Bookman Old Style"/>
          <w:sz w:val="20"/>
          <w:szCs w:val="20"/>
        </w:rPr>
        <w:t xml:space="preserve"> при проведении оценки</w:t>
      </w:r>
      <w:r w:rsidRPr="00FB22D3">
        <w:rPr>
          <w:rFonts w:ascii="Bookman Old Style" w:hAnsi="Bookman Old Style"/>
          <w:sz w:val="20"/>
          <w:szCs w:val="20"/>
        </w:rPr>
        <w:t xml:space="preserve"> включают в себя:</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Заключение договора на проведение оценки, включающего задание на оценку;</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Сбор и анализ информации, необходимой для проведения оценки;</w:t>
      </w:r>
    </w:p>
    <w:p w:rsidR="00BD32C8" w:rsidRPr="000A1998" w:rsidRDefault="00BD32C8" w:rsidP="00AB1FB9">
      <w:pPr>
        <w:pStyle w:val="aff2"/>
        <w:numPr>
          <w:ilvl w:val="0"/>
          <w:numId w:val="11"/>
        </w:numPr>
        <w:spacing w:before="120" w:after="120"/>
        <w:ind w:left="714" w:hanging="357"/>
        <w:contextualSpacing w:val="0"/>
        <w:rPr>
          <w:rFonts w:ascii="Bookman Old Style" w:hAnsi="Bookman Old Style"/>
          <w:sz w:val="20"/>
          <w:szCs w:val="20"/>
        </w:rPr>
      </w:pPr>
      <w:r w:rsidRPr="000A1998">
        <w:rPr>
          <w:rFonts w:ascii="Bookman Old Style" w:hAnsi="Bookman Old Style"/>
          <w:sz w:val="20"/>
          <w:szCs w:val="20"/>
        </w:rPr>
        <w:t>Применение подходов к оценке, включая выбор методов оценки и осуществление необходимых расчетов;</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Согласование (обобщение) результатов применения подходов к оценке и определение итоговой величины стоимости объекта оценки;</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Составление отчета об оценке.</w:t>
      </w:r>
    </w:p>
    <w:p w:rsidR="00BD32C8" w:rsidRPr="00300E68" w:rsidRDefault="00BD32C8" w:rsidP="00300E68">
      <w:pPr>
        <w:pStyle w:val="2"/>
        <w:rPr>
          <w:rFonts w:ascii="Bookman Old Style" w:hAnsi="Bookman Old Style"/>
          <w:b/>
          <w:sz w:val="20"/>
          <w:szCs w:val="20"/>
        </w:rPr>
      </w:pPr>
      <w:bookmarkStart w:id="152" w:name="_Toc189989843"/>
      <w:bookmarkStart w:id="153" w:name="_Toc197327046"/>
      <w:bookmarkStart w:id="154" w:name="_Toc200179625"/>
      <w:bookmarkStart w:id="155" w:name="_Toc461375556"/>
      <w:r w:rsidRPr="00300E68">
        <w:rPr>
          <w:rFonts w:ascii="Bookman Old Style" w:hAnsi="Bookman Old Style"/>
          <w:b/>
          <w:sz w:val="20"/>
          <w:szCs w:val="20"/>
        </w:rPr>
        <w:t>2.2. ВИД ОПРЕДЕЛЯЕМОЙ СТОИМОСТИ</w:t>
      </w:r>
      <w:bookmarkEnd w:id="152"/>
      <w:bookmarkEnd w:id="153"/>
      <w:bookmarkEnd w:id="154"/>
      <w:bookmarkEnd w:id="155"/>
    </w:p>
    <w:p w:rsidR="00FE6D64" w:rsidRPr="00FE6D64" w:rsidRDefault="00FE6D64" w:rsidP="00FE6D64">
      <w:pPr>
        <w:autoSpaceDE w:val="0"/>
        <w:autoSpaceDN w:val="0"/>
        <w:adjustRightInd w:val="0"/>
        <w:spacing w:before="120" w:after="120"/>
        <w:ind w:firstLine="709"/>
        <w:jc w:val="both"/>
        <w:rPr>
          <w:rFonts w:ascii="Bookman Old Style" w:hAnsi="Bookman Old Style"/>
          <w:sz w:val="20"/>
          <w:szCs w:val="20"/>
        </w:rPr>
      </w:pPr>
      <w:bookmarkStart w:id="156" w:name="_Toc189989844"/>
      <w:bookmarkStart w:id="157" w:name="_Toc197327047"/>
      <w:bookmarkStart w:id="158" w:name="_Toc200179626"/>
      <w:r w:rsidRPr="00FE6D64">
        <w:rPr>
          <w:rFonts w:ascii="Bookman Old Style" w:hAnsi="Bookman Old Style"/>
          <w:sz w:val="20"/>
          <w:szCs w:val="20"/>
        </w:rPr>
        <w:t xml:space="preserve">Согласно Договору на проведение оценки и Задания на оценку, в процессе работы определялась величина рыночной стоимости Объекта оценки. </w:t>
      </w:r>
    </w:p>
    <w:p w:rsidR="00FE6D64" w:rsidRPr="00FE6D64" w:rsidRDefault="00FE6D64" w:rsidP="00FE6D64">
      <w:pPr>
        <w:autoSpaceDE w:val="0"/>
        <w:autoSpaceDN w:val="0"/>
        <w:adjustRightInd w:val="0"/>
        <w:spacing w:before="120" w:after="120"/>
        <w:ind w:firstLine="709"/>
        <w:jc w:val="both"/>
        <w:rPr>
          <w:rFonts w:ascii="Bookman Old Style" w:hAnsi="Bookman Old Style"/>
          <w:sz w:val="20"/>
          <w:szCs w:val="20"/>
        </w:rPr>
      </w:pPr>
      <w:r w:rsidRPr="00FE6D64">
        <w:rPr>
          <w:rFonts w:ascii="Bookman Old Style" w:hAnsi="Bookman Old Style"/>
          <w:sz w:val="20"/>
          <w:szCs w:val="20"/>
        </w:rPr>
        <w:t>Под рыночной стоимостью понимается</w:t>
      </w:r>
      <w:r w:rsidRPr="00FE6D64">
        <w:rPr>
          <w:rFonts w:ascii="Bookman Old Style" w:hAnsi="Bookman Old Style"/>
          <w:sz w:val="20"/>
          <w:szCs w:val="20"/>
          <w:vertAlign w:val="superscript"/>
        </w:rPr>
        <w:footnoteReference w:id="7"/>
      </w:r>
      <w:r w:rsidRPr="00FE6D64">
        <w:rPr>
          <w:rFonts w:ascii="Bookman Old Style" w:hAnsi="Bookman Old Style"/>
          <w:sz w:val="20"/>
          <w:szCs w:val="20"/>
        </w:rPr>
        <w:t>:</w:t>
      </w:r>
    </w:p>
    <w:p w:rsidR="00FE6D64" w:rsidRPr="00FE6D64" w:rsidRDefault="00FE6D64" w:rsidP="00FE6D64">
      <w:pPr>
        <w:autoSpaceDE w:val="0"/>
        <w:autoSpaceDN w:val="0"/>
        <w:adjustRightInd w:val="0"/>
        <w:spacing w:before="120" w:after="120"/>
        <w:jc w:val="both"/>
        <w:rPr>
          <w:rFonts w:ascii="Bookman Old Style" w:hAnsi="Bookman Old Style"/>
          <w:sz w:val="20"/>
          <w:szCs w:val="20"/>
        </w:rPr>
      </w:pPr>
      <w:r w:rsidRPr="00FE6D64">
        <w:rPr>
          <w:rFonts w:ascii="Bookman Old Style" w:hAnsi="Bookman Old Style"/>
          <w:sz w:val="20"/>
          <w:szCs w:val="20"/>
        </w:rPr>
        <w:t>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то есть когда:</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одна из сторон сделки не обязана отчуждать объект оценки, а другая сторона не обязана принимать исполнение;</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стороны сделки хорошо осведомлены о предмете сделки и действуют в своих интересах;</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объект оценки представлен на открытом рынке посредством публичной оферты, типичной для аналогичных объектов оценки;</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 xml:space="preserve">цена сделки </w:t>
      </w:r>
      <w:proofErr w:type="gramStart"/>
      <w:r w:rsidRPr="00FE6D64">
        <w:rPr>
          <w:rFonts w:ascii="Bookman Old Style" w:hAnsi="Bookman Old Style"/>
          <w:sz w:val="20"/>
          <w:szCs w:val="20"/>
        </w:rPr>
        <w:t>представляет собой разумное вознаграждение за объект оценки и принуждения к совершению сделки в отношении сторон сделки с чьей-либо стороны не было</w:t>
      </w:r>
      <w:proofErr w:type="gramEnd"/>
      <w:r w:rsidRPr="00FE6D64">
        <w:rPr>
          <w:rFonts w:ascii="Bookman Old Style" w:hAnsi="Bookman Old Style"/>
          <w:sz w:val="20"/>
          <w:szCs w:val="20"/>
        </w:rPr>
        <w:t>;</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платеж за объект оценки выражен в денежной форме.</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Возможность отчуждения на открытом рынке означает, что объект оценки представлен на открытом рынке посредством публичной оферты, типичной для аналогичных объектов, при этом срок экспозиции объекта на рынке должен быть достаточным для привлечения внимания достаточного числа потенциальных покупателей.</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Разумность действий сторон сделки означает, что цена сделки - наибольшая из достижимых по разумным соображениям цен для продавца и наименьшая из достижимых по разумным соображениям цен для покупателя.</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Полнота располагаемой информации означает, что стороны сделки в достаточной степени информированы о предмете сделки, действуют, стремясь достичь условий сделки, наилучших с точки зрения каждой из сторон, в соответствии с полным объемом информации о состоянии рынка и объекте оценки, доступным на дату оценки.</w:t>
      </w:r>
    </w:p>
    <w:p w:rsid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 xml:space="preserve">Отсутствие чрезвычайных обстоятельств означает, что у каждой из сторон сделки имеются мотивы для совершения сделки, при этом в отношении сторон </w:t>
      </w:r>
      <w:proofErr w:type="gramStart"/>
      <w:r w:rsidRPr="00FE6D64">
        <w:rPr>
          <w:rFonts w:ascii="Bookman Old Style" w:hAnsi="Bookman Old Style"/>
          <w:sz w:val="20"/>
          <w:szCs w:val="20"/>
        </w:rPr>
        <w:t>нет принуждения совершить</w:t>
      </w:r>
      <w:proofErr w:type="gramEnd"/>
      <w:r w:rsidRPr="00FE6D64">
        <w:rPr>
          <w:rFonts w:ascii="Bookman Old Style" w:hAnsi="Bookman Old Style"/>
          <w:sz w:val="20"/>
          <w:szCs w:val="20"/>
        </w:rPr>
        <w:t xml:space="preserve"> сделку.</w:t>
      </w:r>
    </w:p>
    <w:p w:rsidR="007C5CFA" w:rsidRDefault="007C5CFA" w:rsidP="00FE6D64">
      <w:pPr>
        <w:spacing w:before="120" w:after="120"/>
        <w:ind w:firstLine="708"/>
        <w:jc w:val="both"/>
        <w:rPr>
          <w:rFonts w:ascii="Bookman Old Style" w:hAnsi="Bookman Old Style"/>
          <w:sz w:val="20"/>
          <w:szCs w:val="20"/>
        </w:rPr>
      </w:pPr>
    </w:p>
    <w:p w:rsidR="007C5CFA" w:rsidRDefault="007C5CFA" w:rsidP="00FE6D64">
      <w:pPr>
        <w:spacing w:before="120" w:after="120"/>
        <w:ind w:firstLine="708"/>
        <w:jc w:val="both"/>
        <w:rPr>
          <w:rFonts w:ascii="Bookman Old Style" w:hAnsi="Bookman Old Style"/>
          <w:sz w:val="20"/>
          <w:szCs w:val="20"/>
        </w:rPr>
      </w:pPr>
    </w:p>
    <w:p w:rsidR="007C5CFA" w:rsidRDefault="007C5CFA" w:rsidP="00FE6D64">
      <w:pPr>
        <w:spacing w:before="120" w:after="120"/>
        <w:ind w:firstLine="708"/>
        <w:jc w:val="both"/>
        <w:rPr>
          <w:rFonts w:ascii="Bookman Old Style" w:hAnsi="Bookman Old Style"/>
          <w:sz w:val="20"/>
          <w:szCs w:val="20"/>
        </w:rPr>
      </w:pPr>
    </w:p>
    <w:p w:rsidR="0035733F" w:rsidRDefault="0035733F" w:rsidP="00FE6D64">
      <w:pPr>
        <w:spacing w:before="120" w:after="120"/>
        <w:ind w:firstLine="708"/>
        <w:jc w:val="both"/>
        <w:rPr>
          <w:rFonts w:ascii="Bookman Old Style" w:hAnsi="Bookman Old Style"/>
          <w:sz w:val="20"/>
          <w:szCs w:val="20"/>
        </w:rPr>
      </w:pPr>
    </w:p>
    <w:p w:rsidR="00A0696A" w:rsidRDefault="00A0696A" w:rsidP="00FE6D64">
      <w:pPr>
        <w:spacing w:before="120" w:after="120"/>
        <w:ind w:firstLine="708"/>
        <w:jc w:val="both"/>
        <w:rPr>
          <w:rFonts w:ascii="Bookman Old Style" w:hAnsi="Bookman Old Style"/>
          <w:sz w:val="20"/>
          <w:szCs w:val="20"/>
        </w:rPr>
      </w:pPr>
    </w:p>
    <w:p w:rsidR="007D0A44" w:rsidRPr="00271EAA" w:rsidRDefault="007D0A44" w:rsidP="007D0A44">
      <w:pPr>
        <w:pStyle w:val="1"/>
        <w:jc w:val="center"/>
        <w:rPr>
          <w:rFonts w:ascii="Bookman Old Style" w:hAnsi="Bookman Old Style"/>
        </w:rPr>
      </w:pPr>
      <w:bookmarkStart w:id="159" w:name="_Toc205022806"/>
      <w:bookmarkStart w:id="160" w:name="_Toc293317440"/>
      <w:bookmarkStart w:id="161" w:name="_Toc293401534"/>
      <w:bookmarkStart w:id="162" w:name="_Toc163366344"/>
      <w:bookmarkStart w:id="163" w:name="_Toc461375557"/>
      <w:r>
        <w:rPr>
          <w:rFonts w:ascii="Bookman Old Style" w:hAnsi="Bookman Old Style"/>
        </w:rPr>
        <w:lastRenderedPageBreak/>
        <w:t>3</w:t>
      </w:r>
      <w:r w:rsidRPr="00271EAA">
        <w:rPr>
          <w:rFonts w:ascii="Bookman Old Style" w:hAnsi="Bookman Old Style"/>
        </w:rPr>
        <w:t xml:space="preserve">. </w:t>
      </w:r>
      <w:r w:rsidR="00D93DC5" w:rsidRPr="00D93DC5">
        <w:rPr>
          <w:rFonts w:ascii="Bookman Old Style" w:hAnsi="Bookman Old Style"/>
        </w:rPr>
        <w:t>ОПИСАНИЕ ОБЪЕКТА ОЦЕНКИ С ПРИВЕДЕНИЕМ ССЫЛОК НА ДОКУМЕНТЫ, УСТАНАВЛИВАЮЩИЕ КОЛИЧЕСТВЕННЫЕ И КАЧЕСТВЕННЫЕ ХАРАКТЕРИСТИКИ ОБЪЕКТА ОЦЕНКИ</w:t>
      </w:r>
      <w:bookmarkEnd w:id="163"/>
    </w:p>
    <w:p w:rsidR="007D0A44" w:rsidRPr="0031307C" w:rsidRDefault="007D0A44" w:rsidP="007D0A44">
      <w:pPr>
        <w:pStyle w:val="2"/>
        <w:spacing w:before="120"/>
        <w:rPr>
          <w:rFonts w:ascii="Bookman Old Style" w:hAnsi="Bookman Old Style"/>
          <w:b/>
          <w:sz w:val="20"/>
          <w:szCs w:val="20"/>
        </w:rPr>
      </w:pPr>
      <w:bookmarkStart w:id="164" w:name="_Toc461375558"/>
      <w:r>
        <w:rPr>
          <w:rFonts w:ascii="Bookman Old Style" w:hAnsi="Bookman Old Style"/>
          <w:b/>
          <w:sz w:val="20"/>
          <w:szCs w:val="20"/>
        </w:rPr>
        <w:t>3</w:t>
      </w:r>
      <w:r w:rsidRPr="0031307C">
        <w:rPr>
          <w:rFonts w:ascii="Bookman Old Style" w:hAnsi="Bookman Old Style"/>
          <w:b/>
          <w:sz w:val="20"/>
          <w:szCs w:val="20"/>
        </w:rPr>
        <w:t>.1. СВЕДЕНИЯ О ИМУЩЕСТВЕННЫХ ПРАВАХ И ОБРЕМЕНЕНИЯХ</w:t>
      </w:r>
      <w:bookmarkEnd w:id="164"/>
    </w:p>
    <w:p w:rsidR="0089581A" w:rsidRDefault="0089581A" w:rsidP="0089581A">
      <w:pPr>
        <w:pStyle w:val="3"/>
        <w:spacing w:after="120"/>
        <w:rPr>
          <w:rFonts w:ascii="Bookman Old Style" w:hAnsi="Bookman Old Style"/>
          <w:sz w:val="20"/>
          <w:szCs w:val="20"/>
        </w:rPr>
      </w:pPr>
      <w:bookmarkStart w:id="165" w:name="_Toc461375559"/>
      <w:r>
        <w:rPr>
          <w:rFonts w:ascii="Bookman Old Style" w:hAnsi="Bookman Old Style"/>
          <w:sz w:val="20"/>
          <w:szCs w:val="20"/>
        </w:rPr>
        <w:t>3.1</w:t>
      </w:r>
      <w:r w:rsidRPr="00093E84">
        <w:rPr>
          <w:rFonts w:ascii="Bookman Old Style" w:hAnsi="Bookman Old Style"/>
          <w:sz w:val="20"/>
          <w:szCs w:val="20"/>
        </w:rPr>
        <w:t>.</w:t>
      </w:r>
      <w:r w:rsidR="00467865">
        <w:rPr>
          <w:rFonts w:ascii="Bookman Old Style" w:hAnsi="Bookman Old Style"/>
          <w:sz w:val="20"/>
          <w:szCs w:val="20"/>
        </w:rPr>
        <w:t>1</w:t>
      </w:r>
      <w:r w:rsidRPr="00093E84">
        <w:rPr>
          <w:rFonts w:ascii="Bookman Old Style" w:hAnsi="Bookman Old Style"/>
          <w:sz w:val="20"/>
          <w:szCs w:val="20"/>
        </w:rPr>
        <w:t xml:space="preserve">. </w:t>
      </w:r>
      <w:r>
        <w:rPr>
          <w:rFonts w:ascii="Bookman Old Style" w:hAnsi="Bookman Old Style"/>
          <w:sz w:val="20"/>
          <w:szCs w:val="20"/>
        </w:rPr>
        <w:t>Сведения об имущественных правах</w:t>
      </w:r>
      <w:bookmarkEnd w:id="165"/>
      <w:r>
        <w:rPr>
          <w:rFonts w:ascii="Bookman Old Style" w:hAnsi="Bookman Old Style"/>
          <w:sz w:val="20"/>
          <w:szCs w:val="20"/>
        </w:rPr>
        <w:t xml:space="preserve"> </w:t>
      </w:r>
    </w:p>
    <w:p w:rsidR="005D4B32" w:rsidRDefault="005D4B32" w:rsidP="005D4B32">
      <w:pPr>
        <w:autoSpaceDE w:val="0"/>
        <w:autoSpaceDN w:val="0"/>
        <w:adjustRightInd w:val="0"/>
        <w:spacing w:before="120" w:after="120"/>
        <w:ind w:left="360" w:firstLine="349"/>
        <w:jc w:val="both"/>
        <w:rPr>
          <w:rFonts w:ascii="Bookman Old Style" w:hAnsi="Bookman Old Style"/>
          <w:sz w:val="20"/>
          <w:szCs w:val="20"/>
        </w:rPr>
      </w:pPr>
      <w:r w:rsidRPr="00E31846">
        <w:rPr>
          <w:rFonts w:ascii="Bookman Old Style" w:hAnsi="Bookman Old Style"/>
          <w:sz w:val="20"/>
          <w:szCs w:val="20"/>
        </w:rPr>
        <w:t>Объект</w:t>
      </w:r>
      <w:r>
        <w:rPr>
          <w:rFonts w:ascii="Bookman Old Style" w:hAnsi="Bookman Old Style"/>
          <w:sz w:val="20"/>
          <w:szCs w:val="20"/>
        </w:rPr>
        <w:t xml:space="preserve">ом </w:t>
      </w:r>
      <w:r w:rsidRPr="00E31846">
        <w:rPr>
          <w:rFonts w:ascii="Bookman Old Style" w:hAnsi="Bookman Old Style"/>
          <w:sz w:val="20"/>
          <w:szCs w:val="20"/>
        </w:rPr>
        <w:t>оценки</w:t>
      </w:r>
      <w:r>
        <w:rPr>
          <w:rFonts w:ascii="Bookman Old Style" w:hAnsi="Bookman Old Style"/>
          <w:sz w:val="20"/>
          <w:szCs w:val="20"/>
        </w:rPr>
        <w:t xml:space="preserve"> является</w:t>
      </w:r>
      <w:r w:rsidRPr="00E31846">
        <w:rPr>
          <w:rFonts w:ascii="Bookman Old Style" w:hAnsi="Bookman Old Style"/>
          <w:sz w:val="20"/>
          <w:szCs w:val="20"/>
        </w:rPr>
        <w:t xml:space="preserve">: </w:t>
      </w:r>
    </w:p>
    <w:p w:rsidR="005F178F" w:rsidRPr="00023975" w:rsidRDefault="005F178F" w:rsidP="005F178F">
      <w:pPr>
        <w:autoSpaceDE w:val="0"/>
        <w:autoSpaceDN w:val="0"/>
        <w:adjustRightInd w:val="0"/>
        <w:spacing w:before="120" w:after="120"/>
        <w:ind w:left="720"/>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Недвижимое и движимое имуществ</w:t>
      </w:r>
      <w:proofErr w:type="gramStart"/>
      <w:r w:rsidRPr="00023975">
        <w:rPr>
          <w:rFonts w:ascii="Bookman Old Style" w:hAnsi="Bookman Old Style"/>
          <w:color w:val="000000" w:themeColor="text1"/>
          <w:sz w:val="20"/>
          <w:szCs w:val="20"/>
        </w:rPr>
        <w:t>о ООО</w:t>
      </w:r>
      <w:proofErr w:type="gramEnd"/>
      <w:r w:rsidRPr="00023975">
        <w:rPr>
          <w:rFonts w:ascii="Bookman Old Style" w:hAnsi="Bookman Old Style"/>
          <w:color w:val="000000" w:themeColor="text1"/>
          <w:sz w:val="20"/>
          <w:szCs w:val="20"/>
        </w:rPr>
        <w:t xml:space="preserve"> «Окно», находящееся в залоге у </w:t>
      </w:r>
      <w:r w:rsidRPr="00091921">
        <w:rPr>
          <w:rFonts w:ascii="Bookman Old Style" w:hAnsi="Bookman Old Style"/>
          <w:color w:val="000000" w:themeColor="text1"/>
          <w:sz w:val="20"/>
          <w:szCs w:val="20"/>
        </w:rPr>
        <w:t>АКБ «</w:t>
      </w:r>
      <w:proofErr w:type="spellStart"/>
      <w:r w:rsidRPr="00091921">
        <w:rPr>
          <w:rFonts w:ascii="Bookman Old Style" w:hAnsi="Bookman Old Style"/>
          <w:color w:val="000000" w:themeColor="text1"/>
          <w:sz w:val="20"/>
          <w:szCs w:val="20"/>
        </w:rPr>
        <w:t>Ланта</w:t>
      </w:r>
      <w:proofErr w:type="spellEnd"/>
      <w:r w:rsidRPr="00091921">
        <w:rPr>
          <w:rFonts w:ascii="Bookman Old Style" w:hAnsi="Bookman Old Style"/>
          <w:color w:val="000000" w:themeColor="text1"/>
          <w:sz w:val="20"/>
          <w:szCs w:val="20"/>
        </w:rPr>
        <w:t>-Банк»</w:t>
      </w:r>
      <w:r w:rsidRPr="00023975">
        <w:rPr>
          <w:rFonts w:ascii="Bookman Old Style" w:hAnsi="Bookman Old Style"/>
          <w:color w:val="000000" w:themeColor="text1"/>
          <w:sz w:val="20"/>
          <w:szCs w:val="20"/>
        </w:rPr>
        <w:t>, в составе элементов:</w:t>
      </w:r>
    </w:p>
    <w:p w:rsidR="005F178F" w:rsidRPr="00091921" w:rsidRDefault="005F178F" w:rsidP="005F04AC">
      <w:pPr>
        <w:numPr>
          <w:ilvl w:val="1"/>
          <w:numId w:val="62"/>
        </w:numPr>
        <w:autoSpaceDE w:val="0"/>
        <w:autoSpaceDN w:val="0"/>
        <w:adjustRightInd w:val="0"/>
        <w:spacing w:before="120" w:after="120"/>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Помещение, назначение: нежилое, общая площадь 525,6 кв.м., этаж №1, адрес:  г. Красноярск,  ул. Айвазовского 37 «А», стр. 2, пом. 1, Кадастровый номер: 24:50:0500203:461</w:t>
      </w:r>
    </w:p>
    <w:p w:rsidR="005F178F" w:rsidRDefault="005F178F" w:rsidP="005F04AC">
      <w:pPr>
        <w:numPr>
          <w:ilvl w:val="1"/>
          <w:numId w:val="62"/>
        </w:numPr>
        <w:autoSpaceDE w:val="0"/>
        <w:autoSpaceDN w:val="0"/>
        <w:adjustRightInd w:val="0"/>
        <w:spacing w:before="120" w:after="120"/>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Общая долевая собственность, доля в праве ½</w:t>
      </w:r>
      <w:proofErr w:type="gramStart"/>
      <w:r w:rsidRPr="00091921">
        <w:rPr>
          <w:rFonts w:ascii="Bookman Old Style" w:hAnsi="Bookman Old Style"/>
          <w:color w:val="000000" w:themeColor="text1"/>
          <w:sz w:val="20"/>
          <w:szCs w:val="20"/>
        </w:rPr>
        <w:t xml:space="preserve"> ,</w:t>
      </w:r>
      <w:proofErr w:type="gramEnd"/>
      <w:r w:rsidRPr="00091921">
        <w:rPr>
          <w:rFonts w:ascii="Bookman Old Style" w:hAnsi="Bookman Old Style"/>
          <w:color w:val="000000" w:themeColor="text1"/>
          <w:sz w:val="20"/>
          <w:szCs w:val="20"/>
        </w:rPr>
        <w:t xml:space="preserve"> Земельный участок, категория земель: земли населенных пунктов, Общая площадь 1181 кв. м., адрес : г. Красноярск, ул. Айвазовского, 37 «А»</w:t>
      </w:r>
      <w:r>
        <w:rPr>
          <w:rFonts w:ascii="Bookman Old Style" w:hAnsi="Bookman Old Style"/>
          <w:color w:val="000000" w:themeColor="text1"/>
          <w:sz w:val="20"/>
          <w:szCs w:val="20"/>
        </w:rPr>
        <w:t>.</w:t>
      </w:r>
      <w:r w:rsidRPr="00091921">
        <w:rPr>
          <w:rFonts w:ascii="Bookman Old Style" w:hAnsi="Bookman Old Style"/>
          <w:color w:val="000000" w:themeColor="text1"/>
          <w:sz w:val="20"/>
          <w:szCs w:val="20"/>
        </w:rPr>
        <w:t xml:space="preserve"> </w:t>
      </w:r>
      <w:r>
        <w:rPr>
          <w:rFonts w:ascii="Bookman Old Style" w:hAnsi="Bookman Old Style"/>
          <w:color w:val="000000" w:themeColor="text1"/>
          <w:sz w:val="20"/>
          <w:szCs w:val="20"/>
        </w:rPr>
        <w:t>К</w:t>
      </w:r>
      <w:r w:rsidRPr="00091921">
        <w:rPr>
          <w:rFonts w:ascii="Bookman Old Style" w:hAnsi="Bookman Old Style"/>
          <w:color w:val="000000" w:themeColor="text1"/>
          <w:sz w:val="20"/>
          <w:szCs w:val="20"/>
        </w:rPr>
        <w:t>адастровый номер: 24:50:0500203:15;</w:t>
      </w:r>
    </w:p>
    <w:p w:rsidR="00C834FF" w:rsidRPr="005F178F" w:rsidRDefault="005F178F" w:rsidP="005F04AC">
      <w:pPr>
        <w:numPr>
          <w:ilvl w:val="1"/>
          <w:numId w:val="62"/>
        </w:numPr>
        <w:autoSpaceDE w:val="0"/>
        <w:autoSpaceDN w:val="0"/>
        <w:adjustRightInd w:val="0"/>
        <w:spacing w:before="120" w:after="120"/>
        <w:jc w:val="both"/>
        <w:rPr>
          <w:rFonts w:ascii="Bookman Old Style" w:hAnsi="Bookman Old Style"/>
          <w:color w:val="000000" w:themeColor="text1"/>
          <w:sz w:val="20"/>
          <w:szCs w:val="20"/>
        </w:rPr>
      </w:pPr>
      <w:r w:rsidRPr="005F178F">
        <w:rPr>
          <w:rFonts w:ascii="Bookman Old Style" w:hAnsi="Bookman Old Style"/>
          <w:color w:val="000000" w:themeColor="text1"/>
          <w:sz w:val="20"/>
          <w:szCs w:val="20"/>
        </w:rPr>
        <w:t xml:space="preserve">Стойка 150 мм*4м, </w:t>
      </w:r>
      <w:proofErr w:type="spellStart"/>
      <w:r w:rsidRPr="005F178F">
        <w:rPr>
          <w:rFonts w:ascii="Bookman Old Style" w:hAnsi="Bookman Old Style"/>
          <w:color w:val="000000" w:themeColor="text1"/>
          <w:sz w:val="20"/>
          <w:szCs w:val="20"/>
        </w:rPr>
        <w:t>Naturall</w:t>
      </w:r>
      <w:proofErr w:type="spellEnd"/>
      <w:r w:rsidRPr="005F178F">
        <w:rPr>
          <w:rFonts w:ascii="Bookman Old Style" w:hAnsi="Bookman Old Style"/>
          <w:color w:val="000000" w:themeColor="text1"/>
          <w:sz w:val="20"/>
          <w:szCs w:val="20"/>
        </w:rPr>
        <w:t xml:space="preserve"> </w:t>
      </w:r>
      <w:proofErr w:type="spellStart"/>
      <w:r w:rsidRPr="005F178F">
        <w:rPr>
          <w:rFonts w:ascii="Bookman Old Style" w:hAnsi="Bookman Old Style"/>
          <w:color w:val="000000" w:themeColor="text1"/>
          <w:sz w:val="20"/>
          <w:szCs w:val="20"/>
        </w:rPr>
        <w:t>Noce</w:t>
      </w:r>
      <w:proofErr w:type="spellEnd"/>
      <w:r w:rsidRPr="005F178F">
        <w:rPr>
          <w:rFonts w:ascii="Bookman Old Style" w:hAnsi="Bookman Old Style"/>
          <w:color w:val="000000" w:themeColor="text1"/>
          <w:sz w:val="20"/>
          <w:szCs w:val="20"/>
        </w:rPr>
        <w:t xml:space="preserve"> </w:t>
      </w:r>
      <w:proofErr w:type="spellStart"/>
      <w:r w:rsidRPr="005F178F">
        <w:rPr>
          <w:rFonts w:ascii="Bookman Old Style" w:hAnsi="Bookman Old Style"/>
          <w:color w:val="000000" w:themeColor="text1"/>
          <w:sz w:val="20"/>
          <w:szCs w:val="20"/>
        </w:rPr>
        <w:t>Scuro</w:t>
      </w:r>
      <w:proofErr w:type="spellEnd"/>
      <w:r w:rsidRPr="005F178F">
        <w:rPr>
          <w:rFonts w:ascii="Bookman Old Style" w:hAnsi="Bookman Old Style"/>
          <w:color w:val="000000" w:themeColor="text1"/>
          <w:sz w:val="20"/>
          <w:szCs w:val="20"/>
        </w:rPr>
        <w:t xml:space="preserve"> в количестве 200 штук</w:t>
      </w:r>
    </w:p>
    <w:p w:rsidR="00BC25F6" w:rsidRPr="00BC25F6" w:rsidRDefault="000A4482" w:rsidP="00BC25F6">
      <w:pPr>
        <w:autoSpaceDE w:val="0"/>
        <w:autoSpaceDN w:val="0"/>
        <w:adjustRightInd w:val="0"/>
        <w:spacing w:before="120" w:after="120"/>
        <w:ind w:firstLine="709"/>
        <w:jc w:val="both"/>
        <w:rPr>
          <w:rFonts w:ascii="Bookman Old Style" w:hAnsi="Bookman Old Style"/>
          <w:bCs/>
          <w:sz w:val="20"/>
          <w:szCs w:val="20"/>
        </w:rPr>
      </w:pPr>
      <w:r>
        <w:rPr>
          <w:rFonts w:ascii="Bookman Old Style" w:hAnsi="Bookman Old Style"/>
          <w:bCs/>
          <w:sz w:val="20"/>
          <w:szCs w:val="20"/>
        </w:rPr>
        <w:t xml:space="preserve">Элементы </w:t>
      </w:r>
      <w:r w:rsidR="00BC25F6" w:rsidRPr="00BC25F6">
        <w:rPr>
          <w:rFonts w:ascii="Bookman Old Style" w:hAnsi="Bookman Old Style"/>
          <w:bCs/>
          <w:sz w:val="20"/>
          <w:szCs w:val="20"/>
        </w:rPr>
        <w:t>Объект</w:t>
      </w:r>
      <w:r>
        <w:rPr>
          <w:rFonts w:ascii="Bookman Old Style" w:hAnsi="Bookman Old Style"/>
          <w:bCs/>
          <w:sz w:val="20"/>
          <w:szCs w:val="20"/>
        </w:rPr>
        <w:t>а</w:t>
      </w:r>
      <w:r w:rsidR="00BC25F6" w:rsidRPr="00BC25F6">
        <w:rPr>
          <w:rFonts w:ascii="Bookman Old Style" w:hAnsi="Bookman Old Style"/>
          <w:bCs/>
          <w:sz w:val="20"/>
          <w:szCs w:val="20"/>
        </w:rPr>
        <w:t xml:space="preserve"> оценки принадлеж</w:t>
      </w:r>
      <w:r>
        <w:rPr>
          <w:rFonts w:ascii="Bookman Old Style" w:hAnsi="Bookman Old Style"/>
          <w:bCs/>
          <w:sz w:val="20"/>
          <w:szCs w:val="20"/>
        </w:rPr>
        <w:t>а</w:t>
      </w:r>
      <w:r w:rsidR="00BC25F6" w:rsidRPr="00BC25F6">
        <w:rPr>
          <w:rFonts w:ascii="Bookman Old Style" w:hAnsi="Bookman Old Style"/>
          <w:bCs/>
          <w:sz w:val="20"/>
          <w:szCs w:val="20"/>
        </w:rPr>
        <w:t>т ООО «</w:t>
      </w:r>
      <w:r>
        <w:rPr>
          <w:rFonts w:ascii="Bookman Old Style" w:hAnsi="Bookman Old Style"/>
          <w:bCs/>
          <w:sz w:val="20"/>
          <w:szCs w:val="20"/>
        </w:rPr>
        <w:t>Окно</w:t>
      </w:r>
      <w:r w:rsidR="00BC25F6" w:rsidRPr="00BC25F6">
        <w:rPr>
          <w:rFonts w:ascii="Bookman Old Style" w:hAnsi="Bookman Old Style"/>
          <w:bCs/>
          <w:sz w:val="20"/>
          <w:szCs w:val="20"/>
        </w:rPr>
        <w:t>» на праве собственности, что подтверждается предоставленными Заказчиком документами:</w:t>
      </w:r>
    </w:p>
    <w:p w:rsidR="00BC25F6" w:rsidRDefault="00C33B02" w:rsidP="00AB1FB9">
      <w:pPr>
        <w:pStyle w:val="aff2"/>
        <w:numPr>
          <w:ilvl w:val="0"/>
          <w:numId w:val="13"/>
        </w:numPr>
        <w:autoSpaceDE w:val="0"/>
        <w:autoSpaceDN w:val="0"/>
        <w:adjustRightInd w:val="0"/>
        <w:spacing w:before="120" w:after="120"/>
        <w:ind w:left="714" w:hanging="357"/>
        <w:contextualSpacing w:val="0"/>
        <w:jc w:val="both"/>
        <w:rPr>
          <w:rFonts w:ascii="Bookman Old Style" w:hAnsi="Bookman Old Style"/>
          <w:bCs/>
          <w:sz w:val="20"/>
          <w:szCs w:val="20"/>
        </w:rPr>
      </w:pPr>
      <w:r>
        <w:rPr>
          <w:rFonts w:ascii="Bookman Old Style" w:hAnsi="Bookman Old Style"/>
          <w:bCs/>
          <w:sz w:val="20"/>
          <w:szCs w:val="20"/>
        </w:rPr>
        <w:t xml:space="preserve">Копия </w:t>
      </w:r>
      <w:r w:rsidR="000A4482">
        <w:rPr>
          <w:rFonts w:ascii="Bookman Old Style" w:hAnsi="Bookman Old Style"/>
          <w:bCs/>
          <w:sz w:val="20"/>
          <w:szCs w:val="20"/>
        </w:rPr>
        <w:t>инвентаризационных</w:t>
      </w:r>
      <w:r>
        <w:rPr>
          <w:rFonts w:ascii="Bookman Old Style" w:hAnsi="Bookman Old Style"/>
          <w:bCs/>
          <w:sz w:val="20"/>
          <w:szCs w:val="20"/>
        </w:rPr>
        <w:t xml:space="preserve"> опис</w:t>
      </w:r>
      <w:r w:rsidR="000A4482">
        <w:rPr>
          <w:rFonts w:ascii="Bookman Old Style" w:hAnsi="Bookman Old Style"/>
          <w:bCs/>
          <w:sz w:val="20"/>
          <w:szCs w:val="20"/>
        </w:rPr>
        <w:t>ей</w:t>
      </w:r>
      <w:r w:rsidR="00526C57" w:rsidRPr="00526C57">
        <w:rPr>
          <w:rFonts w:ascii="Bookman Old Style" w:hAnsi="Bookman Old Style"/>
          <w:bCs/>
          <w:sz w:val="20"/>
          <w:szCs w:val="20"/>
          <w:vertAlign w:val="superscript"/>
        </w:rPr>
        <w:t xml:space="preserve"> </w:t>
      </w:r>
      <w:r w:rsidR="00526C57" w:rsidRPr="00526C57">
        <w:rPr>
          <w:rFonts w:ascii="Bookman Old Style" w:hAnsi="Bookman Old Style"/>
          <w:bCs/>
          <w:sz w:val="20"/>
          <w:szCs w:val="20"/>
          <w:vertAlign w:val="superscript"/>
        </w:rPr>
        <w:footnoteReference w:id="8"/>
      </w:r>
      <w:r w:rsidR="00526C57" w:rsidRPr="00526C57">
        <w:rPr>
          <w:rFonts w:ascii="Bookman Old Style" w:hAnsi="Bookman Old Style"/>
          <w:bCs/>
          <w:sz w:val="20"/>
          <w:szCs w:val="20"/>
        </w:rPr>
        <w:t>;</w:t>
      </w:r>
    </w:p>
    <w:p w:rsidR="000A4482" w:rsidRPr="00526C57" w:rsidRDefault="005F178F" w:rsidP="00AB1FB9">
      <w:pPr>
        <w:pStyle w:val="aff2"/>
        <w:numPr>
          <w:ilvl w:val="0"/>
          <w:numId w:val="13"/>
        </w:numPr>
        <w:autoSpaceDE w:val="0"/>
        <w:autoSpaceDN w:val="0"/>
        <w:adjustRightInd w:val="0"/>
        <w:spacing w:before="120" w:after="120"/>
        <w:ind w:left="714" w:hanging="357"/>
        <w:contextualSpacing w:val="0"/>
        <w:jc w:val="both"/>
        <w:rPr>
          <w:rFonts w:ascii="Bookman Old Style" w:hAnsi="Bookman Old Style"/>
          <w:bCs/>
          <w:sz w:val="20"/>
          <w:szCs w:val="20"/>
        </w:rPr>
      </w:pPr>
      <w:r>
        <w:rPr>
          <w:rFonts w:ascii="Bookman Old Style" w:hAnsi="Bookman Old Style"/>
          <w:bCs/>
          <w:sz w:val="20"/>
          <w:szCs w:val="20"/>
        </w:rPr>
        <w:t xml:space="preserve">Копия </w:t>
      </w:r>
      <w:r w:rsidR="009B795D">
        <w:rPr>
          <w:rFonts w:ascii="Bookman Old Style" w:hAnsi="Bookman Old Style"/>
          <w:bCs/>
          <w:sz w:val="20"/>
          <w:szCs w:val="20"/>
        </w:rPr>
        <w:t xml:space="preserve">технического паспорта </w:t>
      </w:r>
      <w:r>
        <w:rPr>
          <w:rFonts w:ascii="Bookman Old Style" w:hAnsi="Bookman Old Style"/>
          <w:bCs/>
          <w:sz w:val="20"/>
          <w:szCs w:val="20"/>
        </w:rPr>
        <w:t>кадастрового паспорта</w:t>
      </w:r>
      <w:r w:rsidR="000A4482" w:rsidRPr="00526C57">
        <w:rPr>
          <w:rFonts w:ascii="Bookman Old Style" w:hAnsi="Bookman Old Style"/>
          <w:bCs/>
          <w:sz w:val="20"/>
          <w:szCs w:val="20"/>
          <w:vertAlign w:val="superscript"/>
        </w:rPr>
        <w:footnoteReference w:id="9"/>
      </w:r>
      <w:r w:rsidR="000A4482" w:rsidRPr="00526C57">
        <w:rPr>
          <w:rFonts w:ascii="Bookman Old Style" w:hAnsi="Bookman Old Style"/>
          <w:bCs/>
          <w:sz w:val="20"/>
          <w:szCs w:val="20"/>
        </w:rPr>
        <w:t>;</w:t>
      </w:r>
    </w:p>
    <w:p w:rsidR="00B21788" w:rsidRDefault="00B21788" w:rsidP="00B21788">
      <w:pPr>
        <w:autoSpaceDE w:val="0"/>
        <w:autoSpaceDN w:val="0"/>
        <w:adjustRightInd w:val="0"/>
        <w:spacing w:before="120" w:after="120"/>
        <w:ind w:firstLine="709"/>
        <w:jc w:val="both"/>
        <w:rPr>
          <w:rFonts w:ascii="Bookman Old Style" w:hAnsi="Bookman Old Style"/>
          <w:bCs/>
          <w:sz w:val="20"/>
          <w:szCs w:val="20"/>
        </w:rPr>
      </w:pPr>
      <w:r>
        <w:rPr>
          <w:rFonts w:ascii="Bookman Old Style" w:hAnsi="Bookman Old Style"/>
          <w:bCs/>
          <w:sz w:val="20"/>
          <w:szCs w:val="20"/>
        </w:rPr>
        <w:t>Реквизиты собственника Объекта оценки представлены в пункте 1.3.1.</w:t>
      </w:r>
    </w:p>
    <w:p w:rsidR="00B21788" w:rsidRPr="005D48D3" w:rsidRDefault="00177A72" w:rsidP="00B21788">
      <w:pPr>
        <w:autoSpaceDE w:val="0"/>
        <w:autoSpaceDN w:val="0"/>
        <w:adjustRightInd w:val="0"/>
        <w:spacing w:before="120" w:after="120"/>
        <w:ind w:firstLine="708"/>
        <w:jc w:val="both"/>
        <w:rPr>
          <w:rFonts w:ascii="Bookman Old Style" w:hAnsi="Bookman Old Style"/>
          <w:bCs/>
          <w:sz w:val="20"/>
          <w:szCs w:val="20"/>
        </w:rPr>
      </w:pPr>
      <w:r>
        <w:rPr>
          <w:rFonts w:ascii="Bookman Old Style" w:hAnsi="Bookman Old Style"/>
          <w:bCs/>
          <w:sz w:val="20"/>
          <w:szCs w:val="20"/>
        </w:rPr>
        <w:t xml:space="preserve">Решением </w:t>
      </w:r>
      <w:r w:rsidR="00B21788" w:rsidRPr="00B21788">
        <w:rPr>
          <w:rFonts w:ascii="Bookman Old Style" w:hAnsi="Bookman Old Style"/>
          <w:bCs/>
          <w:sz w:val="20"/>
          <w:szCs w:val="20"/>
        </w:rPr>
        <w:t xml:space="preserve">Арбитражного суда Красноярского края по делу </w:t>
      </w:r>
      <w:r w:rsidR="000A4482" w:rsidRPr="000A4482">
        <w:rPr>
          <w:rFonts w:ascii="Bookman Old Style" w:hAnsi="Bookman Old Style"/>
          <w:bCs/>
          <w:sz w:val="20"/>
          <w:szCs w:val="20"/>
        </w:rPr>
        <w:t xml:space="preserve">А33-20224/2015 </w:t>
      </w:r>
      <w:r w:rsidR="00AA51E2" w:rsidRPr="00AA51E2">
        <w:rPr>
          <w:rFonts w:ascii="Bookman Old Style" w:hAnsi="Bookman Old Style"/>
          <w:bCs/>
          <w:sz w:val="20"/>
          <w:szCs w:val="20"/>
        </w:rPr>
        <w:t>от 14.0</w:t>
      </w:r>
      <w:r w:rsidR="000A4482">
        <w:rPr>
          <w:rFonts w:ascii="Bookman Old Style" w:hAnsi="Bookman Old Style"/>
          <w:bCs/>
          <w:sz w:val="20"/>
          <w:szCs w:val="20"/>
        </w:rPr>
        <w:t>6</w:t>
      </w:r>
      <w:r w:rsidR="00AA51E2" w:rsidRPr="00AA51E2">
        <w:rPr>
          <w:rFonts w:ascii="Bookman Old Style" w:hAnsi="Bookman Old Style"/>
          <w:bCs/>
          <w:sz w:val="20"/>
          <w:szCs w:val="20"/>
        </w:rPr>
        <w:t>.2016</w:t>
      </w:r>
      <w:r w:rsidR="00AA51E2">
        <w:rPr>
          <w:rFonts w:ascii="Bookman Old Style" w:hAnsi="Bookman Old Style"/>
          <w:bCs/>
          <w:sz w:val="20"/>
          <w:szCs w:val="20"/>
        </w:rPr>
        <w:t xml:space="preserve"> года</w:t>
      </w:r>
      <w:r w:rsidR="00B21788" w:rsidRPr="005D48D3">
        <w:rPr>
          <w:rFonts w:ascii="Bookman Old Style" w:hAnsi="Bookman Old Style"/>
          <w:bCs/>
          <w:sz w:val="20"/>
          <w:szCs w:val="20"/>
        </w:rPr>
        <w:t>,</w:t>
      </w:r>
      <w:r w:rsidR="00B21788">
        <w:rPr>
          <w:rFonts w:ascii="Bookman Old Style" w:hAnsi="Bookman Old Style"/>
          <w:bCs/>
          <w:sz w:val="20"/>
          <w:szCs w:val="20"/>
        </w:rPr>
        <w:t xml:space="preserve"> ООО «</w:t>
      </w:r>
      <w:r w:rsidR="000A4482">
        <w:rPr>
          <w:rFonts w:ascii="Bookman Old Style" w:hAnsi="Bookman Old Style"/>
          <w:bCs/>
          <w:sz w:val="20"/>
          <w:szCs w:val="20"/>
        </w:rPr>
        <w:t>Окно</w:t>
      </w:r>
      <w:r w:rsidR="00B21788">
        <w:rPr>
          <w:rFonts w:ascii="Bookman Old Style" w:hAnsi="Bookman Old Style"/>
          <w:bCs/>
          <w:sz w:val="20"/>
          <w:szCs w:val="20"/>
        </w:rPr>
        <w:t>»</w:t>
      </w:r>
      <w:r w:rsidR="00B21788" w:rsidRPr="005D48D3">
        <w:rPr>
          <w:rFonts w:ascii="Bookman Old Style" w:hAnsi="Bookman Old Style"/>
          <w:bCs/>
          <w:sz w:val="20"/>
          <w:szCs w:val="20"/>
        </w:rPr>
        <w:t xml:space="preserve"> признано банкротом,</w:t>
      </w:r>
      <w:r w:rsidR="00B21788">
        <w:rPr>
          <w:rFonts w:ascii="Bookman Old Style" w:hAnsi="Bookman Old Style"/>
          <w:bCs/>
          <w:sz w:val="20"/>
          <w:szCs w:val="20"/>
        </w:rPr>
        <w:t xml:space="preserve"> в отношении предприятия введена процедура конкурсного</w:t>
      </w:r>
      <w:r w:rsidR="00B21788" w:rsidRPr="005D48D3">
        <w:rPr>
          <w:rFonts w:ascii="Bookman Old Style" w:hAnsi="Bookman Old Style"/>
          <w:bCs/>
          <w:sz w:val="20"/>
          <w:szCs w:val="20"/>
        </w:rPr>
        <w:t xml:space="preserve"> производств</w:t>
      </w:r>
      <w:r w:rsidR="00B21788">
        <w:rPr>
          <w:rFonts w:ascii="Bookman Old Style" w:hAnsi="Bookman Old Style"/>
          <w:bCs/>
          <w:sz w:val="20"/>
          <w:szCs w:val="20"/>
        </w:rPr>
        <w:t xml:space="preserve">а, </w:t>
      </w:r>
      <w:r w:rsidR="00B21788" w:rsidRPr="005D48D3">
        <w:rPr>
          <w:rFonts w:ascii="Bookman Old Style" w:hAnsi="Bookman Old Style"/>
          <w:bCs/>
          <w:sz w:val="20"/>
          <w:szCs w:val="20"/>
        </w:rPr>
        <w:t xml:space="preserve">конкурсным управляющим </w:t>
      </w:r>
      <w:proofErr w:type="gramStart"/>
      <w:r w:rsidR="00B21788" w:rsidRPr="005D48D3">
        <w:rPr>
          <w:rFonts w:ascii="Bookman Old Style" w:hAnsi="Bookman Old Style"/>
          <w:bCs/>
          <w:sz w:val="20"/>
          <w:szCs w:val="20"/>
        </w:rPr>
        <w:t>утверждён</w:t>
      </w:r>
      <w:proofErr w:type="gramEnd"/>
      <w:r w:rsidR="00B21788" w:rsidRPr="005D48D3">
        <w:rPr>
          <w:rFonts w:ascii="Bookman Old Style" w:hAnsi="Bookman Old Style"/>
          <w:bCs/>
          <w:sz w:val="20"/>
          <w:szCs w:val="20"/>
        </w:rPr>
        <w:t xml:space="preserve"> </w:t>
      </w:r>
      <w:r w:rsidR="000A4482">
        <w:rPr>
          <w:rFonts w:ascii="Bookman Old Style" w:hAnsi="Bookman Old Style"/>
          <w:bCs/>
          <w:sz w:val="20"/>
          <w:szCs w:val="20"/>
        </w:rPr>
        <w:t>Епифанова</w:t>
      </w:r>
      <w:r w:rsidR="000A4482" w:rsidRPr="000A4482">
        <w:rPr>
          <w:rFonts w:ascii="Bookman Old Style" w:hAnsi="Bookman Old Style"/>
          <w:bCs/>
          <w:sz w:val="20"/>
          <w:szCs w:val="20"/>
        </w:rPr>
        <w:t xml:space="preserve"> Лин</w:t>
      </w:r>
      <w:r w:rsidR="000A4482">
        <w:rPr>
          <w:rFonts w:ascii="Bookman Old Style" w:hAnsi="Bookman Old Style"/>
          <w:bCs/>
          <w:sz w:val="20"/>
          <w:szCs w:val="20"/>
        </w:rPr>
        <w:t>а</w:t>
      </w:r>
      <w:r w:rsidR="000A4482" w:rsidRPr="000A4482">
        <w:rPr>
          <w:rFonts w:ascii="Bookman Old Style" w:hAnsi="Bookman Old Style"/>
          <w:bCs/>
          <w:sz w:val="20"/>
          <w:szCs w:val="20"/>
        </w:rPr>
        <w:t xml:space="preserve"> Алексеевн</w:t>
      </w:r>
      <w:r w:rsidR="000A4482">
        <w:rPr>
          <w:rFonts w:ascii="Bookman Old Style" w:hAnsi="Bookman Old Style"/>
          <w:bCs/>
          <w:sz w:val="20"/>
          <w:szCs w:val="20"/>
        </w:rPr>
        <w:t>а</w:t>
      </w:r>
    </w:p>
    <w:p w:rsidR="00B21788" w:rsidRDefault="00B21788" w:rsidP="00B21788">
      <w:pPr>
        <w:spacing w:before="120" w:after="120"/>
        <w:ind w:firstLine="708"/>
        <w:jc w:val="both"/>
        <w:rPr>
          <w:rFonts w:ascii="Bookman Old Style" w:hAnsi="Bookman Old Style"/>
          <w:color w:val="000000"/>
          <w:sz w:val="20"/>
          <w:szCs w:val="20"/>
        </w:rPr>
      </w:pPr>
      <w:proofErr w:type="gramStart"/>
      <w:r>
        <w:rPr>
          <w:rFonts w:ascii="Bookman Old Style" w:hAnsi="Bookman Old Style"/>
          <w:color w:val="000000"/>
          <w:sz w:val="20"/>
          <w:szCs w:val="20"/>
        </w:rPr>
        <w:t>С даты утверждения</w:t>
      </w:r>
      <w:proofErr w:type="gramEnd"/>
      <w:r>
        <w:rPr>
          <w:rFonts w:ascii="Bookman Old Style" w:hAnsi="Bookman Old Style"/>
          <w:color w:val="000000"/>
          <w:sz w:val="20"/>
          <w:szCs w:val="20"/>
        </w:rPr>
        <w:t xml:space="preserve"> конкурсного управляющего, он осуществляет полномочия руководителя должника и иных органов управления должника</w:t>
      </w:r>
      <w:r>
        <w:rPr>
          <w:rStyle w:val="aff0"/>
          <w:rFonts w:ascii="Bookman Old Style" w:hAnsi="Bookman Old Style"/>
          <w:color w:val="000000"/>
          <w:sz w:val="20"/>
          <w:szCs w:val="20"/>
        </w:rPr>
        <w:footnoteReference w:id="10"/>
      </w:r>
      <w:r>
        <w:rPr>
          <w:rFonts w:ascii="Bookman Old Style" w:hAnsi="Bookman Old Style"/>
          <w:color w:val="000000"/>
          <w:sz w:val="20"/>
          <w:szCs w:val="20"/>
        </w:rPr>
        <w:t>.</w:t>
      </w:r>
    </w:p>
    <w:p w:rsidR="00B21788" w:rsidRDefault="00B21788" w:rsidP="00B21788">
      <w:pPr>
        <w:spacing w:before="120" w:after="120"/>
        <w:ind w:firstLine="708"/>
        <w:jc w:val="both"/>
        <w:rPr>
          <w:rFonts w:ascii="Bookman Old Style" w:hAnsi="Bookman Old Style"/>
          <w:color w:val="000000"/>
          <w:sz w:val="20"/>
          <w:szCs w:val="20"/>
        </w:rPr>
      </w:pPr>
      <w:r>
        <w:rPr>
          <w:rFonts w:ascii="Bookman Old Style" w:hAnsi="Bookman Old Style"/>
          <w:color w:val="000000"/>
          <w:sz w:val="20"/>
          <w:szCs w:val="20"/>
        </w:rPr>
        <w:t>Оцениваемое имущество</w:t>
      </w:r>
      <w:r w:rsidRPr="00BC4174">
        <w:rPr>
          <w:rFonts w:ascii="Bookman Old Style" w:hAnsi="Bookman Old Style"/>
          <w:color w:val="000000"/>
          <w:sz w:val="20"/>
          <w:szCs w:val="20"/>
        </w:rPr>
        <w:t xml:space="preserve"> подлежит реализации, согласно </w:t>
      </w:r>
      <w:proofErr w:type="gramStart"/>
      <w:r>
        <w:rPr>
          <w:rFonts w:ascii="Bookman Old Style" w:hAnsi="Bookman Old Style"/>
          <w:color w:val="000000"/>
          <w:sz w:val="20"/>
          <w:szCs w:val="20"/>
        </w:rPr>
        <w:t>порядку</w:t>
      </w:r>
      <w:proofErr w:type="gramEnd"/>
      <w:r>
        <w:rPr>
          <w:rFonts w:ascii="Bookman Old Style" w:hAnsi="Bookman Old Style"/>
          <w:color w:val="000000"/>
          <w:sz w:val="20"/>
          <w:szCs w:val="20"/>
        </w:rPr>
        <w:t xml:space="preserve"> утвержденному </w:t>
      </w:r>
      <w:r w:rsidRPr="00BC4174">
        <w:rPr>
          <w:rFonts w:ascii="Bookman Old Style" w:hAnsi="Bookman Old Style"/>
          <w:color w:val="000000"/>
          <w:sz w:val="20"/>
          <w:szCs w:val="20"/>
        </w:rPr>
        <w:t>Федеральн</w:t>
      </w:r>
      <w:r>
        <w:rPr>
          <w:rFonts w:ascii="Bookman Old Style" w:hAnsi="Bookman Old Style"/>
          <w:color w:val="000000"/>
          <w:sz w:val="20"/>
          <w:szCs w:val="20"/>
        </w:rPr>
        <w:t>ым</w:t>
      </w:r>
      <w:r w:rsidRPr="00BC4174">
        <w:rPr>
          <w:rFonts w:ascii="Bookman Old Style" w:hAnsi="Bookman Old Style"/>
          <w:color w:val="000000"/>
          <w:sz w:val="20"/>
          <w:szCs w:val="20"/>
        </w:rPr>
        <w:t xml:space="preserve"> закон</w:t>
      </w:r>
      <w:r>
        <w:rPr>
          <w:rFonts w:ascii="Bookman Old Style" w:hAnsi="Bookman Old Style"/>
          <w:color w:val="000000"/>
          <w:sz w:val="20"/>
          <w:szCs w:val="20"/>
        </w:rPr>
        <w:t>ом</w:t>
      </w:r>
      <w:r w:rsidRPr="00BC4174">
        <w:rPr>
          <w:rFonts w:ascii="Bookman Old Style" w:hAnsi="Bookman Old Style"/>
          <w:color w:val="000000"/>
          <w:sz w:val="20"/>
          <w:szCs w:val="20"/>
        </w:rPr>
        <w:t xml:space="preserve"> № 127-ФЗ «О несостоятельности (банкротстве)»</w:t>
      </w:r>
      <w:r>
        <w:rPr>
          <w:rFonts w:ascii="Bookman Old Style" w:hAnsi="Bookman Old Style"/>
          <w:color w:val="000000"/>
          <w:sz w:val="20"/>
          <w:szCs w:val="20"/>
        </w:rPr>
        <w:t>, путём проведения торгов.</w:t>
      </w:r>
    </w:p>
    <w:p w:rsidR="00B21788" w:rsidRPr="00B21788" w:rsidRDefault="00B21788" w:rsidP="00B21788">
      <w:pPr>
        <w:spacing w:before="120" w:after="120"/>
        <w:ind w:firstLine="708"/>
        <w:jc w:val="both"/>
        <w:rPr>
          <w:rFonts w:ascii="Bookman Old Style" w:hAnsi="Bookman Old Style"/>
          <w:color w:val="000000"/>
          <w:sz w:val="20"/>
          <w:szCs w:val="20"/>
        </w:rPr>
      </w:pPr>
      <w:r>
        <w:rPr>
          <w:rFonts w:ascii="Bookman Old Style" w:hAnsi="Bookman Old Style"/>
          <w:color w:val="000000"/>
          <w:sz w:val="20"/>
          <w:szCs w:val="20"/>
        </w:rPr>
        <w:t xml:space="preserve">Согласно, статьи 130 </w:t>
      </w:r>
      <w:r w:rsidRPr="00016D77">
        <w:rPr>
          <w:rFonts w:ascii="Bookman Old Style" w:hAnsi="Bookman Old Style"/>
          <w:color w:val="000000"/>
          <w:sz w:val="20"/>
          <w:szCs w:val="20"/>
        </w:rPr>
        <w:t>Федеральн</w:t>
      </w:r>
      <w:r>
        <w:rPr>
          <w:rFonts w:ascii="Bookman Old Style" w:hAnsi="Bookman Old Style"/>
          <w:color w:val="000000"/>
          <w:sz w:val="20"/>
          <w:szCs w:val="20"/>
        </w:rPr>
        <w:t>ого</w:t>
      </w:r>
      <w:r w:rsidRPr="00016D77">
        <w:rPr>
          <w:rFonts w:ascii="Bookman Old Style" w:hAnsi="Bookman Old Style"/>
          <w:color w:val="000000"/>
          <w:sz w:val="20"/>
          <w:szCs w:val="20"/>
        </w:rPr>
        <w:t xml:space="preserve"> закон</w:t>
      </w:r>
      <w:r>
        <w:rPr>
          <w:rFonts w:ascii="Bookman Old Style" w:hAnsi="Bookman Old Style"/>
          <w:color w:val="000000"/>
          <w:sz w:val="20"/>
          <w:szCs w:val="20"/>
        </w:rPr>
        <w:t>а</w:t>
      </w:r>
      <w:r w:rsidRPr="00016D77">
        <w:rPr>
          <w:rFonts w:ascii="Bookman Old Style" w:hAnsi="Bookman Old Style"/>
          <w:color w:val="000000"/>
          <w:sz w:val="20"/>
          <w:szCs w:val="20"/>
        </w:rPr>
        <w:t xml:space="preserve"> «О несостоятельности (банкротстве)» № 127-ФЗ</w:t>
      </w:r>
      <w:r>
        <w:rPr>
          <w:rFonts w:ascii="Bookman Old Style" w:hAnsi="Bookman Old Style"/>
          <w:color w:val="000000"/>
          <w:sz w:val="20"/>
          <w:szCs w:val="20"/>
        </w:rPr>
        <w:t>, конкурсным управляющим привлечены оценщик</w:t>
      </w:r>
      <w:proofErr w:type="gramStart"/>
      <w:r>
        <w:rPr>
          <w:rFonts w:ascii="Bookman Old Style" w:hAnsi="Bookman Old Style"/>
          <w:color w:val="000000"/>
          <w:sz w:val="20"/>
          <w:szCs w:val="20"/>
        </w:rPr>
        <w:t>и ООО</w:t>
      </w:r>
      <w:proofErr w:type="gramEnd"/>
      <w:r>
        <w:rPr>
          <w:rFonts w:ascii="Bookman Old Style" w:hAnsi="Bookman Old Style"/>
          <w:color w:val="000000"/>
          <w:sz w:val="20"/>
          <w:szCs w:val="20"/>
        </w:rPr>
        <w:t xml:space="preserve"> «Агентство оценки собственности «Золотое правило», для проведения оценки имущества выявленного в результате проведённой инвентаризации, для установления начальной стоимости имущества при организации торгов по его продаже.</w:t>
      </w:r>
    </w:p>
    <w:p w:rsidR="007D0A44" w:rsidRPr="00710741" w:rsidRDefault="007D0A44" w:rsidP="00DB0E6C">
      <w:pPr>
        <w:pStyle w:val="3"/>
        <w:spacing w:after="120"/>
        <w:rPr>
          <w:rFonts w:ascii="Bookman Old Style" w:hAnsi="Bookman Old Style"/>
          <w:sz w:val="20"/>
          <w:szCs w:val="20"/>
        </w:rPr>
      </w:pPr>
      <w:bookmarkStart w:id="166" w:name="_Toc461375560"/>
      <w:r w:rsidRPr="00AB7D4A">
        <w:rPr>
          <w:rFonts w:ascii="Bookman Old Style" w:hAnsi="Bookman Old Style"/>
          <w:sz w:val="20"/>
          <w:szCs w:val="20"/>
        </w:rPr>
        <w:t xml:space="preserve">3.1.2. Сведения </w:t>
      </w:r>
      <w:r w:rsidR="00A41301" w:rsidRPr="00AB7D4A">
        <w:rPr>
          <w:rFonts w:ascii="Bookman Old Style" w:hAnsi="Bookman Old Style"/>
          <w:sz w:val="20"/>
          <w:szCs w:val="20"/>
        </w:rPr>
        <w:t>об</w:t>
      </w:r>
      <w:r w:rsidRPr="00AB7D4A">
        <w:rPr>
          <w:rFonts w:ascii="Bookman Old Style" w:hAnsi="Bookman Old Style"/>
          <w:sz w:val="20"/>
          <w:szCs w:val="20"/>
        </w:rPr>
        <w:t xml:space="preserve"> обременениях</w:t>
      </w:r>
      <w:bookmarkEnd w:id="166"/>
      <w:r w:rsidRPr="00710741">
        <w:rPr>
          <w:rFonts w:ascii="Bookman Old Style" w:hAnsi="Bookman Old Style"/>
          <w:sz w:val="20"/>
          <w:szCs w:val="20"/>
        </w:rPr>
        <w:t xml:space="preserve"> </w:t>
      </w:r>
    </w:p>
    <w:p w:rsidR="0073342D" w:rsidRPr="0073342D" w:rsidRDefault="0073342D" w:rsidP="00DB0E6C">
      <w:pPr>
        <w:spacing w:before="120" w:after="120"/>
        <w:ind w:firstLine="709"/>
        <w:jc w:val="both"/>
        <w:rPr>
          <w:rFonts w:ascii="Bookman Old Style" w:hAnsi="Bookman Old Style"/>
          <w:sz w:val="20"/>
          <w:szCs w:val="20"/>
        </w:rPr>
      </w:pPr>
      <w:r w:rsidRPr="0073342D">
        <w:rPr>
          <w:rFonts w:ascii="Bookman Old Style" w:hAnsi="Bookman Old Style"/>
          <w:sz w:val="20"/>
          <w:szCs w:val="20"/>
        </w:rPr>
        <w:t>Сведения, влияющие на стоимость Объекта оценки, о наличии существующих ограничений и обременений</w:t>
      </w:r>
      <w:r w:rsidR="00AB7D4A">
        <w:rPr>
          <w:rFonts w:ascii="Bookman Old Style" w:hAnsi="Bookman Old Style"/>
          <w:sz w:val="20"/>
          <w:szCs w:val="20"/>
        </w:rPr>
        <w:t xml:space="preserve"> элементов Объекта оценки</w:t>
      </w:r>
      <w:r w:rsidRPr="0073342D">
        <w:rPr>
          <w:rFonts w:ascii="Bookman Old Style" w:hAnsi="Bookman Old Style"/>
          <w:sz w:val="20"/>
          <w:szCs w:val="20"/>
        </w:rPr>
        <w:t>, отсутствуют.</w:t>
      </w:r>
    </w:p>
    <w:p w:rsidR="007D0A44" w:rsidRPr="00FF631A" w:rsidRDefault="007D0A44" w:rsidP="00DB0E6C">
      <w:pPr>
        <w:pStyle w:val="3"/>
        <w:spacing w:after="120"/>
        <w:rPr>
          <w:rFonts w:ascii="Bookman Old Style" w:hAnsi="Bookman Old Style"/>
          <w:sz w:val="20"/>
          <w:szCs w:val="20"/>
        </w:rPr>
      </w:pPr>
      <w:bookmarkStart w:id="167" w:name="_Toc461375561"/>
      <w:r>
        <w:rPr>
          <w:rFonts w:ascii="Bookman Old Style" w:hAnsi="Bookman Old Style"/>
          <w:sz w:val="20"/>
          <w:szCs w:val="20"/>
        </w:rPr>
        <w:t>3</w:t>
      </w:r>
      <w:r w:rsidRPr="006F12CA">
        <w:rPr>
          <w:rFonts w:ascii="Bookman Old Style" w:hAnsi="Bookman Old Style"/>
          <w:sz w:val="20"/>
          <w:szCs w:val="20"/>
        </w:rPr>
        <w:t xml:space="preserve">.1.3. </w:t>
      </w:r>
      <w:r w:rsidR="00A41301">
        <w:rPr>
          <w:rFonts w:ascii="Bookman Old Style" w:hAnsi="Bookman Old Style"/>
          <w:sz w:val="20"/>
          <w:szCs w:val="20"/>
        </w:rPr>
        <w:t>Сведения о балансовой стоимости Объект</w:t>
      </w:r>
      <w:r w:rsidR="00F83E31">
        <w:rPr>
          <w:rFonts w:ascii="Bookman Old Style" w:hAnsi="Bookman Old Style"/>
          <w:sz w:val="20"/>
          <w:szCs w:val="20"/>
        </w:rPr>
        <w:t xml:space="preserve">а </w:t>
      </w:r>
      <w:r w:rsidR="00A41301">
        <w:rPr>
          <w:rFonts w:ascii="Bookman Old Style" w:hAnsi="Bookman Old Style"/>
          <w:sz w:val="20"/>
          <w:szCs w:val="20"/>
        </w:rPr>
        <w:t>оценки</w:t>
      </w:r>
      <w:bookmarkEnd w:id="167"/>
    </w:p>
    <w:p w:rsidR="00526C57" w:rsidRDefault="000A4482" w:rsidP="00DB0E6C">
      <w:pPr>
        <w:autoSpaceDE w:val="0"/>
        <w:autoSpaceDN w:val="0"/>
        <w:adjustRightInd w:val="0"/>
        <w:spacing w:before="120" w:after="120"/>
        <w:ind w:firstLine="708"/>
        <w:jc w:val="both"/>
        <w:rPr>
          <w:rFonts w:ascii="Bookman Old Style" w:hAnsi="Bookman Old Style"/>
          <w:bCs/>
          <w:sz w:val="20"/>
          <w:szCs w:val="20"/>
        </w:rPr>
      </w:pPr>
      <w:r w:rsidRPr="000A4482">
        <w:rPr>
          <w:rFonts w:ascii="Bookman Old Style" w:hAnsi="Bookman Old Style"/>
          <w:bCs/>
          <w:sz w:val="20"/>
          <w:szCs w:val="20"/>
        </w:rPr>
        <w:t>Согласно сведениям, представленным конкурсным управляющим ООО «</w:t>
      </w:r>
      <w:r>
        <w:rPr>
          <w:rFonts w:ascii="Bookman Old Style" w:hAnsi="Bookman Old Style"/>
          <w:bCs/>
          <w:sz w:val="20"/>
          <w:szCs w:val="20"/>
        </w:rPr>
        <w:t>Окно</w:t>
      </w:r>
      <w:r w:rsidRPr="000A4482">
        <w:rPr>
          <w:rFonts w:ascii="Bookman Old Style" w:hAnsi="Bookman Old Style"/>
          <w:bCs/>
          <w:sz w:val="20"/>
          <w:szCs w:val="20"/>
        </w:rPr>
        <w:t>», оцениваемое имущество обременено залоговым обязательством. На основании положений законодательства о банкротстве начальная продажная цена предмета залога – недвижимого</w:t>
      </w:r>
      <w:r>
        <w:rPr>
          <w:rFonts w:ascii="Bookman Old Style" w:hAnsi="Bookman Old Style"/>
          <w:bCs/>
          <w:sz w:val="20"/>
          <w:szCs w:val="20"/>
        </w:rPr>
        <w:t xml:space="preserve"> и движимого</w:t>
      </w:r>
      <w:r w:rsidRPr="000A4482">
        <w:rPr>
          <w:rFonts w:ascii="Bookman Old Style" w:hAnsi="Bookman Old Style"/>
          <w:bCs/>
          <w:sz w:val="20"/>
          <w:szCs w:val="20"/>
        </w:rPr>
        <w:t xml:space="preserve">  имущества устанавливается в размере 80% от рыночной стоимости. При проведении расчета рыночной стоимости данный фактор не учитывается, т.к. согласно данным Задания на оценку, проводится расчет рыночной стоимости без учета дополнительных скидок установленных законодательством при реализации предмета залога</w:t>
      </w:r>
      <w:r w:rsidR="00526C57">
        <w:rPr>
          <w:rFonts w:ascii="Bookman Old Style" w:hAnsi="Bookman Old Style"/>
          <w:bCs/>
          <w:sz w:val="20"/>
          <w:szCs w:val="20"/>
        </w:rPr>
        <w:t>.</w:t>
      </w:r>
    </w:p>
    <w:p w:rsidR="0070748F" w:rsidRDefault="0070748F" w:rsidP="00DB0E6C">
      <w:pPr>
        <w:autoSpaceDE w:val="0"/>
        <w:autoSpaceDN w:val="0"/>
        <w:adjustRightInd w:val="0"/>
        <w:spacing w:before="120" w:after="120"/>
        <w:ind w:firstLine="708"/>
        <w:jc w:val="both"/>
        <w:rPr>
          <w:rFonts w:ascii="Bookman Old Style" w:hAnsi="Bookman Old Style"/>
          <w:bCs/>
          <w:sz w:val="20"/>
          <w:szCs w:val="20"/>
        </w:rPr>
      </w:pPr>
    </w:p>
    <w:p w:rsidR="0070748F" w:rsidRDefault="0070748F" w:rsidP="00DB0E6C">
      <w:pPr>
        <w:autoSpaceDE w:val="0"/>
        <w:autoSpaceDN w:val="0"/>
        <w:adjustRightInd w:val="0"/>
        <w:spacing w:before="120" w:after="120"/>
        <w:ind w:firstLine="708"/>
        <w:jc w:val="both"/>
        <w:rPr>
          <w:rFonts w:ascii="Bookman Old Style" w:hAnsi="Bookman Old Style"/>
          <w:bCs/>
          <w:sz w:val="20"/>
          <w:szCs w:val="20"/>
        </w:rPr>
      </w:pPr>
    </w:p>
    <w:p w:rsidR="00724FB4" w:rsidRPr="00D93DC5" w:rsidRDefault="007D0A44" w:rsidP="00DB0E6C">
      <w:pPr>
        <w:pStyle w:val="2"/>
        <w:spacing w:before="120" w:after="120"/>
        <w:rPr>
          <w:rFonts w:ascii="Bookman Old Style" w:hAnsi="Bookman Old Style"/>
          <w:b/>
          <w:sz w:val="20"/>
          <w:szCs w:val="20"/>
        </w:rPr>
      </w:pPr>
      <w:bookmarkStart w:id="168" w:name="_Toc461375562"/>
      <w:bookmarkEnd w:id="159"/>
      <w:bookmarkEnd w:id="160"/>
      <w:bookmarkEnd w:id="161"/>
      <w:bookmarkEnd w:id="162"/>
      <w:r w:rsidRPr="00D93DC5">
        <w:rPr>
          <w:rFonts w:ascii="Bookman Old Style" w:hAnsi="Bookman Old Style"/>
          <w:b/>
          <w:sz w:val="20"/>
          <w:szCs w:val="20"/>
        </w:rPr>
        <w:lastRenderedPageBreak/>
        <w:t xml:space="preserve">3.2. </w:t>
      </w:r>
      <w:r w:rsidR="00D93DC5" w:rsidRPr="00D93DC5">
        <w:rPr>
          <w:rFonts w:ascii="Bookman Old Style" w:hAnsi="Bookman Old Style"/>
          <w:b/>
          <w:sz w:val="20"/>
          <w:szCs w:val="20"/>
        </w:rPr>
        <w:t>КОЛИ</w:t>
      </w:r>
      <w:r w:rsidR="00D93DC5">
        <w:rPr>
          <w:rFonts w:ascii="Bookman Old Style" w:hAnsi="Bookman Old Style"/>
          <w:b/>
          <w:sz w:val="20"/>
          <w:szCs w:val="20"/>
        </w:rPr>
        <w:t>ЧЕСТВЕННЫЕ И</w:t>
      </w:r>
      <w:r w:rsidR="00354B03">
        <w:rPr>
          <w:rFonts w:ascii="Bookman Old Style" w:hAnsi="Bookman Old Style"/>
          <w:b/>
          <w:sz w:val="20"/>
          <w:szCs w:val="20"/>
        </w:rPr>
        <w:t xml:space="preserve"> </w:t>
      </w:r>
      <w:r w:rsidR="00D93DC5">
        <w:rPr>
          <w:rFonts w:ascii="Bookman Old Style" w:hAnsi="Bookman Old Style"/>
          <w:b/>
          <w:sz w:val="20"/>
          <w:szCs w:val="20"/>
        </w:rPr>
        <w:t>КАЧЕСТВЕННЫЕ ХАРАКТЕРИСТИКИ ОБЪЕКТА ОЦЕНКИ</w:t>
      </w:r>
      <w:bookmarkEnd w:id="168"/>
    </w:p>
    <w:p w:rsidR="007D0A44" w:rsidRPr="00D773CE" w:rsidRDefault="007D0A44" w:rsidP="00DB0E6C">
      <w:pPr>
        <w:pStyle w:val="3"/>
        <w:spacing w:after="120"/>
        <w:rPr>
          <w:rFonts w:ascii="Bookman Old Style" w:hAnsi="Bookman Old Style"/>
          <w:sz w:val="20"/>
          <w:szCs w:val="20"/>
        </w:rPr>
      </w:pPr>
      <w:bookmarkStart w:id="169" w:name="_Toc240097220"/>
      <w:bookmarkStart w:id="170" w:name="_Toc293317446"/>
      <w:bookmarkStart w:id="171" w:name="_Toc293401540"/>
      <w:bookmarkStart w:id="172" w:name="_Toc461375563"/>
      <w:r w:rsidRPr="00D773CE">
        <w:rPr>
          <w:rFonts w:ascii="Bookman Old Style" w:hAnsi="Bookman Old Style"/>
          <w:sz w:val="20"/>
          <w:szCs w:val="20"/>
        </w:rPr>
        <w:t xml:space="preserve">3.2.1. </w:t>
      </w:r>
      <w:bookmarkEnd w:id="169"/>
      <w:bookmarkEnd w:id="170"/>
      <w:bookmarkEnd w:id="171"/>
      <w:r w:rsidR="0015113A">
        <w:rPr>
          <w:rFonts w:ascii="Bookman Old Style" w:hAnsi="Bookman Old Style"/>
          <w:sz w:val="20"/>
          <w:szCs w:val="20"/>
        </w:rPr>
        <w:t>Ссылки на документы, используемые при установлении характеристик</w:t>
      </w:r>
      <w:bookmarkEnd w:id="172"/>
    </w:p>
    <w:p w:rsidR="00467865" w:rsidRPr="001620E2" w:rsidRDefault="00467865" w:rsidP="00DB0E6C">
      <w:pPr>
        <w:spacing w:before="120" w:after="120"/>
        <w:ind w:firstLine="709"/>
        <w:jc w:val="both"/>
        <w:rPr>
          <w:rFonts w:ascii="Bookman Old Style" w:hAnsi="Bookman Old Style"/>
          <w:sz w:val="20"/>
          <w:szCs w:val="20"/>
        </w:rPr>
      </w:pPr>
      <w:r w:rsidRPr="001620E2">
        <w:rPr>
          <w:rFonts w:ascii="Bookman Old Style" w:hAnsi="Bookman Old Style"/>
          <w:sz w:val="20"/>
          <w:szCs w:val="20"/>
        </w:rPr>
        <w:t>Источники информации:</w:t>
      </w:r>
    </w:p>
    <w:p w:rsidR="00C33B02" w:rsidRDefault="00C33B02" w:rsidP="00AB1FB9">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sidRPr="00C33B02">
        <w:rPr>
          <w:rFonts w:ascii="Bookman Old Style" w:hAnsi="Bookman Old Style"/>
          <w:bCs/>
          <w:sz w:val="20"/>
          <w:szCs w:val="20"/>
        </w:rPr>
        <w:t>Копия инвентаризационн</w:t>
      </w:r>
      <w:r w:rsidR="000A4482">
        <w:rPr>
          <w:rFonts w:ascii="Bookman Old Style" w:hAnsi="Bookman Old Style"/>
          <w:bCs/>
          <w:sz w:val="20"/>
          <w:szCs w:val="20"/>
        </w:rPr>
        <w:t>ых</w:t>
      </w:r>
      <w:r w:rsidRPr="00C33B02">
        <w:rPr>
          <w:rFonts w:ascii="Bookman Old Style" w:hAnsi="Bookman Old Style"/>
          <w:bCs/>
          <w:sz w:val="20"/>
          <w:szCs w:val="20"/>
        </w:rPr>
        <w:t xml:space="preserve"> опис</w:t>
      </w:r>
      <w:r w:rsidR="000A4482">
        <w:rPr>
          <w:rFonts w:ascii="Bookman Old Style" w:hAnsi="Bookman Old Style"/>
          <w:bCs/>
          <w:sz w:val="20"/>
          <w:szCs w:val="20"/>
        </w:rPr>
        <w:t>ей</w:t>
      </w:r>
      <w:r w:rsidRPr="00C33B02">
        <w:rPr>
          <w:rFonts w:ascii="Bookman Old Style" w:hAnsi="Bookman Old Style"/>
          <w:bCs/>
          <w:sz w:val="20"/>
          <w:szCs w:val="20"/>
          <w:vertAlign w:val="superscript"/>
        </w:rPr>
        <w:t xml:space="preserve"> </w:t>
      </w:r>
      <w:r w:rsidRPr="00284ACB">
        <w:rPr>
          <w:rFonts w:ascii="Bookman Old Style" w:hAnsi="Bookman Old Style"/>
          <w:sz w:val="20"/>
          <w:szCs w:val="20"/>
          <w:vertAlign w:val="superscript"/>
        </w:rPr>
        <w:footnoteReference w:id="11"/>
      </w:r>
      <w:r w:rsidRPr="00284ACB">
        <w:rPr>
          <w:rFonts w:ascii="Bookman Old Style" w:hAnsi="Bookman Old Style"/>
          <w:sz w:val="20"/>
          <w:szCs w:val="20"/>
        </w:rPr>
        <w:t xml:space="preserve">; </w:t>
      </w:r>
    </w:p>
    <w:p w:rsidR="006A107F" w:rsidRDefault="00C33B02" w:rsidP="00AB1FB9">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sidRPr="00C33B02">
        <w:rPr>
          <w:rFonts w:ascii="Bookman Old Style" w:hAnsi="Bookman Old Style"/>
          <w:sz w:val="20"/>
          <w:szCs w:val="20"/>
        </w:rPr>
        <w:t xml:space="preserve">Копия </w:t>
      </w:r>
      <w:r w:rsidRPr="00C33B02">
        <w:rPr>
          <w:rFonts w:ascii="Bookman Old Style" w:hAnsi="Bookman Old Style"/>
          <w:bCs/>
          <w:sz w:val="20"/>
          <w:szCs w:val="20"/>
        </w:rPr>
        <w:t>технических паспортов. Копия кадастрового паспорта</w:t>
      </w:r>
      <w:proofErr w:type="gramStart"/>
      <w:r w:rsidRPr="00C33B02">
        <w:rPr>
          <w:rFonts w:ascii="Bookman Old Style" w:hAnsi="Bookman Old Style"/>
          <w:sz w:val="20"/>
          <w:szCs w:val="20"/>
        </w:rPr>
        <w:t>.</w:t>
      </w:r>
      <w:r w:rsidRPr="00C33B02">
        <w:rPr>
          <w:rFonts w:ascii="Bookman Old Style" w:hAnsi="Bookman Old Style"/>
          <w:sz w:val="20"/>
          <w:szCs w:val="20"/>
          <w:vertAlign w:val="superscript"/>
        </w:rPr>
        <w:footnoteReference w:id="12"/>
      </w:r>
      <w:r w:rsidR="006A107F" w:rsidRPr="00C33B02">
        <w:rPr>
          <w:rFonts w:ascii="Bookman Old Style" w:hAnsi="Bookman Old Style"/>
          <w:sz w:val="20"/>
          <w:szCs w:val="20"/>
        </w:rPr>
        <w:t>;</w:t>
      </w:r>
    </w:p>
    <w:p w:rsidR="000A4482" w:rsidRPr="00C33B02" w:rsidRDefault="000A4482" w:rsidP="00AB1FB9">
      <w:pPr>
        <w:widowControl w:val="0"/>
        <w:numPr>
          <w:ilvl w:val="0"/>
          <w:numId w:val="8"/>
        </w:numPr>
        <w:autoSpaceDE w:val="0"/>
        <w:autoSpaceDN w:val="0"/>
        <w:adjustRightInd w:val="0"/>
        <w:spacing w:before="100" w:after="100"/>
        <w:ind w:left="1066" w:hanging="357"/>
        <w:rPr>
          <w:rFonts w:ascii="Bookman Old Style" w:hAnsi="Bookman Old Style"/>
          <w:sz w:val="20"/>
          <w:szCs w:val="20"/>
        </w:rPr>
      </w:pPr>
      <w:proofErr w:type="gramEnd"/>
      <w:r>
        <w:rPr>
          <w:rFonts w:ascii="Bookman Old Style" w:hAnsi="Bookman Old Style"/>
          <w:sz w:val="20"/>
          <w:szCs w:val="20"/>
        </w:rPr>
        <w:t>Копия договора купли-продажи оборудования</w:t>
      </w:r>
      <w:r w:rsidRPr="00C33B02">
        <w:rPr>
          <w:rFonts w:ascii="Bookman Old Style" w:hAnsi="Bookman Old Style"/>
          <w:sz w:val="20"/>
          <w:szCs w:val="20"/>
          <w:vertAlign w:val="superscript"/>
        </w:rPr>
        <w:footnoteReference w:id="13"/>
      </w:r>
      <w:r w:rsidRPr="00C33B02">
        <w:rPr>
          <w:rFonts w:ascii="Bookman Old Style" w:hAnsi="Bookman Old Style"/>
          <w:sz w:val="20"/>
          <w:szCs w:val="20"/>
        </w:rPr>
        <w:t>;</w:t>
      </w:r>
    </w:p>
    <w:p w:rsidR="00526C57" w:rsidRPr="006A107F" w:rsidRDefault="00526C57" w:rsidP="00AB1FB9">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sidRPr="00526C57">
        <w:rPr>
          <w:rFonts w:ascii="Bookman Old Style" w:hAnsi="Bookman Old Style"/>
          <w:sz w:val="20"/>
          <w:szCs w:val="20"/>
        </w:rPr>
        <w:t>Техническая и нормативная документации, прочие источники информации</w:t>
      </w:r>
      <w:r w:rsidRPr="00526C57">
        <w:rPr>
          <w:rFonts w:ascii="Bookman Old Style" w:hAnsi="Bookman Old Style"/>
          <w:sz w:val="20"/>
          <w:szCs w:val="20"/>
          <w:vertAlign w:val="superscript"/>
        </w:rPr>
        <w:footnoteReference w:id="14"/>
      </w:r>
    </w:p>
    <w:p w:rsidR="00352A3F" w:rsidRDefault="00D773CE" w:rsidP="00DB0E6C">
      <w:pPr>
        <w:spacing w:before="120" w:after="120"/>
        <w:ind w:firstLine="709"/>
        <w:jc w:val="both"/>
        <w:rPr>
          <w:rFonts w:ascii="Bookman Old Style" w:hAnsi="Bookman Old Style"/>
          <w:sz w:val="20"/>
          <w:szCs w:val="20"/>
        </w:rPr>
      </w:pPr>
      <w:r w:rsidRPr="00D773CE">
        <w:rPr>
          <w:rFonts w:ascii="Bookman Old Style" w:hAnsi="Bookman Old Style"/>
          <w:sz w:val="20"/>
          <w:szCs w:val="20"/>
        </w:rPr>
        <w:t>В результате анализа информации</w:t>
      </w:r>
      <w:r w:rsidR="001B5B88">
        <w:rPr>
          <w:rFonts w:ascii="Bookman Old Style" w:hAnsi="Bookman Old Style"/>
          <w:sz w:val="20"/>
          <w:szCs w:val="20"/>
        </w:rPr>
        <w:t xml:space="preserve"> полученной</w:t>
      </w:r>
      <w:r w:rsidR="001449C8">
        <w:rPr>
          <w:rFonts w:ascii="Bookman Old Style" w:hAnsi="Bookman Old Style"/>
          <w:sz w:val="20"/>
          <w:szCs w:val="20"/>
        </w:rPr>
        <w:t xml:space="preserve"> из указанных</w:t>
      </w:r>
      <w:r w:rsidR="001B5B88">
        <w:rPr>
          <w:rFonts w:ascii="Bookman Old Style" w:hAnsi="Bookman Old Style"/>
          <w:sz w:val="20"/>
          <w:szCs w:val="20"/>
        </w:rPr>
        <w:t xml:space="preserve"> информационных</w:t>
      </w:r>
      <w:r w:rsidR="001449C8">
        <w:rPr>
          <w:rFonts w:ascii="Bookman Old Style" w:hAnsi="Bookman Old Style"/>
          <w:sz w:val="20"/>
          <w:szCs w:val="20"/>
        </w:rPr>
        <w:t xml:space="preserve"> источников</w:t>
      </w:r>
      <w:r w:rsidRPr="00D773CE">
        <w:rPr>
          <w:rFonts w:ascii="Bookman Old Style" w:hAnsi="Bookman Old Style"/>
          <w:sz w:val="20"/>
          <w:szCs w:val="20"/>
        </w:rPr>
        <w:t>, определены основные характеристики Объект</w:t>
      </w:r>
      <w:r w:rsidR="00F83E31">
        <w:rPr>
          <w:rFonts w:ascii="Bookman Old Style" w:hAnsi="Bookman Old Style"/>
          <w:sz w:val="20"/>
          <w:szCs w:val="20"/>
        </w:rPr>
        <w:t>а</w:t>
      </w:r>
      <w:r w:rsidRPr="00D773CE">
        <w:rPr>
          <w:rFonts w:ascii="Bookman Old Style" w:hAnsi="Bookman Old Style"/>
          <w:sz w:val="20"/>
          <w:szCs w:val="20"/>
        </w:rPr>
        <w:t xml:space="preserve"> оценки</w:t>
      </w:r>
      <w:r w:rsidR="006A2361">
        <w:rPr>
          <w:rFonts w:ascii="Bookman Old Style" w:hAnsi="Bookman Old Style"/>
          <w:sz w:val="20"/>
          <w:szCs w:val="20"/>
        </w:rPr>
        <w:t xml:space="preserve"> в составе его элементов</w:t>
      </w:r>
      <w:r w:rsidRPr="00D773CE">
        <w:rPr>
          <w:rFonts w:ascii="Bookman Old Style" w:hAnsi="Bookman Old Style"/>
          <w:sz w:val="20"/>
          <w:szCs w:val="20"/>
        </w:rPr>
        <w:t>.</w:t>
      </w:r>
    </w:p>
    <w:p w:rsidR="00526C57" w:rsidRPr="003F76D5" w:rsidRDefault="00526C57" w:rsidP="00526C57">
      <w:pPr>
        <w:pStyle w:val="3"/>
        <w:spacing w:after="120"/>
        <w:rPr>
          <w:rFonts w:ascii="Bookman Old Style" w:hAnsi="Bookman Old Style"/>
          <w:sz w:val="20"/>
          <w:szCs w:val="20"/>
        </w:rPr>
      </w:pPr>
      <w:bookmarkStart w:id="173" w:name="_Toc440540756"/>
      <w:bookmarkStart w:id="174" w:name="_Toc461375564"/>
      <w:r w:rsidRPr="003F76D5">
        <w:rPr>
          <w:rFonts w:ascii="Bookman Old Style" w:hAnsi="Bookman Old Style"/>
          <w:sz w:val="20"/>
          <w:szCs w:val="20"/>
        </w:rPr>
        <w:t>3.2.</w:t>
      </w:r>
      <w:r>
        <w:rPr>
          <w:rFonts w:ascii="Bookman Old Style" w:hAnsi="Bookman Old Style"/>
          <w:sz w:val="20"/>
          <w:szCs w:val="20"/>
        </w:rPr>
        <w:t>2</w:t>
      </w:r>
      <w:r w:rsidRPr="003F76D5">
        <w:rPr>
          <w:rFonts w:ascii="Bookman Old Style" w:hAnsi="Bookman Old Style"/>
          <w:sz w:val="20"/>
          <w:szCs w:val="20"/>
        </w:rPr>
        <w:t xml:space="preserve">. </w:t>
      </w:r>
      <w:r w:rsidRPr="00F14D9D">
        <w:rPr>
          <w:rFonts w:ascii="Bookman Old Style" w:hAnsi="Bookman Old Style"/>
          <w:sz w:val="20"/>
          <w:szCs w:val="20"/>
        </w:rPr>
        <w:t>Информация о местоположении имущества</w:t>
      </w:r>
      <w:r w:rsidRPr="00F14D9D">
        <w:rPr>
          <w:rFonts w:ascii="Bookman Old Style" w:hAnsi="Bookman Old Style"/>
          <w:sz w:val="20"/>
          <w:szCs w:val="20"/>
          <w:vertAlign w:val="superscript"/>
        </w:rPr>
        <w:t xml:space="preserve"> </w:t>
      </w:r>
      <w:r w:rsidRPr="00F14D9D">
        <w:rPr>
          <w:rFonts w:ascii="Bookman Old Style" w:hAnsi="Bookman Old Style"/>
          <w:sz w:val="20"/>
          <w:szCs w:val="20"/>
          <w:vertAlign w:val="superscript"/>
        </w:rPr>
        <w:footnoteReference w:id="15"/>
      </w:r>
      <w:bookmarkEnd w:id="173"/>
      <w:bookmarkEnd w:id="174"/>
      <w:r w:rsidRPr="00F14D9D">
        <w:rPr>
          <w:rFonts w:ascii="Bookman Old Style" w:hAnsi="Bookman Old Style"/>
          <w:sz w:val="20"/>
          <w:szCs w:val="20"/>
          <w:vertAlign w:val="superscript"/>
        </w:rPr>
        <w:t xml:space="preserve"> </w:t>
      </w:r>
      <w:r>
        <w:rPr>
          <w:rFonts w:ascii="Bookman Old Style" w:hAnsi="Bookman Old Style"/>
          <w:sz w:val="20"/>
          <w:szCs w:val="20"/>
        </w:rPr>
        <w:t xml:space="preserve"> </w:t>
      </w:r>
    </w:p>
    <w:p w:rsidR="00C33B02" w:rsidRDefault="00C33B02" w:rsidP="00526C57">
      <w:pPr>
        <w:tabs>
          <w:tab w:val="left" w:pos="9214"/>
        </w:tabs>
        <w:spacing w:before="120" w:after="120"/>
        <w:ind w:firstLine="709"/>
        <w:jc w:val="both"/>
        <w:rPr>
          <w:rFonts w:ascii="Bookman Old Style" w:hAnsi="Bookman Old Style"/>
          <w:bCs/>
          <w:sz w:val="20"/>
          <w:szCs w:val="20"/>
        </w:rPr>
      </w:pPr>
      <w:r>
        <w:rPr>
          <w:rFonts w:ascii="Bookman Old Style" w:hAnsi="Bookman Old Style"/>
          <w:bCs/>
          <w:sz w:val="20"/>
          <w:szCs w:val="20"/>
        </w:rPr>
        <w:t xml:space="preserve">Элементы </w:t>
      </w:r>
      <w:r w:rsidR="00526C57">
        <w:rPr>
          <w:rFonts w:ascii="Bookman Old Style" w:hAnsi="Bookman Old Style"/>
          <w:bCs/>
          <w:sz w:val="20"/>
          <w:szCs w:val="20"/>
        </w:rPr>
        <w:t>Объект</w:t>
      </w:r>
      <w:r>
        <w:rPr>
          <w:rFonts w:ascii="Bookman Old Style" w:hAnsi="Bookman Old Style"/>
          <w:bCs/>
          <w:sz w:val="20"/>
          <w:szCs w:val="20"/>
        </w:rPr>
        <w:t>а</w:t>
      </w:r>
      <w:r w:rsidR="00526C57" w:rsidRPr="00526C57">
        <w:rPr>
          <w:rFonts w:ascii="Bookman Old Style" w:hAnsi="Bookman Old Style"/>
          <w:bCs/>
          <w:sz w:val="20"/>
          <w:szCs w:val="20"/>
        </w:rPr>
        <w:t xml:space="preserve"> оценки расположен</w:t>
      </w:r>
      <w:r>
        <w:rPr>
          <w:rFonts w:ascii="Bookman Old Style" w:hAnsi="Bookman Old Style"/>
          <w:bCs/>
          <w:sz w:val="20"/>
          <w:szCs w:val="20"/>
        </w:rPr>
        <w:t>ы</w:t>
      </w:r>
      <w:r w:rsidR="00526C57" w:rsidRPr="00526C57">
        <w:rPr>
          <w:rFonts w:ascii="Bookman Old Style" w:hAnsi="Bookman Old Style"/>
          <w:bCs/>
          <w:sz w:val="20"/>
          <w:szCs w:val="20"/>
        </w:rPr>
        <w:t xml:space="preserve"> в </w:t>
      </w:r>
      <w:r w:rsidR="000A4482">
        <w:rPr>
          <w:rFonts w:ascii="Bookman Old Style" w:hAnsi="Bookman Old Style"/>
          <w:bCs/>
          <w:sz w:val="20"/>
          <w:szCs w:val="20"/>
        </w:rPr>
        <w:t>Ленинском</w:t>
      </w:r>
      <w:r>
        <w:rPr>
          <w:rFonts w:ascii="Bookman Old Style" w:hAnsi="Bookman Old Style"/>
          <w:bCs/>
          <w:sz w:val="20"/>
          <w:szCs w:val="20"/>
        </w:rPr>
        <w:t xml:space="preserve"> районе г. Красноярска. </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 xml:space="preserve">Ленинский район расположен на правобережье города Красноярска, характеризуется как промышленный. </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Сегодня район занимает территорию размером 58,44 кв. км, где расположились 92 улицы. Район граничит с Кировским районом города Красноярска и Березовским районом Красноярского края. Численность населения составляет 146,3 тыс. человек.</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На территории района расположено 20 школ, 7 учреждений дополнительного образования, 9 высших и средних учебных заведений, 9 объектов физической культуры и спорта, 16 учреждений культуры. 15 лечебно-профилактических учреждений и 16 аптек. 249 магазинов и торговых комплексов и 47 предприятий общественного питания.</w:t>
      </w:r>
    </w:p>
    <w:p w:rsidR="00E7167E"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 xml:space="preserve">Но прежде всего, Ленинский район был и остается промышленным центром Красноярска. Именно здесь сосредоточены крупнейшие предприятия города, в том числе такие известные на весь мир гиганты как Красноярский машиностроительный завод и Красноярский завод цветных металлов им. В.Н. </w:t>
      </w:r>
      <w:proofErr w:type="spellStart"/>
      <w:r w:rsidRPr="000A4482">
        <w:rPr>
          <w:rFonts w:ascii="Bookman Old Style" w:hAnsi="Bookman Old Style"/>
          <w:bCs/>
          <w:sz w:val="20"/>
          <w:szCs w:val="20"/>
        </w:rPr>
        <w:t>Гулидова</w:t>
      </w:r>
      <w:proofErr w:type="spellEnd"/>
      <w:r w:rsidRPr="000A4482">
        <w:rPr>
          <w:rFonts w:ascii="Bookman Old Style" w:hAnsi="Bookman Old Style"/>
          <w:bCs/>
          <w:sz w:val="20"/>
          <w:szCs w:val="20"/>
        </w:rPr>
        <w:t>, чья производственная деятельность является значимым фактором экономического роста и финансового благополучия города.</w:t>
      </w:r>
    </w:p>
    <w:p w:rsidR="00526C57" w:rsidRDefault="00526C57" w:rsidP="00526C57">
      <w:pPr>
        <w:spacing w:before="120" w:after="120"/>
        <w:jc w:val="center"/>
        <w:rPr>
          <w:rFonts w:asciiTheme="majorHAnsi" w:hAnsiTheme="majorHAnsi"/>
          <w:i/>
          <w:noProof/>
          <w:sz w:val="20"/>
          <w:szCs w:val="20"/>
        </w:rPr>
      </w:pPr>
      <w:r w:rsidRPr="00526C57">
        <w:rPr>
          <w:rFonts w:asciiTheme="majorHAnsi" w:hAnsiTheme="majorHAnsi"/>
          <w:i/>
          <w:noProof/>
          <w:sz w:val="20"/>
          <w:szCs w:val="20"/>
        </w:rPr>
        <w:t>Рисунок 3.2.2.1. Местоположение Объекта оценки в структуре г. Красноярска</w:t>
      </w:r>
    </w:p>
    <w:p w:rsidR="000A4482" w:rsidRDefault="000A4482" w:rsidP="00526C57">
      <w:pPr>
        <w:spacing w:before="120" w:after="120"/>
        <w:jc w:val="center"/>
        <w:rPr>
          <w:rFonts w:asciiTheme="majorHAnsi" w:hAnsiTheme="majorHAnsi"/>
          <w:i/>
          <w:noProof/>
          <w:sz w:val="20"/>
          <w:szCs w:val="20"/>
        </w:rPr>
      </w:pPr>
      <w:r w:rsidRPr="00526C57">
        <w:rPr>
          <w:rFonts w:ascii="Bookman Old Style" w:hAnsi="Bookman Old Style"/>
          <w:bCs/>
          <w:noProof/>
          <w:sz w:val="20"/>
          <w:szCs w:val="20"/>
        </w:rPr>
        <mc:AlternateContent>
          <mc:Choice Requires="wps">
            <w:drawing>
              <wp:anchor distT="0" distB="0" distL="114300" distR="114300" simplePos="0" relativeHeight="251712000" behindDoc="0" locked="0" layoutInCell="1" allowOverlap="1" wp14:anchorId="11B848B7" wp14:editId="65CA4422">
                <wp:simplePos x="0" y="0"/>
                <wp:positionH relativeFrom="column">
                  <wp:posOffset>3670004</wp:posOffset>
                </wp:positionH>
                <wp:positionV relativeFrom="paragraph">
                  <wp:posOffset>2410976</wp:posOffset>
                </wp:positionV>
                <wp:extent cx="1762760" cy="269875"/>
                <wp:effectExtent l="0" t="857250" r="27940" b="15875"/>
                <wp:wrapNone/>
                <wp:docPr id="11"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760" cy="269875"/>
                        </a:xfrm>
                        <a:prstGeom prst="wedgeRoundRectCallout">
                          <a:avLst>
                            <a:gd name="adj1" fmla="val -36164"/>
                            <a:gd name="adj2" fmla="val -357684"/>
                            <a:gd name="adj3" fmla="val 16667"/>
                          </a:avLst>
                        </a:prstGeom>
                        <a:solidFill>
                          <a:srgbClr val="FFFFFF"/>
                        </a:solidFill>
                        <a:ln w="9525">
                          <a:solidFill>
                            <a:srgbClr val="000000"/>
                          </a:solidFill>
                          <a:miter lim="800000"/>
                          <a:headEnd/>
                          <a:tailEnd/>
                        </a:ln>
                      </wps:spPr>
                      <wps:txbx>
                        <w:txbxContent>
                          <w:p w:rsidR="00192166" w:rsidRPr="0021097F" w:rsidRDefault="00192166" w:rsidP="00C33B02">
                            <w:pPr>
                              <w:jc w:val="center"/>
                              <w:rPr>
                                <w:rFonts w:ascii="Bookman Old Style" w:hAnsi="Bookman Old Style"/>
                                <w:sz w:val="16"/>
                                <w:szCs w:val="16"/>
                              </w:rPr>
                            </w:pPr>
                            <w:r>
                              <w:rPr>
                                <w:rFonts w:ascii="Bookman Old Style" w:hAnsi="Bookman Old Style"/>
                                <w:sz w:val="16"/>
                                <w:szCs w:val="16"/>
                              </w:rPr>
                              <w:t>Элементы Объекта оценки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13" o:spid="_x0000_s1044" type="#_x0000_t62" style="position:absolute;left:0;text-align:left;margin-left:289pt;margin-top:189.85pt;width:138.8pt;height:21.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" adj="2989,-66460">
                <v:textbox>
                  <w:txbxContent>
                    <w:p w:rsidR="00192166" w:rsidRPr="0021097F" w:rsidRDefault="00192166" w:rsidP="00C33B02">
                      <w:pPr>
                        <w:jc w:val="center"/>
                        <w:rPr>
                          <w:rFonts w:ascii="Bookman Old Style" w:hAnsi="Bookman Old Style"/>
                          <w:sz w:val="16"/>
                          <w:szCs w:val="16"/>
                        </w:rPr>
                      </w:pPr>
                      <w:r>
                        <w:rPr>
                          <w:rFonts w:ascii="Bookman Old Style" w:hAnsi="Bookman Old Style"/>
                          <w:sz w:val="16"/>
                          <w:szCs w:val="16"/>
                        </w:rPr>
                        <w:t>Элементы Объекта оценки</w:t>
                      </w:r>
                    </w:p>
                  </w:txbxContent>
                </v:textbox>
              </v:shape>
            </w:pict>
          </mc:Fallback>
        </mc:AlternateContent>
      </w:r>
      <w:r>
        <w:rPr>
          <w:rFonts w:asciiTheme="majorHAnsi" w:hAnsiTheme="majorHAnsi"/>
          <w:i/>
          <w:noProof/>
          <w:sz w:val="20"/>
          <w:szCs w:val="20"/>
        </w:rPr>
        <w:drawing>
          <wp:inline distT="0" distB="0" distL="0" distR="0" wp14:anchorId="1BA4BA46" wp14:editId="198AD4D1">
            <wp:extent cx="6069822" cy="3080412"/>
            <wp:effectExtent l="0" t="0" r="762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0B4E2.tmp"/>
                    <pic:cNvPicPr/>
                  </pic:nvPicPr>
                  <pic:blipFill>
                    <a:blip r:embed="rId10">
                      <a:extLst>
                        <a:ext uri="{28A0092B-C50C-407E-A947-70E740481C1C}">
                          <a14:useLocalDpi xmlns:a14="http://schemas.microsoft.com/office/drawing/2010/main" val="0"/>
                        </a:ext>
                      </a:extLst>
                    </a:blip>
                    <a:stretch>
                      <a:fillRect/>
                    </a:stretch>
                  </pic:blipFill>
                  <pic:spPr>
                    <a:xfrm>
                      <a:off x="0" y="0"/>
                      <a:ext cx="6075743" cy="3083417"/>
                    </a:xfrm>
                    <a:prstGeom prst="rect">
                      <a:avLst/>
                    </a:prstGeom>
                  </pic:spPr>
                </pic:pic>
              </a:graphicData>
            </a:graphic>
          </wp:inline>
        </w:drawing>
      </w:r>
    </w:p>
    <w:p w:rsidR="0070748F" w:rsidRDefault="0070748F" w:rsidP="0070748F">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lastRenderedPageBreak/>
        <w:t>На территории района также действуют 17 крупных и средних предприятий, осуществляющих производственную деятельность, наиболее крупные из них: ОАО «Красноярский завод СК», ОАО «Германий», ООО ЗТО «Бирюса», ОАО КХК «Бирюса», ОАО «Гамбит», ООО «Котельный завод» и другие</w:t>
      </w:r>
      <w:r>
        <w:rPr>
          <w:rFonts w:ascii="Bookman Old Style" w:hAnsi="Bookman Old Style"/>
          <w:bCs/>
          <w:sz w:val="20"/>
          <w:szCs w:val="20"/>
        </w:rPr>
        <w:t>.</w:t>
      </w:r>
    </w:p>
    <w:p w:rsidR="000A4482" w:rsidRDefault="000A4482" w:rsidP="00526C57">
      <w:pPr>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Наряду с промышленностью в последние годы в районе стремительно развивается торговля. Потребительский рынок района насчитывает более 800 предприятий и представлен: предприятиями розничной торговли по реализации продовольственных и непродовольственных товаров, предприятиями по оказанию услуг общественного питания и бытового обслуживания населения, предприятиями мелкорозничной торговли, продовольственными рынками и торговыми комплексами.</w:t>
      </w:r>
      <w:r>
        <w:rPr>
          <w:rFonts w:ascii="Bookman Old Style" w:hAnsi="Bookman Old Style"/>
          <w:bCs/>
          <w:sz w:val="20"/>
          <w:szCs w:val="20"/>
        </w:rPr>
        <w:t xml:space="preserve"> </w:t>
      </w:r>
    </w:p>
    <w:p w:rsidR="00526C57" w:rsidRDefault="00526C57" w:rsidP="00526C57">
      <w:pPr>
        <w:spacing w:before="120" w:after="120"/>
        <w:ind w:firstLine="709"/>
        <w:jc w:val="both"/>
        <w:rPr>
          <w:rFonts w:ascii="Bookman Old Style" w:hAnsi="Bookman Old Style"/>
          <w:sz w:val="20"/>
          <w:szCs w:val="20"/>
        </w:rPr>
      </w:pPr>
      <w:r w:rsidRPr="00526C57">
        <w:rPr>
          <w:rFonts w:ascii="Bookman Old Style" w:hAnsi="Bookman Old Style"/>
          <w:bCs/>
          <w:sz w:val="20"/>
          <w:szCs w:val="20"/>
        </w:rPr>
        <w:t xml:space="preserve">Элементы Объекта оценки находятся в </w:t>
      </w:r>
      <w:r w:rsidR="000A4482">
        <w:rPr>
          <w:rFonts w:ascii="Bookman Old Style" w:hAnsi="Bookman Old Style"/>
          <w:bCs/>
          <w:sz w:val="20"/>
          <w:szCs w:val="20"/>
        </w:rPr>
        <w:t>промышленной</w:t>
      </w:r>
      <w:r w:rsidR="009E1C70">
        <w:rPr>
          <w:rFonts w:ascii="Bookman Old Style" w:hAnsi="Bookman Old Style"/>
          <w:bCs/>
          <w:sz w:val="20"/>
          <w:szCs w:val="20"/>
        </w:rPr>
        <w:t xml:space="preserve"> части района, о</w:t>
      </w:r>
      <w:r w:rsidRPr="00526C57">
        <w:rPr>
          <w:rFonts w:ascii="Bookman Old Style" w:hAnsi="Bookman Old Style"/>
          <w:bCs/>
          <w:sz w:val="20"/>
          <w:szCs w:val="20"/>
        </w:rPr>
        <w:t>сновной тип застройки</w:t>
      </w:r>
      <w:r w:rsidR="00E7167E">
        <w:rPr>
          <w:rFonts w:ascii="Bookman Old Style" w:hAnsi="Bookman Old Style"/>
          <w:bCs/>
          <w:sz w:val="20"/>
          <w:szCs w:val="20"/>
        </w:rPr>
        <w:t xml:space="preserve"> </w:t>
      </w:r>
      <w:r w:rsidR="000A4482">
        <w:rPr>
          <w:rFonts w:ascii="Bookman Old Style" w:hAnsi="Bookman Old Style"/>
          <w:bCs/>
          <w:sz w:val="20"/>
          <w:szCs w:val="20"/>
        </w:rPr>
        <w:t>административные, производственные и хозяйственные корпуса</w:t>
      </w:r>
      <w:r w:rsidR="009E1C70">
        <w:rPr>
          <w:rFonts w:ascii="Bookman Old Style" w:hAnsi="Bookman Old Style"/>
          <w:bCs/>
          <w:sz w:val="20"/>
          <w:szCs w:val="20"/>
        </w:rPr>
        <w:t>.</w:t>
      </w:r>
    </w:p>
    <w:p w:rsidR="00FA2AF4" w:rsidRPr="003F76D5" w:rsidRDefault="00FA2AF4" w:rsidP="00DB0E6C">
      <w:pPr>
        <w:pStyle w:val="3"/>
        <w:spacing w:after="120"/>
        <w:rPr>
          <w:rFonts w:ascii="Bookman Old Style" w:hAnsi="Bookman Old Style"/>
          <w:sz w:val="20"/>
          <w:szCs w:val="20"/>
        </w:rPr>
      </w:pPr>
      <w:bookmarkStart w:id="175" w:name="_Toc404078803"/>
      <w:bookmarkStart w:id="176" w:name="_Toc461375565"/>
      <w:r w:rsidRPr="003F76D5">
        <w:rPr>
          <w:rFonts w:ascii="Bookman Old Style" w:hAnsi="Bookman Old Style"/>
          <w:sz w:val="20"/>
          <w:szCs w:val="20"/>
        </w:rPr>
        <w:t>3.2.</w:t>
      </w:r>
      <w:r w:rsidR="00A21E6E">
        <w:rPr>
          <w:rFonts w:ascii="Bookman Old Style" w:hAnsi="Bookman Old Style"/>
          <w:sz w:val="20"/>
          <w:szCs w:val="20"/>
        </w:rPr>
        <w:t>3</w:t>
      </w:r>
      <w:r w:rsidRPr="003F76D5">
        <w:rPr>
          <w:rFonts w:ascii="Bookman Old Style" w:hAnsi="Bookman Old Style"/>
          <w:sz w:val="20"/>
          <w:szCs w:val="20"/>
        </w:rPr>
        <w:t xml:space="preserve">. </w:t>
      </w:r>
      <w:r>
        <w:rPr>
          <w:rFonts w:ascii="Bookman Old Style" w:hAnsi="Bookman Old Style"/>
          <w:sz w:val="20"/>
          <w:szCs w:val="20"/>
        </w:rPr>
        <w:t>Количественные и качественные характеристики элементов Объекта оценки</w:t>
      </w:r>
      <w:bookmarkEnd w:id="176"/>
      <w:r>
        <w:rPr>
          <w:rFonts w:ascii="Bookman Old Style" w:hAnsi="Bookman Old Style"/>
          <w:sz w:val="20"/>
          <w:szCs w:val="20"/>
        </w:rPr>
        <w:t xml:space="preserve"> </w:t>
      </w:r>
    </w:p>
    <w:p w:rsidR="009E1C70" w:rsidRDefault="00C33B02" w:rsidP="00DB0E6C">
      <w:pPr>
        <w:spacing w:before="120" w:after="120"/>
        <w:ind w:firstLine="709"/>
        <w:jc w:val="both"/>
        <w:rPr>
          <w:rFonts w:ascii="Bookman Old Style" w:hAnsi="Bookman Old Style"/>
          <w:sz w:val="20"/>
          <w:szCs w:val="20"/>
        </w:rPr>
      </w:pPr>
      <w:proofErr w:type="gramStart"/>
      <w:r w:rsidRPr="00C33B02">
        <w:rPr>
          <w:rFonts w:ascii="Bookman Old Style" w:hAnsi="Bookman Old Style"/>
          <w:sz w:val="20"/>
          <w:szCs w:val="20"/>
        </w:rPr>
        <w:t>В результате анализа информации полученной из техническ</w:t>
      </w:r>
      <w:r w:rsidR="000A4482">
        <w:rPr>
          <w:rFonts w:ascii="Bookman Old Style" w:hAnsi="Bookman Old Style"/>
          <w:sz w:val="20"/>
          <w:szCs w:val="20"/>
        </w:rPr>
        <w:t>их и кадастрового</w:t>
      </w:r>
      <w:r w:rsidRPr="00C33B02">
        <w:rPr>
          <w:rFonts w:ascii="Bookman Old Style" w:hAnsi="Bookman Old Style"/>
          <w:sz w:val="20"/>
          <w:szCs w:val="20"/>
        </w:rPr>
        <w:t xml:space="preserve"> паспорт</w:t>
      </w:r>
      <w:r w:rsidR="000A4482">
        <w:rPr>
          <w:rFonts w:ascii="Bookman Old Style" w:hAnsi="Bookman Old Style"/>
          <w:sz w:val="20"/>
          <w:szCs w:val="20"/>
        </w:rPr>
        <w:t>ов</w:t>
      </w:r>
      <w:r w:rsidRPr="00C33B02">
        <w:rPr>
          <w:rFonts w:ascii="Bookman Old Style" w:hAnsi="Bookman Old Style"/>
          <w:sz w:val="20"/>
          <w:szCs w:val="20"/>
        </w:rPr>
        <w:t xml:space="preserve"> </w:t>
      </w:r>
      <w:r w:rsidR="000A4482">
        <w:rPr>
          <w:rFonts w:ascii="Bookman Old Style" w:hAnsi="Bookman Old Style"/>
          <w:sz w:val="20"/>
          <w:szCs w:val="20"/>
        </w:rPr>
        <w:t xml:space="preserve">элементов </w:t>
      </w:r>
      <w:r w:rsidRPr="00C33B02">
        <w:rPr>
          <w:rFonts w:ascii="Bookman Old Style" w:hAnsi="Bookman Old Style"/>
          <w:sz w:val="20"/>
          <w:szCs w:val="20"/>
        </w:rPr>
        <w:t>Объекта оценки,</w:t>
      </w:r>
      <w:r w:rsidR="000A4482">
        <w:rPr>
          <w:rFonts w:ascii="Bookman Old Style" w:hAnsi="Bookman Old Style"/>
          <w:sz w:val="20"/>
          <w:szCs w:val="20"/>
        </w:rPr>
        <w:t xml:space="preserve"> а</w:t>
      </w:r>
      <w:r w:rsidRPr="00C33B02">
        <w:rPr>
          <w:rFonts w:ascii="Bookman Old Style" w:hAnsi="Bookman Old Style"/>
          <w:sz w:val="20"/>
          <w:szCs w:val="20"/>
        </w:rPr>
        <w:t xml:space="preserve"> также используя: результаты визуального осмотра и прочую информацию предоставленную Заказчиком по Объекту оценки, определены основные характеристики</w:t>
      </w:r>
      <w:r>
        <w:rPr>
          <w:rFonts w:ascii="Bookman Old Style" w:hAnsi="Bookman Old Style"/>
          <w:sz w:val="20"/>
          <w:szCs w:val="20"/>
        </w:rPr>
        <w:t xml:space="preserve"> элементов </w:t>
      </w:r>
      <w:r w:rsidRPr="00C33B02">
        <w:rPr>
          <w:rFonts w:ascii="Bookman Old Style" w:hAnsi="Bookman Old Style"/>
          <w:sz w:val="20"/>
          <w:szCs w:val="20"/>
        </w:rPr>
        <w:t>Объекта оценки</w:t>
      </w:r>
      <w:proofErr w:type="gramEnd"/>
    </w:p>
    <w:p w:rsidR="00A276AF" w:rsidRPr="003F76D5" w:rsidRDefault="00A276AF" w:rsidP="00A276AF">
      <w:pPr>
        <w:pStyle w:val="3"/>
        <w:spacing w:after="120"/>
        <w:rPr>
          <w:rFonts w:ascii="Bookman Old Style" w:hAnsi="Bookman Old Style"/>
          <w:sz w:val="20"/>
          <w:szCs w:val="20"/>
        </w:rPr>
      </w:pPr>
      <w:bookmarkStart w:id="177" w:name="_Toc461375566"/>
      <w:r w:rsidRPr="003F76D5">
        <w:rPr>
          <w:rFonts w:ascii="Bookman Old Style" w:hAnsi="Bookman Old Style"/>
          <w:sz w:val="20"/>
          <w:szCs w:val="20"/>
        </w:rPr>
        <w:t>3.2.</w:t>
      </w:r>
      <w:r>
        <w:rPr>
          <w:rFonts w:ascii="Bookman Old Style" w:hAnsi="Bookman Old Style"/>
          <w:sz w:val="20"/>
          <w:szCs w:val="20"/>
        </w:rPr>
        <w:t>3.1.</w:t>
      </w:r>
      <w:r w:rsidRPr="003F76D5">
        <w:rPr>
          <w:rFonts w:ascii="Bookman Old Style" w:hAnsi="Bookman Old Style"/>
          <w:sz w:val="20"/>
          <w:szCs w:val="20"/>
        </w:rPr>
        <w:t xml:space="preserve"> </w:t>
      </w:r>
      <w:r>
        <w:rPr>
          <w:rFonts w:ascii="Bookman Old Style" w:hAnsi="Bookman Old Style"/>
          <w:sz w:val="20"/>
          <w:szCs w:val="20"/>
        </w:rPr>
        <w:t>Количественные и качественные характеристики недвижимого имущества</w:t>
      </w:r>
      <w:bookmarkEnd w:id="177"/>
      <w:r>
        <w:rPr>
          <w:rFonts w:ascii="Bookman Old Style" w:hAnsi="Bookman Old Style"/>
          <w:sz w:val="20"/>
          <w:szCs w:val="20"/>
        </w:rPr>
        <w:t xml:space="preserve"> </w:t>
      </w:r>
    </w:p>
    <w:p w:rsidR="009E1C70" w:rsidRDefault="005F178F" w:rsidP="005F04AC">
      <w:pPr>
        <w:pStyle w:val="aff2"/>
        <w:numPr>
          <w:ilvl w:val="0"/>
          <w:numId w:val="40"/>
        </w:numPr>
        <w:spacing w:before="120" w:after="120"/>
        <w:jc w:val="both"/>
        <w:rPr>
          <w:rFonts w:ascii="Bookman Old Style" w:hAnsi="Bookman Old Style"/>
          <w:bCs/>
          <w:sz w:val="20"/>
          <w:szCs w:val="20"/>
        </w:rPr>
      </w:pPr>
      <w:r w:rsidRPr="005F178F">
        <w:rPr>
          <w:rFonts w:ascii="Bookman Old Style" w:hAnsi="Bookman Old Style"/>
          <w:bCs/>
          <w:sz w:val="20"/>
          <w:szCs w:val="20"/>
        </w:rPr>
        <w:t>Помещение, назначение: нежилое, общая площадь 525,6 кв.м., этаж №1, адрес:  г. Красноярск,  ул. Айвазовского 37 «А», стр. 2, пом. 1, Кадастровый номер: 24:50:0500203:461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4264"/>
        <w:gridCol w:w="5502"/>
      </w:tblGrid>
      <w:tr w:rsidR="009B795D" w:rsidRPr="009E1C70" w:rsidTr="00044B6C">
        <w:trPr>
          <w:cantSplit/>
          <w:trHeight w:val="170"/>
        </w:trPr>
        <w:tc>
          <w:tcPr>
            <w:tcW w:w="314" w:type="pct"/>
            <w:shd w:val="clear" w:color="000000" w:fill="F2F2F2"/>
            <w:vAlign w:val="center"/>
            <w:hideMark/>
          </w:tcPr>
          <w:p w:rsidR="009B795D" w:rsidRPr="009E1C70" w:rsidRDefault="009B795D" w:rsidP="00044B6C">
            <w:pPr>
              <w:jc w:val="center"/>
              <w:rPr>
                <w:rFonts w:ascii="Cambria" w:hAnsi="Cambria"/>
                <w:b/>
                <w:bCs/>
                <w:color w:val="000000"/>
                <w:sz w:val="16"/>
                <w:szCs w:val="16"/>
              </w:rPr>
            </w:pPr>
            <w:r w:rsidRPr="009E1C70">
              <w:rPr>
                <w:rFonts w:ascii="Cambria" w:hAnsi="Cambria"/>
                <w:b/>
                <w:bCs/>
                <w:color w:val="000000"/>
                <w:sz w:val="16"/>
                <w:szCs w:val="16"/>
              </w:rPr>
              <w:t xml:space="preserve">№ </w:t>
            </w:r>
            <w:proofErr w:type="spellStart"/>
            <w:r w:rsidRPr="009E1C70">
              <w:rPr>
                <w:rFonts w:ascii="Cambria" w:hAnsi="Cambria"/>
                <w:b/>
                <w:bCs/>
                <w:color w:val="000000"/>
                <w:sz w:val="16"/>
                <w:szCs w:val="16"/>
              </w:rPr>
              <w:t>п.п</w:t>
            </w:r>
            <w:proofErr w:type="spellEnd"/>
            <w:r w:rsidRPr="009E1C70">
              <w:rPr>
                <w:rFonts w:ascii="Cambria" w:hAnsi="Cambria"/>
                <w:b/>
                <w:bCs/>
                <w:color w:val="000000"/>
                <w:sz w:val="16"/>
                <w:szCs w:val="16"/>
              </w:rPr>
              <w:t>.</w:t>
            </w:r>
          </w:p>
        </w:tc>
        <w:tc>
          <w:tcPr>
            <w:tcW w:w="2046" w:type="pct"/>
            <w:shd w:val="clear" w:color="000000" w:fill="F2F2F2"/>
            <w:vAlign w:val="center"/>
            <w:hideMark/>
          </w:tcPr>
          <w:p w:rsidR="009B795D" w:rsidRPr="009E1C70" w:rsidRDefault="009B795D" w:rsidP="00044B6C">
            <w:pPr>
              <w:jc w:val="center"/>
              <w:rPr>
                <w:rFonts w:ascii="Cambria" w:hAnsi="Cambria"/>
                <w:b/>
                <w:bCs/>
                <w:color w:val="000000"/>
                <w:sz w:val="16"/>
                <w:szCs w:val="16"/>
              </w:rPr>
            </w:pPr>
            <w:r w:rsidRPr="009E1C70">
              <w:rPr>
                <w:rFonts w:ascii="Cambria" w:hAnsi="Cambria"/>
                <w:b/>
                <w:bCs/>
                <w:color w:val="000000"/>
                <w:sz w:val="16"/>
                <w:szCs w:val="16"/>
              </w:rPr>
              <w:t>Наименование параметра</w:t>
            </w:r>
          </w:p>
        </w:tc>
        <w:tc>
          <w:tcPr>
            <w:tcW w:w="2640" w:type="pct"/>
            <w:shd w:val="clear" w:color="000000" w:fill="F2F2F2"/>
            <w:vAlign w:val="center"/>
            <w:hideMark/>
          </w:tcPr>
          <w:p w:rsidR="009B795D" w:rsidRPr="009E1C70" w:rsidRDefault="009B795D" w:rsidP="00044B6C">
            <w:pPr>
              <w:jc w:val="center"/>
              <w:rPr>
                <w:rFonts w:ascii="Cambria" w:hAnsi="Cambria"/>
                <w:b/>
                <w:bCs/>
                <w:color w:val="000000"/>
                <w:sz w:val="16"/>
                <w:szCs w:val="16"/>
              </w:rPr>
            </w:pPr>
            <w:r w:rsidRPr="009E1C70">
              <w:rPr>
                <w:rFonts w:ascii="Cambria" w:hAnsi="Cambria"/>
                <w:b/>
                <w:bCs/>
                <w:color w:val="000000"/>
                <w:sz w:val="16"/>
                <w:szCs w:val="16"/>
              </w:rPr>
              <w:t>Значение</w:t>
            </w:r>
          </w:p>
        </w:tc>
      </w:tr>
      <w:tr w:rsidR="009B795D" w:rsidRPr="009E1C70" w:rsidTr="00044B6C">
        <w:trPr>
          <w:cantSplit/>
          <w:trHeight w:val="170"/>
        </w:trPr>
        <w:tc>
          <w:tcPr>
            <w:tcW w:w="5000" w:type="pct"/>
            <w:gridSpan w:val="3"/>
            <w:shd w:val="clear" w:color="000000" w:fill="F2F2F2"/>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Общие сведения</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1</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Наименование здания (назначение здания)</w:t>
            </w:r>
          </w:p>
        </w:tc>
        <w:tc>
          <w:tcPr>
            <w:tcW w:w="2640" w:type="pct"/>
            <w:shd w:val="clear" w:color="auto" w:fill="auto"/>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Нежилое помещение</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2</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Адрес местоположения</w:t>
            </w:r>
          </w:p>
        </w:tc>
        <w:tc>
          <w:tcPr>
            <w:tcW w:w="2640" w:type="pct"/>
            <w:shd w:val="clear" w:color="000000" w:fill="FFFFFF"/>
            <w:vAlign w:val="center"/>
            <w:hideMark/>
          </w:tcPr>
          <w:p w:rsidR="009B795D" w:rsidRPr="009E1C70" w:rsidRDefault="009B795D" w:rsidP="00044B6C">
            <w:pPr>
              <w:jc w:val="center"/>
              <w:rPr>
                <w:rFonts w:ascii="Cambria" w:hAnsi="Cambria"/>
                <w:color w:val="000000"/>
                <w:sz w:val="16"/>
                <w:szCs w:val="16"/>
              </w:rPr>
            </w:pPr>
            <w:r w:rsidRPr="000A4482">
              <w:rPr>
                <w:rFonts w:ascii="Cambria" w:hAnsi="Cambria"/>
                <w:color w:val="000000"/>
                <w:sz w:val="16"/>
                <w:szCs w:val="16"/>
              </w:rPr>
              <w:t>Россия, Красноярский край, г. Красноярск, ул. Айвазовского, 37а</w:t>
            </w:r>
            <w:r>
              <w:rPr>
                <w:rFonts w:ascii="Cambria" w:hAnsi="Cambria"/>
                <w:color w:val="000000"/>
                <w:sz w:val="16"/>
                <w:szCs w:val="16"/>
              </w:rPr>
              <w:t xml:space="preserve">, </w:t>
            </w:r>
            <w:r>
              <w:rPr>
                <w:rFonts w:ascii="Cambria" w:hAnsi="Cambria"/>
                <w:bCs/>
                <w:color w:val="000000"/>
                <w:sz w:val="16"/>
                <w:szCs w:val="16"/>
              </w:rPr>
              <w:t>строение 2</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3</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Кадастровый номер</w:t>
            </w:r>
          </w:p>
        </w:tc>
        <w:tc>
          <w:tcPr>
            <w:tcW w:w="2640"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B795D">
              <w:rPr>
                <w:rFonts w:ascii="Cambria" w:hAnsi="Cambria"/>
                <w:bCs/>
                <w:color w:val="000000"/>
                <w:sz w:val="16"/>
                <w:szCs w:val="16"/>
              </w:rPr>
              <w:t>24:50:0500203:461</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4</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Год постройки</w:t>
            </w:r>
          </w:p>
        </w:tc>
        <w:tc>
          <w:tcPr>
            <w:tcW w:w="2640" w:type="pct"/>
            <w:shd w:val="clear" w:color="000000" w:fill="FFFFFF"/>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2010</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5</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Общая площадь, кв.м.</w:t>
            </w:r>
          </w:p>
        </w:tc>
        <w:tc>
          <w:tcPr>
            <w:tcW w:w="2640" w:type="pct"/>
            <w:shd w:val="clear" w:color="000000" w:fill="FFFFFF"/>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525,6</w:t>
            </w:r>
          </w:p>
        </w:tc>
      </w:tr>
      <w:tr w:rsidR="009B795D" w:rsidRPr="009E1C70" w:rsidTr="00044B6C">
        <w:trPr>
          <w:cantSplit/>
          <w:trHeight w:val="170"/>
        </w:trPr>
        <w:tc>
          <w:tcPr>
            <w:tcW w:w="314" w:type="pct"/>
            <w:shd w:val="clear" w:color="auto" w:fill="auto"/>
            <w:noWrap/>
            <w:vAlign w:val="center"/>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6</w:t>
            </w:r>
          </w:p>
        </w:tc>
        <w:tc>
          <w:tcPr>
            <w:tcW w:w="2046" w:type="pct"/>
            <w:shd w:val="clear" w:color="auto" w:fill="auto"/>
            <w:vAlign w:val="center"/>
          </w:tcPr>
          <w:p w:rsidR="009B795D" w:rsidRPr="009E1C70" w:rsidRDefault="009B795D" w:rsidP="00044B6C">
            <w:pPr>
              <w:rPr>
                <w:rFonts w:ascii="Cambria" w:hAnsi="Cambria"/>
                <w:color w:val="000000"/>
                <w:sz w:val="16"/>
                <w:szCs w:val="16"/>
              </w:rPr>
            </w:pPr>
            <w:r w:rsidRPr="000A4482">
              <w:rPr>
                <w:rFonts w:ascii="Cambria" w:hAnsi="Cambria"/>
                <w:color w:val="000000"/>
                <w:sz w:val="16"/>
                <w:szCs w:val="16"/>
              </w:rPr>
              <w:t>Площадь застройки, кв.м</w:t>
            </w:r>
          </w:p>
        </w:tc>
        <w:tc>
          <w:tcPr>
            <w:tcW w:w="2640" w:type="pct"/>
            <w:shd w:val="clear" w:color="000000" w:fill="FFFFFF"/>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570,4</w:t>
            </w:r>
          </w:p>
        </w:tc>
      </w:tr>
      <w:tr w:rsidR="009B795D" w:rsidRPr="009E1C70" w:rsidTr="00044B6C">
        <w:trPr>
          <w:cantSplit/>
          <w:trHeight w:val="170"/>
        </w:trPr>
        <w:tc>
          <w:tcPr>
            <w:tcW w:w="314" w:type="pct"/>
            <w:shd w:val="clear" w:color="auto" w:fill="auto"/>
            <w:noWrap/>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7</w:t>
            </w:r>
          </w:p>
        </w:tc>
        <w:tc>
          <w:tcPr>
            <w:tcW w:w="2046" w:type="pct"/>
            <w:shd w:val="clear" w:color="auto" w:fill="auto"/>
            <w:vAlign w:val="center"/>
          </w:tcPr>
          <w:p w:rsidR="009B795D" w:rsidRPr="001D175E" w:rsidRDefault="009B795D" w:rsidP="00044B6C">
            <w:pPr>
              <w:rPr>
                <w:rFonts w:asciiTheme="majorHAnsi" w:hAnsiTheme="majorHAnsi"/>
                <w:color w:val="000000"/>
                <w:sz w:val="16"/>
                <w:szCs w:val="16"/>
              </w:rPr>
            </w:pPr>
            <w:r w:rsidRPr="001D175E">
              <w:rPr>
                <w:rFonts w:asciiTheme="majorHAnsi" w:hAnsiTheme="majorHAnsi"/>
                <w:color w:val="000000"/>
                <w:sz w:val="16"/>
                <w:szCs w:val="16"/>
              </w:rPr>
              <w:t>Строительный объем, куб. м.</w:t>
            </w:r>
          </w:p>
        </w:tc>
        <w:tc>
          <w:tcPr>
            <w:tcW w:w="2640" w:type="pct"/>
            <w:shd w:val="clear" w:color="000000" w:fill="FFFFFF"/>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3594</w:t>
            </w:r>
          </w:p>
        </w:tc>
      </w:tr>
      <w:tr w:rsidR="009B795D" w:rsidRPr="009E1C70" w:rsidTr="00044B6C">
        <w:trPr>
          <w:cantSplit/>
          <w:trHeight w:val="170"/>
        </w:trPr>
        <w:tc>
          <w:tcPr>
            <w:tcW w:w="314" w:type="pct"/>
            <w:shd w:val="clear" w:color="auto" w:fill="auto"/>
            <w:noWrap/>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8</w:t>
            </w:r>
          </w:p>
        </w:tc>
        <w:tc>
          <w:tcPr>
            <w:tcW w:w="2046" w:type="pct"/>
            <w:shd w:val="clear" w:color="auto" w:fill="auto"/>
            <w:vAlign w:val="center"/>
          </w:tcPr>
          <w:p w:rsidR="009B795D" w:rsidRPr="001D175E" w:rsidRDefault="009B795D" w:rsidP="00044B6C">
            <w:pPr>
              <w:rPr>
                <w:rFonts w:ascii="Cambria" w:hAnsi="Cambria"/>
                <w:color w:val="000000"/>
                <w:sz w:val="16"/>
                <w:szCs w:val="16"/>
              </w:rPr>
            </w:pPr>
            <w:r w:rsidRPr="001D175E">
              <w:rPr>
                <w:rFonts w:ascii="Cambria" w:hAnsi="Cambria"/>
                <w:color w:val="000000"/>
                <w:sz w:val="16"/>
                <w:szCs w:val="16"/>
              </w:rPr>
              <w:t>Количество надземных этажей</w:t>
            </w:r>
          </w:p>
        </w:tc>
        <w:tc>
          <w:tcPr>
            <w:tcW w:w="2640" w:type="pct"/>
            <w:shd w:val="clear" w:color="000000" w:fill="FFFFFF"/>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1</w:t>
            </w:r>
          </w:p>
        </w:tc>
      </w:tr>
      <w:tr w:rsidR="009B795D" w:rsidRPr="009E1C70" w:rsidTr="00044B6C">
        <w:trPr>
          <w:cantSplit/>
          <w:trHeight w:val="170"/>
        </w:trPr>
        <w:tc>
          <w:tcPr>
            <w:tcW w:w="5000" w:type="pct"/>
            <w:gridSpan w:val="3"/>
            <w:shd w:val="clear" w:color="000000" w:fill="F2F2F2"/>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Конструктивные элементы здания</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1</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Фундамент</w:t>
            </w:r>
          </w:p>
        </w:tc>
        <w:tc>
          <w:tcPr>
            <w:tcW w:w="2640" w:type="pct"/>
            <w:shd w:val="clear" w:color="auto" w:fill="auto"/>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Железобетонный свайный</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2</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Стены</w:t>
            </w:r>
          </w:p>
        </w:tc>
        <w:tc>
          <w:tcPr>
            <w:tcW w:w="2640" w:type="pct"/>
            <w:shd w:val="clear" w:color="auto" w:fill="auto"/>
            <w:vAlign w:val="center"/>
            <w:hideMark/>
          </w:tcPr>
          <w:p w:rsidR="009B795D" w:rsidRPr="009E1C70" w:rsidRDefault="009B795D" w:rsidP="009B795D">
            <w:pPr>
              <w:jc w:val="center"/>
              <w:rPr>
                <w:rFonts w:ascii="Cambria" w:hAnsi="Cambria"/>
                <w:color w:val="000000"/>
                <w:sz w:val="16"/>
                <w:szCs w:val="16"/>
              </w:rPr>
            </w:pPr>
            <w:r w:rsidRPr="009B795D">
              <w:rPr>
                <w:rFonts w:ascii="Cambria" w:hAnsi="Cambria"/>
                <w:color w:val="000000"/>
                <w:sz w:val="16"/>
                <w:szCs w:val="16"/>
              </w:rPr>
              <w:t>Железобетонны</w:t>
            </w:r>
            <w:r>
              <w:rPr>
                <w:rFonts w:ascii="Cambria" w:hAnsi="Cambria"/>
                <w:color w:val="000000"/>
                <w:sz w:val="16"/>
                <w:szCs w:val="16"/>
              </w:rPr>
              <w:t>е</w:t>
            </w:r>
            <w:r w:rsidRPr="009B795D">
              <w:rPr>
                <w:rFonts w:ascii="Cambria" w:hAnsi="Cambria"/>
                <w:color w:val="000000"/>
                <w:sz w:val="16"/>
                <w:szCs w:val="16"/>
              </w:rPr>
              <w:t xml:space="preserve"> </w:t>
            </w:r>
            <w:r>
              <w:rPr>
                <w:rFonts w:ascii="Cambria" w:hAnsi="Cambria"/>
                <w:color w:val="000000"/>
                <w:sz w:val="16"/>
                <w:szCs w:val="16"/>
              </w:rPr>
              <w:t>крупнопанельные</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3</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Перегородки</w:t>
            </w:r>
          </w:p>
        </w:tc>
        <w:tc>
          <w:tcPr>
            <w:tcW w:w="2640" w:type="pct"/>
            <w:shd w:val="clear" w:color="auto" w:fill="auto"/>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w:t>
            </w:r>
          </w:p>
        </w:tc>
      </w:tr>
      <w:tr w:rsidR="009B795D" w:rsidRPr="009E1C70" w:rsidTr="00044B6C">
        <w:trPr>
          <w:cantSplit/>
          <w:trHeight w:val="170"/>
        </w:trPr>
        <w:tc>
          <w:tcPr>
            <w:tcW w:w="314" w:type="pct"/>
            <w:shd w:val="clear" w:color="auto" w:fill="auto"/>
            <w:noWrap/>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4</w:t>
            </w:r>
          </w:p>
        </w:tc>
        <w:tc>
          <w:tcPr>
            <w:tcW w:w="2046" w:type="pct"/>
            <w:shd w:val="clear" w:color="auto" w:fill="auto"/>
            <w:vAlign w:val="center"/>
          </w:tcPr>
          <w:p w:rsidR="009B795D" w:rsidRPr="009E1C70" w:rsidRDefault="009B795D" w:rsidP="00044B6C">
            <w:pPr>
              <w:rPr>
                <w:rFonts w:ascii="Cambria" w:hAnsi="Cambria"/>
                <w:sz w:val="16"/>
                <w:szCs w:val="16"/>
              </w:rPr>
            </w:pPr>
            <w:r w:rsidRPr="000311B1">
              <w:rPr>
                <w:rFonts w:ascii="Cambria" w:hAnsi="Cambria"/>
                <w:sz w:val="16"/>
                <w:szCs w:val="16"/>
              </w:rPr>
              <w:t>Перекрытие</w:t>
            </w:r>
            <w:r>
              <w:rPr>
                <w:rFonts w:ascii="Cambria" w:hAnsi="Cambria"/>
                <w:sz w:val="16"/>
                <w:szCs w:val="16"/>
              </w:rPr>
              <w:t xml:space="preserve"> чердачное</w:t>
            </w:r>
          </w:p>
        </w:tc>
        <w:tc>
          <w:tcPr>
            <w:tcW w:w="2640" w:type="pct"/>
            <w:shd w:val="clear" w:color="auto" w:fill="auto"/>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5</w:t>
            </w:r>
          </w:p>
        </w:tc>
        <w:tc>
          <w:tcPr>
            <w:tcW w:w="2046" w:type="pct"/>
            <w:shd w:val="clear" w:color="auto" w:fill="auto"/>
            <w:vAlign w:val="center"/>
            <w:hideMark/>
          </w:tcPr>
          <w:p w:rsidR="009B795D" w:rsidRPr="009E1C70" w:rsidRDefault="009B795D" w:rsidP="00044B6C">
            <w:pPr>
              <w:rPr>
                <w:rFonts w:ascii="Cambria" w:hAnsi="Cambria"/>
                <w:sz w:val="16"/>
                <w:szCs w:val="16"/>
              </w:rPr>
            </w:pPr>
            <w:r w:rsidRPr="009E1C70">
              <w:rPr>
                <w:rFonts w:ascii="Cambria" w:hAnsi="Cambria"/>
                <w:sz w:val="16"/>
                <w:szCs w:val="16"/>
              </w:rPr>
              <w:t>Перекрытие междуэтажное</w:t>
            </w:r>
          </w:p>
        </w:tc>
        <w:tc>
          <w:tcPr>
            <w:tcW w:w="2640" w:type="pct"/>
            <w:shd w:val="clear" w:color="auto" w:fill="auto"/>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w:t>
            </w:r>
          </w:p>
        </w:tc>
      </w:tr>
      <w:tr w:rsidR="009B795D" w:rsidRPr="009E1C70" w:rsidTr="00044B6C">
        <w:trPr>
          <w:cantSplit/>
          <w:trHeight w:val="170"/>
        </w:trPr>
        <w:tc>
          <w:tcPr>
            <w:tcW w:w="314" w:type="pct"/>
            <w:shd w:val="clear" w:color="auto" w:fill="auto"/>
            <w:noWrap/>
            <w:vAlign w:val="center"/>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6</w:t>
            </w:r>
          </w:p>
        </w:tc>
        <w:tc>
          <w:tcPr>
            <w:tcW w:w="2046" w:type="pct"/>
            <w:shd w:val="clear" w:color="auto" w:fill="auto"/>
            <w:vAlign w:val="center"/>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Крыша</w:t>
            </w:r>
          </w:p>
        </w:tc>
        <w:tc>
          <w:tcPr>
            <w:tcW w:w="2640" w:type="pct"/>
            <w:shd w:val="clear" w:color="000000" w:fill="FFFFFF"/>
            <w:vAlign w:val="center"/>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Металлическая</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7</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Полы</w:t>
            </w:r>
          </w:p>
        </w:tc>
        <w:tc>
          <w:tcPr>
            <w:tcW w:w="2640" w:type="pct"/>
            <w:shd w:val="clear" w:color="000000" w:fill="FFFFFF"/>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Бетонные</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8</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Окна</w:t>
            </w:r>
          </w:p>
        </w:tc>
        <w:tc>
          <w:tcPr>
            <w:tcW w:w="2640" w:type="pct"/>
            <w:shd w:val="clear" w:color="auto" w:fill="auto"/>
            <w:vAlign w:val="center"/>
            <w:hideMark/>
          </w:tcPr>
          <w:p w:rsidR="009B795D" w:rsidRDefault="009B795D" w:rsidP="00044B6C">
            <w:pPr>
              <w:jc w:val="center"/>
            </w:pPr>
            <w:r>
              <w:rPr>
                <w:rFonts w:ascii="Cambria" w:hAnsi="Cambria"/>
                <w:color w:val="000000"/>
                <w:sz w:val="16"/>
                <w:szCs w:val="16"/>
              </w:rPr>
              <w:t>Оконные блоки, стеклопакет</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9</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Двери</w:t>
            </w:r>
          </w:p>
        </w:tc>
        <w:tc>
          <w:tcPr>
            <w:tcW w:w="2640" w:type="pct"/>
            <w:shd w:val="clear" w:color="auto" w:fill="auto"/>
            <w:vAlign w:val="center"/>
            <w:hideMark/>
          </w:tcPr>
          <w:p w:rsidR="009B795D" w:rsidRDefault="009B795D" w:rsidP="00044B6C">
            <w:pPr>
              <w:jc w:val="center"/>
            </w:pPr>
            <w:r>
              <w:rPr>
                <w:rFonts w:ascii="Cambria" w:hAnsi="Cambria"/>
                <w:color w:val="000000"/>
                <w:sz w:val="16"/>
                <w:szCs w:val="16"/>
              </w:rPr>
              <w:t>-</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10</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Отделка</w:t>
            </w:r>
          </w:p>
        </w:tc>
        <w:tc>
          <w:tcPr>
            <w:tcW w:w="2640" w:type="pct"/>
            <w:shd w:val="clear" w:color="auto" w:fill="auto"/>
            <w:vAlign w:val="center"/>
            <w:hideMark/>
          </w:tcPr>
          <w:p w:rsidR="009B795D" w:rsidRDefault="009B795D" w:rsidP="00044B6C">
            <w:pPr>
              <w:jc w:val="center"/>
            </w:pPr>
            <w:r>
              <w:rPr>
                <w:rFonts w:ascii="Cambria" w:hAnsi="Cambria"/>
                <w:color w:val="000000"/>
                <w:sz w:val="16"/>
                <w:szCs w:val="16"/>
              </w:rPr>
              <w:t>Отсутствует</w:t>
            </w:r>
          </w:p>
        </w:tc>
      </w:tr>
      <w:tr w:rsidR="009B795D" w:rsidRPr="009E1C70" w:rsidTr="00044B6C">
        <w:trPr>
          <w:cantSplit/>
          <w:trHeight w:val="170"/>
        </w:trPr>
        <w:tc>
          <w:tcPr>
            <w:tcW w:w="314" w:type="pct"/>
            <w:shd w:val="clear" w:color="auto" w:fill="auto"/>
            <w:noWrap/>
            <w:vAlign w:val="center"/>
            <w:hideMark/>
          </w:tcPr>
          <w:p w:rsidR="009B795D" w:rsidRPr="009E1C70" w:rsidRDefault="009B795D" w:rsidP="00044B6C">
            <w:pPr>
              <w:jc w:val="center"/>
              <w:rPr>
                <w:rFonts w:ascii="Cambria" w:hAnsi="Cambria"/>
                <w:color w:val="000000"/>
                <w:sz w:val="16"/>
                <w:szCs w:val="16"/>
              </w:rPr>
            </w:pPr>
            <w:r>
              <w:rPr>
                <w:rFonts w:ascii="Cambria" w:hAnsi="Cambria"/>
                <w:color w:val="000000"/>
                <w:sz w:val="16"/>
                <w:szCs w:val="16"/>
              </w:rPr>
              <w:t>11</w:t>
            </w:r>
          </w:p>
        </w:tc>
        <w:tc>
          <w:tcPr>
            <w:tcW w:w="2046" w:type="pct"/>
            <w:shd w:val="clear" w:color="auto" w:fill="auto"/>
            <w:vAlign w:val="center"/>
            <w:hideMark/>
          </w:tcPr>
          <w:p w:rsidR="009B795D" w:rsidRPr="009E1C70" w:rsidRDefault="009B795D" w:rsidP="00044B6C">
            <w:pPr>
              <w:rPr>
                <w:rFonts w:ascii="Cambria" w:hAnsi="Cambria"/>
                <w:color w:val="000000"/>
                <w:sz w:val="16"/>
                <w:szCs w:val="16"/>
              </w:rPr>
            </w:pPr>
            <w:r w:rsidRPr="009E1C70">
              <w:rPr>
                <w:rFonts w:ascii="Cambria" w:hAnsi="Cambria"/>
                <w:color w:val="000000"/>
                <w:sz w:val="16"/>
                <w:szCs w:val="16"/>
              </w:rPr>
              <w:t>Инженерно-техническое обеспечение</w:t>
            </w:r>
          </w:p>
        </w:tc>
        <w:tc>
          <w:tcPr>
            <w:tcW w:w="2640" w:type="pct"/>
            <w:shd w:val="clear" w:color="auto" w:fill="auto"/>
            <w:vAlign w:val="center"/>
            <w:hideMark/>
          </w:tcPr>
          <w:p w:rsidR="009B795D" w:rsidRDefault="009B795D" w:rsidP="00044B6C">
            <w:pPr>
              <w:jc w:val="center"/>
            </w:pPr>
            <w:r>
              <w:rPr>
                <w:rFonts w:ascii="Cambria" w:hAnsi="Cambria"/>
                <w:color w:val="000000"/>
                <w:sz w:val="16"/>
                <w:szCs w:val="16"/>
              </w:rPr>
              <w:t>Электроосвещение,  вентиляция</w:t>
            </w:r>
          </w:p>
        </w:tc>
      </w:tr>
      <w:tr w:rsidR="009B795D" w:rsidRPr="009E1C70" w:rsidTr="00044B6C">
        <w:trPr>
          <w:cantSplit/>
          <w:trHeight w:val="170"/>
        </w:trPr>
        <w:tc>
          <w:tcPr>
            <w:tcW w:w="5000" w:type="pct"/>
            <w:gridSpan w:val="3"/>
            <w:shd w:val="clear" w:color="000000" w:fill="F2F2F2"/>
            <w:noWrap/>
            <w:vAlign w:val="center"/>
            <w:hideMark/>
          </w:tcPr>
          <w:p w:rsidR="009B795D" w:rsidRPr="009E1C70" w:rsidRDefault="009B795D" w:rsidP="00044B6C">
            <w:pPr>
              <w:jc w:val="center"/>
              <w:rPr>
                <w:rFonts w:ascii="Cambria" w:hAnsi="Cambria"/>
                <w:color w:val="000000"/>
                <w:sz w:val="16"/>
                <w:szCs w:val="16"/>
              </w:rPr>
            </w:pPr>
            <w:r w:rsidRPr="009E1C70">
              <w:rPr>
                <w:rFonts w:ascii="Cambria" w:hAnsi="Cambria"/>
                <w:color w:val="000000"/>
                <w:sz w:val="16"/>
                <w:szCs w:val="16"/>
              </w:rPr>
              <w:t>Техническое состояние</w:t>
            </w:r>
          </w:p>
        </w:tc>
      </w:tr>
      <w:tr w:rsidR="009B795D" w:rsidRPr="009E1C70" w:rsidTr="00044B6C">
        <w:trPr>
          <w:cantSplit/>
          <w:trHeight w:val="170"/>
        </w:trPr>
        <w:tc>
          <w:tcPr>
            <w:tcW w:w="314"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1</w:t>
            </w:r>
          </w:p>
        </w:tc>
        <w:tc>
          <w:tcPr>
            <w:tcW w:w="2046" w:type="pct"/>
            <w:shd w:val="clear" w:color="auto" w:fill="auto"/>
            <w:vAlign w:val="center"/>
            <w:hideMark/>
          </w:tcPr>
          <w:p w:rsidR="009B795D" w:rsidRDefault="009B795D" w:rsidP="00044B6C">
            <w:pPr>
              <w:rPr>
                <w:rFonts w:ascii="Cambria" w:hAnsi="Cambria"/>
                <w:color w:val="000000"/>
                <w:sz w:val="16"/>
                <w:szCs w:val="16"/>
              </w:rPr>
            </w:pPr>
            <w:r>
              <w:rPr>
                <w:rFonts w:ascii="Cambria" w:hAnsi="Cambria"/>
                <w:color w:val="000000"/>
                <w:sz w:val="16"/>
                <w:szCs w:val="16"/>
              </w:rPr>
              <w:t>Физическое состояние объекта</w:t>
            </w:r>
          </w:p>
        </w:tc>
        <w:tc>
          <w:tcPr>
            <w:tcW w:w="2640" w:type="pct"/>
            <w:shd w:val="clear" w:color="auto" w:fill="auto"/>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Требуется косметический ремонт</w:t>
            </w:r>
          </w:p>
        </w:tc>
      </w:tr>
      <w:tr w:rsidR="009B795D" w:rsidRPr="009E1C70" w:rsidTr="00044B6C">
        <w:trPr>
          <w:cantSplit/>
          <w:trHeight w:val="170"/>
        </w:trPr>
        <w:tc>
          <w:tcPr>
            <w:tcW w:w="314" w:type="pct"/>
            <w:shd w:val="clear" w:color="auto" w:fill="auto"/>
            <w:noWrap/>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2</w:t>
            </w:r>
          </w:p>
        </w:tc>
        <w:tc>
          <w:tcPr>
            <w:tcW w:w="2046" w:type="pct"/>
            <w:shd w:val="clear" w:color="auto" w:fill="auto"/>
            <w:vAlign w:val="center"/>
          </w:tcPr>
          <w:p w:rsidR="009B795D" w:rsidRDefault="009B795D" w:rsidP="00044B6C">
            <w:pPr>
              <w:rPr>
                <w:rFonts w:ascii="Cambria" w:hAnsi="Cambria"/>
                <w:color w:val="000000"/>
                <w:sz w:val="16"/>
                <w:szCs w:val="16"/>
              </w:rPr>
            </w:pPr>
            <w:r>
              <w:rPr>
                <w:rFonts w:ascii="Cambria" w:hAnsi="Cambria"/>
                <w:color w:val="000000"/>
                <w:sz w:val="16"/>
                <w:szCs w:val="16"/>
              </w:rPr>
              <w:t>Износ по техническому паспорту, %</w:t>
            </w:r>
          </w:p>
        </w:tc>
        <w:tc>
          <w:tcPr>
            <w:tcW w:w="2640" w:type="pct"/>
            <w:shd w:val="clear" w:color="auto" w:fill="auto"/>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0,00%</w:t>
            </w:r>
          </w:p>
        </w:tc>
      </w:tr>
      <w:tr w:rsidR="009B795D" w:rsidRPr="009E1C70" w:rsidTr="00044B6C">
        <w:trPr>
          <w:cantSplit/>
          <w:trHeight w:val="170"/>
        </w:trPr>
        <w:tc>
          <w:tcPr>
            <w:tcW w:w="314" w:type="pct"/>
            <w:shd w:val="clear" w:color="auto" w:fill="auto"/>
            <w:noWrap/>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3</w:t>
            </w:r>
          </w:p>
        </w:tc>
        <w:tc>
          <w:tcPr>
            <w:tcW w:w="2046" w:type="pct"/>
            <w:shd w:val="clear" w:color="auto" w:fill="auto"/>
            <w:vAlign w:val="center"/>
          </w:tcPr>
          <w:p w:rsidR="009B795D" w:rsidRDefault="009B795D" w:rsidP="00044B6C">
            <w:pPr>
              <w:rPr>
                <w:rFonts w:ascii="Calibri" w:hAnsi="Calibri"/>
                <w:color w:val="0000FF"/>
                <w:sz w:val="22"/>
                <w:szCs w:val="22"/>
                <w:u w:val="single"/>
              </w:rPr>
            </w:pPr>
            <w:proofErr w:type="spellStart"/>
            <w:r w:rsidRPr="00433753">
              <w:rPr>
                <w:rFonts w:ascii="Cambria" w:hAnsi="Cambria"/>
                <w:spacing w:val="-5"/>
                <w:sz w:val="16"/>
                <w:szCs w:val="16"/>
              </w:rPr>
              <w:t>Экспертно</w:t>
            </w:r>
            <w:proofErr w:type="spellEnd"/>
            <w:r w:rsidRPr="00433753">
              <w:rPr>
                <w:rFonts w:ascii="Cambria" w:hAnsi="Cambria"/>
                <w:spacing w:val="-5"/>
                <w:sz w:val="16"/>
                <w:szCs w:val="16"/>
              </w:rPr>
              <w:t xml:space="preserve"> определенный износ, %</w:t>
            </w:r>
            <w:r w:rsidRPr="00433753">
              <w:rPr>
                <w:rFonts w:ascii="Cambria" w:hAnsi="Cambria"/>
                <w:spacing w:val="-5"/>
                <w:sz w:val="16"/>
                <w:szCs w:val="16"/>
                <w:vertAlign w:val="superscript"/>
              </w:rPr>
              <w:footnoteReference w:id="16"/>
            </w:r>
          </w:p>
        </w:tc>
        <w:tc>
          <w:tcPr>
            <w:tcW w:w="2640" w:type="pct"/>
            <w:shd w:val="clear" w:color="auto" w:fill="auto"/>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30,00%</w:t>
            </w:r>
          </w:p>
        </w:tc>
      </w:tr>
      <w:tr w:rsidR="009B795D" w:rsidRPr="009E1C70" w:rsidTr="00044B6C">
        <w:trPr>
          <w:cantSplit/>
          <w:trHeight w:val="170"/>
        </w:trPr>
        <w:tc>
          <w:tcPr>
            <w:tcW w:w="314" w:type="pct"/>
            <w:shd w:val="clear" w:color="auto" w:fill="auto"/>
            <w:noWrap/>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4</w:t>
            </w:r>
          </w:p>
        </w:tc>
        <w:tc>
          <w:tcPr>
            <w:tcW w:w="2046" w:type="pct"/>
            <w:shd w:val="clear" w:color="auto" w:fill="auto"/>
            <w:vAlign w:val="center"/>
          </w:tcPr>
          <w:p w:rsidR="009B795D" w:rsidRDefault="009B795D" w:rsidP="00044B6C">
            <w:pPr>
              <w:rPr>
                <w:rFonts w:ascii="Cambria" w:hAnsi="Cambria"/>
                <w:color w:val="000000"/>
                <w:sz w:val="16"/>
                <w:szCs w:val="16"/>
              </w:rPr>
            </w:pPr>
            <w:r>
              <w:rPr>
                <w:rFonts w:ascii="Cambria" w:hAnsi="Cambria"/>
                <w:color w:val="000000"/>
                <w:sz w:val="16"/>
                <w:szCs w:val="16"/>
              </w:rPr>
              <w:t>Состояние объекта</w:t>
            </w:r>
          </w:p>
        </w:tc>
        <w:tc>
          <w:tcPr>
            <w:tcW w:w="2640" w:type="pct"/>
            <w:shd w:val="clear" w:color="auto" w:fill="auto"/>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 xml:space="preserve">"Удовлетворительное" </w:t>
            </w:r>
          </w:p>
        </w:tc>
      </w:tr>
      <w:tr w:rsidR="009B795D" w:rsidRPr="009E1C70" w:rsidTr="00044B6C">
        <w:trPr>
          <w:cantSplit/>
          <w:trHeight w:val="170"/>
        </w:trPr>
        <w:tc>
          <w:tcPr>
            <w:tcW w:w="314" w:type="pct"/>
            <w:shd w:val="clear" w:color="auto" w:fill="auto"/>
            <w:noWrap/>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5 </w:t>
            </w:r>
          </w:p>
        </w:tc>
        <w:tc>
          <w:tcPr>
            <w:tcW w:w="2046" w:type="pct"/>
            <w:shd w:val="clear" w:color="auto" w:fill="auto"/>
            <w:vAlign w:val="center"/>
          </w:tcPr>
          <w:p w:rsidR="009B795D" w:rsidRDefault="009B795D" w:rsidP="00044B6C">
            <w:pPr>
              <w:rPr>
                <w:rFonts w:ascii="Cambria" w:hAnsi="Cambria"/>
                <w:color w:val="000000"/>
                <w:sz w:val="16"/>
                <w:szCs w:val="16"/>
              </w:rPr>
            </w:pPr>
            <w:r>
              <w:rPr>
                <w:rFonts w:ascii="Cambria" w:hAnsi="Cambria"/>
                <w:color w:val="000000"/>
                <w:sz w:val="16"/>
                <w:szCs w:val="16"/>
              </w:rPr>
              <w:t> Описание состояния объекта</w:t>
            </w:r>
          </w:p>
        </w:tc>
        <w:tc>
          <w:tcPr>
            <w:tcW w:w="2640" w:type="pct"/>
            <w:shd w:val="clear" w:color="auto" w:fill="auto"/>
            <w:vAlign w:val="center"/>
          </w:tcPr>
          <w:p w:rsidR="009B795D" w:rsidRDefault="009B795D" w:rsidP="00044B6C">
            <w:pPr>
              <w:jc w:val="center"/>
              <w:rPr>
                <w:rFonts w:ascii="Cambria" w:hAnsi="Cambria"/>
                <w:color w:val="000000"/>
                <w:sz w:val="16"/>
                <w:szCs w:val="16"/>
              </w:rPr>
            </w:pPr>
            <w:r>
              <w:rPr>
                <w:rFonts w:ascii="Cambria" w:hAnsi="Cambria"/>
                <w:color w:val="000000"/>
                <w:sz w:val="16"/>
                <w:szCs w:val="16"/>
              </w:rPr>
              <w:t>Конструктивные элементы в целом пригодны для эксплуатации, но  требуют некоторого капитального ремонта, который наиболее целесообразен именно на данной стадии.</w:t>
            </w:r>
          </w:p>
        </w:tc>
      </w:tr>
    </w:tbl>
    <w:p w:rsidR="000A4482" w:rsidRPr="00391CE3" w:rsidRDefault="000A4482" w:rsidP="000A4482">
      <w:pPr>
        <w:spacing w:before="120" w:after="120"/>
        <w:jc w:val="both"/>
        <w:rPr>
          <w:rFonts w:ascii="Bookman Old Style" w:hAnsi="Bookman Old Style"/>
          <w:bCs/>
          <w:i/>
          <w:sz w:val="20"/>
          <w:szCs w:val="20"/>
        </w:rPr>
      </w:pPr>
      <w:r w:rsidRPr="00391CE3">
        <w:rPr>
          <w:rFonts w:ascii="Bookman Old Style" w:hAnsi="Bookman Old Style"/>
          <w:bCs/>
          <w:i/>
          <w:sz w:val="20"/>
          <w:szCs w:val="20"/>
        </w:rPr>
        <w:t xml:space="preserve">Информация о текущем использовании </w:t>
      </w:r>
    </w:p>
    <w:p w:rsidR="000A4482" w:rsidRDefault="000A4482" w:rsidP="000A4482">
      <w:pPr>
        <w:spacing w:before="120" w:after="120"/>
        <w:ind w:firstLine="709"/>
        <w:jc w:val="both"/>
        <w:rPr>
          <w:rFonts w:ascii="Bookman Old Style" w:hAnsi="Bookman Old Style"/>
          <w:bCs/>
          <w:sz w:val="20"/>
          <w:szCs w:val="20"/>
        </w:rPr>
      </w:pPr>
      <w:r w:rsidRPr="00391CE3">
        <w:rPr>
          <w:rFonts w:ascii="Bookman Old Style" w:hAnsi="Bookman Old Style"/>
          <w:bCs/>
          <w:sz w:val="20"/>
          <w:szCs w:val="20"/>
        </w:rPr>
        <w:t xml:space="preserve">На дату оценки </w:t>
      </w:r>
      <w:r>
        <w:rPr>
          <w:rFonts w:ascii="Bookman Old Style" w:hAnsi="Bookman Old Style"/>
          <w:bCs/>
          <w:sz w:val="20"/>
          <w:szCs w:val="20"/>
        </w:rPr>
        <w:t>н</w:t>
      </w:r>
      <w:r w:rsidRPr="000A4482">
        <w:rPr>
          <w:rFonts w:ascii="Bookman Old Style" w:hAnsi="Bookman Old Style"/>
          <w:bCs/>
          <w:sz w:val="20"/>
          <w:szCs w:val="20"/>
        </w:rPr>
        <w:t xml:space="preserve">ежилое здание </w:t>
      </w:r>
      <w:r w:rsidRPr="00391CE3">
        <w:rPr>
          <w:rFonts w:ascii="Bookman Old Style" w:hAnsi="Bookman Old Style"/>
          <w:bCs/>
          <w:sz w:val="20"/>
          <w:szCs w:val="20"/>
        </w:rPr>
        <w:t>используется</w:t>
      </w:r>
      <w:r>
        <w:rPr>
          <w:rFonts w:ascii="Bookman Old Style" w:hAnsi="Bookman Old Style"/>
          <w:bCs/>
          <w:sz w:val="20"/>
          <w:szCs w:val="20"/>
        </w:rPr>
        <w:t xml:space="preserve"> согласно прямому функциональному назначению, в качестве здания с производственно-складскими и офисными помещениями</w:t>
      </w:r>
      <w:r w:rsidRPr="00391CE3">
        <w:rPr>
          <w:rFonts w:ascii="Bookman Old Style" w:hAnsi="Bookman Old Style"/>
          <w:bCs/>
          <w:sz w:val="20"/>
          <w:szCs w:val="20"/>
        </w:rPr>
        <w:t>.</w:t>
      </w:r>
    </w:p>
    <w:p w:rsidR="009B795D" w:rsidRDefault="009B795D" w:rsidP="000A4482">
      <w:pPr>
        <w:spacing w:before="120" w:after="120"/>
        <w:ind w:firstLine="709"/>
        <w:jc w:val="both"/>
        <w:rPr>
          <w:rFonts w:ascii="Bookman Old Style" w:hAnsi="Bookman Old Style"/>
          <w:bCs/>
          <w:sz w:val="20"/>
          <w:szCs w:val="20"/>
        </w:rPr>
      </w:pPr>
    </w:p>
    <w:p w:rsidR="009B795D" w:rsidRDefault="009B795D" w:rsidP="000A4482">
      <w:pPr>
        <w:spacing w:before="120" w:after="120"/>
        <w:ind w:firstLine="709"/>
        <w:jc w:val="both"/>
        <w:rPr>
          <w:rFonts w:ascii="Bookman Old Style" w:hAnsi="Bookman Old Style"/>
          <w:bCs/>
          <w:sz w:val="20"/>
          <w:szCs w:val="20"/>
        </w:rPr>
      </w:pPr>
    </w:p>
    <w:p w:rsidR="009B795D" w:rsidRDefault="009B795D" w:rsidP="000A4482">
      <w:pPr>
        <w:spacing w:before="120" w:after="120"/>
        <w:ind w:firstLine="709"/>
        <w:jc w:val="both"/>
        <w:rPr>
          <w:rFonts w:ascii="Bookman Old Style" w:hAnsi="Bookman Old Style"/>
          <w:bCs/>
          <w:sz w:val="20"/>
          <w:szCs w:val="20"/>
        </w:rPr>
      </w:pPr>
    </w:p>
    <w:p w:rsidR="000A4482" w:rsidRDefault="000A4482" w:rsidP="000A4482">
      <w:pPr>
        <w:spacing w:before="120" w:after="120"/>
        <w:jc w:val="both"/>
        <w:rPr>
          <w:rFonts w:ascii="Bookman Old Style" w:hAnsi="Bookman Old Style"/>
          <w:bCs/>
          <w:i/>
          <w:sz w:val="20"/>
          <w:szCs w:val="20"/>
        </w:rPr>
      </w:pPr>
      <w:proofErr w:type="gramStart"/>
      <w:r>
        <w:rPr>
          <w:rFonts w:ascii="Bookman Old Style" w:hAnsi="Bookman Old Style"/>
          <w:bCs/>
          <w:i/>
          <w:sz w:val="20"/>
          <w:szCs w:val="20"/>
        </w:rPr>
        <w:lastRenderedPageBreak/>
        <w:t>Фото элемента</w:t>
      </w:r>
      <w:proofErr w:type="gramEnd"/>
      <w:r>
        <w:rPr>
          <w:rFonts w:ascii="Bookman Old Style" w:hAnsi="Bookman Old Style"/>
          <w:bCs/>
          <w:i/>
          <w:sz w:val="20"/>
          <w:szCs w:val="20"/>
        </w:rPr>
        <w:t xml:space="preserve"> Объекта оценки</w:t>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1. Общий вид </w:t>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 xml:space="preserve">      Фото № 2. </w:t>
      </w:r>
      <w:r w:rsidR="005F178F">
        <w:rPr>
          <w:rFonts w:ascii="Bookman Old Style" w:hAnsi="Bookman Old Style"/>
          <w:sz w:val="18"/>
          <w:szCs w:val="18"/>
        </w:rPr>
        <w:t>Помещение</w:t>
      </w:r>
    </w:p>
    <w:p w:rsidR="000A4482" w:rsidRDefault="000A4482" w:rsidP="000A4482">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2E971285" wp14:editId="74AE4172">
            <wp:extent cx="3121660" cy="2341245"/>
            <wp:effectExtent l="0" t="0" r="254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5C11970B" wp14:editId="29DC58BD">
            <wp:extent cx="3121660" cy="2341245"/>
            <wp:effectExtent l="0" t="0" r="2540" b="190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3. </w:t>
      </w:r>
      <w:r w:rsidR="005F178F" w:rsidRPr="005F178F">
        <w:rPr>
          <w:rFonts w:ascii="Bookman Old Style" w:hAnsi="Bookman Old Style"/>
          <w:sz w:val="18"/>
          <w:szCs w:val="18"/>
        </w:rPr>
        <w:t>Помещение</w:t>
      </w:r>
      <w:r>
        <w:rPr>
          <w:rFonts w:ascii="Bookman Old Style" w:hAnsi="Bookman Old Style"/>
          <w:sz w:val="18"/>
          <w:szCs w:val="18"/>
        </w:rPr>
        <w:t xml:space="preserve"> </w:t>
      </w:r>
      <w:r>
        <w:rPr>
          <w:rFonts w:ascii="Bookman Old Style" w:hAnsi="Bookman Old Style"/>
          <w:sz w:val="18"/>
          <w:szCs w:val="18"/>
        </w:rPr>
        <w:tab/>
        <w:t xml:space="preserve">     </w:t>
      </w:r>
    </w:p>
    <w:p w:rsidR="000A4482" w:rsidRPr="0070748F" w:rsidRDefault="000A4482" w:rsidP="000A4482">
      <w:pPr>
        <w:spacing w:before="120" w:after="120"/>
        <w:rPr>
          <w:rFonts w:ascii="Bookman Old Style" w:hAnsi="Bookman Old Style"/>
          <w:noProof/>
          <w:sz w:val="18"/>
          <w:szCs w:val="18"/>
        </w:rPr>
      </w:pPr>
      <w:r w:rsidRPr="0070748F">
        <w:rPr>
          <w:rFonts w:ascii="Bookman Old Style" w:hAnsi="Bookman Old Style"/>
          <w:noProof/>
          <w:sz w:val="18"/>
          <w:szCs w:val="18"/>
        </w:rPr>
        <w:drawing>
          <wp:inline distT="0" distB="0" distL="0" distR="0" wp14:anchorId="0545190A" wp14:editId="46DE47F5">
            <wp:extent cx="3120000" cy="2340000"/>
            <wp:effectExtent l="0" t="0" r="4445" b="317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esktop\Саянпромстрой\Фото\IMG_1725.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120000" cy="2340000"/>
                    </a:xfrm>
                    <a:prstGeom prst="rect">
                      <a:avLst/>
                    </a:prstGeom>
                    <a:noFill/>
                    <a:ln>
                      <a:noFill/>
                    </a:ln>
                  </pic:spPr>
                </pic:pic>
              </a:graphicData>
            </a:graphic>
          </wp:inline>
        </w:drawing>
      </w:r>
      <w:r w:rsidRPr="0070748F">
        <w:rPr>
          <w:rFonts w:ascii="Bookman Old Style" w:hAnsi="Bookman Old Style"/>
          <w:noProof/>
          <w:sz w:val="18"/>
          <w:szCs w:val="18"/>
        </w:rPr>
        <w:t xml:space="preserve">      </w:t>
      </w:r>
    </w:p>
    <w:bookmarkEnd w:id="175"/>
    <w:p w:rsidR="00A276AF" w:rsidRPr="0070748F" w:rsidRDefault="005F178F" w:rsidP="005F04AC">
      <w:pPr>
        <w:pStyle w:val="aff2"/>
        <w:numPr>
          <w:ilvl w:val="0"/>
          <w:numId w:val="40"/>
        </w:numPr>
        <w:rPr>
          <w:rFonts w:ascii="Bookman Old Style" w:hAnsi="Bookman Old Style"/>
          <w:bCs/>
          <w:sz w:val="20"/>
          <w:szCs w:val="20"/>
        </w:rPr>
      </w:pPr>
      <w:r w:rsidRPr="0070748F">
        <w:rPr>
          <w:rFonts w:ascii="Bookman Old Style" w:hAnsi="Bookman Old Style"/>
          <w:bCs/>
          <w:sz w:val="20"/>
          <w:szCs w:val="20"/>
        </w:rPr>
        <w:t>Земельный участок, категория земель: земли населенных пунктов, Общая площадь 1181 кв. м., адрес</w:t>
      </w:r>
      <w:proofErr w:type="gramStart"/>
      <w:r w:rsidRPr="0070748F">
        <w:rPr>
          <w:rFonts w:ascii="Bookman Old Style" w:hAnsi="Bookman Old Style"/>
          <w:bCs/>
          <w:sz w:val="20"/>
          <w:szCs w:val="20"/>
        </w:rPr>
        <w:t xml:space="preserve"> :</w:t>
      </w:r>
      <w:proofErr w:type="gramEnd"/>
      <w:r w:rsidRPr="0070748F">
        <w:rPr>
          <w:rFonts w:ascii="Bookman Old Style" w:hAnsi="Bookman Old Style"/>
          <w:bCs/>
          <w:sz w:val="20"/>
          <w:szCs w:val="20"/>
        </w:rPr>
        <w:t xml:space="preserve"> г. Красноярск, ул. Айвазовского, 37 «А». Кадастровый номер: 24:50:0500203:15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2"/>
        <w:gridCol w:w="5279"/>
      </w:tblGrid>
      <w:tr w:rsidR="00A276AF" w:rsidRPr="00A276AF" w:rsidTr="00192166">
        <w:trPr>
          <w:cantSplit/>
          <w:trHeight w:val="210"/>
        </w:trPr>
        <w:tc>
          <w:tcPr>
            <w:tcW w:w="5000" w:type="pct"/>
            <w:gridSpan w:val="2"/>
            <w:shd w:val="clear" w:color="000000" w:fill="F2F2F2"/>
            <w:vAlign w:val="center"/>
            <w:hideMark/>
          </w:tcPr>
          <w:p w:rsidR="00A276AF" w:rsidRPr="00A276AF" w:rsidRDefault="00A276AF" w:rsidP="00A276AF">
            <w:pPr>
              <w:jc w:val="center"/>
              <w:rPr>
                <w:rFonts w:ascii="Cambria" w:hAnsi="Cambria"/>
                <w:b/>
                <w:bCs/>
                <w:color w:val="000000"/>
                <w:sz w:val="16"/>
                <w:szCs w:val="16"/>
              </w:rPr>
            </w:pPr>
            <w:r w:rsidRPr="00A276AF">
              <w:rPr>
                <w:rFonts w:ascii="Cambria" w:hAnsi="Cambria"/>
                <w:b/>
                <w:bCs/>
                <w:color w:val="000000"/>
                <w:sz w:val="16"/>
                <w:szCs w:val="16"/>
              </w:rPr>
              <w:t>Количественные характеристики</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Местоположение</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bCs/>
                <w:color w:val="000000"/>
                <w:sz w:val="16"/>
                <w:szCs w:val="16"/>
              </w:rPr>
              <w:t>Красноярский край, г. Красноярск, ул. Айвазовского,37 «А».</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Кадастровый номер</w:t>
            </w:r>
          </w:p>
        </w:tc>
        <w:tc>
          <w:tcPr>
            <w:tcW w:w="2533" w:type="pct"/>
            <w:shd w:val="clear" w:color="auto" w:fill="auto"/>
            <w:noWrap/>
            <w:vAlign w:val="center"/>
            <w:hideMark/>
          </w:tcPr>
          <w:p w:rsidR="00A276AF" w:rsidRPr="00A276AF" w:rsidRDefault="009B795D" w:rsidP="00A276AF">
            <w:pPr>
              <w:jc w:val="center"/>
              <w:rPr>
                <w:rFonts w:ascii="Cambria" w:hAnsi="Cambria"/>
                <w:color w:val="000000"/>
                <w:sz w:val="16"/>
                <w:szCs w:val="16"/>
              </w:rPr>
            </w:pPr>
            <w:r w:rsidRPr="009B795D">
              <w:rPr>
                <w:rFonts w:ascii="Cambria" w:hAnsi="Cambria"/>
                <w:bCs/>
                <w:color w:val="000000"/>
                <w:sz w:val="16"/>
                <w:szCs w:val="16"/>
              </w:rPr>
              <w:t>24:50:0500203:15</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Площадь участка, кв.м.</w:t>
            </w:r>
          </w:p>
        </w:tc>
        <w:tc>
          <w:tcPr>
            <w:tcW w:w="2533" w:type="pct"/>
            <w:shd w:val="clear" w:color="auto" w:fill="auto"/>
            <w:noWrap/>
            <w:vAlign w:val="center"/>
            <w:hideMark/>
          </w:tcPr>
          <w:p w:rsidR="00A276AF" w:rsidRPr="00A276AF" w:rsidRDefault="009B795D" w:rsidP="00A276AF">
            <w:pPr>
              <w:jc w:val="center"/>
              <w:rPr>
                <w:rFonts w:ascii="Cambria" w:hAnsi="Cambria"/>
                <w:color w:val="000000"/>
                <w:sz w:val="16"/>
                <w:szCs w:val="16"/>
              </w:rPr>
            </w:pPr>
            <w:r>
              <w:rPr>
                <w:rFonts w:ascii="Cambria" w:hAnsi="Cambria"/>
                <w:color w:val="000000"/>
                <w:sz w:val="16"/>
                <w:szCs w:val="16"/>
              </w:rPr>
              <w:t>1181</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Охранная зона инженерных сетей, кв.м.</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н/д</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Категория земель</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Земли населенных пунктов</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Разрешенное использование</w:t>
            </w:r>
          </w:p>
        </w:tc>
        <w:tc>
          <w:tcPr>
            <w:tcW w:w="2533" w:type="pct"/>
            <w:shd w:val="clear" w:color="auto" w:fill="auto"/>
            <w:vAlign w:val="center"/>
            <w:hideMark/>
          </w:tcPr>
          <w:p w:rsidR="00A276AF" w:rsidRPr="00A276AF" w:rsidRDefault="00A276AF" w:rsidP="009B795D">
            <w:pPr>
              <w:jc w:val="center"/>
              <w:rPr>
                <w:rFonts w:ascii="Cambria" w:hAnsi="Cambria"/>
                <w:color w:val="000000"/>
                <w:sz w:val="16"/>
                <w:szCs w:val="16"/>
              </w:rPr>
            </w:pPr>
            <w:proofErr w:type="gramStart"/>
            <w:r>
              <w:rPr>
                <w:rFonts w:ascii="Cambria" w:hAnsi="Cambria"/>
                <w:bCs/>
                <w:color w:val="000000"/>
                <w:sz w:val="16"/>
                <w:szCs w:val="16"/>
              </w:rPr>
              <w:t>З</w:t>
            </w:r>
            <w:r w:rsidRPr="00A276AF">
              <w:rPr>
                <w:rFonts w:ascii="Cambria" w:hAnsi="Cambria"/>
                <w:bCs/>
                <w:color w:val="000000"/>
                <w:sz w:val="16"/>
                <w:szCs w:val="16"/>
              </w:rPr>
              <w:t>анимаемый</w:t>
            </w:r>
            <w:proofErr w:type="gramEnd"/>
            <w:r w:rsidRPr="00A276AF">
              <w:rPr>
                <w:rFonts w:ascii="Cambria" w:hAnsi="Cambria"/>
                <w:bCs/>
                <w:color w:val="000000"/>
                <w:sz w:val="16"/>
                <w:szCs w:val="16"/>
              </w:rPr>
              <w:t xml:space="preserve"> </w:t>
            </w:r>
            <w:r w:rsidR="009B795D">
              <w:rPr>
                <w:rFonts w:ascii="Cambria" w:hAnsi="Cambria"/>
                <w:bCs/>
                <w:color w:val="000000"/>
                <w:sz w:val="16"/>
                <w:szCs w:val="16"/>
              </w:rPr>
              <w:t>незавершенным строительством зданием</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Фактическое использование</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proofErr w:type="gramStart"/>
            <w:r w:rsidRPr="00A276AF">
              <w:rPr>
                <w:rFonts w:ascii="Cambria" w:hAnsi="Cambria"/>
                <w:bCs/>
                <w:color w:val="000000"/>
                <w:sz w:val="16"/>
                <w:szCs w:val="16"/>
              </w:rPr>
              <w:t>Занимаемый</w:t>
            </w:r>
            <w:proofErr w:type="gramEnd"/>
            <w:r w:rsidRPr="00A276AF">
              <w:rPr>
                <w:rFonts w:ascii="Cambria" w:hAnsi="Cambria"/>
                <w:bCs/>
                <w:color w:val="000000"/>
                <w:sz w:val="16"/>
                <w:szCs w:val="16"/>
              </w:rPr>
              <w:t xml:space="preserve"> производственной базой</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Кадастровая стоимость, руб.</w:t>
            </w:r>
          </w:p>
        </w:tc>
        <w:tc>
          <w:tcPr>
            <w:tcW w:w="2533" w:type="pct"/>
            <w:shd w:val="clear" w:color="auto" w:fill="auto"/>
            <w:vAlign w:val="center"/>
            <w:hideMark/>
          </w:tcPr>
          <w:p w:rsidR="00A276AF" w:rsidRPr="00A276AF" w:rsidRDefault="009B795D" w:rsidP="00A276AF">
            <w:pPr>
              <w:jc w:val="center"/>
              <w:rPr>
                <w:rFonts w:ascii="Cambria" w:hAnsi="Cambria"/>
                <w:color w:val="000000"/>
                <w:sz w:val="16"/>
                <w:szCs w:val="16"/>
              </w:rPr>
            </w:pPr>
            <w:r>
              <w:rPr>
                <w:rFonts w:ascii="Cambria" w:hAnsi="Cambria"/>
                <w:color w:val="000000"/>
                <w:sz w:val="16"/>
                <w:szCs w:val="16"/>
              </w:rPr>
              <w:t>2 206 190,67</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Улучшения земельного участка</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w:t>
            </w:r>
          </w:p>
        </w:tc>
      </w:tr>
      <w:tr w:rsidR="00A276AF" w:rsidRPr="00A276AF" w:rsidTr="00192166">
        <w:trPr>
          <w:cantSplit/>
          <w:trHeight w:val="210"/>
        </w:trPr>
        <w:tc>
          <w:tcPr>
            <w:tcW w:w="5000" w:type="pct"/>
            <w:gridSpan w:val="2"/>
            <w:shd w:val="clear" w:color="000000" w:fill="F2F2F2"/>
            <w:vAlign w:val="center"/>
            <w:hideMark/>
          </w:tcPr>
          <w:p w:rsidR="00A276AF" w:rsidRPr="00A276AF" w:rsidRDefault="00A276AF" w:rsidP="00A276AF">
            <w:pPr>
              <w:jc w:val="center"/>
              <w:rPr>
                <w:rFonts w:ascii="Cambria" w:hAnsi="Cambria"/>
                <w:b/>
                <w:bCs/>
                <w:color w:val="000000"/>
                <w:sz w:val="16"/>
                <w:szCs w:val="16"/>
              </w:rPr>
            </w:pPr>
            <w:r w:rsidRPr="00A276AF">
              <w:rPr>
                <w:rFonts w:ascii="Cambria" w:hAnsi="Cambria"/>
                <w:b/>
                <w:bCs/>
                <w:color w:val="000000"/>
                <w:sz w:val="16"/>
                <w:szCs w:val="16"/>
              </w:rPr>
              <w:t>Качественные характеристики</w:t>
            </w:r>
          </w:p>
        </w:tc>
      </w:tr>
      <w:tr w:rsidR="00A276AF" w:rsidRPr="00A276AF" w:rsidTr="00192166">
        <w:trPr>
          <w:cantSplit/>
          <w:trHeight w:val="441"/>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Состояние земельного участка</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proofErr w:type="gramStart"/>
            <w:r w:rsidRPr="00A276AF">
              <w:rPr>
                <w:rFonts w:ascii="Cambria" w:hAnsi="Cambria"/>
                <w:color w:val="000000"/>
                <w:sz w:val="16"/>
                <w:szCs w:val="16"/>
              </w:rPr>
              <w:t>Ровный</w:t>
            </w:r>
            <w:proofErr w:type="gramEnd"/>
            <w:r w:rsidRPr="00A276AF">
              <w:rPr>
                <w:rFonts w:ascii="Cambria" w:hAnsi="Cambria"/>
                <w:color w:val="000000"/>
                <w:sz w:val="16"/>
                <w:szCs w:val="16"/>
              </w:rPr>
              <w:t xml:space="preserve">, спланированный, годен к использованию согласно виду разрешенного использования. </w:t>
            </w:r>
          </w:p>
        </w:tc>
      </w:tr>
      <w:tr w:rsidR="00A276AF" w:rsidRPr="00A276AF" w:rsidTr="00192166">
        <w:trPr>
          <w:cantSplit/>
          <w:trHeight w:val="42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Информация о наличии негативных физических воздействий, загрязнений химикатами и т.д.</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Отсутствует</w:t>
            </w:r>
          </w:p>
        </w:tc>
      </w:tr>
      <w:tr w:rsidR="00A276AF" w:rsidRPr="00A276AF" w:rsidTr="00192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Инженерное обеспечение</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Отсутствует</w:t>
            </w:r>
          </w:p>
        </w:tc>
      </w:tr>
      <w:tr w:rsidR="00A276AF" w:rsidRPr="00A276AF" w:rsidTr="00192166">
        <w:trPr>
          <w:cantSplit/>
          <w:trHeight w:val="420"/>
        </w:trPr>
        <w:tc>
          <w:tcPr>
            <w:tcW w:w="2467" w:type="pct"/>
            <w:shd w:val="clear" w:color="auto" w:fill="auto"/>
            <w:noWrap/>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Информация о текущем использовании Объекта оценки</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Земельный участок используется согласно виду разрешенного использования.</w:t>
            </w:r>
          </w:p>
        </w:tc>
      </w:tr>
    </w:tbl>
    <w:p w:rsidR="00A276AF" w:rsidRPr="00391CE3" w:rsidRDefault="00A276AF" w:rsidP="00A276AF">
      <w:pPr>
        <w:spacing w:before="120" w:after="120"/>
        <w:jc w:val="both"/>
        <w:rPr>
          <w:rFonts w:ascii="Bookman Old Style" w:hAnsi="Bookman Old Style"/>
          <w:bCs/>
          <w:i/>
          <w:sz w:val="20"/>
          <w:szCs w:val="20"/>
        </w:rPr>
      </w:pPr>
      <w:r w:rsidRPr="00391CE3">
        <w:rPr>
          <w:rFonts w:ascii="Bookman Old Style" w:hAnsi="Bookman Old Style"/>
          <w:bCs/>
          <w:i/>
          <w:sz w:val="20"/>
          <w:szCs w:val="20"/>
        </w:rPr>
        <w:t xml:space="preserve">Информация о текущем использовании </w:t>
      </w:r>
    </w:p>
    <w:p w:rsidR="00A276AF" w:rsidRDefault="00A276AF" w:rsidP="00A276AF">
      <w:pPr>
        <w:spacing w:before="120" w:after="120"/>
        <w:ind w:firstLine="709"/>
        <w:jc w:val="both"/>
        <w:rPr>
          <w:rFonts w:ascii="Bookman Old Style" w:hAnsi="Bookman Old Style"/>
          <w:bCs/>
          <w:sz w:val="20"/>
          <w:szCs w:val="20"/>
        </w:rPr>
      </w:pPr>
      <w:r w:rsidRPr="00391CE3">
        <w:rPr>
          <w:rFonts w:ascii="Bookman Old Style" w:hAnsi="Bookman Old Style"/>
          <w:bCs/>
          <w:sz w:val="20"/>
          <w:szCs w:val="20"/>
        </w:rPr>
        <w:t xml:space="preserve">На дату оценки </w:t>
      </w:r>
      <w:r>
        <w:rPr>
          <w:rFonts w:ascii="Bookman Old Style" w:hAnsi="Bookman Old Style"/>
          <w:bCs/>
          <w:sz w:val="20"/>
          <w:szCs w:val="20"/>
        </w:rPr>
        <w:t>з</w:t>
      </w:r>
      <w:r w:rsidRPr="00A276AF">
        <w:rPr>
          <w:rFonts w:ascii="Bookman Old Style" w:hAnsi="Bookman Old Style"/>
          <w:bCs/>
          <w:sz w:val="20"/>
          <w:szCs w:val="20"/>
        </w:rPr>
        <w:t xml:space="preserve">емельный участок </w:t>
      </w:r>
      <w:r w:rsidRPr="00391CE3">
        <w:rPr>
          <w:rFonts w:ascii="Bookman Old Style" w:hAnsi="Bookman Old Style"/>
          <w:bCs/>
          <w:sz w:val="20"/>
          <w:szCs w:val="20"/>
        </w:rPr>
        <w:t>используется</w:t>
      </w:r>
      <w:r>
        <w:rPr>
          <w:rFonts w:ascii="Bookman Old Style" w:hAnsi="Bookman Old Style"/>
          <w:bCs/>
          <w:sz w:val="20"/>
          <w:szCs w:val="20"/>
        </w:rPr>
        <w:t xml:space="preserve"> согласно прямому функциональному назначению, для размещения </w:t>
      </w:r>
      <w:r w:rsidRPr="00A276AF">
        <w:rPr>
          <w:rFonts w:ascii="Bookman Old Style" w:hAnsi="Bookman Old Style"/>
          <w:bCs/>
          <w:sz w:val="20"/>
          <w:szCs w:val="20"/>
        </w:rPr>
        <w:t>производственной баз</w:t>
      </w:r>
      <w:r>
        <w:rPr>
          <w:rFonts w:ascii="Bookman Old Style" w:hAnsi="Bookman Old Style"/>
          <w:bCs/>
          <w:sz w:val="20"/>
          <w:szCs w:val="20"/>
        </w:rPr>
        <w:t>ы</w:t>
      </w:r>
      <w:r w:rsidRPr="00391CE3">
        <w:rPr>
          <w:rFonts w:ascii="Bookman Old Style" w:hAnsi="Bookman Old Style"/>
          <w:bCs/>
          <w:sz w:val="20"/>
          <w:szCs w:val="20"/>
        </w:rPr>
        <w:t>.</w:t>
      </w:r>
    </w:p>
    <w:p w:rsidR="00A276AF" w:rsidRPr="003F76D5" w:rsidRDefault="00A276AF" w:rsidP="00A276AF">
      <w:pPr>
        <w:pStyle w:val="3"/>
        <w:spacing w:after="120"/>
        <w:rPr>
          <w:rFonts w:ascii="Bookman Old Style" w:hAnsi="Bookman Old Style"/>
          <w:sz w:val="20"/>
          <w:szCs w:val="20"/>
        </w:rPr>
      </w:pPr>
      <w:bookmarkStart w:id="178" w:name="_Toc461375567"/>
      <w:r w:rsidRPr="003F76D5">
        <w:rPr>
          <w:rFonts w:ascii="Bookman Old Style" w:hAnsi="Bookman Old Style"/>
          <w:sz w:val="20"/>
          <w:szCs w:val="20"/>
        </w:rPr>
        <w:lastRenderedPageBreak/>
        <w:t>3.2.</w:t>
      </w:r>
      <w:r>
        <w:rPr>
          <w:rFonts w:ascii="Bookman Old Style" w:hAnsi="Bookman Old Style"/>
          <w:sz w:val="20"/>
          <w:szCs w:val="20"/>
        </w:rPr>
        <w:t>3.2.</w:t>
      </w:r>
      <w:r w:rsidRPr="003F76D5">
        <w:rPr>
          <w:rFonts w:ascii="Bookman Old Style" w:hAnsi="Bookman Old Style"/>
          <w:sz w:val="20"/>
          <w:szCs w:val="20"/>
        </w:rPr>
        <w:t xml:space="preserve"> </w:t>
      </w:r>
      <w:r>
        <w:rPr>
          <w:rFonts w:ascii="Bookman Old Style" w:hAnsi="Bookman Old Style"/>
          <w:sz w:val="20"/>
          <w:szCs w:val="20"/>
        </w:rPr>
        <w:t>Количественные и качественные характеристики движимого имущества</w:t>
      </w:r>
      <w:bookmarkEnd w:id="178"/>
      <w:r>
        <w:rPr>
          <w:rFonts w:ascii="Bookman Old Style" w:hAnsi="Bookman Old Style"/>
          <w:sz w:val="20"/>
          <w:szCs w:val="20"/>
        </w:rPr>
        <w:t xml:space="preserve"> </w:t>
      </w:r>
    </w:p>
    <w:p w:rsidR="00A276AF" w:rsidRDefault="00A276AF" w:rsidP="00A276AF">
      <w:pPr>
        <w:spacing w:before="120" w:after="120"/>
        <w:ind w:firstLine="709"/>
        <w:jc w:val="both"/>
        <w:rPr>
          <w:rFonts w:ascii="Bookman Old Style" w:hAnsi="Bookman Old Style"/>
          <w:sz w:val="20"/>
          <w:szCs w:val="20"/>
          <w:vertAlign w:val="superscript"/>
        </w:rPr>
      </w:pPr>
      <w:r w:rsidRPr="00100842">
        <w:rPr>
          <w:rFonts w:ascii="Bookman Old Style" w:hAnsi="Bookman Old Style"/>
          <w:sz w:val="20"/>
          <w:szCs w:val="20"/>
        </w:rPr>
        <w:t xml:space="preserve">В результате </w:t>
      </w:r>
      <w:r w:rsidRPr="00EF0D3D">
        <w:rPr>
          <w:rFonts w:ascii="Bookman Old Style" w:hAnsi="Bookman Old Style"/>
          <w:sz w:val="20"/>
          <w:szCs w:val="20"/>
        </w:rPr>
        <w:t xml:space="preserve">анализа </w:t>
      </w:r>
      <w:proofErr w:type="gramStart"/>
      <w:r w:rsidRPr="00EF0D3D">
        <w:rPr>
          <w:rFonts w:ascii="Bookman Old Style" w:hAnsi="Bookman Old Style"/>
          <w:sz w:val="20"/>
          <w:szCs w:val="20"/>
        </w:rPr>
        <w:t>имеющейся документации</w:t>
      </w:r>
      <w:r w:rsidRPr="00100842">
        <w:rPr>
          <w:rFonts w:ascii="Bookman Old Style" w:hAnsi="Bookman Old Style"/>
          <w:sz w:val="20"/>
          <w:szCs w:val="20"/>
        </w:rPr>
        <w:t xml:space="preserve">, </w:t>
      </w:r>
      <w:r>
        <w:rPr>
          <w:rFonts w:ascii="Bookman Old Style" w:hAnsi="Bookman Old Style"/>
          <w:sz w:val="20"/>
          <w:szCs w:val="20"/>
        </w:rPr>
        <w:t>предоставленной Заказчиком оценки определены</w:t>
      </w:r>
      <w:proofErr w:type="gramEnd"/>
      <w:r>
        <w:rPr>
          <w:rFonts w:ascii="Bookman Old Style" w:hAnsi="Bookman Old Style"/>
          <w:sz w:val="20"/>
          <w:szCs w:val="20"/>
        </w:rPr>
        <w:t xml:space="preserve"> </w:t>
      </w:r>
      <w:r w:rsidRPr="00100842">
        <w:rPr>
          <w:rFonts w:ascii="Bookman Old Style" w:hAnsi="Bookman Old Style"/>
          <w:sz w:val="20"/>
          <w:szCs w:val="20"/>
        </w:rPr>
        <w:t>основные количественные и качественные характеристики</w:t>
      </w:r>
      <w:r>
        <w:rPr>
          <w:rFonts w:ascii="Bookman Old Style" w:hAnsi="Bookman Old Style"/>
          <w:sz w:val="20"/>
          <w:szCs w:val="20"/>
        </w:rPr>
        <w:t xml:space="preserve"> движимого имущества</w:t>
      </w:r>
      <w:r w:rsidRPr="00100842">
        <w:rPr>
          <w:rFonts w:ascii="Bookman Old Style" w:hAnsi="Bookman Old Style"/>
          <w:sz w:val="20"/>
          <w:szCs w:val="20"/>
          <w:vertAlign w:val="superscript"/>
        </w:rPr>
        <w:footnoteReference w:id="17"/>
      </w:r>
      <w:r w:rsidRPr="00100842">
        <w:rPr>
          <w:rFonts w:ascii="Bookman Old Style" w:hAnsi="Bookman Old Style"/>
          <w:sz w:val="20"/>
          <w:szCs w:val="20"/>
          <w:vertAlign w:val="superscript"/>
        </w:rPr>
        <w:t>,</w:t>
      </w:r>
    </w:p>
    <w:p w:rsidR="00A276AF" w:rsidRDefault="00A276AF" w:rsidP="00A276AF">
      <w:pPr>
        <w:spacing w:before="120"/>
        <w:ind w:left="357"/>
        <w:jc w:val="right"/>
        <w:rPr>
          <w:rFonts w:ascii="Bookman Old Style" w:hAnsi="Bookman Old Style"/>
          <w:b/>
          <w:bCs/>
          <w:sz w:val="20"/>
          <w:szCs w:val="20"/>
        </w:rPr>
      </w:pPr>
      <w:r w:rsidRPr="00337C0E">
        <w:rPr>
          <w:rFonts w:ascii="Bookman Old Style" w:hAnsi="Bookman Old Style"/>
          <w:b/>
          <w:bCs/>
          <w:sz w:val="20"/>
          <w:szCs w:val="20"/>
        </w:rPr>
        <w:t>Таблица 3.</w:t>
      </w:r>
      <w:r>
        <w:rPr>
          <w:rFonts w:ascii="Bookman Old Style" w:hAnsi="Bookman Old Style"/>
          <w:b/>
          <w:bCs/>
          <w:sz w:val="20"/>
          <w:szCs w:val="20"/>
        </w:rPr>
        <w:t>2</w:t>
      </w:r>
      <w:r w:rsidRPr="00337C0E">
        <w:rPr>
          <w:rFonts w:ascii="Bookman Old Style" w:hAnsi="Bookman Old Style"/>
          <w:b/>
          <w:bCs/>
          <w:sz w:val="20"/>
          <w:szCs w:val="20"/>
        </w:rPr>
        <w:t>.</w:t>
      </w:r>
      <w:r>
        <w:rPr>
          <w:rFonts w:ascii="Bookman Old Style" w:hAnsi="Bookman Old Style"/>
          <w:b/>
          <w:bCs/>
          <w:sz w:val="20"/>
          <w:szCs w:val="20"/>
        </w:rPr>
        <w:t>2</w:t>
      </w:r>
      <w:r w:rsidRPr="00337C0E">
        <w:rPr>
          <w:rFonts w:ascii="Bookman Old Style" w:hAnsi="Bookman Old Style"/>
          <w:b/>
          <w:bCs/>
          <w:sz w:val="20"/>
          <w:szCs w:val="20"/>
        </w:rPr>
        <w:t>.</w:t>
      </w:r>
      <w:r>
        <w:rPr>
          <w:rFonts w:ascii="Bookman Old Style" w:hAnsi="Bookman Old Style"/>
          <w:b/>
          <w:bCs/>
          <w:sz w:val="20"/>
          <w:szCs w:val="20"/>
        </w:rPr>
        <w:t>2.</w:t>
      </w:r>
      <w:r w:rsidRPr="00337C0E">
        <w:rPr>
          <w:rFonts w:ascii="Bookman Old Style" w:hAnsi="Bookman Old Style"/>
          <w:b/>
          <w:bCs/>
          <w:sz w:val="20"/>
          <w:szCs w:val="20"/>
        </w:rPr>
        <w:t>1. Количественный состав элементов Объектов оценки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3150"/>
        <w:gridCol w:w="787"/>
        <w:gridCol w:w="2780"/>
        <w:gridCol w:w="1913"/>
        <w:gridCol w:w="1298"/>
      </w:tblGrid>
      <w:tr w:rsidR="00A276AF" w:rsidRPr="00A276AF" w:rsidTr="009B795D">
        <w:trPr>
          <w:cantSplit/>
          <w:trHeight w:val="227"/>
        </w:trPr>
        <w:tc>
          <w:tcPr>
            <w:tcW w:w="236" w:type="pct"/>
            <w:vMerge w:val="restart"/>
            <w:shd w:val="clear" w:color="000000" w:fill="F2F2F2"/>
            <w:vAlign w:val="center"/>
            <w:hideMark/>
          </w:tcPr>
          <w:p w:rsidR="00A276AF" w:rsidRPr="00A276AF" w:rsidRDefault="00A276AF" w:rsidP="00192166">
            <w:pPr>
              <w:jc w:val="center"/>
              <w:rPr>
                <w:rFonts w:asciiTheme="majorHAnsi" w:hAnsiTheme="majorHAnsi"/>
                <w:b/>
                <w:bCs/>
                <w:color w:val="000000"/>
                <w:sz w:val="16"/>
                <w:szCs w:val="16"/>
              </w:rPr>
            </w:pPr>
            <w:r w:rsidRPr="00A276AF">
              <w:rPr>
                <w:rFonts w:asciiTheme="majorHAnsi" w:hAnsiTheme="majorHAnsi"/>
                <w:b/>
                <w:bCs/>
                <w:color w:val="000000"/>
                <w:sz w:val="16"/>
                <w:szCs w:val="16"/>
              </w:rPr>
              <w:t xml:space="preserve">№ </w:t>
            </w:r>
            <w:proofErr w:type="spellStart"/>
            <w:r w:rsidRPr="00A276AF">
              <w:rPr>
                <w:rFonts w:asciiTheme="majorHAnsi" w:hAnsiTheme="majorHAnsi"/>
                <w:b/>
                <w:bCs/>
                <w:color w:val="000000"/>
                <w:sz w:val="16"/>
                <w:szCs w:val="16"/>
              </w:rPr>
              <w:t>п.п</w:t>
            </w:r>
            <w:proofErr w:type="spellEnd"/>
            <w:r w:rsidRPr="00A276AF">
              <w:rPr>
                <w:rFonts w:asciiTheme="majorHAnsi" w:hAnsiTheme="majorHAnsi"/>
                <w:b/>
                <w:bCs/>
                <w:color w:val="000000"/>
                <w:sz w:val="16"/>
                <w:szCs w:val="16"/>
              </w:rPr>
              <w:t>.</w:t>
            </w:r>
          </w:p>
        </w:tc>
        <w:tc>
          <w:tcPr>
            <w:tcW w:w="1511" w:type="pct"/>
            <w:vMerge w:val="restart"/>
            <w:shd w:val="clear" w:color="000000" w:fill="F2F2F2"/>
            <w:vAlign w:val="center"/>
            <w:hideMark/>
          </w:tcPr>
          <w:p w:rsidR="00A276AF" w:rsidRPr="00A276AF" w:rsidRDefault="00A276AF" w:rsidP="00192166">
            <w:pPr>
              <w:jc w:val="center"/>
              <w:rPr>
                <w:rFonts w:asciiTheme="majorHAnsi" w:hAnsiTheme="majorHAnsi"/>
                <w:b/>
                <w:bCs/>
                <w:color w:val="000000"/>
                <w:sz w:val="16"/>
                <w:szCs w:val="16"/>
              </w:rPr>
            </w:pPr>
            <w:r w:rsidRPr="00A276AF">
              <w:rPr>
                <w:rFonts w:asciiTheme="majorHAnsi" w:hAnsiTheme="majorHAnsi"/>
                <w:b/>
                <w:bCs/>
                <w:color w:val="000000"/>
                <w:sz w:val="16"/>
                <w:szCs w:val="16"/>
              </w:rPr>
              <w:t>Наименование элемента Объекта оценки</w:t>
            </w:r>
          </w:p>
        </w:tc>
        <w:tc>
          <w:tcPr>
            <w:tcW w:w="377" w:type="pct"/>
            <w:vMerge w:val="restart"/>
            <w:shd w:val="clear" w:color="000000" w:fill="F2F2F2"/>
            <w:vAlign w:val="center"/>
            <w:hideMark/>
          </w:tcPr>
          <w:p w:rsidR="00A276AF" w:rsidRPr="00A276AF" w:rsidRDefault="00A276AF" w:rsidP="00192166">
            <w:pPr>
              <w:jc w:val="center"/>
              <w:rPr>
                <w:rFonts w:asciiTheme="majorHAnsi" w:hAnsiTheme="majorHAnsi"/>
                <w:b/>
                <w:bCs/>
                <w:color w:val="000000"/>
                <w:sz w:val="16"/>
                <w:szCs w:val="16"/>
              </w:rPr>
            </w:pPr>
            <w:r w:rsidRPr="00A276AF">
              <w:rPr>
                <w:rFonts w:asciiTheme="majorHAnsi" w:hAnsiTheme="majorHAnsi"/>
                <w:b/>
                <w:bCs/>
                <w:color w:val="000000"/>
                <w:sz w:val="16"/>
                <w:szCs w:val="16"/>
              </w:rPr>
              <w:t>Кол-во, шт</w:t>
            </w:r>
          </w:p>
        </w:tc>
        <w:tc>
          <w:tcPr>
            <w:tcW w:w="1334" w:type="pct"/>
            <w:vMerge w:val="restart"/>
            <w:shd w:val="clear" w:color="000000" w:fill="F2F2F2"/>
            <w:vAlign w:val="center"/>
            <w:hideMark/>
          </w:tcPr>
          <w:p w:rsidR="00A276AF" w:rsidRPr="00A276AF" w:rsidRDefault="00A276AF" w:rsidP="00192166">
            <w:pPr>
              <w:jc w:val="center"/>
              <w:rPr>
                <w:rFonts w:asciiTheme="majorHAnsi" w:hAnsiTheme="majorHAnsi"/>
                <w:b/>
                <w:bCs/>
                <w:color w:val="000000"/>
                <w:sz w:val="16"/>
                <w:szCs w:val="16"/>
              </w:rPr>
            </w:pPr>
            <w:r w:rsidRPr="00A276AF">
              <w:rPr>
                <w:rFonts w:asciiTheme="majorHAnsi" w:hAnsiTheme="majorHAnsi"/>
                <w:b/>
                <w:bCs/>
                <w:color w:val="000000"/>
                <w:sz w:val="16"/>
                <w:szCs w:val="16"/>
              </w:rPr>
              <w:t>Количественные</w:t>
            </w:r>
            <w:r>
              <w:rPr>
                <w:rFonts w:asciiTheme="majorHAnsi" w:hAnsiTheme="majorHAnsi"/>
                <w:b/>
                <w:bCs/>
                <w:color w:val="000000"/>
                <w:sz w:val="16"/>
                <w:szCs w:val="16"/>
              </w:rPr>
              <w:t xml:space="preserve"> и качественные </w:t>
            </w:r>
            <w:r w:rsidRPr="00A276AF">
              <w:rPr>
                <w:rFonts w:asciiTheme="majorHAnsi" w:hAnsiTheme="majorHAnsi"/>
                <w:b/>
                <w:bCs/>
                <w:color w:val="000000"/>
                <w:sz w:val="16"/>
                <w:szCs w:val="16"/>
              </w:rPr>
              <w:t xml:space="preserve"> характеристики</w:t>
            </w:r>
          </w:p>
        </w:tc>
        <w:tc>
          <w:tcPr>
            <w:tcW w:w="1541" w:type="pct"/>
            <w:gridSpan w:val="2"/>
            <w:shd w:val="clear" w:color="000000" w:fill="F2F2F2"/>
            <w:vAlign w:val="center"/>
            <w:hideMark/>
          </w:tcPr>
          <w:p w:rsidR="00A276AF" w:rsidRPr="00A276AF" w:rsidRDefault="00A276AF" w:rsidP="00192166">
            <w:pPr>
              <w:jc w:val="center"/>
              <w:rPr>
                <w:rFonts w:asciiTheme="majorHAnsi" w:hAnsiTheme="majorHAnsi"/>
                <w:b/>
                <w:bCs/>
                <w:color w:val="000000"/>
                <w:sz w:val="16"/>
                <w:szCs w:val="16"/>
              </w:rPr>
            </w:pPr>
            <w:r w:rsidRPr="00A276AF">
              <w:rPr>
                <w:rFonts w:asciiTheme="majorHAnsi" w:hAnsiTheme="majorHAnsi"/>
                <w:b/>
                <w:bCs/>
                <w:color w:val="000000"/>
                <w:sz w:val="16"/>
                <w:szCs w:val="16"/>
              </w:rPr>
              <w:t>Качественная характеристика</w:t>
            </w:r>
          </w:p>
        </w:tc>
      </w:tr>
      <w:tr w:rsidR="00A276AF" w:rsidRPr="00A276AF" w:rsidTr="009B795D">
        <w:trPr>
          <w:cantSplit/>
          <w:trHeight w:val="227"/>
        </w:trPr>
        <w:tc>
          <w:tcPr>
            <w:tcW w:w="236" w:type="pct"/>
            <w:vMerge/>
            <w:vAlign w:val="center"/>
            <w:hideMark/>
          </w:tcPr>
          <w:p w:rsidR="00A276AF" w:rsidRPr="00A276AF" w:rsidRDefault="00A276AF" w:rsidP="00192166">
            <w:pPr>
              <w:rPr>
                <w:rFonts w:asciiTheme="majorHAnsi" w:hAnsiTheme="majorHAnsi"/>
                <w:b/>
                <w:bCs/>
                <w:color w:val="000000"/>
                <w:sz w:val="16"/>
                <w:szCs w:val="16"/>
              </w:rPr>
            </w:pPr>
          </w:p>
        </w:tc>
        <w:tc>
          <w:tcPr>
            <w:tcW w:w="1511" w:type="pct"/>
            <w:vMerge/>
            <w:vAlign w:val="center"/>
            <w:hideMark/>
          </w:tcPr>
          <w:p w:rsidR="00A276AF" w:rsidRPr="00A276AF" w:rsidRDefault="00A276AF" w:rsidP="00192166">
            <w:pPr>
              <w:rPr>
                <w:rFonts w:asciiTheme="majorHAnsi" w:hAnsiTheme="majorHAnsi"/>
                <w:b/>
                <w:bCs/>
                <w:color w:val="000000"/>
                <w:sz w:val="16"/>
                <w:szCs w:val="16"/>
              </w:rPr>
            </w:pPr>
          </w:p>
        </w:tc>
        <w:tc>
          <w:tcPr>
            <w:tcW w:w="377" w:type="pct"/>
            <w:vMerge/>
            <w:vAlign w:val="center"/>
            <w:hideMark/>
          </w:tcPr>
          <w:p w:rsidR="00A276AF" w:rsidRPr="00A276AF" w:rsidRDefault="00A276AF" w:rsidP="00192166">
            <w:pPr>
              <w:rPr>
                <w:rFonts w:asciiTheme="majorHAnsi" w:hAnsiTheme="majorHAnsi"/>
                <w:b/>
                <w:bCs/>
                <w:color w:val="000000"/>
                <w:sz w:val="16"/>
                <w:szCs w:val="16"/>
              </w:rPr>
            </w:pPr>
          </w:p>
        </w:tc>
        <w:tc>
          <w:tcPr>
            <w:tcW w:w="1334" w:type="pct"/>
            <w:vMerge/>
            <w:vAlign w:val="center"/>
            <w:hideMark/>
          </w:tcPr>
          <w:p w:rsidR="00A276AF" w:rsidRPr="00A276AF" w:rsidRDefault="00A276AF" w:rsidP="00192166">
            <w:pPr>
              <w:rPr>
                <w:rFonts w:asciiTheme="majorHAnsi" w:hAnsiTheme="majorHAnsi"/>
                <w:b/>
                <w:bCs/>
                <w:color w:val="000000"/>
                <w:sz w:val="16"/>
                <w:szCs w:val="16"/>
              </w:rPr>
            </w:pPr>
          </w:p>
        </w:tc>
        <w:tc>
          <w:tcPr>
            <w:tcW w:w="918" w:type="pct"/>
            <w:shd w:val="clear" w:color="000000" w:fill="F2F2F2"/>
            <w:noWrap/>
            <w:vAlign w:val="center"/>
            <w:hideMark/>
          </w:tcPr>
          <w:p w:rsidR="00A276AF" w:rsidRPr="00A276AF" w:rsidRDefault="00A276AF" w:rsidP="00192166">
            <w:pPr>
              <w:jc w:val="center"/>
              <w:rPr>
                <w:rFonts w:asciiTheme="majorHAnsi" w:hAnsiTheme="majorHAnsi"/>
                <w:b/>
                <w:bCs/>
                <w:color w:val="000000"/>
                <w:sz w:val="16"/>
                <w:szCs w:val="16"/>
              </w:rPr>
            </w:pPr>
            <w:r w:rsidRPr="00A276AF">
              <w:rPr>
                <w:rFonts w:asciiTheme="majorHAnsi" w:hAnsiTheme="majorHAnsi"/>
                <w:b/>
                <w:bCs/>
                <w:color w:val="000000"/>
                <w:sz w:val="16"/>
                <w:szCs w:val="16"/>
              </w:rPr>
              <w:t>Оценка состояния</w:t>
            </w:r>
          </w:p>
        </w:tc>
        <w:tc>
          <w:tcPr>
            <w:tcW w:w="623" w:type="pct"/>
            <w:shd w:val="clear" w:color="000000" w:fill="F2F2F2"/>
            <w:vAlign w:val="center"/>
            <w:hideMark/>
          </w:tcPr>
          <w:p w:rsidR="00A276AF" w:rsidRPr="00A276AF" w:rsidRDefault="00A276AF" w:rsidP="00192166">
            <w:pPr>
              <w:jc w:val="center"/>
              <w:rPr>
                <w:rFonts w:asciiTheme="majorHAnsi" w:hAnsiTheme="majorHAnsi"/>
                <w:b/>
                <w:bCs/>
                <w:color w:val="000000"/>
                <w:sz w:val="16"/>
                <w:szCs w:val="16"/>
              </w:rPr>
            </w:pPr>
            <w:r w:rsidRPr="00A276AF">
              <w:rPr>
                <w:rFonts w:asciiTheme="majorHAnsi" w:hAnsiTheme="majorHAnsi"/>
                <w:b/>
                <w:bCs/>
                <w:color w:val="000000"/>
                <w:sz w:val="16"/>
                <w:szCs w:val="16"/>
              </w:rPr>
              <w:t>Физический износ, %</w:t>
            </w:r>
          </w:p>
        </w:tc>
      </w:tr>
      <w:tr w:rsidR="00F87C61" w:rsidRPr="00A276AF" w:rsidTr="009B795D">
        <w:trPr>
          <w:cantSplit/>
          <w:trHeight w:val="227"/>
        </w:trPr>
        <w:tc>
          <w:tcPr>
            <w:tcW w:w="236" w:type="pct"/>
            <w:shd w:val="clear" w:color="auto" w:fill="auto"/>
            <w:noWrap/>
            <w:vAlign w:val="center"/>
            <w:hideMark/>
          </w:tcPr>
          <w:p w:rsidR="00F87C61" w:rsidRPr="00A276AF" w:rsidRDefault="00F87C61" w:rsidP="00192166">
            <w:pPr>
              <w:jc w:val="center"/>
              <w:rPr>
                <w:rFonts w:asciiTheme="majorHAnsi" w:hAnsiTheme="majorHAnsi"/>
                <w:color w:val="000000"/>
                <w:sz w:val="16"/>
                <w:szCs w:val="16"/>
              </w:rPr>
            </w:pPr>
            <w:r w:rsidRPr="00A276AF">
              <w:rPr>
                <w:rFonts w:asciiTheme="majorHAnsi" w:hAnsiTheme="majorHAnsi"/>
                <w:color w:val="000000"/>
                <w:sz w:val="16"/>
                <w:szCs w:val="16"/>
              </w:rPr>
              <w:t>1</w:t>
            </w:r>
          </w:p>
        </w:tc>
        <w:tc>
          <w:tcPr>
            <w:tcW w:w="1511" w:type="pct"/>
            <w:shd w:val="clear" w:color="auto" w:fill="auto"/>
            <w:vAlign w:val="center"/>
            <w:hideMark/>
          </w:tcPr>
          <w:p w:rsidR="00F87C61" w:rsidRPr="009B795D" w:rsidRDefault="005F178F" w:rsidP="00F87C61">
            <w:pPr>
              <w:rPr>
                <w:rFonts w:ascii="Cambria" w:hAnsi="Cambria"/>
                <w:color w:val="000000"/>
                <w:sz w:val="18"/>
                <w:szCs w:val="18"/>
                <w:lang w:val="en-US"/>
              </w:rPr>
            </w:pPr>
            <w:r w:rsidRPr="009B795D">
              <w:rPr>
                <w:rFonts w:ascii="Cambria" w:hAnsi="Cambria"/>
                <w:color w:val="000000"/>
                <w:sz w:val="18"/>
                <w:szCs w:val="18"/>
              </w:rPr>
              <w:t>Стойка</w:t>
            </w:r>
            <w:r w:rsidRPr="009B795D">
              <w:rPr>
                <w:rFonts w:ascii="Cambria" w:hAnsi="Cambria"/>
                <w:color w:val="000000"/>
                <w:sz w:val="18"/>
                <w:szCs w:val="18"/>
                <w:lang w:val="en-US"/>
              </w:rPr>
              <w:t xml:space="preserve"> 150 </w:t>
            </w:r>
            <w:r w:rsidRPr="009B795D">
              <w:rPr>
                <w:rFonts w:ascii="Cambria" w:hAnsi="Cambria"/>
                <w:color w:val="000000"/>
                <w:sz w:val="18"/>
                <w:szCs w:val="18"/>
              </w:rPr>
              <w:t>мм</w:t>
            </w:r>
            <w:r w:rsidRPr="009B795D">
              <w:rPr>
                <w:rFonts w:ascii="Cambria" w:hAnsi="Cambria"/>
                <w:color w:val="000000"/>
                <w:sz w:val="18"/>
                <w:szCs w:val="18"/>
                <w:lang w:val="en-US"/>
              </w:rPr>
              <w:t>*4</w:t>
            </w:r>
            <w:r w:rsidRPr="009B795D">
              <w:rPr>
                <w:rFonts w:ascii="Cambria" w:hAnsi="Cambria"/>
                <w:color w:val="000000"/>
                <w:sz w:val="18"/>
                <w:szCs w:val="18"/>
              </w:rPr>
              <w:t>м</w:t>
            </w:r>
            <w:r w:rsidRPr="009B795D">
              <w:rPr>
                <w:rFonts w:ascii="Cambria" w:hAnsi="Cambria"/>
                <w:color w:val="000000"/>
                <w:sz w:val="18"/>
                <w:szCs w:val="18"/>
                <w:lang w:val="en-US"/>
              </w:rPr>
              <w:t xml:space="preserve">, </w:t>
            </w:r>
            <w:proofErr w:type="spellStart"/>
            <w:r w:rsidRPr="009B795D">
              <w:rPr>
                <w:rFonts w:ascii="Cambria" w:hAnsi="Cambria"/>
                <w:color w:val="000000"/>
                <w:sz w:val="18"/>
                <w:szCs w:val="18"/>
                <w:lang w:val="en-US"/>
              </w:rPr>
              <w:t>Naturall</w:t>
            </w:r>
            <w:proofErr w:type="spellEnd"/>
            <w:r w:rsidRPr="009B795D">
              <w:rPr>
                <w:rFonts w:ascii="Cambria" w:hAnsi="Cambria"/>
                <w:color w:val="000000"/>
                <w:sz w:val="18"/>
                <w:szCs w:val="18"/>
                <w:lang w:val="en-US"/>
              </w:rPr>
              <w:t xml:space="preserve"> </w:t>
            </w:r>
            <w:proofErr w:type="spellStart"/>
            <w:r w:rsidRPr="009B795D">
              <w:rPr>
                <w:rFonts w:ascii="Cambria" w:hAnsi="Cambria"/>
                <w:color w:val="000000"/>
                <w:sz w:val="18"/>
                <w:szCs w:val="18"/>
                <w:lang w:val="en-US"/>
              </w:rPr>
              <w:t>Noce</w:t>
            </w:r>
            <w:proofErr w:type="spellEnd"/>
            <w:r w:rsidRPr="009B795D">
              <w:rPr>
                <w:rFonts w:ascii="Cambria" w:hAnsi="Cambria"/>
                <w:color w:val="000000"/>
                <w:sz w:val="18"/>
                <w:szCs w:val="18"/>
                <w:lang w:val="en-US"/>
              </w:rPr>
              <w:t xml:space="preserve"> </w:t>
            </w:r>
            <w:proofErr w:type="spellStart"/>
            <w:r w:rsidRPr="009B795D">
              <w:rPr>
                <w:rFonts w:ascii="Cambria" w:hAnsi="Cambria"/>
                <w:color w:val="000000"/>
                <w:sz w:val="18"/>
                <w:szCs w:val="18"/>
                <w:lang w:val="en-US"/>
              </w:rPr>
              <w:t>Scuro</w:t>
            </w:r>
            <w:proofErr w:type="spellEnd"/>
          </w:p>
        </w:tc>
        <w:tc>
          <w:tcPr>
            <w:tcW w:w="377" w:type="pct"/>
            <w:shd w:val="clear" w:color="auto" w:fill="auto"/>
            <w:noWrap/>
            <w:vAlign w:val="center"/>
            <w:hideMark/>
          </w:tcPr>
          <w:p w:rsidR="00F87C61" w:rsidRPr="009B795D" w:rsidRDefault="009B795D" w:rsidP="00F87C61">
            <w:pPr>
              <w:jc w:val="center"/>
              <w:rPr>
                <w:rFonts w:asciiTheme="majorHAnsi" w:hAnsiTheme="majorHAnsi"/>
                <w:color w:val="000000"/>
                <w:sz w:val="16"/>
                <w:szCs w:val="16"/>
              </w:rPr>
            </w:pPr>
            <w:r>
              <w:rPr>
                <w:rFonts w:asciiTheme="majorHAnsi" w:hAnsiTheme="majorHAnsi"/>
                <w:color w:val="000000"/>
                <w:sz w:val="16"/>
                <w:szCs w:val="16"/>
              </w:rPr>
              <w:t>200</w:t>
            </w:r>
          </w:p>
        </w:tc>
        <w:tc>
          <w:tcPr>
            <w:tcW w:w="1334" w:type="pct"/>
            <w:shd w:val="clear" w:color="auto" w:fill="auto"/>
            <w:vAlign w:val="center"/>
            <w:hideMark/>
          </w:tcPr>
          <w:p w:rsidR="00F87C61" w:rsidRPr="009B795D" w:rsidRDefault="009B795D" w:rsidP="005F178F">
            <w:pPr>
              <w:rPr>
                <w:rFonts w:asciiTheme="majorHAnsi" w:hAnsiTheme="majorHAnsi"/>
                <w:i/>
                <w:color w:val="000000"/>
                <w:sz w:val="16"/>
                <w:szCs w:val="16"/>
              </w:rPr>
            </w:pPr>
            <w:r w:rsidRPr="009B795D">
              <w:rPr>
                <w:rFonts w:asciiTheme="majorHAnsi" w:hAnsiTheme="majorHAnsi"/>
                <w:i/>
                <w:color w:val="000000"/>
                <w:sz w:val="16"/>
                <w:szCs w:val="16"/>
              </w:rPr>
              <w:t>Металлическая стойка витража</w:t>
            </w:r>
          </w:p>
        </w:tc>
        <w:tc>
          <w:tcPr>
            <w:tcW w:w="918" w:type="pct"/>
            <w:shd w:val="clear" w:color="auto" w:fill="auto"/>
            <w:noWrap/>
            <w:vAlign w:val="center"/>
            <w:hideMark/>
          </w:tcPr>
          <w:p w:rsidR="00F87C61" w:rsidRPr="009B795D" w:rsidRDefault="00F87C61" w:rsidP="00F87C61">
            <w:pPr>
              <w:jc w:val="center"/>
              <w:rPr>
                <w:rFonts w:asciiTheme="majorHAnsi" w:hAnsiTheme="majorHAnsi"/>
                <w:i/>
                <w:color w:val="000000"/>
                <w:sz w:val="16"/>
                <w:szCs w:val="16"/>
              </w:rPr>
            </w:pPr>
            <w:r w:rsidRPr="009B795D">
              <w:rPr>
                <w:rFonts w:asciiTheme="majorHAnsi" w:hAnsiTheme="majorHAnsi"/>
                <w:i/>
                <w:color w:val="000000"/>
                <w:sz w:val="16"/>
                <w:szCs w:val="16"/>
              </w:rPr>
              <w:t xml:space="preserve"> </w:t>
            </w:r>
            <w:r w:rsidR="009B795D" w:rsidRPr="009B795D">
              <w:rPr>
                <w:rFonts w:asciiTheme="majorHAnsi" w:hAnsiTheme="majorHAnsi"/>
                <w:bCs/>
                <w:i/>
                <w:color w:val="000000"/>
                <w:sz w:val="16"/>
                <w:szCs w:val="16"/>
              </w:rPr>
              <w:t>Удовлетворительное</w:t>
            </w:r>
          </w:p>
        </w:tc>
        <w:tc>
          <w:tcPr>
            <w:tcW w:w="623" w:type="pct"/>
            <w:shd w:val="clear" w:color="auto" w:fill="auto"/>
            <w:noWrap/>
            <w:vAlign w:val="center"/>
            <w:hideMark/>
          </w:tcPr>
          <w:p w:rsidR="00F87C61" w:rsidRPr="009B795D" w:rsidRDefault="009B795D" w:rsidP="00192166">
            <w:pPr>
              <w:jc w:val="center"/>
              <w:rPr>
                <w:rFonts w:asciiTheme="majorHAnsi" w:hAnsiTheme="majorHAnsi"/>
                <w:i/>
                <w:color w:val="000000"/>
                <w:sz w:val="16"/>
                <w:szCs w:val="16"/>
              </w:rPr>
            </w:pPr>
            <w:r w:rsidRPr="009B795D">
              <w:rPr>
                <w:rFonts w:asciiTheme="majorHAnsi" w:hAnsiTheme="majorHAnsi"/>
                <w:i/>
                <w:color w:val="000000"/>
                <w:sz w:val="16"/>
                <w:szCs w:val="16"/>
              </w:rPr>
              <w:t>50</w:t>
            </w:r>
            <w:r w:rsidR="00F87C61" w:rsidRPr="009B795D">
              <w:rPr>
                <w:rFonts w:asciiTheme="majorHAnsi" w:hAnsiTheme="majorHAnsi"/>
                <w:i/>
                <w:color w:val="000000"/>
                <w:sz w:val="16"/>
                <w:szCs w:val="16"/>
              </w:rPr>
              <w:t>%</w:t>
            </w:r>
          </w:p>
        </w:tc>
      </w:tr>
    </w:tbl>
    <w:p w:rsidR="00992996" w:rsidRPr="00300E68" w:rsidRDefault="001E2769" w:rsidP="005F178F">
      <w:pPr>
        <w:pStyle w:val="1"/>
        <w:spacing w:before="120" w:after="120"/>
        <w:jc w:val="center"/>
        <w:rPr>
          <w:rFonts w:ascii="Bookman Old Style" w:hAnsi="Bookman Old Style"/>
        </w:rPr>
      </w:pPr>
      <w:bookmarkStart w:id="179" w:name="_Toc461375568"/>
      <w:r w:rsidRPr="00300E68">
        <w:rPr>
          <w:rFonts w:ascii="Bookman Old Style" w:hAnsi="Bookman Old Style"/>
        </w:rPr>
        <w:t xml:space="preserve">4. </w:t>
      </w:r>
      <w:r w:rsidR="00992996" w:rsidRPr="00300E68">
        <w:rPr>
          <w:rFonts w:ascii="Bookman Old Style" w:hAnsi="Bookman Old Style"/>
        </w:rPr>
        <w:t>АН</w:t>
      </w:r>
      <w:r w:rsidR="00992996" w:rsidRPr="006670B5">
        <w:rPr>
          <w:rStyle w:val="10"/>
          <w:rFonts w:ascii="Bookman Old Style" w:hAnsi="Bookman Old Style"/>
          <w:b/>
        </w:rPr>
        <w:t>А</w:t>
      </w:r>
      <w:r w:rsidR="00992996" w:rsidRPr="00300E68">
        <w:rPr>
          <w:rFonts w:ascii="Bookman Old Style" w:hAnsi="Bookman Old Style"/>
        </w:rPr>
        <w:t>ЛИЗ РЫНКА ОБЪЕКТА ОЦЕНКИ</w:t>
      </w:r>
      <w:bookmarkEnd w:id="179"/>
    </w:p>
    <w:p w:rsidR="00992996" w:rsidRDefault="00992996" w:rsidP="00511C52">
      <w:pPr>
        <w:spacing w:before="120" w:after="120"/>
        <w:ind w:firstLine="709"/>
        <w:jc w:val="both"/>
        <w:rPr>
          <w:rFonts w:ascii="Bookman Old Style" w:hAnsi="Bookman Old Style"/>
          <w:sz w:val="20"/>
          <w:szCs w:val="20"/>
        </w:rPr>
      </w:pPr>
      <w:r w:rsidRPr="00992996">
        <w:rPr>
          <w:rFonts w:ascii="Bookman Old Style" w:hAnsi="Bookman Old Style"/>
          <w:sz w:val="20"/>
          <w:szCs w:val="20"/>
        </w:rPr>
        <w:t>Согласно Федеральному стандарту оценки № 3</w:t>
      </w:r>
      <w:r w:rsidRPr="00992996">
        <w:rPr>
          <w:rFonts w:ascii="Bookman Old Style" w:hAnsi="Bookman Old Style"/>
          <w:sz w:val="20"/>
          <w:szCs w:val="20"/>
          <w:vertAlign w:val="superscript"/>
        </w:rPr>
        <w:footnoteReference w:id="18"/>
      </w:r>
      <w:r w:rsidRPr="00992996">
        <w:rPr>
          <w:rFonts w:ascii="Bookman Old Style" w:hAnsi="Bookman Old Style"/>
          <w:sz w:val="20"/>
          <w:szCs w:val="20"/>
        </w:rPr>
        <w:t xml:space="preserve"> пункт 4, при составлении отчета об оценке оценщик придерживается принципа существенности: в отчете должна быть изложена информация существенная с точки зрения стоимости Объекта оценки. В свою очередь, Отчет об оценке не должен содержать информацию, не использующуюся при проведении оценки.</w:t>
      </w:r>
    </w:p>
    <w:p w:rsidR="00056668" w:rsidRPr="00056668" w:rsidRDefault="00056668" w:rsidP="00056668">
      <w:pPr>
        <w:spacing w:before="120" w:after="120"/>
        <w:ind w:firstLine="709"/>
        <w:jc w:val="both"/>
        <w:rPr>
          <w:rFonts w:ascii="Bookman Old Style" w:hAnsi="Bookman Old Style"/>
          <w:sz w:val="20"/>
          <w:szCs w:val="20"/>
        </w:rPr>
      </w:pPr>
      <w:r>
        <w:rPr>
          <w:rFonts w:ascii="Bookman Old Style" w:hAnsi="Bookman Old Style"/>
          <w:sz w:val="20"/>
          <w:szCs w:val="20"/>
        </w:rPr>
        <w:t xml:space="preserve">ФСО № 7 определена последовательность анализа рынка недвижимости, согласно пункту </w:t>
      </w:r>
      <w:r>
        <w:rPr>
          <w:rFonts w:ascii="Bookman Old Style" w:hAnsi="Bookman Old Style"/>
          <w:sz w:val="20"/>
          <w:szCs w:val="20"/>
          <w:lang w:val="en-US"/>
        </w:rPr>
        <w:t>V</w:t>
      </w:r>
      <w:r>
        <w:rPr>
          <w:rFonts w:ascii="Bookman Old Style" w:hAnsi="Bookman Old Style"/>
          <w:sz w:val="20"/>
          <w:szCs w:val="20"/>
        </w:rPr>
        <w:t xml:space="preserve"> д: Объем исследований определяется оценщиком исходя из принципа достаточности. </w:t>
      </w:r>
    </w:p>
    <w:p w:rsidR="00992996" w:rsidRDefault="00992996" w:rsidP="00511C52">
      <w:pPr>
        <w:spacing w:before="120" w:after="120"/>
        <w:ind w:firstLine="709"/>
        <w:jc w:val="both"/>
        <w:rPr>
          <w:rFonts w:ascii="Bookman Old Style" w:hAnsi="Bookman Old Style"/>
          <w:sz w:val="20"/>
          <w:szCs w:val="20"/>
        </w:rPr>
      </w:pPr>
      <w:r w:rsidRPr="00992996">
        <w:rPr>
          <w:rFonts w:ascii="Bookman Old Style" w:hAnsi="Bookman Old Style"/>
          <w:sz w:val="20"/>
          <w:szCs w:val="20"/>
        </w:rPr>
        <w:t>В соответствии с этим, при составлении материалов анализа рынка использована информация существенная</w:t>
      </w:r>
      <w:r w:rsidR="00056668">
        <w:rPr>
          <w:rFonts w:ascii="Bookman Old Style" w:hAnsi="Bookman Old Style"/>
          <w:sz w:val="20"/>
          <w:szCs w:val="20"/>
        </w:rPr>
        <w:t xml:space="preserve"> и достаточная</w:t>
      </w:r>
      <w:r w:rsidRPr="00992996">
        <w:rPr>
          <w:rFonts w:ascii="Bookman Old Style" w:hAnsi="Bookman Old Style"/>
          <w:sz w:val="20"/>
          <w:szCs w:val="20"/>
        </w:rPr>
        <w:t xml:space="preserve"> </w:t>
      </w:r>
      <w:r w:rsidR="00056668">
        <w:rPr>
          <w:rFonts w:ascii="Bookman Old Style" w:hAnsi="Bookman Old Style"/>
          <w:sz w:val="20"/>
          <w:szCs w:val="20"/>
        </w:rPr>
        <w:t>для правильного понимания пользователем Отчета об оценке  ситуации на рынке недвижимости рассматриваемого региона.</w:t>
      </w:r>
    </w:p>
    <w:p w:rsidR="00992996" w:rsidRPr="00300E68" w:rsidRDefault="00992996" w:rsidP="00300E68">
      <w:pPr>
        <w:pStyle w:val="2"/>
        <w:rPr>
          <w:rFonts w:ascii="Bookman Old Style" w:hAnsi="Bookman Old Style"/>
          <w:b/>
          <w:sz w:val="20"/>
          <w:szCs w:val="20"/>
        </w:rPr>
      </w:pPr>
      <w:bookmarkStart w:id="180" w:name="_Toc461375569"/>
      <w:r w:rsidRPr="00300E68">
        <w:rPr>
          <w:rFonts w:ascii="Bookman Old Style" w:hAnsi="Bookman Old Style"/>
          <w:b/>
          <w:sz w:val="20"/>
          <w:szCs w:val="20"/>
        </w:rPr>
        <w:t>4.1. ИСТОЧНИКИ ИНФОРМАЦИИ, ИСПОЛЬЗУЕМЫЕ ПРИ АНАЛИЗЕ</w:t>
      </w:r>
      <w:bookmarkEnd w:id="180"/>
    </w:p>
    <w:p w:rsidR="00245588" w:rsidRPr="0080375D" w:rsidRDefault="00992996" w:rsidP="00511C52">
      <w:pPr>
        <w:spacing w:before="120" w:after="120"/>
        <w:ind w:firstLine="709"/>
        <w:jc w:val="both"/>
        <w:rPr>
          <w:rFonts w:ascii="Bookman Old Style" w:hAnsi="Bookman Old Style"/>
          <w:sz w:val="20"/>
          <w:szCs w:val="20"/>
        </w:rPr>
      </w:pPr>
      <w:r w:rsidRPr="0080375D">
        <w:rPr>
          <w:rFonts w:ascii="Bookman Old Style" w:hAnsi="Bookman Old Style"/>
          <w:sz w:val="20"/>
          <w:szCs w:val="20"/>
        </w:rPr>
        <w:t xml:space="preserve">При составлении анализа рынка Объекта оценки, использованы следующие источники информации: </w:t>
      </w:r>
    </w:p>
    <w:p w:rsidR="00EA72B3" w:rsidRPr="0080375D" w:rsidRDefault="009A3373" w:rsidP="006C02C0">
      <w:pPr>
        <w:spacing w:before="120" w:after="120"/>
        <w:ind w:firstLine="709"/>
        <w:contextualSpacing/>
        <w:jc w:val="both"/>
        <w:rPr>
          <w:rFonts w:ascii="Bookman Old Style" w:hAnsi="Bookman Old Style"/>
          <w:sz w:val="20"/>
          <w:szCs w:val="20"/>
        </w:rPr>
      </w:pPr>
      <w:hyperlink r:id="rId14" w:history="1">
        <w:r w:rsidR="008F3F3F" w:rsidRPr="0080375D">
          <w:rPr>
            <w:rStyle w:val="aa"/>
            <w:rFonts w:ascii="Bookman Old Style" w:hAnsi="Bookman Old Style"/>
            <w:color w:val="auto"/>
            <w:sz w:val="20"/>
            <w:szCs w:val="20"/>
            <w:u w:val="none"/>
          </w:rPr>
          <w:t>http://politrussia.com</w:t>
        </w:r>
      </w:hyperlink>
      <w:r w:rsidR="008F3F3F" w:rsidRPr="0080375D">
        <w:rPr>
          <w:rFonts w:ascii="Bookman Old Style" w:hAnsi="Bookman Old Style"/>
          <w:sz w:val="20"/>
          <w:szCs w:val="20"/>
        </w:rPr>
        <w:t xml:space="preserve"> </w:t>
      </w:r>
    </w:p>
    <w:p w:rsidR="00245588" w:rsidRPr="0080375D" w:rsidRDefault="009A3373" w:rsidP="006C02C0">
      <w:pPr>
        <w:spacing w:before="120" w:after="120"/>
        <w:ind w:firstLine="709"/>
        <w:contextualSpacing/>
        <w:jc w:val="both"/>
        <w:rPr>
          <w:rFonts w:ascii="Bookman Old Style" w:hAnsi="Bookman Old Style"/>
          <w:sz w:val="20"/>
          <w:szCs w:val="20"/>
        </w:rPr>
      </w:pPr>
      <w:hyperlink r:id="rId15" w:history="1">
        <w:r w:rsidR="008F3F3F" w:rsidRPr="0080375D">
          <w:rPr>
            <w:rStyle w:val="aa"/>
            <w:rFonts w:ascii="Bookman Old Style" w:hAnsi="Bookman Old Style"/>
            <w:color w:val="auto"/>
            <w:sz w:val="20"/>
            <w:szCs w:val="20"/>
            <w:u w:val="none"/>
          </w:rPr>
          <w:t>http://economy.gov.ru</w:t>
        </w:r>
      </w:hyperlink>
      <w:r w:rsidR="008F3F3F" w:rsidRPr="0080375D">
        <w:rPr>
          <w:rFonts w:ascii="Bookman Old Style" w:hAnsi="Bookman Old Style"/>
          <w:sz w:val="20"/>
          <w:szCs w:val="20"/>
        </w:rPr>
        <w:t xml:space="preserve"> </w:t>
      </w:r>
    </w:p>
    <w:p w:rsidR="008F3F3F" w:rsidRPr="0080375D" w:rsidRDefault="009A3373" w:rsidP="006C02C0">
      <w:pPr>
        <w:spacing w:before="120" w:after="120"/>
        <w:ind w:firstLine="709"/>
        <w:contextualSpacing/>
        <w:jc w:val="both"/>
        <w:rPr>
          <w:rFonts w:ascii="Bookman Old Style" w:hAnsi="Bookman Old Style"/>
          <w:sz w:val="20"/>
          <w:szCs w:val="20"/>
        </w:rPr>
      </w:pPr>
      <w:hyperlink r:id="rId16" w:history="1">
        <w:r w:rsidR="008F3F3F" w:rsidRPr="0080375D">
          <w:rPr>
            <w:rStyle w:val="aa"/>
            <w:rFonts w:ascii="Bookman Old Style" w:hAnsi="Bookman Old Style"/>
            <w:color w:val="auto"/>
            <w:sz w:val="20"/>
            <w:szCs w:val="20"/>
            <w:u w:val="none"/>
          </w:rPr>
          <w:t>http://www.econ.krskstate.ru</w:t>
        </w:r>
      </w:hyperlink>
      <w:r w:rsidR="008F3F3F" w:rsidRPr="0080375D">
        <w:rPr>
          <w:rFonts w:ascii="Bookman Old Style" w:hAnsi="Bookman Old Style"/>
          <w:sz w:val="20"/>
          <w:szCs w:val="20"/>
        </w:rPr>
        <w:t xml:space="preserve">  </w:t>
      </w:r>
    </w:p>
    <w:p w:rsidR="00245588" w:rsidRPr="0080375D" w:rsidRDefault="009A3373" w:rsidP="006C02C0">
      <w:pPr>
        <w:spacing w:before="120" w:after="120"/>
        <w:ind w:firstLine="709"/>
        <w:contextualSpacing/>
        <w:jc w:val="both"/>
        <w:rPr>
          <w:rFonts w:ascii="Bookman Old Style" w:hAnsi="Bookman Old Style"/>
          <w:sz w:val="20"/>
          <w:szCs w:val="20"/>
        </w:rPr>
      </w:pPr>
      <w:hyperlink r:id="rId17" w:history="1">
        <w:r w:rsidR="00C02CBD" w:rsidRPr="0080375D">
          <w:rPr>
            <w:rStyle w:val="aa"/>
            <w:rFonts w:ascii="Bookman Old Style" w:hAnsi="Bookman Old Style"/>
            <w:color w:val="auto"/>
            <w:sz w:val="20"/>
            <w:szCs w:val="20"/>
            <w:u w:val="none"/>
          </w:rPr>
          <w:t>http://www.ksonline.ru</w:t>
        </w:r>
      </w:hyperlink>
      <w:r w:rsidR="00C02CBD" w:rsidRPr="0080375D">
        <w:rPr>
          <w:rFonts w:ascii="Bookman Old Style" w:hAnsi="Bookman Old Style"/>
          <w:sz w:val="20"/>
          <w:szCs w:val="20"/>
        </w:rPr>
        <w:t xml:space="preserve"> </w:t>
      </w:r>
      <w:r w:rsidR="00992996" w:rsidRPr="0080375D">
        <w:rPr>
          <w:rFonts w:ascii="Bookman Old Style" w:hAnsi="Bookman Old Style"/>
          <w:sz w:val="20"/>
          <w:szCs w:val="20"/>
        </w:rPr>
        <w:t xml:space="preserve"> </w:t>
      </w:r>
    </w:p>
    <w:p w:rsidR="00245588" w:rsidRPr="0080375D" w:rsidRDefault="009A3373" w:rsidP="006C02C0">
      <w:pPr>
        <w:spacing w:before="120" w:after="120"/>
        <w:ind w:firstLine="709"/>
        <w:contextualSpacing/>
        <w:jc w:val="both"/>
        <w:rPr>
          <w:rFonts w:ascii="Bookman Old Style" w:hAnsi="Bookman Old Style"/>
          <w:sz w:val="20"/>
          <w:szCs w:val="20"/>
        </w:rPr>
      </w:pPr>
      <w:hyperlink r:id="rId18" w:history="1">
        <w:r w:rsidR="00992996" w:rsidRPr="0080375D">
          <w:rPr>
            <w:rFonts w:ascii="Bookman Old Style" w:hAnsi="Bookman Old Style"/>
            <w:sz w:val="20"/>
            <w:szCs w:val="20"/>
          </w:rPr>
          <w:t>http://www.krskstate.ru</w:t>
        </w:r>
      </w:hyperlink>
      <w:r w:rsidR="00992996" w:rsidRPr="0080375D">
        <w:rPr>
          <w:rFonts w:ascii="Bookman Old Style" w:hAnsi="Bookman Old Style"/>
          <w:sz w:val="20"/>
          <w:szCs w:val="20"/>
        </w:rPr>
        <w:t xml:space="preserve">, </w:t>
      </w:r>
    </w:p>
    <w:p w:rsidR="00245588" w:rsidRPr="0080375D" w:rsidRDefault="009A3373" w:rsidP="006C02C0">
      <w:pPr>
        <w:spacing w:before="120" w:after="120"/>
        <w:ind w:firstLine="709"/>
        <w:contextualSpacing/>
        <w:jc w:val="both"/>
        <w:rPr>
          <w:rFonts w:ascii="Bookman Old Style" w:hAnsi="Bookman Old Style"/>
          <w:sz w:val="20"/>
          <w:szCs w:val="20"/>
        </w:rPr>
      </w:pPr>
      <w:hyperlink r:id="rId19" w:history="1">
        <w:r w:rsidR="00992996" w:rsidRPr="0080375D">
          <w:rPr>
            <w:rFonts w:ascii="Bookman Old Style" w:hAnsi="Bookman Old Style"/>
            <w:sz w:val="20"/>
            <w:szCs w:val="20"/>
          </w:rPr>
          <w:t>http://www.izvestia.ru</w:t>
        </w:r>
      </w:hyperlink>
      <w:r w:rsidR="00992996" w:rsidRPr="0080375D">
        <w:rPr>
          <w:rFonts w:ascii="Bookman Old Style" w:hAnsi="Bookman Old Style"/>
          <w:sz w:val="20"/>
          <w:szCs w:val="20"/>
        </w:rPr>
        <w:t xml:space="preserve">, </w:t>
      </w:r>
    </w:p>
    <w:p w:rsidR="00992996" w:rsidRPr="0080375D" w:rsidRDefault="009A3373" w:rsidP="006C02C0">
      <w:pPr>
        <w:spacing w:before="120" w:after="120"/>
        <w:ind w:firstLine="709"/>
        <w:contextualSpacing/>
        <w:jc w:val="both"/>
        <w:rPr>
          <w:rFonts w:ascii="Bookman Old Style" w:hAnsi="Bookman Old Style"/>
          <w:sz w:val="20"/>
          <w:szCs w:val="20"/>
        </w:rPr>
      </w:pPr>
      <w:hyperlink r:id="rId20" w:history="1">
        <w:r w:rsidR="00992996" w:rsidRPr="0080375D">
          <w:rPr>
            <w:rFonts w:ascii="Bookman Old Style" w:hAnsi="Bookman Old Style"/>
            <w:sz w:val="20"/>
            <w:szCs w:val="20"/>
          </w:rPr>
          <w:t>http://smb.gov.ru</w:t>
        </w:r>
      </w:hyperlink>
      <w:r w:rsidR="00992996" w:rsidRPr="0080375D">
        <w:rPr>
          <w:rFonts w:ascii="Bookman Old Style" w:hAnsi="Bookman Old Style"/>
          <w:sz w:val="20"/>
          <w:szCs w:val="20"/>
        </w:rPr>
        <w:t xml:space="preserve">, </w:t>
      </w:r>
      <w:hyperlink r:id="rId21" w:history="1">
        <w:r w:rsidR="00992996" w:rsidRPr="0080375D">
          <w:rPr>
            <w:rFonts w:ascii="Bookman Old Style" w:hAnsi="Bookman Old Style"/>
            <w:sz w:val="20"/>
            <w:szCs w:val="20"/>
          </w:rPr>
          <w:t>http://finansist-kras.ru</w:t>
        </w:r>
      </w:hyperlink>
    </w:p>
    <w:p w:rsidR="002E21C2" w:rsidRPr="0080375D" w:rsidRDefault="009A3373" w:rsidP="006C02C0">
      <w:pPr>
        <w:spacing w:before="120" w:after="120"/>
        <w:ind w:firstLine="709"/>
        <w:contextualSpacing/>
        <w:jc w:val="both"/>
        <w:rPr>
          <w:rFonts w:ascii="Bookman Old Style" w:hAnsi="Bookman Old Style"/>
          <w:sz w:val="20"/>
          <w:szCs w:val="20"/>
        </w:rPr>
      </w:pPr>
      <w:hyperlink r:id="rId22" w:history="1">
        <w:r w:rsidR="0080375D" w:rsidRPr="0080375D">
          <w:rPr>
            <w:rStyle w:val="aa"/>
            <w:rFonts w:ascii="Bookman Old Style" w:hAnsi="Bookman Old Style"/>
            <w:color w:val="auto"/>
            <w:sz w:val="20"/>
            <w:szCs w:val="20"/>
            <w:u w:val="none"/>
          </w:rPr>
          <w:t>http://rusrand.ru/</w:t>
        </w:r>
      </w:hyperlink>
      <w:r w:rsidR="0080375D" w:rsidRPr="0080375D">
        <w:rPr>
          <w:rFonts w:ascii="Bookman Old Style" w:hAnsi="Bookman Old Style"/>
          <w:sz w:val="20"/>
          <w:szCs w:val="20"/>
        </w:rPr>
        <w:t xml:space="preserve"> </w:t>
      </w:r>
    </w:p>
    <w:p w:rsidR="00992996" w:rsidRPr="00300E68" w:rsidRDefault="00992996" w:rsidP="00300E68">
      <w:pPr>
        <w:pStyle w:val="2"/>
        <w:rPr>
          <w:rFonts w:ascii="Bookman Old Style" w:hAnsi="Bookman Old Style"/>
          <w:b/>
          <w:sz w:val="20"/>
          <w:szCs w:val="20"/>
        </w:rPr>
      </w:pPr>
      <w:bookmarkStart w:id="181" w:name="_Toc461375570"/>
      <w:r w:rsidRPr="00300E68">
        <w:rPr>
          <w:rFonts w:ascii="Bookman Old Style" w:hAnsi="Bookman Old Style"/>
          <w:b/>
          <w:sz w:val="20"/>
          <w:szCs w:val="20"/>
        </w:rPr>
        <w:t xml:space="preserve">4.2. </w:t>
      </w:r>
      <w:r w:rsidR="00D07734" w:rsidRPr="00300E68">
        <w:rPr>
          <w:rFonts w:ascii="Bookman Old Style" w:hAnsi="Bookman Old Style"/>
          <w:b/>
          <w:sz w:val="20"/>
          <w:szCs w:val="20"/>
        </w:rPr>
        <w:t>АНАЛИЗ ВЛИЯНИЯ ОБЩЕЙ ПОЛИТИЧЕСКОЙ И СОЦИАЛЬНО-ЭКОНОМИЧЕСКОЙ ОБСТАНОВКИ</w:t>
      </w:r>
      <w:bookmarkEnd w:id="181"/>
    </w:p>
    <w:p w:rsidR="00520EB5" w:rsidRPr="00391023" w:rsidRDefault="00520EB5" w:rsidP="00391023">
      <w:pPr>
        <w:spacing w:before="120" w:after="120"/>
        <w:jc w:val="both"/>
        <w:rPr>
          <w:rFonts w:ascii="Bookman Old Style" w:hAnsi="Bookman Old Style"/>
          <w:sz w:val="20"/>
          <w:szCs w:val="20"/>
        </w:rPr>
      </w:pPr>
      <w:r w:rsidRPr="00391023">
        <w:rPr>
          <w:rFonts w:ascii="Bookman Old Style" w:hAnsi="Bookman Old Style"/>
          <w:b/>
          <w:sz w:val="20"/>
          <w:szCs w:val="20"/>
        </w:rPr>
        <w:tab/>
      </w:r>
      <w:r w:rsidRPr="00391023">
        <w:rPr>
          <w:rFonts w:ascii="Bookman Old Style" w:hAnsi="Bookman Old Style"/>
          <w:sz w:val="20"/>
          <w:szCs w:val="20"/>
        </w:rPr>
        <w:t>Объект оценки расположен в г. Красноярске Красноярского края</w:t>
      </w:r>
      <w:r w:rsidR="000811CD" w:rsidRPr="00391023">
        <w:rPr>
          <w:rFonts w:ascii="Bookman Old Style" w:hAnsi="Bookman Old Style"/>
          <w:sz w:val="20"/>
          <w:szCs w:val="20"/>
        </w:rPr>
        <w:t xml:space="preserve"> Российской Федерации</w:t>
      </w:r>
      <w:r w:rsidRPr="00391023">
        <w:rPr>
          <w:rFonts w:ascii="Bookman Old Style" w:hAnsi="Bookman Old Style"/>
          <w:sz w:val="20"/>
          <w:szCs w:val="20"/>
        </w:rPr>
        <w:t>, для проведения анализа рассмотрено в</w:t>
      </w:r>
      <w:r w:rsidR="00DD1ED3" w:rsidRPr="00391023">
        <w:rPr>
          <w:rFonts w:ascii="Bookman Old Style" w:hAnsi="Bookman Old Style"/>
          <w:sz w:val="20"/>
          <w:szCs w:val="20"/>
        </w:rPr>
        <w:t>лияние политической и социально-</w:t>
      </w:r>
      <w:r w:rsidRPr="00391023">
        <w:rPr>
          <w:rFonts w:ascii="Bookman Old Style" w:hAnsi="Bookman Old Style"/>
          <w:sz w:val="20"/>
          <w:szCs w:val="20"/>
        </w:rPr>
        <w:t>экономической обстановки в России и Красноярском крае.</w:t>
      </w:r>
    </w:p>
    <w:p w:rsidR="00992996" w:rsidRPr="00300E68" w:rsidRDefault="00992996" w:rsidP="00DC584E">
      <w:pPr>
        <w:pStyle w:val="3"/>
        <w:rPr>
          <w:rFonts w:ascii="Bookman Old Style" w:hAnsi="Bookman Old Style"/>
          <w:sz w:val="20"/>
          <w:szCs w:val="20"/>
        </w:rPr>
      </w:pPr>
      <w:bookmarkStart w:id="182" w:name="_Toc461375571"/>
      <w:r w:rsidRPr="00300E68">
        <w:rPr>
          <w:rFonts w:ascii="Bookman Old Style" w:hAnsi="Bookman Old Style"/>
          <w:sz w:val="20"/>
          <w:szCs w:val="20"/>
        </w:rPr>
        <w:t xml:space="preserve">4.2.1. </w:t>
      </w:r>
      <w:r w:rsidR="00056668" w:rsidRPr="00300E68">
        <w:rPr>
          <w:rFonts w:ascii="Bookman Old Style" w:hAnsi="Bookman Old Style"/>
          <w:sz w:val="20"/>
          <w:szCs w:val="20"/>
        </w:rPr>
        <w:t>Анализ влияния общей политической и социально-экономической обстановки</w:t>
      </w:r>
      <w:r w:rsidR="00DD1ED3" w:rsidRPr="00300E68">
        <w:rPr>
          <w:rFonts w:ascii="Bookman Old Style" w:hAnsi="Bookman Old Style"/>
          <w:sz w:val="20"/>
          <w:szCs w:val="20"/>
        </w:rPr>
        <w:t xml:space="preserve"> в России</w:t>
      </w:r>
      <w:bookmarkEnd w:id="182"/>
    </w:p>
    <w:p w:rsidR="005F6A69" w:rsidRPr="00B647AA" w:rsidRDefault="005F6A69" w:rsidP="005F6A69">
      <w:pPr>
        <w:spacing w:before="120" w:after="120"/>
        <w:ind w:firstLine="709"/>
        <w:jc w:val="both"/>
        <w:rPr>
          <w:rFonts w:ascii="Bookman Old Style" w:hAnsi="Bookman Old Style"/>
          <w:sz w:val="20"/>
          <w:szCs w:val="20"/>
        </w:rPr>
      </w:pPr>
      <w:r w:rsidRPr="00B647AA">
        <w:rPr>
          <w:rFonts w:ascii="Bookman Old Style" w:hAnsi="Bookman Old Style"/>
          <w:sz w:val="20"/>
          <w:szCs w:val="20"/>
        </w:rPr>
        <w:t>Общественно-политическая ситуация в России в последние полтора года продолжает находиться под сильным влиянием внешнеполитических факторов, в первую очередь, связанных с событиями в Крыму и на Украине.</w:t>
      </w:r>
    </w:p>
    <w:p w:rsidR="005F6A69" w:rsidRPr="00B647AA" w:rsidRDefault="005F6A69" w:rsidP="005F6A69">
      <w:pPr>
        <w:spacing w:before="120" w:after="120"/>
        <w:ind w:firstLine="709"/>
        <w:jc w:val="both"/>
        <w:rPr>
          <w:rFonts w:ascii="Bookman Old Style" w:hAnsi="Bookman Old Style"/>
          <w:sz w:val="20"/>
          <w:szCs w:val="20"/>
        </w:rPr>
      </w:pPr>
      <w:r w:rsidRPr="00B647AA">
        <w:rPr>
          <w:rFonts w:ascii="Bookman Old Style" w:hAnsi="Bookman Old Style"/>
          <w:sz w:val="20"/>
          <w:szCs w:val="20"/>
        </w:rPr>
        <w:t>Экономическая ситуация с 2015 года складывалась под влиянием ухудшения внешнеэкономических условий, прежде всего снижения цен на нефть, продолжения действия экономических санкций со стороны ЕС и США, сохранения тенденции к снижению инвестиционной активности, а также масштабного оттока капитала, усилившегося в том числе ввиду погашения значительного объема внешнего долга.</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первом полугодии 2016 года происходило последовательное замедление экономического спада. Если в I квартале снижение ВВП составляло -1,2 % к соответствующему периоду прошлого года, то во II квартале оно составило, по оценке Минэкономразвития России, -0,6 процента. Темп спада ВВП сокращался с -0,8 % в апреле, до -0,6 % в мае и -0,5 % в июне. При этом сезонно </w:t>
      </w:r>
      <w:r w:rsidRPr="00806CAC">
        <w:rPr>
          <w:rFonts w:ascii="Bookman Old Style" w:hAnsi="Bookman Old Style"/>
          <w:sz w:val="20"/>
          <w:szCs w:val="20"/>
        </w:rPr>
        <w:lastRenderedPageBreak/>
        <w:t xml:space="preserve">очищенный спад ВВП практически остановился (в апреле он составлял -0,2 %, в мае - -0,1 %, в июне – 0 %).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Основное влияние на замедление экономического спада во II квартале оказали промышленное производство, транспорт, сельское хозяйство. Отрицательное влияние продолжают оказывать строительство и розничная торговля.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 оценке Минэкономразвития России, снижение ВВП за </w:t>
      </w:r>
      <w:r>
        <w:rPr>
          <w:rFonts w:ascii="Bookman Old Style" w:hAnsi="Bookman Old Style"/>
          <w:sz w:val="20"/>
          <w:szCs w:val="20"/>
        </w:rPr>
        <w:t>первое полугодие составило -0,9</w:t>
      </w:r>
      <w:r w:rsidRPr="00806CAC">
        <w:rPr>
          <w:rFonts w:ascii="Bookman Old Style" w:hAnsi="Bookman Old Style"/>
          <w:sz w:val="20"/>
          <w:szCs w:val="20"/>
        </w:rPr>
        <w:t xml:space="preserve">% к соответствующему периоду прошлого года.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Июньская статистика по промышленному производству свидетельствует об определенном улучшении ситуации: сезонно очищенный показатель, рассчитываемый Минэкономразвития России, вырос на 0,3 %, м/м (в мае: -0,2 %, м/м). Отмечен рост во всех трех компонентах: добыча пол</w:t>
      </w:r>
      <w:r>
        <w:rPr>
          <w:rFonts w:ascii="Bookman Old Style" w:hAnsi="Bookman Old Style"/>
          <w:sz w:val="20"/>
          <w:szCs w:val="20"/>
        </w:rPr>
        <w:t>езных ископаемых выросла на 0,1</w:t>
      </w:r>
      <w:r w:rsidRPr="00806CAC">
        <w:rPr>
          <w:rFonts w:ascii="Bookman Old Style" w:hAnsi="Bookman Old Style"/>
          <w:sz w:val="20"/>
          <w:szCs w:val="20"/>
        </w:rPr>
        <w:t>%, м/м, обрабатывающие производства продемон</w:t>
      </w:r>
      <w:r>
        <w:rPr>
          <w:rFonts w:ascii="Bookman Old Style" w:hAnsi="Bookman Old Style"/>
          <w:sz w:val="20"/>
          <w:szCs w:val="20"/>
        </w:rPr>
        <w:t>стрировали темпы прироста в 0,5</w:t>
      </w:r>
      <w:r w:rsidRPr="00806CAC">
        <w:rPr>
          <w:rFonts w:ascii="Bookman Old Style" w:hAnsi="Bookman Old Style"/>
          <w:sz w:val="20"/>
          <w:szCs w:val="20"/>
        </w:rPr>
        <w:t>%, м/м, производство и распределение электроэнерг</w:t>
      </w:r>
      <w:r>
        <w:rPr>
          <w:rFonts w:ascii="Bookman Old Style" w:hAnsi="Bookman Old Style"/>
          <w:sz w:val="20"/>
          <w:szCs w:val="20"/>
        </w:rPr>
        <w:t>ии, газа и воды возросло на 0,2</w:t>
      </w:r>
      <w:r w:rsidRPr="00806CAC">
        <w:rPr>
          <w:rFonts w:ascii="Bookman Old Style" w:hAnsi="Bookman Old Style"/>
          <w:sz w:val="20"/>
          <w:szCs w:val="20"/>
        </w:rPr>
        <w:t xml:space="preserve">%, м/м.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Производство сельскохозяйственной продукции продолжает показывать положительную динамику. Темп прироста производства сельскохозяйственной продукции с исключением сезонности в июне составил 0,1 процента.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июне безработица снизилась до 5,4 % от рабочей силы, с исключением сезонного фактора – до 5,6 % от рабочей силы.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Реальная заработная плата с исключением сезонного фактора в июне, по предварительным данным, снизилась на 0,1 % относительно мая (по уточненным данным в мае сезонно очищенный рост составил 1,4 процента).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После двух месяцев снижения реальные располагаемые доходы с исключением сезонного фактора в июне вновь вышли в область положительных значений: рост на 0,4 процента.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Снижение оборота розничной торговли с исключением сезонного фактора в июне замедлилось до 0,3 % после 0,6 % в мае текущего года.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Платные услуги населению (с исключением сезонного фактора) в июне снизились на 0,7 процента.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Экспорт товаров в январе-июне 2016 г., по оценке, составил 127,7 млрд. долл. США (снижение на 29,7 % к январю-июню к 2015 г.). Импорт товаров в январе-июне 2016 г., по оценке, составил 83,6 млрд. долл. США (снижение на 9,5 % к январю-июню 2015 года). Положительное сальдо торгового баланса в январе-июне 2016 г., по оценке, составило 44,1 млрд. долл. США, относительно января-июня 2015 г. снизилось на 50,6 процента. По данным Росстата, инфляция в июне составила 0,4 %, с начала года – 3,3 %, за годовой период – 7,5 процента</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Потребительский спрос продолжил сокращение, в то время как инвестиционный возобновил рост, благодаря замедлению сокращения запасов.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Расходы на конечное потребление сократились в квартальной оценке на 3,5 процента. Потребление домашних хозяйств снизилось на 4,3 %, сектора государственного управления – на 1,5 %, а расходы некоммерческих организаций, обслуживающих домашние хозяйства, выросли на 0,2 процента. В I квартале 201</w:t>
      </w:r>
      <w:r>
        <w:rPr>
          <w:rFonts w:ascii="Bookman Old Style" w:hAnsi="Bookman Old Style"/>
          <w:sz w:val="20"/>
          <w:szCs w:val="20"/>
        </w:rPr>
        <w:t>6</w:t>
      </w:r>
      <w:r w:rsidRPr="00806CAC">
        <w:rPr>
          <w:rFonts w:ascii="Bookman Old Style" w:hAnsi="Bookman Old Style"/>
          <w:sz w:val="20"/>
          <w:szCs w:val="20"/>
        </w:rPr>
        <w:t xml:space="preserve"> г. динамика потребительских расходов населения и государства сократилась на 6,9 % и 1,8 % соответственно, а расходы некоммерческих организаций, обслуживающих домашние хозяйства увеличились на 0,5 процента. В то же время произошел рост инвестиционного спроса. Валовое накопление увеличилось в годовой оценке на 8,2 % против пад</w:t>
      </w:r>
      <w:r>
        <w:rPr>
          <w:rFonts w:ascii="Bookman Old Style" w:hAnsi="Bookman Old Style"/>
          <w:sz w:val="20"/>
          <w:szCs w:val="20"/>
        </w:rPr>
        <w:t>ения на 32,2 % в I квартале 2016</w:t>
      </w:r>
      <w:r w:rsidRPr="00806CAC">
        <w:rPr>
          <w:rFonts w:ascii="Bookman Old Style" w:hAnsi="Bookman Old Style"/>
          <w:sz w:val="20"/>
          <w:szCs w:val="20"/>
        </w:rPr>
        <w:t xml:space="preserve"> года. Увеличение валового накопления связано со снижением изменения запасов материальных средств, объем </w:t>
      </w:r>
      <w:proofErr w:type="gramStart"/>
      <w:r w:rsidRPr="00806CAC">
        <w:rPr>
          <w:rFonts w:ascii="Bookman Old Style" w:hAnsi="Bookman Old Style"/>
          <w:sz w:val="20"/>
          <w:szCs w:val="20"/>
        </w:rPr>
        <w:t>снижения</w:t>
      </w:r>
      <w:proofErr w:type="gramEnd"/>
      <w:r w:rsidRPr="00806CAC">
        <w:rPr>
          <w:rFonts w:ascii="Bookman Old Style" w:hAnsi="Bookman Old Style"/>
          <w:sz w:val="20"/>
          <w:szCs w:val="20"/>
        </w:rPr>
        <w:t xml:space="preserve"> которых в номинальном выражении составил лишь 0,5 % ВВП, по сравнению с их сокращение</w:t>
      </w:r>
      <w:r>
        <w:rPr>
          <w:rFonts w:ascii="Bookman Old Style" w:hAnsi="Bookman Old Style"/>
          <w:sz w:val="20"/>
          <w:szCs w:val="20"/>
        </w:rPr>
        <w:t>м на 3,2 % ВВП в I квартале 2016</w:t>
      </w:r>
      <w:r w:rsidRPr="00806CAC">
        <w:rPr>
          <w:rFonts w:ascii="Bookman Old Style" w:hAnsi="Bookman Old Style"/>
          <w:sz w:val="20"/>
          <w:szCs w:val="20"/>
        </w:rPr>
        <w:t xml:space="preserve"> года.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В то же время значительно увеличился спад накопления основного капитала (до 9,9 % против 6,4 % в I квартале 2015 года). Таким образом, отмечается замедление сокращения запасов материальных оборотных средств (МОС), а 8 %-</w:t>
      </w:r>
      <w:proofErr w:type="spellStart"/>
      <w:r w:rsidRPr="00806CAC">
        <w:rPr>
          <w:rFonts w:ascii="Bookman Old Style" w:hAnsi="Bookman Old Style"/>
          <w:sz w:val="20"/>
          <w:szCs w:val="20"/>
        </w:rPr>
        <w:t>ый</w:t>
      </w:r>
      <w:proofErr w:type="spellEnd"/>
      <w:r w:rsidRPr="00806CAC">
        <w:rPr>
          <w:rFonts w:ascii="Bookman Old Style" w:hAnsi="Bookman Old Style"/>
          <w:sz w:val="20"/>
          <w:szCs w:val="20"/>
        </w:rPr>
        <w:t xml:space="preserve"> рост валового накопления при почти 10 %-ом сокращении накопления основного капитала связан с </w:t>
      </w:r>
      <w:proofErr w:type="spellStart"/>
      <w:r w:rsidRPr="00806CAC">
        <w:rPr>
          <w:rFonts w:ascii="Bookman Old Style" w:hAnsi="Bookman Old Style"/>
          <w:sz w:val="20"/>
          <w:szCs w:val="20"/>
        </w:rPr>
        <w:t>шемтикратным</w:t>
      </w:r>
      <w:proofErr w:type="spellEnd"/>
      <w:r w:rsidRPr="00806CAC">
        <w:rPr>
          <w:rFonts w:ascii="Bookman Old Style" w:hAnsi="Bookman Old Style"/>
          <w:sz w:val="20"/>
          <w:szCs w:val="20"/>
        </w:rPr>
        <w:t xml:space="preserve"> номинальным сокращением отрицательного прироста запасов МОС.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Отрицательная динамика импорта товаров и услуг (-10,9 %), почти вдвое опередившая сокращение их экспорта (-5,6 %), оказала поддерживающее влияние на чистый экспорт товаров и услуг, рост которого по итогам I квартала 2016 г. составил 3,2 % в годовой оценке.</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lastRenderedPageBreak/>
        <w:t>В использовании ВВП в I кв. 2016 г. – по сравнению с I кв. 2015 г. - произошел структурный сдвиг в сторону увеличения расходов на конечное потребление и валового накопления при снижении доли чистого экспорта. Доля потребительских расходов и валового накопления увеличилась до 77,4 % и 15,5 % ВВП (I квартал 2015 г. – 75,5 % и 12,1 % ВВП), соответственно, при снижении чистого экспорта до 7,1 % ВВП (I квартал 2015 г. – 12,4 % ВВП)</w:t>
      </w:r>
    </w:p>
    <w:p w:rsidR="005F6A69" w:rsidRDefault="005F6A69" w:rsidP="005F6A69">
      <w:pPr>
        <w:spacing w:before="120" w:after="120"/>
        <w:ind w:firstLine="709"/>
        <w:jc w:val="both"/>
        <w:rPr>
          <w:rFonts w:ascii="Bookman Old Style" w:hAnsi="Bookman Old Style"/>
          <w:sz w:val="20"/>
          <w:szCs w:val="20"/>
        </w:rPr>
      </w:pPr>
      <w:r>
        <w:rPr>
          <w:rFonts w:ascii="Bookman Old Style" w:hAnsi="Bookman Old Style"/>
          <w:sz w:val="20"/>
          <w:szCs w:val="20"/>
        </w:rPr>
        <w:t>И</w:t>
      </w:r>
      <w:r w:rsidRPr="00806CAC">
        <w:rPr>
          <w:rFonts w:ascii="Bookman Old Style" w:hAnsi="Bookman Old Style"/>
          <w:sz w:val="20"/>
          <w:szCs w:val="20"/>
        </w:rPr>
        <w:t>ндекс промышленного производства в июне</w:t>
      </w:r>
      <w:r>
        <w:rPr>
          <w:rFonts w:ascii="Bookman Old Style" w:hAnsi="Bookman Old Style"/>
          <w:sz w:val="20"/>
          <w:szCs w:val="20"/>
        </w:rPr>
        <w:t xml:space="preserve"> текущего года</w:t>
      </w:r>
      <w:r w:rsidRPr="00806CAC">
        <w:rPr>
          <w:rFonts w:ascii="Bookman Old Style" w:hAnsi="Bookman Old Style"/>
          <w:sz w:val="20"/>
          <w:szCs w:val="20"/>
        </w:rPr>
        <w:t xml:space="preserve"> вырос на 1,7 % по сравнению с соответствующим периодом прошлого года, по итогам I полугодия - 0,4 процента. Объемы добычи полезных ископаемых увеличились на 1,6 %, г/г в июне и на 2,6 %, г/г за полугодие, обрабатывающие производства третий месяц 7 подряд находятся в положительной области (1,6 %, г/г в июне), но за полугодие динамика все еще отрицательная (-0,9 %, г/г). Производство и распределение электроэнергии, газа и воды по итогам I полугодия выросло на 0,4 % к соответствующему периоду прошлого года</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июне текущего года имел место негативный разворот в динамике производства легковых автомобилей. Темп падения объёмов производства по данной позиции составил 5,3 % по отношению к июню прошлого года. Для сравнения, в мае объём производства легковых автомобилей вырос на 4,1 процента. По итогам I полугодия объём производства легковых автомобилей сократился практически на 18 процентов.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то же время, в июне имел место позитивный разворот в производстве автобусов. Динамика по данной позиции вышла в положительную область, темп роста объёмов производства составил почти 14 % по отношению к июню прошлого года. Для сравнения, в мае темп спада объёмов производства автобусов составил практически 6 процентов. По итогам I полугодия объём производства автобусов сократился на 0,9 % по отношению к I полугодию предыдущего года.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Позитивный разворот произошёл в июне и в производстве грузовых автомобилей. Темп прироста объёмов производства по данной позиции составил 21,4 % по отношению к июню прошлого года, тогда как в мае темп спада объёмов производства грузовых автомобилей составил более 25 процентов. По итогам I полугодия рост объёмов производства грузовых автомобилей составил 4,4 процента</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Производство машин и оборудования в I полугодии 2016 года по отношению к I полугодию 2015 года выросло на 2,8 процента</w:t>
      </w:r>
    </w:p>
    <w:p w:rsidR="00D74801"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Сокращение объема работ при реализации строительных проектов, а также неблагоприятная экономическая ситуация на рынке способствовали снижению объемов производства прочих машин и оборудования специального назначения в I полугодии 2016 года по отношению к I полугодию 2015 года на 21,8 процента. В частности, отмечается сокращение в I полугодии 2016 года относительно I полугодия 2015 года объема производства грейдеров самоходных (автогрейдеров) на 13,8%, установок буровых для эксплуатационного и глубокого разведочного бурения на 45,5%, сталеплавильного оборудования и литейных машин – на 50,0 процентов</w:t>
      </w:r>
      <w:r w:rsidR="00D74801" w:rsidRPr="00D74801">
        <w:rPr>
          <w:rFonts w:ascii="Bookman Old Style" w:hAnsi="Bookman Old Style"/>
          <w:sz w:val="20"/>
          <w:szCs w:val="20"/>
        </w:rPr>
        <w:t>.</w:t>
      </w:r>
    </w:p>
    <w:p w:rsidR="000307A5" w:rsidRPr="00BD39DF" w:rsidRDefault="000307A5" w:rsidP="00AD346D">
      <w:pPr>
        <w:pStyle w:val="3"/>
        <w:rPr>
          <w:rFonts w:ascii="Bookman Old Style" w:hAnsi="Bookman Old Style"/>
          <w:sz w:val="20"/>
          <w:szCs w:val="20"/>
        </w:rPr>
      </w:pPr>
      <w:bookmarkStart w:id="183" w:name="_Toc461375572"/>
      <w:r w:rsidRPr="00BD39DF">
        <w:rPr>
          <w:rFonts w:ascii="Bookman Old Style" w:hAnsi="Bookman Old Style"/>
          <w:sz w:val="20"/>
          <w:szCs w:val="20"/>
        </w:rPr>
        <w:t>4.2.</w:t>
      </w:r>
      <w:r w:rsidR="00D07734" w:rsidRPr="00BD39DF">
        <w:rPr>
          <w:rFonts w:ascii="Bookman Old Style" w:hAnsi="Bookman Old Style"/>
          <w:sz w:val="20"/>
          <w:szCs w:val="20"/>
        </w:rPr>
        <w:t>2</w:t>
      </w:r>
      <w:r w:rsidRPr="00BD39DF">
        <w:rPr>
          <w:rFonts w:ascii="Bookman Old Style" w:hAnsi="Bookman Old Style"/>
          <w:sz w:val="20"/>
          <w:szCs w:val="20"/>
        </w:rPr>
        <w:t>. Анализ влияния общей политической и социально-экономической обстановки</w:t>
      </w:r>
      <w:r w:rsidR="00D07734" w:rsidRPr="00BD39DF">
        <w:rPr>
          <w:rFonts w:ascii="Bookman Old Style" w:hAnsi="Bookman Old Style"/>
          <w:sz w:val="20"/>
          <w:szCs w:val="20"/>
        </w:rPr>
        <w:t xml:space="preserve"> в Красноярском крае</w:t>
      </w:r>
      <w:bookmarkEnd w:id="183"/>
    </w:p>
    <w:p w:rsidR="00B12755"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Красноярский край – самый крупный субъект Федерации в составе Сибирского федерального округа по важнейшим макроэкономическим показателям – численности населения, объемам валового регионального продукта, промышленного производства, строительных работ и инвестиций в основной капитал. </w:t>
      </w:r>
    </w:p>
    <w:p w:rsidR="00B12755" w:rsidRPr="00B647AA" w:rsidRDefault="00B12755" w:rsidP="00B12755">
      <w:pPr>
        <w:autoSpaceDE w:val="0"/>
        <w:autoSpaceDN w:val="0"/>
        <w:adjustRightInd w:val="0"/>
        <w:spacing w:before="120" w:after="120"/>
        <w:ind w:firstLine="720"/>
        <w:jc w:val="both"/>
        <w:rPr>
          <w:rFonts w:ascii="Bookman Old Style" w:hAnsi="Bookman Old Style"/>
          <w:b/>
          <w:bCs/>
          <w:sz w:val="20"/>
          <w:szCs w:val="20"/>
        </w:rPr>
      </w:pPr>
      <w:r w:rsidRPr="00B647AA">
        <w:rPr>
          <w:rFonts w:ascii="Bookman Old Style" w:hAnsi="Bookman Old Style"/>
          <w:b/>
          <w:bCs/>
          <w:sz w:val="20"/>
          <w:szCs w:val="20"/>
        </w:rPr>
        <w:t>Таблица 4.</w:t>
      </w:r>
      <w:r>
        <w:rPr>
          <w:rFonts w:ascii="Bookman Old Style" w:hAnsi="Bookman Old Style"/>
          <w:b/>
          <w:bCs/>
          <w:sz w:val="20"/>
          <w:szCs w:val="20"/>
        </w:rPr>
        <w:t>2</w:t>
      </w:r>
      <w:r w:rsidRPr="00B647AA">
        <w:rPr>
          <w:rFonts w:ascii="Bookman Old Style" w:hAnsi="Bookman Old Style"/>
          <w:b/>
          <w:bCs/>
          <w:sz w:val="20"/>
          <w:szCs w:val="20"/>
        </w:rPr>
        <w:t>.2.1. Основные экономические и социальные показатели Красноярского края</w:t>
      </w:r>
      <w:r w:rsidRPr="00B647AA">
        <w:rPr>
          <w:rFonts w:ascii="Bookman Old Style" w:hAnsi="Bookman Old Style"/>
          <w:b/>
          <w:bCs/>
          <w:sz w:val="20"/>
          <w:szCs w:val="20"/>
          <w:vertAlign w:val="superscript"/>
        </w:rPr>
        <w:footnoteReference w:id="19"/>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3343"/>
        <w:gridCol w:w="1337"/>
        <w:gridCol w:w="1337"/>
        <w:gridCol w:w="1250"/>
        <w:gridCol w:w="1424"/>
        <w:gridCol w:w="1626"/>
      </w:tblGrid>
      <w:tr w:rsidR="00B12755" w:rsidRPr="003A6760" w:rsidTr="009E33BE">
        <w:trPr>
          <w:cantSplit/>
          <w:trHeight w:val="170"/>
        </w:trPr>
        <w:tc>
          <w:tcPr>
            <w:tcW w:w="1620" w:type="pct"/>
            <w:shd w:val="clear" w:color="auto" w:fill="F2F2F2" w:themeFill="background1" w:themeFillShade="F2"/>
            <w:vAlign w:val="center"/>
            <w:hideMark/>
          </w:tcPr>
          <w:p w:rsidR="00B12755" w:rsidRPr="003A6760" w:rsidRDefault="00B12755" w:rsidP="00192166">
            <w:pPr>
              <w:widowControl w:val="0"/>
              <w:jc w:val="center"/>
              <w:rPr>
                <w:rFonts w:ascii="Cambria" w:hAnsi="Cambria"/>
                <w:b/>
                <w:sz w:val="16"/>
                <w:szCs w:val="16"/>
              </w:rPr>
            </w:pPr>
            <w:r w:rsidRPr="003A6760">
              <w:rPr>
                <w:rFonts w:ascii="Cambria" w:hAnsi="Cambria"/>
                <w:b/>
                <w:sz w:val="16"/>
                <w:szCs w:val="16"/>
              </w:rPr>
              <w:t>Наименование показателя</w:t>
            </w:r>
          </w:p>
        </w:tc>
        <w:tc>
          <w:tcPr>
            <w:tcW w:w="648" w:type="pct"/>
            <w:shd w:val="clear" w:color="auto" w:fill="F2F2F2" w:themeFill="background1" w:themeFillShade="F2"/>
            <w:vAlign w:val="center"/>
            <w:hideMark/>
          </w:tcPr>
          <w:p w:rsidR="00B12755" w:rsidRPr="003A6760" w:rsidRDefault="00B12755" w:rsidP="00192166">
            <w:pPr>
              <w:pStyle w:val="3"/>
              <w:keepNext w:val="0"/>
              <w:widowControl w:val="0"/>
              <w:spacing w:before="0"/>
              <w:jc w:val="center"/>
              <w:rPr>
                <w:rFonts w:ascii="Cambria" w:hAnsi="Cambria"/>
                <w:sz w:val="16"/>
                <w:szCs w:val="16"/>
              </w:rPr>
            </w:pPr>
            <w:bookmarkStart w:id="184" w:name="_Toc459223066"/>
            <w:bookmarkStart w:id="185" w:name="_Toc459227388"/>
            <w:bookmarkStart w:id="186" w:name="_Toc460154652"/>
            <w:bookmarkStart w:id="187" w:name="_Toc461375573"/>
            <w:r w:rsidRPr="003A6760">
              <w:rPr>
                <w:rFonts w:ascii="Cambria" w:hAnsi="Cambria"/>
                <w:sz w:val="16"/>
                <w:szCs w:val="16"/>
              </w:rPr>
              <w:t>Июнь</w:t>
            </w:r>
            <w:bookmarkEnd w:id="184"/>
            <w:bookmarkEnd w:id="185"/>
            <w:bookmarkEnd w:id="186"/>
            <w:bookmarkEnd w:id="187"/>
          </w:p>
          <w:p w:rsidR="00B12755" w:rsidRPr="003A6760" w:rsidRDefault="00B12755" w:rsidP="00192166">
            <w:pPr>
              <w:widowControl w:val="0"/>
              <w:jc w:val="center"/>
              <w:rPr>
                <w:rFonts w:ascii="Cambria" w:hAnsi="Cambria"/>
                <w:b/>
                <w:sz w:val="16"/>
                <w:szCs w:val="16"/>
              </w:rPr>
            </w:pPr>
            <w:r w:rsidRPr="003A6760">
              <w:rPr>
                <w:rFonts w:ascii="Cambria" w:hAnsi="Cambria"/>
                <w:b/>
                <w:sz w:val="16"/>
                <w:szCs w:val="16"/>
              </w:rPr>
              <w:t>2016 г.</w:t>
            </w:r>
          </w:p>
        </w:tc>
        <w:tc>
          <w:tcPr>
            <w:tcW w:w="648" w:type="pct"/>
            <w:shd w:val="clear" w:color="auto" w:fill="F2F2F2" w:themeFill="background1" w:themeFillShade="F2"/>
            <w:vAlign w:val="center"/>
            <w:hideMark/>
          </w:tcPr>
          <w:p w:rsidR="00B12755" w:rsidRPr="003A6760" w:rsidRDefault="00B12755" w:rsidP="00192166">
            <w:pPr>
              <w:widowControl w:val="0"/>
              <w:jc w:val="center"/>
              <w:rPr>
                <w:rFonts w:ascii="Cambria" w:hAnsi="Cambria"/>
                <w:b/>
                <w:sz w:val="16"/>
                <w:szCs w:val="16"/>
              </w:rPr>
            </w:pPr>
            <w:r w:rsidRPr="003A6760">
              <w:rPr>
                <w:rFonts w:ascii="Cambria" w:hAnsi="Cambria"/>
                <w:b/>
                <w:sz w:val="16"/>
                <w:szCs w:val="16"/>
              </w:rPr>
              <w:t>Июнь</w:t>
            </w:r>
          </w:p>
          <w:p w:rsidR="00B12755" w:rsidRPr="003A6760" w:rsidRDefault="00B12755" w:rsidP="00192166">
            <w:pPr>
              <w:widowControl w:val="0"/>
              <w:jc w:val="center"/>
              <w:rPr>
                <w:rFonts w:ascii="Cambria" w:hAnsi="Cambria"/>
                <w:b/>
                <w:sz w:val="16"/>
                <w:szCs w:val="16"/>
              </w:rPr>
            </w:pPr>
            <w:r w:rsidRPr="003A6760">
              <w:rPr>
                <w:rFonts w:ascii="Cambria" w:hAnsi="Cambria"/>
                <w:b/>
                <w:sz w:val="16"/>
                <w:szCs w:val="16"/>
              </w:rPr>
              <w:t>2016 г.</w:t>
            </w:r>
          </w:p>
          <w:p w:rsidR="00B12755" w:rsidRPr="003A6760" w:rsidRDefault="00B12755" w:rsidP="00192166">
            <w:pPr>
              <w:widowControl w:val="0"/>
              <w:jc w:val="center"/>
              <w:rPr>
                <w:rFonts w:ascii="Cambria" w:hAnsi="Cambria"/>
                <w:b/>
                <w:sz w:val="16"/>
                <w:szCs w:val="16"/>
              </w:rPr>
            </w:pPr>
            <w:r w:rsidRPr="003A6760">
              <w:rPr>
                <w:rFonts w:ascii="Cambria" w:hAnsi="Cambria"/>
                <w:b/>
                <w:sz w:val="16"/>
                <w:szCs w:val="16"/>
              </w:rPr>
              <w:t>в % к</w:t>
            </w:r>
          </w:p>
          <w:p w:rsidR="00B12755" w:rsidRPr="003A6760" w:rsidRDefault="00B12755" w:rsidP="00192166">
            <w:pPr>
              <w:widowControl w:val="0"/>
              <w:jc w:val="center"/>
              <w:rPr>
                <w:rFonts w:ascii="Cambria" w:hAnsi="Cambria"/>
                <w:b/>
                <w:sz w:val="16"/>
                <w:szCs w:val="16"/>
              </w:rPr>
            </w:pPr>
            <w:r w:rsidRPr="003A6760">
              <w:rPr>
                <w:rFonts w:ascii="Cambria" w:hAnsi="Cambria"/>
                <w:b/>
                <w:sz w:val="16"/>
                <w:szCs w:val="16"/>
              </w:rPr>
              <w:t>июню</w:t>
            </w:r>
          </w:p>
          <w:p w:rsidR="00B12755" w:rsidRPr="003A6760" w:rsidRDefault="00B12755" w:rsidP="00192166">
            <w:pPr>
              <w:widowControl w:val="0"/>
              <w:jc w:val="center"/>
              <w:rPr>
                <w:rFonts w:ascii="Cambria" w:hAnsi="Cambria"/>
                <w:b/>
                <w:sz w:val="16"/>
                <w:szCs w:val="16"/>
              </w:rPr>
            </w:pPr>
            <w:r w:rsidRPr="003A6760">
              <w:rPr>
                <w:rFonts w:ascii="Cambria" w:hAnsi="Cambria"/>
                <w:b/>
                <w:sz w:val="16"/>
                <w:szCs w:val="16"/>
              </w:rPr>
              <w:t>201</w:t>
            </w:r>
            <w:r>
              <w:rPr>
                <w:rFonts w:ascii="Cambria" w:hAnsi="Cambria"/>
                <w:b/>
                <w:sz w:val="16"/>
                <w:szCs w:val="16"/>
              </w:rPr>
              <w:t>6</w:t>
            </w:r>
            <w:r w:rsidRPr="003A6760">
              <w:rPr>
                <w:rFonts w:ascii="Cambria" w:hAnsi="Cambria"/>
                <w:b/>
                <w:sz w:val="16"/>
                <w:szCs w:val="16"/>
              </w:rPr>
              <w:t xml:space="preserve"> г.</w:t>
            </w:r>
          </w:p>
        </w:tc>
        <w:tc>
          <w:tcPr>
            <w:tcW w:w="606" w:type="pct"/>
            <w:shd w:val="clear" w:color="auto" w:fill="F2F2F2" w:themeFill="background1" w:themeFillShade="F2"/>
            <w:vAlign w:val="center"/>
            <w:hideMark/>
          </w:tcPr>
          <w:p w:rsidR="00B12755" w:rsidRPr="003A6760" w:rsidRDefault="00B12755" w:rsidP="00192166">
            <w:pPr>
              <w:pStyle w:val="33"/>
              <w:widowControl w:val="0"/>
              <w:spacing w:after="0"/>
              <w:jc w:val="center"/>
              <w:rPr>
                <w:rFonts w:ascii="Cambria" w:hAnsi="Cambria"/>
                <w:b/>
              </w:rPr>
            </w:pPr>
            <w:r w:rsidRPr="003A6760">
              <w:rPr>
                <w:rFonts w:ascii="Cambria" w:hAnsi="Cambria"/>
                <w:b/>
              </w:rPr>
              <w:t>Январь-</w:t>
            </w:r>
          </w:p>
          <w:p w:rsidR="00B12755" w:rsidRPr="003A6760" w:rsidRDefault="00B12755" w:rsidP="00192166">
            <w:pPr>
              <w:pStyle w:val="33"/>
              <w:widowControl w:val="0"/>
              <w:spacing w:after="0"/>
              <w:jc w:val="center"/>
              <w:rPr>
                <w:rFonts w:ascii="Cambria" w:hAnsi="Cambria"/>
                <w:b/>
              </w:rPr>
            </w:pPr>
            <w:r w:rsidRPr="003A6760">
              <w:rPr>
                <w:rFonts w:ascii="Cambria" w:hAnsi="Cambria"/>
                <w:b/>
              </w:rPr>
              <w:t>июнь</w:t>
            </w:r>
          </w:p>
          <w:p w:rsidR="00B12755" w:rsidRPr="003A6760" w:rsidRDefault="00B12755" w:rsidP="00192166">
            <w:pPr>
              <w:pStyle w:val="33"/>
              <w:widowControl w:val="0"/>
              <w:spacing w:after="0"/>
              <w:jc w:val="center"/>
              <w:rPr>
                <w:rFonts w:ascii="Cambria" w:hAnsi="Cambria"/>
                <w:b/>
              </w:rPr>
            </w:pPr>
            <w:r w:rsidRPr="003A6760">
              <w:rPr>
                <w:rFonts w:ascii="Cambria" w:hAnsi="Cambria"/>
                <w:b/>
              </w:rPr>
              <w:t>2016 г.</w:t>
            </w:r>
          </w:p>
        </w:tc>
        <w:tc>
          <w:tcPr>
            <w:tcW w:w="690" w:type="pct"/>
            <w:shd w:val="clear" w:color="auto" w:fill="F2F2F2" w:themeFill="background1" w:themeFillShade="F2"/>
            <w:vAlign w:val="center"/>
            <w:hideMark/>
          </w:tcPr>
          <w:p w:rsidR="00B12755" w:rsidRPr="003A6760" w:rsidRDefault="00B12755" w:rsidP="00192166">
            <w:pPr>
              <w:pStyle w:val="33"/>
              <w:widowControl w:val="0"/>
              <w:spacing w:after="0"/>
              <w:jc w:val="center"/>
              <w:rPr>
                <w:rFonts w:ascii="Cambria" w:hAnsi="Cambria"/>
                <w:b/>
              </w:rPr>
            </w:pPr>
            <w:r w:rsidRPr="003A6760">
              <w:rPr>
                <w:rFonts w:ascii="Cambria" w:hAnsi="Cambria"/>
                <w:b/>
              </w:rPr>
              <w:t>Январь-июнь</w:t>
            </w:r>
            <w:r w:rsidRPr="003A6760">
              <w:rPr>
                <w:rFonts w:ascii="Cambria" w:hAnsi="Cambria"/>
                <w:b/>
              </w:rPr>
              <w:br/>
              <w:t>2016 г.</w:t>
            </w:r>
            <w:r w:rsidRPr="003A6760">
              <w:rPr>
                <w:rFonts w:ascii="Cambria" w:hAnsi="Cambria"/>
                <w:b/>
              </w:rPr>
              <w:br/>
              <w:t xml:space="preserve"> </w:t>
            </w:r>
            <w:proofErr w:type="gramStart"/>
            <w:r w:rsidRPr="003A6760">
              <w:rPr>
                <w:rFonts w:ascii="Cambria" w:hAnsi="Cambria"/>
                <w:b/>
              </w:rPr>
              <w:t>в</w:t>
            </w:r>
            <w:proofErr w:type="gramEnd"/>
            <w:r w:rsidRPr="003A6760">
              <w:rPr>
                <w:rFonts w:ascii="Cambria" w:hAnsi="Cambria"/>
                <w:b/>
              </w:rPr>
              <w:t xml:space="preserve"> % к</w:t>
            </w:r>
          </w:p>
          <w:p w:rsidR="00B12755" w:rsidRPr="003A6760" w:rsidRDefault="00B12755" w:rsidP="00192166">
            <w:pPr>
              <w:pStyle w:val="33"/>
              <w:widowControl w:val="0"/>
              <w:spacing w:after="0"/>
              <w:jc w:val="center"/>
              <w:rPr>
                <w:rFonts w:ascii="Cambria" w:hAnsi="Cambria"/>
                <w:b/>
              </w:rPr>
            </w:pPr>
            <w:r w:rsidRPr="003A6760">
              <w:rPr>
                <w:rFonts w:ascii="Cambria" w:hAnsi="Cambria"/>
                <w:b/>
              </w:rPr>
              <w:t>январю-июню</w:t>
            </w:r>
            <w:r w:rsidRPr="003A6760">
              <w:rPr>
                <w:rFonts w:ascii="Cambria" w:hAnsi="Cambria"/>
                <w:b/>
              </w:rPr>
              <w:br/>
              <w:t>201</w:t>
            </w:r>
            <w:r>
              <w:rPr>
                <w:rFonts w:ascii="Cambria" w:hAnsi="Cambria"/>
                <w:b/>
              </w:rPr>
              <w:t>6</w:t>
            </w:r>
            <w:r w:rsidRPr="003A6760">
              <w:rPr>
                <w:rFonts w:ascii="Cambria" w:hAnsi="Cambria"/>
                <w:b/>
              </w:rPr>
              <w:t xml:space="preserve"> г.</w:t>
            </w:r>
          </w:p>
        </w:tc>
        <w:tc>
          <w:tcPr>
            <w:tcW w:w="789" w:type="pct"/>
            <w:shd w:val="clear" w:color="auto" w:fill="F2F2F2" w:themeFill="background1" w:themeFillShade="F2"/>
            <w:vAlign w:val="center"/>
            <w:hideMark/>
          </w:tcPr>
          <w:p w:rsidR="00B12755" w:rsidRPr="003A6760" w:rsidRDefault="00B12755" w:rsidP="00192166">
            <w:pPr>
              <w:pStyle w:val="2d"/>
              <w:widowControl w:val="0"/>
              <w:spacing w:after="0" w:line="240" w:lineRule="auto"/>
              <w:jc w:val="center"/>
              <w:rPr>
                <w:rFonts w:ascii="Cambria" w:hAnsi="Cambria"/>
                <w:b/>
                <w:i/>
                <w:sz w:val="16"/>
                <w:szCs w:val="16"/>
              </w:rPr>
            </w:pPr>
            <w:r w:rsidRPr="003A6760">
              <w:rPr>
                <w:rFonts w:ascii="Cambria" w:hAnsi="Cambria"/>
                <w:b/>
                <w:i/>
                <w:sz w:val="16"/>
                <w:szCs w:val="16"/>
              </w:rPr>
              <w:t>Справочно</w:t>
            </w:r>
          </w:p>
          <w:p w:rsidR="00B12755" w:rsidRPr="003A6760" w:rsidRDefault="00B12755" w:rsidP="00192166">
            <w:pPr>
              <w:pStyle w:val="33"/>
              <w:widowControl w:val="0"/>
              <w:spacing w:after="0"/>
              <w:jc w:val="center"/>
              <w:rPr>
                <w:rFonts w:ascii="Cambria" w:hAnsi="Cambria"/>
                <w:b/>
              </w:rPr>
            </w:pPr>
            <w:r w:rsidRPr="003A6760">
              <w:rPr>
                <w:rFonts w:ascii="Cambria" w:hAnsi="Cambria"/>
                <w:b/>
              </w:rPr>
              <w:t>январь-</w:t>
            </w:r>
          </w:p>
          <w:p w:rsidR="00B12755" w:rsidRPr="003A6760" w:rsidRDefault="00B12755" w:rsidP="00192166">
            <w:pPr>
              <w:pStyle w:val="33"/>
              <w:widowControl w:val="0"/>
              <w:spacing w:after="0"/>
              <w:jc w:val="center"/>
              <w:rPr>
                <w:rFonts w:ascii="Cambria" w:hAnsi="Cambria"/>
                <w:b/>
              </w:rPr>
            </w:pPr>
            <w:r w:rsidRPr="003A6760">
              <w:rPr>
                <w:rFonts w:ascii="Cambria" w:hAnsi="Cambria"/>
                <w:b/>
              </w:rPr>
              <w:t>июнь</w:t>
            </w:r>
          </w:p>
          <w:p w:rsidR="00B12755" w:rsidRPr="003A6760" w:rsidRDefault="00B12755" w:rsidP="00192166">
            <w:pPr>
              <w:pStyle w:val="33"/>
              <w:widowControl w:val="0"/>
              <w:spacing w:after="0"/>
              <w:jc w:val="center"/>
              <w:rPr>
                <w:rFonts w:ascii="Cambria" w:hAnsi="Cambria"/>
                <w:b/>
              </w:rPr>
            </w:pPr>
            <w:r w:rsidRPr="003A6760">
              <w:rPr>
                <w:rFonts w:ascii="Cambria" w:hAnsi="Cambria"/>
                <w:b/>
              </w:rPr>
              <w:t>2015 г.</w:t>
            </w:r>
          </w:p>
          <w:p w:rsidR="00B12755" w:rsidRPr="003A6760" w:rsidRDefault="00B12755" w:rsidP="00192166">
            <w:pPr>
              <w:pStyle w:val="33"/>
              <w:widowControl w:val="0"/>
              <w:spacing w:after="0"/>
              <w:jc w:val="center"/>
              <w:rPr>
                <w:rFonts w:ascii="Cambria" w:hAnsi="Cambria"/>
                <w:b/>
              </w:rPr>
            </w:pPr>
            <w:r w:rsidRPr="003A6760">
              <w:rPr>
                <w:rFonts w:ascii="Cambria" w:hAnsi="Cambria"/>
                <w:b/>
              </w:rPr>
              <w:t>в % к</w:t>
            </w:r>
          </w:p>
          <w:p w:rsidR="00B12755" w:rsidRPr="003A6760" w:rsidRDefault="00B12755" w:rsidP="00192166">
            <w:pPr>
              <w:widowControl w:val="0"/>
              <w:jc w:val="center"/>
              <w:rPr>
                <w:rFonts w:ascii="Cambria" w:hAnsi="Cambria"/>
                <w:b/>
                <w:sz w:val="16"/>
                <w:szCs w:val="16"/>
              </w:rPr>
            </w:pPr>
            <w:r w:rsidRPr="003A6760">
              <w:rPr>
                <w:rFonts w:ascii="Cambria" w:hAnsi="Cambria"/>
                <w:b/>
                <w:sz w:val="16"/>
                <w:szCs w:val="16"/>
              </w:rPr>
              <w:t>январ</w:t>
            </w:r>
            <w:proofErr w:type="gramStart"/>
            <w:r w:rsidRPr="003A6760">
              <w:rPr>
                <w:rFonts w:ascii="Cambria" w:hAnsi="Cambria"/>
                <w:b/>
                <w:sz w:val="16"/>
                <w:szCs w:val="16"/>
              </w:rPr>
              <w:t>ю-</w:t>
            </w:r>
            <w:proofErr w:type="gramEnd"/>
            <w:r w:rsidRPr="003A6760">
              <w:rPr>
                <w:rFonts w:ascii="Cambria" w:hAnsi="Cambria"/>
                <w:b/>
                <w:sz w:val="16"/>
                <w:szCs w:val="16"/>
              </w:rPr>
              <w:br/>
              <w:t>июню  201</w:t>
            </w:r>
            <w:r>
              <w:rPr>
                <w:rFonts w:ascii="Cambria" w:hAnsi="Cambria"/>
                <w:b/>
                <w:sz w:val="16"/>
                <w:szCs w:val="16"/>
              </w:rPr>
              <w:t>6</w:t>
            </w:r>
            <w:r w:rsidRPr="003A6760">
              <w:rPr>
                <w:rFonts w:ascii="Cambria" w:hAnsi="Cambria"/>
                <w:b/>
                <w:sz w:val="16"/>
                <w:szCs w:val="16"/>
              </w:rPr>
              <w:t xml:space="preserve"> г.</w:t>
            </w:r>
          </w:p>
        </w:tc>
      </w:tr>
      <w:tr w:rsidR="00B12755" w:rsidRPr="003A6760" w:rsidTr="009E33BE">
        <w:trPr>
          <w:cantSplit/>
          <w:trHeight w:val="170"/>
        </w:trPr>
        <w:tc>
          <w:tcPr>
            <w:tcW w:w="1620" w:type="pct"/>
            <w:hideMark/>
          </w:tcPr>
          <w:p w:rsidR="00B12755" w:rsidRPr="003A6760" w:rsidRDefault="00B12755" w:rsidP="00192166">
            <w:pPr>
              <w:pStyle w:val="a7"/>
              <w:widowControl w:val="0"/>
              <w:tabs>
                <w:tab w:val="left" w:pos="708"/>
              </w:tabs>
              <w:rPr>
                <w:rFonts w:ascii="Cambria" w:hAnsi="Cambria"/>
                <w:sz w:val="16"/>
                <w:szCs w:val="16"/>
              </w:rPr>
            </w:pPr>
            <w:r w:rsidRPr="003A6760">
              <w:rPr>
                <w:rFonts w:ascii="Cambria" w:hAnsi="Cambria"/>
                <w:sz w:val="16"/>
                <w:szCs w:val="16"/>
              </w:rPr>
              <w:t xml:space="preserve">Индекс </w:t>
            </w:r>
            <w:proofErr w:type="gramStart"/>
            <w:r w:rsidRPr="003A6760">
              <w:rPr>
                <w:rFonts w:ascii="Cambria" w:hAnsi="Cambria"/>
                <w:sz w:val="16"/>
                <w:szCs w:val="16"/>
              </w:rPr>
              <w:t>промышленного</w:t>
            </w:r>
            <w:proofErr w:type="gramEnd"/>
          </w:p>
          <w:p w:rsidR="00B12755" w:rsidRPr="003A6760" w:rsidRDefault="00B12755" w:rsidP="00192166">
            <w:pPr>
              <w:widowControl w:val="0"/>
              <w:rPr>
                <w:rFonts w:ascii="Cambria" w:hAnsi="Cambria"/>
                <w:sz w:val="16"/>
                <w:szCs w:val="16"/>
                <w:vertAlign w:val="superscript"/>
              </w:rPr>
            </w:pPr>
            <w:r w:rsidRPr="003A6760">
              <w:rPr>
                <w:rFonts w:ascii="Cambria" w:hAnsi="Cambria"/>
                <w:sz w:val="16"/>
                <w:szCs w:val="16"/>
              </w:rPr>
              <w:t xml:space="preserve">  производства</w:t>
            </w:r>
            <w:proofErr w:type="gramStart"/>
            <w:r w:rsidRPr="003A6760">
              <w:rPr>
                <w:rFonts w:ascii="Cambria" w:hAnsi="Cambria"/>
                <w:sz w:val="16"/>
                <w:szCs w:val="16"/>
                <w:vertAlign w:val="superscript"/>
              </w:rPr>
              <w:t>1</w:t>
            </w:r>
            <w:proofErr w:type="gramEnd"/>
            <w:r w:rsidRPr="003A6760">
              <w:rPr>
                <w:rFonts w:ascii="Cambria" w:hAnsi="Cambria"/>
                <w:sz w:val="16"/>
                <w:szCs w:val="16"/>
                <w:vertAlign w:val="superscript"/>
              </w:rPr>
              <w:t>)</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98,5</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98,3</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96,4</w:t>
            </w: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Ввод в действие общей площади </w:t>
            </w:r>
          </w:p>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w:t>
            </w:r>
            <w:proofErr w:type="gramStart"/>
            <w:r w:rsidRPr="003A6760">
              <w:rPr>
                <w:rFonts w:ascii="Cambria" w:hAnsi="Cambria"/>
                <w:sz w:val="16"/>
                <w:szCs w:val="16"/>
              </w:rPr>
              <w:t xml:space="preserve">жилых домов (за счет  всех </w:t>
            </w:r>
            <w:proofErr w:type="gramEnd"/>
          </w:p>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источников финансирования),</w:t>
            </w:r>
          </w:p>
        </w:tc>
        <w:tc>
          <w:tcPr>
            <w:tcW w:w="3380" w:type="pct"/>
            <w:gridSpan w:val="5"/>
            <w:vAlign w:val="center"/>
          </w:tcPr>
          <w:p w:rsidR="00B12755" w:rsidRPr="003A6760" w:rsidRDefault="00B12755" w:rsidP="00192166">
            <w:pPr>
              <w:widowControl w:val="0"/>
              <w:jc w:val="center"/>
              <w:rPr>
                <w:rFonts w:ascii="Cambria" w:hAnsi="Cambria"/>
                <w:color w:val="000000"/>
                <w:sz w:val="16"/>
                <w:szCs w:val="16"/>
              </w:rPr>
            </w:pP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lastRenderedPageBreak/>
              <w:t xml:space="preserve">  тыс. кв. метров </w:t>
            </w:r>
          </w:p>
        </w:tc>
        <w:tc>
          <w:tcPr>
            <w:tcW w:w="648" w:type="pct"/>
            <w:vAlign w:val="center"/>
            <w:hideMark/>
          </w:tcPr>
          <w:p w:rsidR="00B12755" w:rsidRPr="003A6760" w:rsidRDefault="00B12755" w:rsidP="00192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82,4</w:t>
            </w:r>
          </w:p>
        </w:tc>
        <w:tc>
          <w:tcPr>
            <w:tcW w:w="648" w:type="pct"/>
            <w:vAlign w:val="center"/>
            <w:hideMark/>
          </w:tcPr>
          <w:p w:rsidR="00B12755" w:rsidRPr="003A6760" w:rsidRDefault="00B12755" w:rsidP="00192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94,3</w:t>
            </w:r>
          </w:p>
        </w:tc>
        <w:tc>
          <w:tcPr>
            <w:tcW w:w="606" w:type="pct"/>
            <w:vAlign w:val="center"/>
            <w:hideMark/>
          </w:tcPr>
          <w:p w:rsidR="00B12755" w:rsidRPr="003A6760" w:rsidRDefault="00B12755" w:rsidP="00192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542,3</w:t>
            </w:r>
          </w:p>
        </w:tc>
        <w:tc>
          <w:tcPr>
            <w:tcW w:w="690" w:type="pct"/>
            <w:vAlign w:val="center"/>
            <w:hideMark/>
          </w:tcPr>
          <w:p w:rsidR="00B12755" w:rsidRPr="003A6760" w:rsidRDefault="00B12755" w:rsidP="00192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102,1</w:t>
            </w:r>
          </w:p>
        </w:tc>
        <w:tc>
          <w:tcPr>
            <w:tcW w:w="789" w:type="pct"/>
            <w:vAlign w:val="center"/>
            <w:hideMark/>
          </w:tcPr>
          <w:p w:rsidR="00B12755" w:rsidRPr="003A6760" w:rsidRDefault="00B12755" w:rsidP="00192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131,7</w:t>
            </w: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Произведено в хозяйствах всех </w:t>
            </w:r>
          </w:p>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категорий</w:t>
            </w:r>
          </w:p>
        </w:tc>
        <w:tc>
          <w:tcPr>
            <w:tcW w:w="648" w:type="pct"/>
            <w:vAlign w:val="center"/>
          </w:tcPr>
          <w:p w:rsidR="00B12755" w:rsidRPr="003A6760" w:rsidRDefault="00B12755" w:rsidP="00192166">
            <w:pPr>
              <w:widowControl w:val="0"/>
              <w:jc w:val="center"/>
              <w:rPr>
                <w:rFonts w:ascii="Cambria" w:hAnsi="Cambria"/>
                <w:color w:val="000000"/>
                <w:sz w:val="16"/>
                <w:szCs w:val="16"/>
              </w:rPr>
            </w:pPr>
          </w:p>
        </w:tc>
        <w:tc>
          <w:tcPr>
            <w:tcW w:w="648" w:type="pct"/>
            <w:vAlign w:val="center"/>
          </w:tcPr>
          <w:p w:rsidR="00B12755" w:rsidRPr="003A6760" w:rsidRDefault="00B12755" w:rsidP="00192166">
            <w:pPr>
              <w:widowControl w:val="0"/>
              <w:jc w:val="center"/>
              <w:rPr>
                <w:rFonts w:ascii="Cambria" w:hAnsi="Cambria"/>
                <w:color w:val="000000"/>
                <w:sz w:val="16"/>
                <w:szCs w:val="16"/>
              </w:rPr>
            </w:pPr>
          </w:p>
        </w:tc>
        <w:tc>
          <w:tcPr>
            <w:tcW w:w="606" w:type="pct"/>
            <w:vAlign w:val="center"/>
          </w:tcPr>
          <w:p w:rsidR="00B12755" w:rsidRPr="003A6760" w:rsidRDefault="00B12755" w:rsidP="00192166">
            <w:pPr>
              <w:widowControl w:val="0"/>
              <w:jc w:val="center"/>
              <w:rPr>
                <w:rFonts w:ascii="Cambria" w:hAnsi="Cambria"/>
                <w:color w:val="000000"/>
                <w:sz w:val="16"/>
                <w:szCs w:val="16"/>
              </w:rPr>
            </w:pPr>
          </w:p>
        </w:tc>
        <w:tc>
          <w:tcPr>
            <w:tcW w:w="690" w:type="pct"/>
            <w:vAlign w:val="center"/>
          </w:tcPr>
          <w:p w:rsidR="00B12755" w:rsidRPr="003A6760" w:rsidRDefault="00B12755" w:rsidP="00192166">
            <w:pPr>
              <w:widowControl w:val="0"/>
              <w:jc w:val="center"/>
              <w:rPr>
                <w:rFonts w:ascii="Cambria" w:hAnsi="Cambria"/>
                <w:color w:val="000000"/>
                <w:sz w:val="16"/>
                <w:szCs w:val="16"/>
              </w:rPr>
            </w:pPr>
          </w:p>
        </w:tc>
        <w:tc>
          <w:tcPr>
            <w:tcW w:w="789" w:type="pct"/>
            <w:vAlign w:val="center"/>
          </w:tcPr>
          <w:p w:rsidR="00B12755" w:rsidRPr="003A6760" w:rsidRDefault="00B12755" w:rsidP="00192166">
            <w:pPr>
              <w:widowControl w:val="0"/>
              <w:jc w:val="center"/>
              <w:rPr>
                <w:rFonts w:ascii="Cambria" w:hAnsi="Cambria"/>
                <w:color w:val="000000"/>
                <w:sz w:val="16"/>
                <w:szCs w:val="16"/>
              </w:rPr>
            </w:pP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скота и птицы на убой </w:t>
            </w:r>
          </w:p>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(в живом весе), тыс. тонн</w:t>
            </w:r>
          </w:p>
        </w:tc>
        <w:tc>
          <w:tcPr>
            <w:tcW w:w="648"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13,1</w:t>
            </w:r>
          </w:p>
        </w:tc>
        <w:tc>
          <w:tcPr>
            <w:tcW w:w="648"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132,5</w:t>
            </w:r>
          </w:p>
        </w:tc>
        <w:tc>
          <w:tcPr>
            <w:tcW w:w="606" w:type="pct"/>
            <w:vAlign w:val="center"/>
            <w:hideMark/>
          </w:tcPr>
          <w:p w:rsidR="00B12755" w:rsidRPr="003A6760" w:rsidRDefault="00B12755" w:rsidP="00192166">
            <w:pPr>
              <w:spacing w:line="270" w:lineRule="exact"/>
              <w:jc w:val="center"/>
              <w:rPr>
                <w:rFonts w:ascii="Cambria" w:hAnsi="Cambria"/>
                <w:sz w:val="16"/>
                <w:szCs w:val="16"/>
              </w:rPr>
            </w:pPr>
            <w:r w:rsidRPr="003A6760">
              <w:rPr>
                <w:rFonts w:ascii="Cambria" w:hAnsi="Cambria"/>
                <w:sz w:val="16"/>
                <w:szCs w:val="16"/>
              </w:rPr>
              <w:t>79,2</w:t>
            </w:r>
          </w:p>
        </w:tc>
        <w:tc>
          <w:tcPr>
            <w:tcW w:w="690" w:type="pct"/>
            <w:vAlign w:val="center"/>
            <w:hideMark/>
          </w:tcPr>
          <w:p w:rsidR="00B12755" w:rsidRPr="003A6760" w:rsidRDefault="00B12755" w:rsidP="00192166">
            <w:pPr>
              <w:spacing w:line="270" w:lineRule="exact"/>
              <w:jc w:val="center"/>
              <w:rPr>
                <w:rFonts w:ascii="Cambria" w:hAnsi="Cambria"/>
                <w:sz w:val="16"/>
                <w:szCs w:val="16"/>
              </w:rPr>
            </w:pPr>
            <w:r w:rsidRPr="003A6760">
              <w:rPr>
                <w:rFonts w:ascii="Cambria" w:hAnsi="Cambria"/>
                <w:sz w:val="16"/>
                <w:szCs w:val="16"/>
              </w:rPr>
              <w:t>121,9</w:t>
            </w:r>
          </w:p>
        </w:tc>
        <w:tc>
          <w:tcPr>
            <w:tcW w:w="789"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92,9</w:t>
            </w: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молока, тыс. тонн</w:t>
            </w:r>
          </w:p>
        </w:tc>
        <w:tc>
          <w:tcPr>
            <w:tcW w:w="648"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73,1</w:t>
            </w:r>
          </w:p>
        </w:tc>
        <w:tc>
          <w:tcPr>
            <w:tcW w:w="648"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97,1</w:t>
            </w:r>
          </w:p>
        </w:tc>
        <w:tc>
          <w:tcPr>
            <w:tcW w:w="606" w:type="pct"/>
            <w:vAlign w:val="center"/>
            <w:hideMark/>
          </w:tcPr>
          <w:p w:rsidR="00B12755" w:rsidRPr="003A6760" w:rsidRDefault="00B12755" w:rsidP="00192166">
            <w:pPr>
              <w:spacing w:line="270" w:lineRule="exact"/>
              <w:jc w:val="center"/>
              <w:rPr>
                <w:rFonts w:ascii="Cambria" w:hAnsi="Cambria"/>
                <w:sz w:val="16"/>
                <w:szCs w:val="16"/>
              </w:rPr>
            </w:pPr>
            <w:r w:rsidRPr="003A6760">
              <w:rPr>
                <w:rFonts w:ascii="Cambria" w:hAnsi="Cambria"/>
                <w:sz w:val="16"/>
                <w:szCs w:val="16"/>
              </w:rPr>
              <w:t>350,9</w:t>
            </w:r>
          </w:p>
        </w:tc>
        <w:tc>
          <w:tcPr>
            <w:tcW w:w="690" w:type="pct"/>
            <w:vAlign w:val="center"/>
            <w:hideMark/>
          </w:tcPr>
          <w:p w:rsidR="00B12755" w:rsidRPr="003A6760" w:rsidRDefault="00B12755" w:rsidP="00192166">
            <w:pPr>
              <w:spacing w:line="270" w:lineRule="exact"/>
              <w:jc w:val="center"/>
              <w:rPr>
                <w:rFonts w:ascii="Cambria" w:hAnsi="Cambria"/>
                <w:sz w:val="16"/>
                <w:szCs w:val="16"/>
              </w:rPr>
            </w:pPr>
            <w:r w:rsidRPr="003A6760">
              <w:rPr>
                <w:rFonts w:ascii="Cambria" w:hAnsi="Cambria"/>
                <w:sz w:val="16"/>
                <w:szCs w:val="16"/>
              </w:rPr>
              <w:t>98,5</w:t>
            </w:r>
          </w:p>
        </w:tc>
        <w:tc>
          <w:tcPr>
            <w:tcW w:w="789"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103,8</w:t>
            </w: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яиц, </w:t>
            </w:r>
            <w:proofErr w:type="gramStart"/>
            <w:r w:rsidRPr="003A6760">
              <w:rPr>
                <w:rFonts w:ascii="Cambria" w:hAnsi="Cambria"/>
                <w:sz w:val="16"/>
                <w:szCs w:val="16"/>
              </w:rPr>
              <w:t>млн</w:t>
            </w:r>
            <w:proofErr w:type="gramEnd"/>
            <w:r w:rsidRPr="003A6760">
              <w:rPr>
                <w:rFonts w:ascii="Cambria" w:hAnsi="Cambria"/>
                <w:sz w:val="16"/>
                <w:szCs w:val="16"/>
              </w:rPr>
              <w:t xml:space="preserve"> штук</w:t>
            </w:r>
          </w:p>
        </w:tc>
        <w:tc>
          <w:tcPr>
            <w:tcW w:w="648"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60,6</w:t>
            </w:r>
          </w:p>
        </w:tc>
        <w:tc>
          <w:tcPr>
            <w:tcW w:w="648"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89,2</w:t>
            </w:r>
          </w:p>
        </w:tc>
        <w:tc>
          <w:tcPr>
            <w:tcW w:w="606" w:type="pct"/>
            <w:vAlign w:val="center"/>
            <w:hideMark/>
          </w:tcPr>
          <w:p w:rsidR="00B12755" w:rsidRPr="003A6760" w:rsidRDefault="00B12755" w:rsidP="00192166">
            <w:pPr>
              <w:spacing w:line="270" w:lineRule="exact"/>
              <w:jc w:val="center"/>
              <w:rPr>
                <w:rFonts w:ascii="Cambria" w:hAnsi="Cambria"/>
                <w:sz w:val="16"/>
                <w:szCs w:val="16"/>
              </w:rPr>
            </w:pPr>
            <w:r w:rsidRPr="003A6760">
              <w:rPr>
                <w:rFonts w:ascii="Cambria" w:hAnsi="Cambria"/>
                <w:sz w:val="16"/>
                <w:szCs w:val="16"/>
              </w:rPr>
              <w:t>381,8</w:t>
            </w:r>
          </w:p>
        </w:tc>
        <w:tc>
          <w:tcPr>
            <w:tcW w:w="690" w:type="pct"/>
            <w:vAlign w:val="center"/>
            <w:hideMark/>
          </w:tcPr>
          <w:p w:rsidR="00B12755" w:rsidRPr="003A6760" w:rsidRDefault="00B12755" w:rsidP="00192166">
            <w:pPr>
              <w:spacing w:line="270" w:lineRule="exact"/>
              <w:jc w:val="center"/>
              <w:rPr>
                <w:rFonts w:ascii="Cambria" w:hAnsi="Cambria"/>
                <w:sz w:val="16"/>
                <w:szCs w:val="16"/>
              </w:rPr>
            </w:pPr>
            <w:r w:rsidRPr="003A6760">
              <w:rPr>
                <w:rFonts w:ascii="Cambria" w:hAnsi="Cambria"/>
                <w:sz w:val="16"/>
                <w:szCs w:val="16"/>
              </w:rPr>
              <w:t>90,1</w:t>
            </w:r>
          </w:p>
        </w:tc>
        <w:tc>
          <w:tcPr>
            <w:tcW w:w="789" w:type="pct"/>
            <w:vAlign w:val="center"/>
            <w:hideMark/>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107,2</w:t>
            </w: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Грузооборот </w:t>
            </w:r>
            <w:proofErr w:type="gramStart"/>
            <w:r w:rsidRPr="003A6760">
              <w:rPr>
                <w:rFonts w:ascii="Cambria" w:hAnsi="Cambria"/>
                <w:sz w:val="16"/>
                <w:szCs w:val="16"/>
              </w:rPr>
              <w:t>автомобильного</w:t>
            </w:r>
            <w:proofErr w:type="gramEnd"/>
            <w:r w:rsidRPr="003A6760">
              <w:rPr>
                <w:rFonts w:ascii="Cambria" w:hAnsi="Cambria"/>
                <w:sz w:val="16"/>
                <w:szCs w:val="16"/>
              </w:rPr>
              <w:t xml:space="preserve"> </w:t>
            </w:r>
          </w:p>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транспорта</w:t>
            </w:r>
            <w:r w:rsidRPr="003A6760">
              <w:rPr>
                <w:rFonts w:ascii="Cambria" w:hAnsi="Cambria"/>
                <w:sz w:val="16"/>
                <w:szCs w:val="16"/>
                <w:vertAlign w:val="superscript"/>
              </w:rPr>
              <w:t>2)</w:t>
            </w:r>
            <w:r w:rsidRPr="003A6760">
              <w:rPr>
                <w:rFonts w:ascii="Cambria" w:hAnsi="Cambria"/>
                <w:sz w:val="16"/>
                <w:szCs w:val="16"/>
              </w:rPr>
              <w:t xml:space="preserve">, </w:t>
            </w:r>
            <w:proofErr w:type="gramStart"/>
            <w:r w:rsidRPr="003A6760">
              <w:rPr>
                <w:rFonts w:ascii="Cambria" w:hAnsi="Cambria"/>
                <w:sz w:val="16"/>
                <w:szCs w:val="16"/>
              </w:rPr>
              <w:t>млн</w:t>
            </w:r>
            <w:proofErr w:type="gramEnd"/>
            <w:r w:rsidRPr="003A6760">
              <w:rPr>
                <w:rFonts w:ascii="Cambria" w:hAnsi="Cambria"/>
                <w:sz w:val="16"/>
                <w:szCs w:val="16"/>
              </w:rPr>
              <w:t xml:space="preserve"> т-км</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81,3</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88,4</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511,4</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78,6</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80,2</w:t>
            </w: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Оборот розничной торговли,    </w:t>
            </w:r>
          </w:p>
          <w:p w:rsidR="00B12755" w:rsidRPr="003A6760" w:rsidRDefault="00B12755" w:rsidP="00192166">
            <w:pPr>
              <w:pStyle w:val="a7"/>
              <w:widowControl w:val="0"/>
              <w:tabs>
                <w:tab w:val="left" w:pos="708"/>
              </w:tabs>
              <w:rPr>
                <w:rFonts w:ascii="Cambria" w:hAnsi="Cambria"/>
                <w:sz w:val="16"/>
                <w:szCs w:val="16"/>
              </w:rPr>
            </w:pPr>
            <w:r w:rsidRPr="003A6760">
              <w:rPr>
                <w:rFonts w:ascii="Cambria" w:hAnsi="Cambria"/>
                <w:sz w:val="16"/>
                <w:szCs w:val="16"/>
              </w:rPr>
              <w:t xml:space="preserve">  </w:t>
            </w:r>
            <w:proofErr w:type="gramStart"/>
            <w:r w:rsidRPr="003A6760">
              <w:rPr>
                <w:rFonts w:ascii="Cambria" w:hAnsi="Cambria"/>
                <w:sz w:val="16"/>
                <w:szCs w:val="16"/>
              </w:rPr>
              <w:t>млрд</w:t>
            </w:r>
            <w:proofErr w:type="gramEnd"/>
            <w:r w:rsidRPr="003A6760">
              <w:rPr>
                <w:rFonts w:ascii="Cambria" w:hAnsi="Cambria"/>
                <w:sz w:val="16"/>
                <w:szCs w:val="16"/>
              </w:rPr>
              <w:t xml:space="preserve"> рублей</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40,3</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96,2</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234,9</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95,5</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85,8</w:t>
            </w:r>
          </w:p>
        </w:tc>
      </w:tr>
      <w:tr w:rsidR="00B12755" w:rsidRPr="003A6760" w:rsidTr="009E33BE">
        <w:trPr>
          <w:cantSplit/>
          <w:trHeight w:val="170"/>
        </w:trPr>
        <w:tc>
          <w:tcPr>
            <w:tcW w:w="1620" w:type="pct"/>
            <w:hideMark/>
          </w:tcPr>
          <w:p w:rsidR="00B12755" w:rsidRPr="003A6760" w:rsidRDefault="00B12755" w:rsidP="00192166">
            <w:pPr>
              <w:pStyle w:val="affe"/>
              <w:widowControl w:val="0"/>
              <w:rPr>
                <w:rFonts w:ascii="Cambria" w:hAnsi="Cambria"/>
                <w:sz w:val="16"/>
                <w:szCs w:val="16"/>
              </w:rPr>
            </w:pPr>
            <w:r w:rsidRPr="003A6760">
              <w:rPr>
                <w:rFonts w:ascii="Cambria" w:hAnsi="Cambria"/>
                <w:sz w:val="16"/>
                <w:szCs w:val="16"/>
              </w:rPr>
              <w:t xml:space="preserve">Объем платных услуг населению, </w:t>
            </w:r>
          </w:p>
          <w:p w:rsidR="00B12755" w:rsidRPr="003A6760" w:rsidRDefault="00B12755" w:rsidP="00192166">
            <w:pPr>
              <w:pStyle w:val="affe"/>
              <w:widowControl w:val="0"/>
              <w:rPr>
                <w:rFonts w:ascii="Cambria" w:hAnsi="Cambria"/>
                <w:sz w:val="16"/>
                <w:szCs w:val="16"/>
              </w:rPr>
            </w:pPr>
            <w:r w:rsidRPr="003A6760">
              <w:rPr>
                <w:rFonts w:ascii="Cambria" w:hAnsi="Cambria"/>
                <w:sz w:val="16"/>
                <w:szCs w:val="16"/>
              </w:rPr>
              <w:t xml:space="preserve">  </w:t>
            </w:r>
            <w:proofErr w:type="gramStart"/>
            <w:r w:rsidRPr="003A6760">
              <w:rPr>
                <w:rFonts w:ascii="Cambria" w:hAnsi="Cambria"/>
                <w:sz w:val="16"/>
                <w:szCs w:val="16"/>
              </w:rPr>
              <w:t>млрд</w:t>
            </w:r>
            <w:proofErr w:type="gramEnd"/>
            <w:r w:rsidRPr="003A6760">
              <w:rPr>
                <w:rFonts w:ascii="Cambria" w:hAnsi="Cambria"/>
                <w:sz w:val="16"/>
                <w:szCs w:val="16"/>
              </w:rPr>
              <w:t xml:space="preserve"> рублей</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11,4</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98,6</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63,0</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95,9</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92,0</w:t>
            </w:r>
          </w:p>
        </w:tc>
      </w:tr>
      <w:tr w:rsidR="00B12755" w:rsidRPr="003A6760" w:rsidTr="009E33BE">
        <w:trPr>
          <w:cantSplit/>
          <w:trHeight w:val="170"/>
        </w:trPr>
        <w:tc>
          <w:tcPr>
            <w:tcW w:w="1620" w:type="pct"/>
          </w:tcPr>
          <w:p w:rsidR="00B12755" w:rsidRPr="003A6760" w:rsidRDefault="00B12755" w:rsidP="00192166">
            <w:pPr>
              <w:pStyle w:val="affe"/>
              <w:widowControl w:val="0"/>
              <w:rPr>
                <w:rFonts w:ascii="Cambria" w:hAnsi="Cambria"/>
                <w:sz w:val="16"/>
                <w:szCs w:val="16"/>
              </w:rPr>
            </w:pPr>
            <w:proofErr w:type="gramStart"/>
            <w:r w:rsidRPr="003A6760">
              <w:rPr>
                <w:rFonts w:ascii="Cambria" w:hAnsi="Cambria"/>
                <w:sz w:val="16"/>
                <w:szCs w:val="16"/>
              </w:rPr>
              <w:t>Среднемесячная начисленная заработная плата одного работника</w:t>
            </w:r>
            <w:r w:rsidRPr="003A6760">
              <w:rPr>
                <w:rFonts w:ascii="Cambria" w:hAnsi="Cambria"/>
                <w:sz w:val="16"/>
                <w:szCs w:val="16"/>
                <w:vertAlign w:val="superscript"/>
              </w:rPr>
              <w:t>3)</w:t>
            </w:r>
            <w:proofErr w:type="gramEnd"/>
          </w:p>
        </w:tc>
        <w:tc>
          <w:tcPr>
            <w:tcW w:w="3380" w:type="pct"/>
            <w:gridSpan w:val="5"/>
            <w:vAlign w:val="center"/>
          </w:tcPr>
          <w:p w:rsidR="00B12755" w:rsidRPr="003A6760" w:rsidRDefault="00B12755" w:rsidP="00192166">
            <w:pPr>
              <w:widowControl w:val="0"/>
              <w:jc w:val="center"/>
              <w:rPr>
                <w:rFonts w:ascii="Cambria" w:hAnsi="Cambria"/>
                <w:sz w:val="16"/>
                <w:szCs w:val="16"/>
              </w:rPr>
            </w:pP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proofErr w:type="gramStart"/>
            <w:r w:rsidRPr="003A6760">
              <w:rPr>
                <w:rFonts w:ascii="Cambria" w:hAnsi="Cambria"/>
                <w:sz w:val="16"/>
                <w:szCs w:val="16"/>
              </w:rPr>
              <w:t>номинальная</w:t>
            </w:r>
            <w:proofErr w:type="gramEnd"/>
            <w:r w:rsidRPr="003A6760">
              <w:rPr>
                <w:rFonts w:ascii="Cambria" w:hAnsi="Cambria"/>
                <w:sz w:val="16"/>
                <w:szCs w:val="16"/>
              </w:rPr>
              <w:t>, рублей</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40963,7</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108,5</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37198,7</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105,8</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104,9</w:t>
            </w: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реальная</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102,4</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99,5</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92,4</w:t>
            </w:r>
          </w:p>
        </w:tc>
      </w:tr>
      <w:tr w:rsidR="00B12755" w:rsidRPr="003A6760" w:rsidTr="009E33BE">
        <w:trPr>
          <w:cantSplit/>
          <w:trHeight w:val="170"/>
        </w:trPr>
        <w:tc>
          <w:tcPr>
            <w:tcW w:w="1620" w:type="pct"/>
            <w:hideMark/>
          </w:tcPr>
          <w:p w:rsidR="00B12755" w:rsidRPr="003A6760" w:rsidRDefault="00B12755" w:rsidP="00192166">
            <w:pPr>
              <w:pStyle w:val="7"/>
              <w:widowControl w:val="0"/>
              <w:spacing w:before="0" w:after="0"/>
              <w:rPr>
                <w:rFonts w:ascii="Cambria" w:hAnsi="Cambria"/>
                <w:sz w:val="16"/>
                <w:szCs w:val="16"/>
              </w:rPr>
            </w:pPr>
            <w:r w:rsidRPr="003A6760">
              <w:rPr>
                <w:rFonts w:ascii="Cambria" w:hAnsi="Cambria"/>
                <w:sz w:val="16"/>
                <w:szCs w:val="16"/>
              </w:rPr>
              <w:t xml:space="preserve">Численность официально </w:t>
            </w:r>
          </w:p>
          <w:p w:rsidR="00B12755" w:rsidRPr="003A6760" w:rsidRDefault="00B12755" w:rsidP="00192166">
            <w:pPr>
              <w:pStyle w:val="7"/>
              <w:widowControl w:val="0"/>
              <w:spacing w:before="0" w:after="0"/>
              <w:rPr>
                <w:rFonts w:ascii="Cambria" w:hAnsi="Cambria"/>
                <w:sz w:val="16"/>
                <w:szCs w:val="16"/>
              </w:rPr>
            </w:pPr>
            <w:r w:rsidRPr="003A6760">
              <w:rPr>
                <w:rFonts w:ascii="Cambria" w:hAnsi="Cambria"/>
                <w:sz w:val="16"/>
                <w:szCs w:val="16"/>
              </w:rPr>
              <w:t xml:space="preserve">  зарегистрированных безработных</w:t>
            </w:r>
          </w:p>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  на конец периода, тыс. человек </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20,5</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100,8</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105,8</w:t>
            </w:r>
          </w:p>
        </w:tc>
      </w:tr>
      <w:tr w:rsidR="00B12755" w:rsidRPr="003A6760" w:rsidTr="009E33BE">
        <w:trPr>
          <w:cantSplit/>
          <w:trHeight w:val="170"/>
        </w:trPr>
        <w:tc>
          <w:tcPr>
            <w:tcW w:w="1620" w:type="pct"/>
            <w:hideMark/>
          </w:tcPr>
          <w:p w:rsidR="00B12755" w:rsidRPr="003A6760" w:rsidRDefault="00B12755" w:rsidP="00192166">
            <w:pPr>
              <w:pStyle w:val="a7"/>
              <w:widowControl w:val="0"/>
              <w:tabs>
                <w:tab w:val="left" w:pos="708"/>
              </w:tabs>
              <w:rPr>
                <w:rFonts w:ascii="Cambria" w:hAnsi="Cambria"/>
                <w:sz w:val="16"/>
                <w:szCs w:val="16"/>
              </w:rPr>
            </w:pPr>
            <w:r w:rsidRPr="003A6760">
              <w:rPr>
                <w:rFonts w:ascii="Cambria" w:hAnsi="Cambria"/>
                <w:sz w:val="16"/>
                <w:szCs w:val="16"/>
              </w:rPr>
              <w:t xml:space="preserve">Просроченная задолженность </w:t>
            </w:r>
            <w:proofErr w:type="gramStart"/>
            <w:r w:rsidRPr="003A6760">
              <w:rPr>
                <w:rFonts w:ascii="Cambria" w:hAnsi="Cambria"/>
                <w:sz w:val="16"/>
                <w:szCs w:val="16"/>
              </w:rPr>
              <w:t>по</w:t>
            </w:r>
            <w:proofErr w:type="gramEnd"/>
            <w:r w:rsidRPr="003A6760">
              <w:rPr>
                <w:rFonts w:ascii="Cambria" w:hAnsi="Cambria"/>
                <w:sz w:val="16"/>
                <w:szCs w:val="16"/>
              </w:rPr>
              <w:t xml:space="preserve"> </w:t>
            </w:r>
          </w:p>
          <w:p w:rsidR="00B12755" w:rsidRPr="003A6760" w:rsidRDefault="00B12755" w:rsidP="00192166">
            <w:pPr>
              <w:pStyle w:val="a7"/>
              <w:widowControl w:val="0"/>
              <w:tabs>
                <w:tab w:val="left" w:pos="708"/>
              </w:tabs>
              <w:rPr>
                <w:rFonts w:ascii="Cambria" w:hAnsi="Cambria"/>
                <w:sz w:val="16"/>
                <w:szCs w:val="16"/>
              </w:rPr>
            </w:pPr>
            <w:r w:rsidRPr="003A6760">
              <w:rPr>
                <w:rFonts w:ascii="Cambria" w:hAnsi="Cambria"/>
                <w:sz w:val="16"/>
                <w:szCs w:val="16"/>
              </w:rPr>
              <w:t xml:space="preserve">  заработной плате на 01.06.2016, </w:t>
            </w:r>
          </w:p>
          <w:p w:rsidR="00B12755" w:rsidRPr="003A6760" w:rsidRDefault="00B12755" w:rsidP="00192166">
            <w:pPr>
              <w:pStyle w:val="a7"/>
              <w:widowControl w:val="0"/>
              <w:tabs>
                <w:tab w:val="left" w:pos="708"/>
              </w:tabs>
              <w:rPr>
                <w:rFonts w:ascii="Cambria" w:hAnsi="Cambria"/>
                <w:sz w:val="16"/>
                <w:szCs w:val="16"/>
              </w:rPr>
            </w:pPr>
            <w:r w:rsidRPr="003A6760">
              <w:rPr>
                <w:rFonts w:ascii="Cambria" w:hAnsi="Cambria"/>
                <w:sz w:val="16"/>
                <w:szCs w:val="16"/>
              </w:rPr>
              <w:t xml:space="preserve">  </w:t>
            </w:r>
            <w:proofErr w:type="gramStart"/>
            <w:r w:rsidRPr="003A6760">
              <w:rPr>
                <w:rFonts w:ascii="Cambria" w:hAnsi="Cambria"/>
                <w:sz w:val="16"/>
                <w:szCs w:val="16"/>
              </w:rPr>
              <w:t>млн</w:t>
            </w:r>
            <w:proofErr w:type="gramEnd"/>
            <w:r w:rsidRPr="003A6760">
              <w:rPr>
                <w:rFonts w:ascii="Cambria" w:hAnsi="Cambria"/>
                <w:sz w:val="16"/>
                <w:szCs w:val="16"/>
              </w:rPr>
              <w:t xml:space="preserve"> рублей</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87,8</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87,1</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142,2</w:t>
            </w:r>
          </w:p>
        </w:tc>
      </w:tr>
      <w:tr w:rsidR="00B12755" w:rsidRPr="003A6760" w:rsidTr="009E33BE">
        <w:trPr>
          <w:cantSplit/>
          <w:trHeight w:val="170"/>
        </w:trPr>
        <w:tc>
          <w:tcPr>
            <w:tcW w:w="1620" w:type="pct"/>
            <w:hideMark/>
          </w:tcPr>
          <w:p w:rsidR="00B12755" w:rsidRPr="003A6760" w:rsidRDefault="00B12755" w:rsidP="00192166">
            <w:pPr>
              <w:widowControl w:val="0"/>
              <w:rPr>
                <w:rFonts w:ascii="Cambria" w:hAnsi="Cambria"/>
                <w:sz w:val="16"/>
                <w:szCs w:val="16"/>
              </w:rPr>
            </w:pPr>
            <w:r w:rsidRPr="003A6760">
              <w:rPr>
                <w:rFonts w:ascii="Cambria" w:hAnsi="Cambria"/>
                <w:sz w:val="16"/>
                <w:szCs w:val="16"/>
              </w:rPr>
              <w:t xml:space="preserve">Реальные располагаемые </w:t>
            </w:r>
          </w:p>
          <w:p w:rsidR="00B12755" w:rsidRPr="003A6760" w:rsidRDefault="00B12755" w:rsidP="00192166">
            <w:pPr>
              <w:widowControl w:val="0"/>
              <w:rPr>
                <w:rFonts w:ascii="Cambria" w:hAnsi="Cambria"/>
                <w:sz w:val="16"/>
                <w:szCs w:val="16"/>
                <w:vertAlign w:val="superscript"/>
              </w:rPr>
            </w:pPr>
            <w:r w:rsidRPr="003A6760">
              <w:rPr>
                <w:rFonts w:ascii="Cambria" w:hAnsi="Cambria"/>
                <w:sz w:val="16"/>
                <w:szCs w:val="16"/>
              </w:rPr>
              <w:t xml:space="preserve">  денежные доходы  населения</w:t>
            </w:r>
            <w:r w:rsidRPr="003A6760">
              <w:rPr>
                <w:rFonts w:ascii="Cambria" w:hAnsi="Cambria"/>
                <w:sz w:val="16"/>
                <w:szCs w:val="16"/>
                <w:vertAlign w:val="superscript"/>
              </w:rPr>
              <w:t>3), 4)</w:t>
            </w:r>
          </w:p>
        </w:tc>
        <w:tc>
          <w:tcPr>
            <w:tcW w:w="648"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93,1</w:t>
            </w:r>
          </w:p>
        </w:tc>
        <w:tc>
          <w:tcPr>
            <w:tcW w:w="606"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99,5</w:t>
            </w:r>
          </w:p>
        </w:tc>
        <w:tc>
          <w:tcPr>
            <w:tcW w:w="789"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92,5</w:t>
            </w:r>
          </w:p>
        </w:tc>
      </w:tr>
      <w:tr w:rsidR="00B12755" w:rsidRPr="003A6760" w:rsidTr="009E33BE">
        <w:trPr>
          <w:cantSplit/>
          <w:trHeight w:val="170"/>
        </w:trPr>
        <w:tc>
          <w:tcPr>
            <w:tcW w:w="1620" w:type="pct"/>
            <w:vAlign w:val="bottom"/>
            <w:hideMark/>
          </w:tcPr>
          <w:p w:rsidR="00B12755" w:rsidRPr="003A6760" w:rsidRDefault="00B12755" w:rsidP="00192166">
            <w:pPr>
              <w:pStyle w:val="a7"/>
              <w:widowControl w:val="0"/>
              <w:tabs>
                <w:tab w:val="left" w:pos="708"/>
              </w:tabs>
              <w:rPr>
                <w:rFonts w:ascii="Cambria" w:hAnsi="Cambria"/>
                <w:sz w:val="16"/>
                <w:szCs w:val="16"/>
              </w:rPr>
            </w:pPr>
            <w:r w:rsidRPr="003A6760">
              <w:rPr>
                <w:rFonts w:ascii="Cambria" w:hAnsi="Cambria"/>
                <w:sz w:val="16"/>
                <w:szCs w:val="16"/>
              </w:rPr>
              <w:t>Индекс потребительских цен</w:t>
            </w:r>
          </w:p>
        </w:tc>
        <w:tc>
          <w:tcPr>
            <w:tcW w:w="648"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106,3</w:t>
            </w:r>
          </w:p>
        </w:tc>
        <w:tc>
          <w:tcPr>
            <w:tcW w:w="606"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106,3</w:t>
            </w:r>
          </w:p>
        </w:tc>
        <w:tc>
          <w:tcPr>
            <w:tcW w:w="789" w:type="pct"/>
            <w:vAlign w:val="center"/>
            <w:hideMark/>
          </w:tcPr>
          <w:p w:rsidR="00B12755" w:rsidRPr="003A6760" w:rsidRDefault="00B12755" w:rsidP="00192166">
            <w:pPr>
              <w:widowControl w:val="0"/>
              <w:spacing w:line="280" w:lineRule="exact"/>
              <w:jc w:val="center"/>
              <w:rPr>
                <w:rFonts w:ascii="Cambria" w:hAnsi="Cambria"/>
                <w:sz w:val="16"/>
                <w:szCs w:val="16"/>
              </w:rPr>
            </w:pPr>
            <w:r w:rsidRPr="003A6760">
              <w:rPr>
                <w:rFonts w:ascii="Cambria" w:hAnsi="Cambria"/>
                <w:sz w:val="16"/>
                <w:szCs w:val="16"/>
              </w:rPr>
              <w:t>113,3</w:t>
            </w:r>
          </w:p>
        </w:tc>
      </w:tr>
      <w:tr w:rsidR="00B12755" w:rsidRPr="003A6760" w:rsidTr="009E33BE">
        <w:trPr>
          <w:cantSplit/>
          <w:trHeight w:val="170"/>
        </w:trPr>
        <w:tc>
          <w:tcPr>
            <w:tcW w:w="1620" w:type="pct"/>
            <w:hideMark/>
          </w:tcPr>
          <w:p w:rsidR="00B12755" w:rsidRPr="003A6760" w:rsidRDefault="00B12755" w:rsidP="00192166">
            <w:pPr>
              <w:pStyle w:val="affe"/>
              <w:widowControl w:val="0"/>
              <w:rPr>
                <w:rFonts w:ascii="Cambria" w:hAnsi="Cambria"/>
                <w:sz w:val="16"/>
                <w:szCs w:val="16"/>
              </w:rPr>
            </w:pPr>
            <w:r w:rsidRPr="003A6760">
              <w:rPr>
                <w:rFonts w:ascii="Cambria" w:hAnsi="Cambria"/>
                <w:sz w:val="16"/>
                <w:szCs w:val="16"/>
              </w:rPr>
              <w:t xml:space="preserve">Индекс  цен  производителей </w:t>
            </w:r>
          </w:p>
          <w:p w:rsidR="00B12755" w:rsidRPr="003A6760" w:rsidRDefault="00B12755" w:rsidP="00192166">
            <w:pPr>
              <w:pStyle w:val="affe"/>
              <w:widowControl w:val="0"/>
              <w:rPr>
                <w:rFonts w:ascii="Cambria" w:hAnsi="Cambria"/>
                <w:sz w:val="16"/>
                <w:szCs w:val="16"/>
                <w:vertAlign w:val="superscript"/>
              </w:rPr>
            </w:pPr>
            <w:r w:rsidRPr="003A6760">
              <w:rPr>
                <w:rFonts w:ascii="Cambria" w:hAnsi="Cambria"/>
                <w:sz w:val="16"/>
                <w:szCs w:val="16"/>
              </w:rPr>
              <w:t xml:space="preserve">  промышленных товаров</w:t>
            </w:r>
            <w:proofErr w:type="gramStart"/>
            <w:r w:rsidRPr="003A6760">
              <w:rPr>
                <w:rFonts w:ascii="Cambria" w:hAnsi="Cambria"/>
                <w:sz w:val="16"/>
                <w:szCs w:val="16"/>
                <w:vertAlign w:val="superscript"/>
              </w:rPr>
              <w:t>1</w:t>
            </w:r>
            <w:proofErr w:type="gramEnd"/>
            <w:r w:rsidRPr="003A6760">
              <w:rPr>
                <w:rFonts w:ascii="Cambria" w:hAnsi="Cambria"/>
                <w:sz w:val="16"/>
                <w:szCs w:val="16"/>
                <w:vertAlign w:val="superscript"/>
              </w:rPr>
              <w:t>), 5)</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109,8</w:t>
            </w:r>
          </w:p>
        </w:tc>
        <w:tc>
          <w:tcPr>
            <w:tcW w:w="606"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103,1</w:t>
            </w:r>
          </w:p>
        </w:tc>
        <w:tc>
          <w:tcPr>
            <w:tcW w:w="789" w:type="pct"/>
            <w:vAlign w:val="center"/>
            <w:hideMark/>
          </w:tcPr>
          <w:p w:rsidR="00B12755" w:rsidRPr="003A6760" w:rsidRDefault="00B12755" w:rsidP="00192166">
            <w:pPr>
              <w:widowControl w:val="0"/>
              <w:spacing w:line="270" w:lineRule="exact"/>
              <w:jc w:val="center"/>
              <w:rPr>
                <w:rFonts w:ascii="Cambria" w:hAnsi="Cambria"/>
                <w:sz w:val="16"/>
                <w:szCs w:val="16"/>
              </w:rPr>
            </w:pPr>
            <w:r w:rsidRPr="003A6760">
              <w:rPr>
                <w:rFonts w:ascii="Cambria" w:hAnsi="Cambria"/>
                <w:sz w:val="16"/>
                <w:szCs w:val="16"/>
              </w:rPr>
              <w:t>124,5</w:t>
            </w:r>
          </w:p>
        </w:tc>
      </w:tr>
      <w:tr w:rsidR="00B12755" w:rsidRPr="003A6760" w:rsidTr="009E33BE">
        <w:trPr>
          <w:cantSplit/>
          <w:trHeight w:val="170"/>
        </w:trPr>
        <w:tc>
          <w:tcPr>
            <w:tcW w:w="1620" w:type="pct"/>
          </w:tcPr>
          <w:p w:rsidR="0070748F" w:rsidRPr="0070748F" w:rsidRDefault="0070748F" w:rsidP="0070748F">
            <w:pPr>
              <w:pStyle w:val="affe"/>
              <w:rPr>
                <w:rFonts w:ascii="Cambria" w:hAnsi="Cambria"/>
                <w:sz w:val="16"/>
                <w:szCs w:val="16"/>
              </w:rPr>
            </w:pPr>
            <w:r w:rsidRPr="0070748F">
              <w:rPr>
                <w:rFonts w:ascii="Cambria" w:hAnsi="Cambria"/>
                <w:sz w:val="16"/>
                <w:szCs w:val="16"/>
              </w:rPr>
              <w:t xml:space="preserve">Индекс выпуска товаров и услуг </w:t>
            </w:r>
          </w:p>
          <w:p w:rsidR="0070748F" w:rsidRPr="0070748F" w:rsidRDefault="0070748F" w:rsidP="0070748F">
            <w:pPr>
              <w:pStyle w:val="affe"/>
              <w:rPr>
                <w:rFonts w:ascii="Cambria" w:hAnsi="Cambria"/>
                <w:sz w:val="16"/>
                <w:szCs w:val="16"/>
              </w:rPr>
            </w:pPr>
            <w:r w:rsidRPr="0070748F">
              <w:rPr>
                <w:rFonts w:ascii="Cambria" w:hAnsi="Cambria"/>
                <w:sz w:val="16"/>
                <w:szCs w:val="16"/>
              </w:rPr>
              <w:t xml:space="preserve">  по базовым видам </w:t>
            </w:r>
            <w:proofErr w:type="gramStart"/>
            <w:r w:rsidRPr="0070748F">
              <w:rPr>
                <w:rFonts w:ascii="Cambria" w:hAnsi="Cambria"/>
                <w:sz w:val="16"/>
                <w:szCs w:val="16"/>
              </w:rPr>
              <w:t>экономической</w:t>
            </w:r>
            <w:proofErr w:type="gramEnd"/>
          </w:p>
          <w:p w:rsidR="00B12755" w:rsidRPr="003A6760" w:rsidRDefault="0070748F" w:rsidP="0070748F">
            <w:pPr>
              <w:pStyle w:val="affe"/>
              <w:widowControl w:val="0"/>
              <w:rPr>
                <w:rFonts w:ascii="Cambria" w:hAnsi="Cambria"/>
                <w:sz w:val="16"/>
                <w:szCs w:val="16"/>
              </w:rPr>
            </w:pPr>
            <w:r w:rsidRPr="0070748F">
              <w:rPr>
                <w:rFonts w:ascii="Cambria" w:hAnsi="Cambria"/>
                <w:sz w:val="16"/>
                <w:szCs w:val="16"/>
              </w:rPr>
              <w:t xml:space="preserve">  деятельности за I квартал 2016 г.</w:t>
            </w:r>
          </w:p>
        </w:tc>
        <w:tc>
          <w:tcPr>
            <w:tcW w:w="648" w:type="pct"/>
            <w:vAlign w:val="center"/>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tcPr>
          <w:p w:rsidR="00B12755" w:rsidRPr="003A6760" w:rsidRDefault="00B12755" w:rsidP="00192166">
            <w:pPr>
              <w:keepLines/>
              <w:widowControl w:val="0"/>
              <w:spacing w:line="270" w:lineRule="exact"/>
              <w:jc w:val="center"/>
              <w:rPr>
                <w:rFonts w:ascii="Cambria" w:hAnsi="Cambria"/>
                <w:sz w:val="16"/>
                <w:szCs w:val="16"/>
              </w:rPr>
            </w:pPr>
            <w:r w:rsidRPr="003A6760">
              <w:rPr>
                <w:rFonts w:ascii="Cambria" w:hAnsi="Cambria"/>
                <w:sz w:val="16"/>
                <w:szCs w:val="16"/>
              </w:rPr>
              <w:t>97,8</w:t>
            </w:r>
          </w:p>
        </w:tc>
        <w:tc>
          <w:tcPr>
            <w:tcW w:w="789" w:type="pct"/>
            <w:vAlign w:val="center"/>
          </w:tcPr>
          <w:p w:rsidR="00B12755" w:rsidRPr="003A6760" w:rsidRDefault="00B12755" w:rsidP="00192166">
            <w:pPr>
              <w:keepLines/>
              <w:widowControl w:val="0"/>
              <w:spacing w:line="270" w:lineRule="exact"/>
              <w:jc w:val="center"/>
              <w:rPr>
                <w:rFonts w:ascii="Cambria" w:hAnsi="Cambria"/>
                <w:sz w:val="16"/>
                <w:szCs w:val="16"/>
                <w:vertAlign w:val="superscript"/>
              </w:rPr>
            </w:pPr>
            <w:r w:rsidRPr="003A6760">
              <w:rPr>
                <w:rFonts w:ascii="Cambria" w:hAnsi="Cambria"/>
                <w:sz w:val="16"/>
                <w:szCs w:val="16"/>
              </w:rPr>
              <w:t>94,7</w:t>
            </w:r>
            <w:r w:rsidRPr="003A6760">
              <w:rPr>
                <w:rFonts w:ascii="Cambria" w:hAnsi="Cambria"/>
                <w:sz w:val="16"/>
                <w:szCs w:val="16"/>
                <w:vertAlign w:val="superscript"/>
              </w:rPr>
              <w:t>6)</w:t>
            </w:r>
          </w:p>
        </w:tc>
      </w:tr>
    </w:tbl>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lang w:val="en-US"/>
        </w:rPr>
        <w:t>I</w:t>
      </w:r>
      <w:r w:rsidRPr="00B647AA">
        <w:rPr>
          <w:rFonts w:ascii="Bookman Old Style" w:hAnsi="Bookman Old Style"/>
          <w:bCs/>
          <w:sz w:val="20"/>
          <w:szCs w:val="20"/>
        </w:rPr>
        <w:t xml:space="preserve"> квартал 2016 года показал что индекс промышленного производства составил 98</w:t>
      </w:r>
      <w:proofErr w:type="gramStart"/>
      <w:r w:rsidRPr="00B647AA">
        <w:rPr>
          <w:rFonts w:ascii="Bookman Old Style" w:hAnsi="Bookman Old Style"/>
          <w:bCs/>
          <w:sz w:val="20"/>
          <w:szCs w:val="20"/>
        </w:rPr>
        <w:t>,6</w:t>
      </w:r>
      <w:proofErr w:type="gramEnd"/>
      <w:r w:rsidRPr="00B647AA">
        <w:rPr>
          <w:rFonts w:ascii="Bookman Old Style" w:hAnsi="Bookman Old Style"/>
          <w:bCs/>
          <w:sz w:val="20"/>
          <w:szCs w:val="20"/>
        </w:rPr>
        <w:t>%. Сложившийся показатель обусловлен изменениями в основных промышленных видах деятельности. В добыче полезных ископаемых он составил 99,1%, в обрабатывающих  производствах – 97,4%, в энергетике – 105,4%.</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Выработка электроэнергии увеличилась на 4,7% к январю-марту 2015 года за счет увеличения ее выработки гидроэлектростанциями края на 13,6 %, в том числе </w:t>
      </w:r>
      <w:proofErr w:type="spellStart"/>
      <w:r w:rsidRPr="00B647AA">
        <w:rPr>
          <w:rFonts w:ascii="Bookman Old Style" w:hAnsi="Bookman Old Style"/>
          <w:bCs/>
          <w:sz w:val="20"/>
          <w:szCs w:val="20"/>
        </w:rPr>
        <w:t>Богучанская</w:t>
      </w:r>
      <w:proofErr w:type="spellEnd"/>
      <w:r w:rsidRPr="00B647AA">
        <w:rPr>
          <w:rFonts w:ascii="Bookman Old Style" w:hAnsi="Bookman Old Style"/>
          <w:bCs/>
          <w:sz w:val="20"/>
          <w:szCs w:val="20"/>
        </w:rPr>
        <w:t xml:space="preserve"> ГЭС увеличила производство электроэнергии в 1,3 раза (3,1 </w:t>
      </w:r>
      <w:proofErr w:type="gramStart"/>
      <w:r w:rsidRPr="00B647AA">
        <w:rPr>
          <w:rFonts w:ascii="Bookman Old Style" w:hAnsi="Bookman Old Style"/>
          <w:bCs/>
          <w:sz w:val="20"/>
          <w:szCs w:val="20"/>
        </w:rPr>
        <w:t>млрд</w:t>
      </w:r>
      <w:proofErr w:type="gramEnd"/>
      <w:r w:rsidRPr="00B647AA">
        <w:rPr>
          <w:rFonts w:ascii="Bookman Old Style" w:hAnsi="Bookman Old Style"/>
          <w:bCs/>
          <w:sz w:val="20"/>
          <w:szCs w:val="20"/>
        </w:rPr>
        <w:t xml:space="preserve"> кВт*ч), Красноярская ГЭС - на 8,0% (выработано 3,7 млрд кВт*ч).</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В обрабатывающих производствах увеличение выпуска продукции отмечено в 6 из 14 видов деятельности. Положительными результатами характеризуется производство пищевых продуктов (108,6%), машин и оборудования (107%), нефтепродуктов (101,2%).</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Также положительная динамика производства сложилась в химическом производстве (113,5 %), в производстве электрооборудования, электронного и оптического оборудования (110,3%).</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В сельском хозяйстве края объем произведенной продукции в хозяйствах всех категорий составил 8,8 </w:t>
      </w:r>
      <w:proofErr w:type="gramStart"/>
      <w:r w:rsidRPr="00B647AA">
        <w:rPr>
          <w:rFonts w:ascii="Bookman Old Style" w:hAnsi="Bookman Old Style"/>
          <w:bCs/>
          <w:sz w:val="20"/>
          <w:szCs w:val="20"/>
        </w:rPr>
        <w:t>млрд</w:t>
      </w:r>
      <w:proofErr w:type="gramEnd"/>
      <w:r w:rsidRPr="00B647AA">
        <w:rPr>
          <w:rFonts w:ascii="Bookman Old Style" w:hAnsi="Bookman Old Style"/>
          <w:bCs/>
          <w:sz w:val="20"/>
          <w:szCs w:val="20"/>
        </w:rPr>
        <w:t xml:space="preserve"> рублей. В сопоставимых ценах рост составил 107,1%, что обусловлено развитием отрасли животноводства. В январе-марте текущего года относительно аналогичного периода 2015 года производство скота и птицы на убой в хозяйствах всех категорий увеличилось на 13,6% (39,5 тыс. тонн), в том числе в сельскохозяйственных организациях – на 28,4% (21,9 тыс. тонн).</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proofErr w:type="gramStart"/>
      <w:r w:rsidRPr="00B647AA">
        <w:rPr>
          <w:rFonts w:ascii="Bookman Old Style" w:hAnsi="Bookman Old Style"/>
          <w:bCs/>
          <w:sz w:val="20"/>
          <w:szCs w:val="20"/>
        </w:rPr>
        <w:t xml:space="preserve">В хозяйствах всех категорий увеличено производство молока на 0,3% за счет роста продуктивности коров (надой на одну корову в </w:t>
      </w:r>
      <w:proofErr w:type="spellStart"/>
      <w:r w:rsidRPr="00B647AA">
        <w:rPr>
          <w:rFonts w:ascii="Bookman Old Style" w:hAnsi="Bookman Old Style"/>
          <w:bCs/>
          <w:sz w:val="20"/>
          <w:szCs w:val="20"/>
        </w:rPr>
        <w:t>сельхозорганизациях</w:t>
      </w:r>
      <w:proofErr w:type="spellEnd"/>
      <w:r w:rsidRPr="00B647AA">
        <w:rPr>
          <w:rFonts w:ascii="Bookman Old Style" w:hAnsi="Bookman Old Style"/>
          <w:bCs/>
          <w:sz w:val="20"/>
          <w:szCs w:val="20"/>
        </w:rPr>
        <w:t xml:space="preserve"> увеличился до 1341 кг (на 3,6% по сравнению с первым кварталом 2015 года).</w:t>
      </w:r>
      <w:proofErr w:type="gramEnd"/>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Объем работ в строительстве в январе-марте 2016 года составил 31,9 </w:t>
      </w:r>
      <w:proofErr w:type="gramStart"/>
      <w:r w:rsidRPr="00B647AA">
        <w:rPr>
          <w:rFonts w:ascii="Bookman Old Style" w:hAnsi="Bookman Old Style"/>
          <w:bCs/>
          <w:sz w:val="20"/>
          <w:szCs w:val="20"/>
        </w:rPr>
        <w:t>млрд</w:t>
      </w:r>
      <w:proofErr w:type="gramEnd"/>
      <w:r w:rsidRPr="00B647AA">
        <w:rPr>
          <w:rFonts w:ascii="Bookman Old Style" w:hAnsi="Bookman Old Style"/>
          <w:bCs/>
          <w:sz w:val="20"/>
          <w:szCs w:val="20"/>
        </w:rPr>
        <w:t xml:space="preserve"> рублей или 97,9% к соответствующему периоду прошлого года.</w:t>
      </w:r>
    </w:p>
    <w:p w:rsidR="00393105" w:rsidRPr="003C4D01" w:rsidRDefault="00B12755" w:rsidP="00B12755">
      <w:pPr>
        <w:spacing w:before="120" w:after="120"/>
        <w:ind w:firstLine="709"/>
        <w:jc w:val="both"/>
        <w:rPr>
          <w:rFonts w:ascii="Bookman Old Style" w:hAnsi="Bookman Old Style"/>
          <w:sz w:val="20"/>
          <w:szCs w:val="20"/>
        </w:rPr>
      </w:pPr>
      <w:proofErr w:type="gramStart"/>
      <w:r w:rsidRPr="00B647AA">
        <w:rPr>
          <w:rFonts w:ascii="Bookman Old Style" w:hAnsi="Bookman Old Style"/>
          <w:bCs/>
          <w:sz w:val="20"/>
          <w:szCs w:val="20"/>
        </w:rPr>
        <w:t>Инфляция на потребительском рынке края за март 2016 года по краю сложилась на уровне 101,9% (по отношению к декабрю 2015 года), что ниже уровня аналогичного показателя прошлого года (106,5%)</w:t>
      </w:r>
      <w:r w:rsidR="00393105" w:rsidRPr="003C4D01">
        <w:rPr>
          <w:rFonts w:ascii="Bookman Old Style" w:hAnsi="Bookman Old Style"/>
          <w:sz w:val="20"/>
          <w:szCs w:val="20"/>
        </w:rPr>
        <w:t>).</w:t>
      </w:r>
      <w:proofErr w:type="gramEnd"/>
    </w:p>
    <w:p w:rsidR="00C02CBD" w:rsidRPr="00BD39DF" w:rsidRDefault="00C02CBD" w:rsidP="00C02CBD">
      <w:pPr>
        <w:pStyle w:val="3"/>
        <w:spacing w:after="120"/>
        <w:jc w:val="left"/>
        <w:rPr>
          <w:rFonts w:ascii="Bookman Old Style" w:hAnsi="Bookman Old Style"/>
          <w:sz w:val="20"/>
          <w:szCs w:val="20"/>
        </w:rPr>
      </w:pPr>
      <w:bookmarkStart w:id="188" w:name="_Toc461375574"/>
      <w:r w:rsidRPr="00BD39DF">
        <w:rPr>
          <w:rFonts w:ascii="Bookman Old Style" w:hAnsi="Bookman Old Style"/>
          <w:sz w:val="20"/>
          <w:szCs w:val="20"/>
        </w:rPr>
        <w:lastRenderedPageBreak/>
        <w:t>4.2.3. Выводы</w:t>
      </w:r>
      <w:bookmarkEnd w:id="188"/>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По оценке Минэкономразвития России, снижение ВВП в мае по сравнению с маем 2015 г. составило 0,8 %, за январь-май ВВП сократился на 1,0 % к соответствующему периоду прошлого года. Предполагается, что в дальнейшем темпы роста экономики повысятся до 1,9% в 2017 году и до 2,4% в 2018 году.</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 xml:space="preserve">В свою очередь, согласно целевому варианту, российская экономика выйдет на траекторию устойчивого роста с темпами, не ниже </w:t>
      </w:r>
      <w:proofErr w:type="gramStart"/>
      <w:r w:rsidRPr="00B647AA">
        <w:rPr>
          <w:rFonts w:ascii="Bookman Old Style" w:hAnsi="Bookman Old Style"/>
          <w:sz w:val="20"/>
          <w:szCs w:val="20"/>
        </w:rPr>
        <w:t>среднемировых</w:t>
      </w:r>
      <w:proofErr w:type="gramEnd"/>
      <w:r w:rsidRPr="00B647AA">
        <w:rPr>
          <w:rFonts w:ascii="Bookman Old Style" w:hAnsi="Bookman Old Style"/>
          <w:sz w:val="20"/>
          <w:szCs w:val="20"/>
        </w:rPr>
        <w:t xml:space="preserve">. </w:t>
      </w:r>
      <w:proofErr w:type="gramStart"/>
      <w:r w:rsidRPr="00B647AA">
        <w:rPr>
          <w:rFonts w:ascii="Bookman Old Style" w:hAnsi="Bookman Old Style"/>
          <w:sz w:val="20"/>
          <w:szCs w:val="20"/>
        </w:rPr>
        <w:t>Ожидается, что реализация основных мер, предусматриваемых целевым сценарием развития, позволит обеспечить увеличение темпов экономического роста на 1,5-2 процентных пункта по сравнению с базовым сценарием в 2017-2018 годах и перейти к 2020 году на устойчивую динамику экономического роста со средним темпом 4,5% в год, обеспечив при этом рост производительности труда не менее чем на 5% в год и достижение целевого</w:t>
      </w:r>
      <w:proofErr w:type="gramEnd"/>
      <w:r w:rsidRPr="00B647AA">
        <w:rPr>
          <w:rFonts w:ascii="Bookman Old Style" w:hAnsi="Bookman Old Style"/>
          <w:sz w:val="20"/>
          <w:szCs w:val="20"/>
        </w:rPr>
        <w:t xml:space="preserve"> уровня инфляции не выше 4%. </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 xml:space="preserve">В мае снижение инфляции приостановилось - прирост потребительских цен, как и в </w:t>
      </w:r>
      <w:proofErr w:type="gramStart"/>
      <w:r w:rsidRPr="00B647AA">
        <w:rPr>
          <w:rFonts w:ascii="Bookman Old Style" w:hAnsi="Bookman Old Style"/>
          <w:sz w:val="20"/>
          <w:szCs w:val="20"/>
        </w:rPr>
        <w:t>апреле</w:t>
      </w:r>
      <w:proofErr w:type="gramEnd"/>
      <w:r w:rsidRPr="00B647AA">
        <w:rPr>
          <w:rFonts w:ascii="Bookman Old Style" w:hAnsi="Bookman Old Style"/>
          <w:sz w:val="20"/>
          <w:szCs w:val="20"/>
        </w:rPr>
        <w:t xml:space="preserve"> составил 0,4 процента. За годовой период инфляция третий месяц подряд сохраняется на уровне 7,3 процента</w:t>
      </w:r>
      <w:proofErr w:type="gramStart"/>
      <w:r w:rsidRPr="00B647AA">
        <w:rPr>
          <w:rFonts w:ascii="Bookman Old Style" w:hAnsi="Bookman Old Style"/>
          <w:sz w:val="20"/>
          <w:szCs w:val="20"/>
        </w:rPr>
        <w:t xml:space="preserve">.. </w:t>
      </w:r>
      <w:proofErr w:type="gramEnd"/>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Также базовый сценарий предполагает продолжение действия санкций со стороны США и ЕС на протяжении всего прогнозного периода. Это означает сохранение ограничений доступа к мировому рынку капитала для российских компаний и достаточно высокий уровень чистого оттока капитала из частного сектора, связанный с погашением внешнего долга.</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 xml:space="preserve">В то же время на фоне высокого оттока капитала ожидается улучшение платежного баланса по счету текущих операций благодаря стабилизации экспорта при достаточно существенном снижении импорта товаров и услуг. </w:t>
      </w:r>
      <w:proofErr w:type="gramStart"/>
      <w:r w:rsidRPr="00B647AA">
        <w:rPr>
          <w:rFonts w:ascii="Bookman Old Style" w:hAnsi="Bookman Old Style"/>
          <w:sz w:val="20"/>
          <w:szCs w:val="20"/>
        </w:rPr>
        <w:t>Начиная с 2017 года приток капитала в российскую экономику будет превышать чистый отток</w:t>
      </w:r>
      <w:proofErr w:type="gramEnd"/>
      <w:r w:rsidRPr="00B647AA">
        <w:rPr>
          <w:rFonts w:ascii="Bookman Old Style" w:hAnsi="Bookman Old Style"/>
          <w:sz w:val="20"/>
          <w:szCs w:val="20"/>
        </w:rPr>
        <w:t xml:space="preserve"> по счету операций с капиталом. Это создает фундаментальные предпосылки для укрепления курса национальной валюты.</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 xml:space="preserve">Дефицит федерального бюджета на кассовой основе в январе-мае текущего года составил, по предварительным данным Минфина России, 1486,09 млрд. руб., или 4,7 % ВВП против 943,69 млрд. руб. (3,1 % ВВП) за аналогичный период годом ранее. Вместе с тем прогнозируемая динамика валютного курса и цен на нефть будет оказывать положительное влияние на доходы бюджета, что позволит в 2018 году перейти от расходования резервных фондов к их накоплению </w:t>
      </w:r>
    </w:p>
    <w:p w:rsidR="00B12755" w:rsidRPr="00B647AA" w:rsidRDefault="00B12755" w:rsidP="00B12755">
      <w:pPr>
        <w:spacing w:before="120" w:after="120"/>
        <w:ind w:firstLine="709"/>
        <w:jc w:val="both"/>
        <w:rPr>
          <w:rFonts w:ascii="Bookman Old Style" w:hAnsi="Bookman Old Style"/>
          <w:bCs/>
          <w:sz w:val="20"/>
          <w:szCs w:val="20"/>
        </w:rPr>
      </w:pPr>
      <w:r w:rsidRPr="00B647AA">
        <w:rPr>
          <w:rFonts w:ascii="Bookman Old Style" w:hAnsi="Bookman Old Style"/>
          <w:sz w:val="20"/>
          <w:szCs w:val="20"/>
        </w:rPr>
        <w:t xml:space="preserve">По прогнозу социально-экономического развития Красноярского края на 2016-2018 года </w:t>
      </w:r>
      <w:r w:rsidRPr="00B647AA">
        <w:rPr>
          <w:rFonts w:ascii="Bookman Old Style" w:hAnsi="Bookman Old Style"/>
          <w:bCs/>
          <w:sz w:val="20"/>
          <w:szCs w:val="20"/>
        </w:rPr>
        <w:t xml:space="preserve">планируется  рост промышленного производства. В 2018 году на сводном индексе промышленного производства негативно отразится прогнозируемое снижение объема нефтедобычи на </w:t>
      </w:r>
      <w:proofErr w:type="spellStart"/>
      <w:r w:rsidRPr="00B647AA">
        <w:rPr>
          <w:rFonts w:ascii="Bookman Old Style" w:hAnsi="Bookman Old Style"/>
          <w:bCs/>
          <w:sz w:val="20"/>
          <w:szCs w:val="20"/>
        </w:rPr>
        <w:t>Ванкорском</w:t>
      </w:r>
      <w:proofErr w:type="spellEnd"/>
      <w:r w:rsidRPr="00B647AA">
        <w:rPr>
          <w:rFonts w:ascii="Bookman Old Style" w:hAnsi="Bookman Old Style"/>
          <w:bCs/>
          <w:sz w:val="20"/>
          <w:szCs w:val="20"/>
        </w:rPr>
        <w:t xml:space="preserve"> месторождении. Остальные виды деятельности (сельское хозяйство, транспорт и связь, торговля, сфера услуг) в прогнозном периоде будут обеспечивать прирост индекса физического объема ВРП.</w:t>
      </w:r>
    </w:p>
    <w:p w:rsidR="00B12755" w:rsidRPr="00B647AA" w:rsidRDefault="00B12755" w:rsidP="00B12755">
      <w:pPr>
        <w:spacing w:before="120" w:after="120"/>
        <w:ind w:firstLine="709"/>
        <w:jc w:val="both"/>
        <w:rPr>
          <w:rFonts w:ascii="Bookman Old Style" w:hAnsi="Bookman Old Style"/>
          <w:bCs/>
          <w:iCs/>
          <w:sz w:val="20"/>
          <w:szCs w:val="20"/>
        </w:rPr>
      </w:pPr>
      <w:r w:rsidRPr="00B647AA">
        <w:rPr>
          <w:rFonts w:ascii="Bookman Old Style" w:hAnsi="Bookman Old Style"/>
          <w:bCs/>
          <w:sz w:val="20"/>
          <w:szCs w:val="20"/>
        </w:rPr>
        <w:t xml:space="preserve">В металлургическом </w:t>
      </w:r>
      <w:proofErr w:type="spellStart"/>
      <w:r w:rsidRPr="00B647AA">
        <w:rPr>
          <w:rFonts w:ascii="Bookman Old Style" w:hAnsi="Bookman Old Style"/>
          <w:bCs/>
          <w:sz w:val="20"/>
          <w:szCs w:val="20"/>
        </w:rPr>
        <w:t>производствезапланирован</w:t>
      </w:r>
      <w:proofErr w:type="spellEnd"/>
      <w:r w:rsidRPr="00B647AA">
        <w:rPr>
          <w:rFonts w:ascii="Bookman Old Style" w:hAnsi="Bookman Old Style"/>
          <w:bCs/>
          <w:sz w:val="20"/>
          <w:szCs w:val="20"/>
        </w:rPr>
        <w:t xml:space="preserve"> выпуск первого </w:t>
      </w:r>
      <w:proofErr w:type="spellStart"/>
      <w:r w:rsidRPr="00B647AA">
        <w:rPr>
          <w:rFonts w:ascii="Bookman Old Style" w:hAnsi="Bookman Old Style"/>
          <w:bCs/>
          <w:sz w:val="20"/>
          <w:szCs w:val="20"/>
        </w:rPr>
        <w:t>металла</w:t>
      </w:r>
      <w:r w:rsidRPr="00B647AA">
        <w:rPr>
          <w:rFonts w:ascii="Bookman Old Style" w:hAnsi="Bookman Old Style"/>
          <w:bCs/>
          <w:iCs/>
          <w:sz w:val="20"/>
          <w:szCs w:val="20"/>
        </w:rPr>
        <w:t>на</w:t>
      </w:r>
      <w:proofErr w:type="spellEnd"/>
      <w:r w:rsidRPr="00B647AA">
        <w:rPr>
          <w:rFonts w:ascii="Bookman Old Style" w:hAnsi="Bookman Old Style"/>
          <w:bCs/>
          <w:iCs/>
          <w:sz w:val="20"/>
          <w:szCs w:val="20"/>
        </w:rPr>
        <w:t xml:space="preserve"> </w:t>
      </w:r>
      <w:r w:rsidRPr="00B647AA">
        <w:rPr>
          <w:rFonts w:ascii="Bookman Old Style" w:hAnsi="Bookman Old Style"/>
          <w:bCs/>
          <w:sz w:val="20"/>
          <w:szCs w:val="20"/>
        </w:rPr>
        <w:t xml:space="preserve">первом пусковом </w:t>
      </w:r>
      <w:proofErr w:type="spellStart"/>
      <w:r w:rsidRPr="00B647AA">
        <w:rPr>
          <w:rFonts w:ascii="Bookman Old Style" w:hAnsi="Bookman Old Style"/>
          <w:bCs/>
          <w:sz w:val="20"/>
          <w:szCs w:val="20"/>
        </w:rPr>
        <w:t>комплексе</w:t>
      </w:r>
      <w:r w:rsidRPr="00B647AA">
        <w:rPr>
          <w:rFonts w:ascii="Bookman Old Style" w:hAnsi="Bookman Old Style"/>
          <w:bCs/>
          <w:iCs/>
          <w:sz w:val="20"/>
          <w:szCs w:val="20"/>
        </w:rPr>
        <w:t>Богучанского</w:t>
      </w:r>
      <w:proofErr w:type="spellEnd"/>
      <w:r w:rsidRPr="00B647AA">
        <w:rPr>
          <w:rFonts w:ascii="Bookman Old Style" w:hAnsi="Bookman Old Style"/>
          <w:bCs/>
          <w:iCs/>
          <w:sz w:val="20"/>
          <w:szCs w:val="20"/>
        </w:rPr>
        <w:t xml:space="preserve"> алюминиевого завода. Продолжится реконструкция и модернизация действующих предприятий (ПАО «ГМК «Норильский никель», ОАО «РУСАЛ Красноярск», ОАО «Красцветмет», ООО «КРАМЗ»).</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 xml:space="preserve">В условиях действия экономических санкций со стороны США и ЕС обострились риски общего уровня уверенности экономических агентов, снизился интерес бизнеса </w:t>
      </w:r>
      <w:r w:rsidRPr="00B647AA">
        <w:rPr>
          <w:rFonts w:ascii="Bookman Old Style" w:hAnsi="Bookman Old Style"/>
          <w:sz w:val="20"/>
          <w:szCs w:val="20"/>
        </w:rPr>
        <w:br/>
        <w:t xml:space="preserve">к инвестированию. Частные компании предпочитают проводить консервативную инвестиционную политику. Но в ближайшие три года планируется реализация целого ряда значимых для края проектов. В среднесрочном периоде продолжится развитие добывающей </w:t>
      </w:r>
      <w:proofErr w:type="spellStart"/>
      <w:r w:rsidRPr="00B647AA">
        <w:rPr>
          <w:rFonts w:ascii="Bookman Old Style" w:hAnsi="Bookman Old Style"/>
          <w:sz w:val="20"/>
          <w:szCs w:val="20"/>
        </w:rPr>
        <w:t>отрасли</w:t>
      </w:r>
      <w:proofErr w:type="gramStart"/>
      <w:r w:rsidRPr="00B647AA">
        <w:rPr>
          <w:rFonts w:ascii="Bookman Old Style" w:hAnsi="Bookman Old Style"/>
          <w:sz w:val="20"/>
          <w:szCs w:val="20"/>
        </w:rPr>
        <w:t>.Н</w:t>
      </w:r>
      <w:proofErr w:type="gramEnd"/>
      <w:r w:rsidRPr="00B647AA">
        <w:rPr>
          <w:rFonts w:ascii="Bookman Old Style" w:hAnsi="Bookman Old Style"/>
          <w:sz w:val="20"/>
          <w:szCs w:val="20"/>
        </w:rPr>
        <w:t>аряду</w:t>
      </w:r>
      <w:proofErr w:type="spellEnd"/>
      <w:r w:rsidRPr="00B647AA">
        <w:rPr>
          <w:rFonts w:ascii="Bookman Old Style" w:hAnsi="Bookman Old Style"/>
          <w:sz w:val="20"/>
          <w:szCs w:val="20"/>
        </w:rPr>
        <w:t xml:space="preserve"> с развитием добычи углеводородного сырья продолжится развитие золотодобывающих компаний края. АО «Полюс» планирует увеличение мощностей </w:t>
      </w:r>
      <w:proofErr w:type="spellStart"/>
      <w:r w:rsidRPr="00B647AA">
        <w:rPr>
          <w:rFonts w:ascii="Bookman Old Style" w:hAnsi="Bookman Old Style"/>
          <w:sz w:val="20"/>
          <w:szCs w:val="20"/>
        </w:rPr>
        <w:t>золотоизвлекательных</w:t>
      </w:r>
      <w:proofErr w:type="spellEnd"/>
      <w:r w:rsidRPr="00B647AA">
        <w:rPr>
          <w:rFonts w:ascii="Bookman Old Style" w:hAnsi="Bookman Old Style"/>
          <w:sz w:val="20"/>
          <w:szCs w:val="20"/>
        </w:rPr>
        <w:t xml:space="preserve"> </w:t>
      </w:r>
      <w:proofErr w:type="spellStart"/>
      <w:r w:rsidRPr="00B647AA">
        <w:rPr>
          <w:rFonts w:ascii="Bookman Old Style" w:hAnsi="Bookman Old Style"/>
          <w:sz w:val="20"/>
          <w:szCs w:val="20"/>
        </w:rPr>
        <w:t>фабрик</w:t>
      </w:r>
      <w:proofErr w:type="gramStart"/>
      <w:r w:rsidRPr="00B647AA">
        <w:rPr>
          <w:rFonts w:ascii="Bookman Old Style" w:hAnsi="Bookman Old Style"/>
          <w:sz w:val="20"/>
          <w:szCs w:val="20"/>
        </w:rPr>
        <w:t>.А</w:t>
      </w:r>
      <w:proofErr w:type="gramEnd"/>
      <w:r w:rsidRPr="00B647AA">
        <w:rPr>
          <w:rFonts w:ascii="Bookman Old Style" w:hAnsi="Bookman Old Style"/>
          <w:sz w:val="20"/>
          <w:szCs w:val="20"/>
        </w:rPr>
        <w:t>О</w:t>
      </w:r>
      <w:proofErr w:type="spellEnd"/>
      <w:r w:rsidRPr="00B647AA">
        <w:rPr>
          <w:rFonts w:ascii="Bookman Old Style" w:hAnsi="Bookman Old Style"/>
          <w:sz w:val="20"/>
          <w:szCs w:val="20"/>
        </w:rPr>
        <w:t xml:space="preserve"> «Васильевский рудник» реализует инвестиционные проекты </w:t>
      </w:r>
      <w:r w:rsidRPr="00B647AA">
        <w:rPr>
          <w:rFonts w:ascii="Bookman Old Style" w:hAnsi="Bookman Old Style"/>
          <w:sz w:val="20"/>
          <w:szCs w:val="20"/>
        </w:rPr>
        <w:br/>
        <w:t xml:space="preserve">по освоению золоторудных месторождений Партизанское и </w:t>
      </w:r>
      <w:proofErr w:type="spellStart"/>
      <w:r w:rsidRPr="00B647AA">
        <w:rPr>
          <w:rFonts w:ascii="Bookman Old Style" w:hAnsi="Bookman Old Style"/>
          <w:sz w:val="20"/>
          <w:szCs w:val="20"/>
        </w:rPr>
        <w:t>Герфед</w:t>
      </w:r>
      <w:proofErr w:type="spellEnd"/>
      <w:r w:rsidRPr="00B647AA">
        <w:rPr>
          <w:rFonts w:ascii="Bookman Old Style" w:hAnsi="Bookman Old Style"/>
          <w:sz w:val="20"/>
          <w:szCs w:val="20"/>
        </w:rPr>
        <w:t xml:space="preserve">, расширению мощностей существующей </w:t>
      </w:r>
      <w:proofErr w:type="spellStart"/>
      <w:r w:rsidRPr="00B647AA">
        <w:rPr>
          <w:rFonts w:ascii="Bookman Old Style" w:hAnsi="Bookman Old Style"/>
          <w:sz w:val="20"/>
          <w:szCs w:val="20"/>
        </w:rPr>
        <w:t>золотоизвлекательной</w:t>
      </w:r>
      <w:proofErr w:type="spellEnd"/>
      <w:r w:rsidRPr="00B647AA">
        <w:rPr>
          <w:rFonts w:ascii="Bookman Old Style" w:hAnsi="Bookman Old Style"/>
          <w:sz w:val="20"/>
          <w:szCs w:val="20"/>
        </w:rPr>
        <w:t xml:space="preserve"> фабрики с 400 до 800 тыс. тонн. За три прогнозных года предприятие планирует увеличить объем добычи золота на 24,0 %.</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В ближайшие годы продолжится реализация инвестиционных проектов, направленных на расширение, модернизацию, реконструкцию и техническое перевооружение действующих производств</w:t>
      </w:r>
      <w:r w:rsidRPr="00B647AA">
        <w:rPr>
          <w:rFonts w:ascii="Bookman Old Style" w:hAnsi="Bookman Old Style"/>
          <w:i/>
          <w:sz w:val="20"/>
          <w:szCs w:val="20"/>
        </w:rPr>
        <w:t xml:space="preserve"> в </w:t>
      </w:r>
      <w:r w:rsidRPr="00B647AA">
        <w:rPr>
          <w:rFonts w:ascii="Bookman Old Style" w:hAnsi="Bookman Old Style"/>
          <w:sz w:val="20"/>
          <w:szCs w:val="20"/>
        </w:rPr>
        <w:t xml:space="preserve">обрабатывающих видах деятельности. Основной объем инвестиционных вложений обрабатывающей промышленности формирует металлургический комплекс. В рамках инвестиционного проекта «Комплексное развитие Нижнего </w:t>
      </w:r>
      <w:proofErr w:type="spellStart"/>
      <w:r w:rsidRPr="00B647AA">
        <w:rPr>
          <w:rFonts w:ascii="Bookman Old Style" w:hAnsi="Bookman Old Style"/>
          <w:sz w:val="20"/>
          <w:szCs w:val="20"/>
        </w:rPr>
        <w:t>Приангарья</w:t>
      </w:r>
      <w:proofErr w:type="spellEnd"/>
      <w:r w:rsidRPr="00B647AA">
        <w:rPr>
          <w:rFonts w:ascii="Bookman Old Style" w:hAnsi="Bookman Old Style"/>
          <w:sz w:val="20"/>
          <w:szCs w:val="20"/>
        </w:rPr>
        <w:t xml:space="preserve">» в текущем году завершается строительство объектов первого пускового комплекса </w:t>
      </w:r>
      <w:proofErr w:type="spellStart"/>
      <w:r w:rsidRPr="00B647AA">
        <w:rPr>
          <w:rFonts w:ascii="Bookman Old Style" w:hAnsi="Bookman Old Style"/>
          <w:sz w:val="20"/>
          <w:szCs w:val="20"/>
        </w:rPr>
        <w:t>Богучанского</w:t>
      </w:r>
      <w:proofErr w:type="spellEnd"/>
      <w:r w:rsidRPr="00B647AA">
        <w:rPr>
          <w:rFonts w:ascii="Bookman Old Style" w:hAnsi="Bookman Old Style"/>
          <w:sz w:val="20"/>
          <w:szCs w:val="20"/>
        </w:rPr>
        <w:t xml:space="preserve"> алюминиевого завода.</w:t>
      </w:r>
    </w:p>
    <w:p w:rsidR="00DB2D3D" w:rsidRPr="00DB2D3D" w:rsidRDefault="00B12755" w:rsidP="00B12755">
      <w:pPr>
        <w:spacing w:before="120" w:after="120"/>
        <w:ind w:firstLine="709"/>
        <w:jc w:val="both"/>
        <w:rPr>
          <w:rFonts w:ascii="Bookman Old Style" w:hAnsi="Bookman Old Style"/>
          <w:bCs/>
          <w:sz w:val="20"/>
          <w:szCs w:val="20"/>
        </w:rPr>
      </w:pPr>
      <w:r w:rsidRPr="00B647AA">
        <w:rPr>
          <w:rFonts w:ascii="Bookman Old Style" w:hAnsi="Bookman Old Style"/>
          <w:bCs/>
          <w:sz w:val="20"/>
          <w:szCs w:val="20"/>
        </w:rPr>
        <w:lastRenderedPageBreak/>
        <w:t xml:space="preserve">Сохранение геополитической напряжённости и негативные последствия санкций и </w:t>
      </w:r>
      <w:proofErr w:type="spellStart"/>
      <w:r w:rsidRPr="00B647AA">
        <w:rPr>
          <w:rFonts w:ascii="Bookman Old Style" w:hAnsi="Bookman Old Style"/>
          <w:bCs/>
          <w:sz w:val="20"/>
          <w:szCs w:val="20"/>
        </w:rPr>
        <w:t>контрсанкций</w:t>
      </w:r>
      <w:proofErr w:type="spellEnd"/>
      <w:r w:rsidRPr="00B647AA">
        <w:rPr>
          <w:rFonts w:ascii="Bookman Old Style" w:hAnsi="Bookman Old Style"/>
          <w:bCs/>
          <w:sz w:val="20"/>
          <w:szCs w:val="20"/>
        </w:rPr>
        <w:t xml:space="preserve"> способствуют отказу населения от приобретения ряда товаров </w:t>
      </w:r>
      <w:r w:rsidRPr="00B647AA">
        <w:rPr>
          <w:rFonts w:ascii="Bookman Old Style" w:hAnsi="Bookman Old Style"/>
          <w:bCs/>
          <w:sz w:val="20"/>
          <w:szCs w:val="20"/>
        </w:rPr>
        <w:br/>
        <w:t xml:space="preserve">и необязательных услуг или ограничивают их потребление. Помимо этого </w:t>
      </w:r>
      <w:r w:rsidRPr="00B647AA">
        <w:rPr>
          <w:rFonts w:ascii="Bookman Old Style" w:hAnsi="Bookman Old Style"/>
          <w:bCs/>
          <w:sz w:val="20"/>
          <w:szCs w:val="20"/>
        </w:rPr>
        <w:br/>
        <w:t>в условиях высоких ставок по депозитам и высокой степени изменчивости курса рубля сменяется модель поведения от потребления к сбережению. В результате потребительский спрос сжимается, прежде всего, в части спроса на товары длительного пользования, что приводит к снижению темпов роста потребительского рынка (оборота розничной торговли, общественного питания и платных услуг населению)</w:t>
      </w:r>
      <w:r w:rsidR="00DB2D3D" w:rsidRPr="00DB2D3D">
        <w:rPr>
          <w:rFonts w:ascii="Bookman Old Style" w:hAnsi="Bookman Old Style"/>
          <w:bCs/>
          <w:sz w:val="20"/>
          <w:szCs w:val="20"/>
        </w:rPr>
        <w:t>.</w:t>
      </w:r>
    </w:p>
    <w:p w:rsidR="00066E13" w:rsidRPr="00300E68" w:rsidRDefault="00CB027F" w:rsidP="00300E68">
      <w:pPr>
        <w:pStyle w:val="2"/>
        <w:rPr>
          <w:rFonts w:ascii="Bookman Old Style" w:hAnsi="Bookman Old Style"/>
          <w:b/>
          <w:sz w:val="20"/>
          <w:szCs w:val="20"/>
        </w:rPr>
      </w:pPr>
      <w:bookmarkStart w:id="189" w:name="_Toc364433862"/>
      <w:bookmarkStart w:id="190" w:name="_Toc461375575"/>
      <w:r w:rsidRPr="00300E68">
        <w:rPr>
          <w:rFonts w:ascii="Bookman Old Style" w:hAnsi="Bookman Old Style"/>
          <w:b/>
          <w:sz w:val="20"/>
          <w:szCs w:val="20"/>
        </w:rPr>
        <w:t>4</w:t>
      </w:r>
      <w:r w:rsidR="00066E13" w:rsidRPr="00300E68">
        <w:rPr>
          <w:rFonts w:ascii="Bookman Old Style" w:hAnsi="Bookman Old Style"/>
          <w:b/>
          <w:sz w:val="20"/>
          <w:szCs w:val="20"/>
        </w:rPr>
        <w:t xml:space="preserve">.3. </w:t>
      </w:r>
      <w:bookmarkEnd w:id="189"/>
      <w:r w:rsidR="000811CD" w:rsidRPr="00300E68">
        <w:rPr>
          <w:rFonts w:ascii="Bookman Old Style" w:hAnsi="Bookman Old Style"/>
          <w:b/>
          <w:sz w:val="20"/>
          <w:szCs w:val="20"/>
        </w:rPr>
        <w:t>ОПРЕДЕЛЕНИЕ СЕГМЕНТА РЫНКА</w:t>
      </w:r>
      <w:bookmarkEnd w:id="190"/>
    </w:p>
    <w:p w:rsidR="00B21788" w:rsidRPr="00B21788" w:rsidRDefault="00B21788" w:rsidP="00B21788">
      <w:pPr>
        <w:spacing w:before="120" w:after="120"/>
        <w:ind w:firstLine="709"/>
        <w:jc w:val="both"/>
        <w:rPr>
          <w:rFonts w:ascii="Bookman Old Style" w:hAnsi="Bookman Old Style"/>
          <w:sz w:val="20"/>
          <w:szCs w:val="20"/>
        </w:rPr>
      </w:pPr>
      <w:r w:rsidRPr="00B21788">
        <w:rPr>
          <w:rFonts w:ascii="Bookman Old Style" w:hAnsi="Bookman Old Style"/>
          <w:sz w:val="20"/>
          <w:szCs w:val="20"/>
        </w:rPr>
        <w:t xml:space="preserve">Рынок недвижимости можно определить как взаимодействие физических и юридических лиц, которые обменивают права на недвижимость на другие активы, как </w:t>
      </w:r>
      <w:proofErr w:type="gramStart"/>
      <w:r w:rsidRPr="00B21788">
        <w:rPr>
          <w:rFonts w:ascii="Bookman Old Style" w:hAnsi="Bookman Old Style"/>
          <w:sz w:val="20"/>
          <w:szCs w:val="20"/>
        </w:rPr>
        <w:t>правило</w:t>
      </w:r>
      <w:proofErr w:type="gramEnd"/>
      <w:r w:rsidRPr="00B21788">
        <w:rPr>
          <w:rFonts w:ascii="Bookman Old Style" w:hAnsi="Bookman Old Style"/>
          <w:sz w:val="20"/>
          <w:szCs w:val="20"/>
        </w:rPr>
        <w:t xml:space="preserve"> деньги. Конкретные рынки недвижимости определяются типом имущества, местоположением, потенциалом приносимого дохода, типичными характеристиками арендаторов, отношением и мотивацией типичных инвесторов и другими признаками, признаваемыми теми физическими и юридическими лицами, которые участвуют в обмене недвижимого имущества.</w:t>
      </w:r>
    </w:p>
    <w:p w:rsidR="005F6A69" w:rsidRPr="00023975" w:rsidRDefault="00B12755" w:rsidP="005F6A69">
      <w:pPr>
        <w:autoSpaceDE w:val="0"/>
        <w:autoSpaceDN w:val="0"/>
        <w:adjustRightInd w:val="0"/>
        <w:spacing w:before="120" w:after="120"/>
        <w:ind w:left="720"/>
        <w:jc w:val="both"/>
        <w:rPr>
          <w:rFonts w:ascii="Bookman Old Style" w:hAnsi="Bookman Old Style"/>
          <w:color w:val="000000" w:themeColor="text1"/>
          <w:sz w:val="20"/>
          <w:szCs w:val="20"/>
        </w:rPr>
      </w:pPr>
      <w:r w:rsidRPr="00B12755">
        <w:rPr>
          <w:rFonts w:ascii="Bookman Old Style" w:hAnsi="Bookman Old Style"/>
          <w:sz w:val="20"/>
          <w:szCs w:val="20"/>
        </w:rPr>
        <w:t xml:space="preserve">Объектом оценки, определенным Заданием на оценку, является </w:t>
      </w:r>
      <w:r w:rsidR="005F6A69">
        <w:rPr>
          <w:rFonts w:ascii="Bookman Old Style" w:hAnsi="Bookman Old Style"/>
          <w:color w:val="000000" w:themeColor="text1"/>
          <w:sz w:val="20"/>
          <w:szCs w:val="20"/>
        </w:rPr>
        <w:t>н</w:t>
      </w:r>
      <w:r w:rsidR="005F6A69" w:rsidRPr="00023975">
        <w:rPr>
          <w:rFonts w:ascii="Bookman Old Style" w:hAnsi="Bookman Old Style"/>
          <w:color w:val="000000" w:themeColor="text1"/>
          <w:sz w:val="20"/>
          <w:szCs w:val="20"/>
        </w:rPr>
        <w:t>едвижимое и движимое имуществ</w:t>
      </w:r>
      <w:proofErr w:type="gramStart"/>
      <w:r w:rsidR="005F6A69" w:rsidRPr="00023975">
        <w:rPr>
          <w:rFonts w:ascii="Bookman Old Style" w:hAnsi="Bookman Old Style"/>
          <w:color w:val="000000" w:themeColor="text1"/>
          <w:sz w:val="20"/>
          <w:szCs w:val="20"/>
        </w:rPr>
        <w:t>о ООО</w:t>
      </w:r>
      <w:proofErr w:type="gramEnd"/>
      <w:r w:rsidR="005F6A69" w:rsidRPr="00023975">
        <w:rPr>
          <w:rFonts w:ascii="Bookman Old Style" w:hAnsi="Bookman Old Style"/>
          <w:color w:val="000000" w:themeColor="text1"/>
          <w:sz w:val="20"/>
          <w:szCs w:val="20"/>
        </w:rPr>
        <w:t xml:space="preserve"> «Окно», находящееся в залоге у </w:t>
      </w:r>
      <w:r w:rsidR="005F178F" w:rsidRPr="005F178F">
        <w:rPr>
          <w:rFonts w:ascii="Bookman Old Style" w:hAnsi="Bookman Old Style"/>
          <w:color w:val="000000" w:themeColor="text1"/>
          <w:sz w:val="20"/>
          <w:szCs w:val="20"/>
        </w:rPr>
        <w:t>АКБ «</w:t>
      </w:r>
      <w:proofErr w:type="spellStart"/>
      <w:r w:rsidR="005F178F" w:rsidRPr="005F178F">
        <w:rPr>
          <w:rFonts w:ascii="Bookman Old Style" w:hAnsi="Bookman Old Style"/>
          <w:color w:val="000000" w:themeColor="text1"/>
          <w:sz w:val="20"/>
          <w:szCs w:val="20"/>
        </w:rPr>
        <w:t>Ланта</w:t>
      </w:r>
      <w:proofErr w:type="spellEnd"/>
      <w:r w:rsidR="005F178F" w:rsidRPr="005F178F">
        <w:rPr>
          <w:rFonts w:ascii="Bookman Old Style" w:hAnsi="Bookman Old Style"/>
          <w:color w:val="000000" w:themeColor="text1"/>
          <w:sz w:val="20"/>
          <w:szCs w:val="20"/>
        </w:rPr>
        <w:t>-Банк»</w:t>
      </w:r>
      <w:r w:rsidR="005F6A69" w:rsidRPr="00023975">
        <w:rPr>
          <w:rFonts w:ascii="Bookman Old Style" w:hAnsi="Bookman Old Style"/>
          <w:color w:val="000000" w:themeColor="text1"/>
          <w:sz w:val="20"/>
          <w:szCs w:val="20"/>
        </w:rPr>
        <w:t>, в составе элементов:</w:t>
      </w:r>
    </w:p>
    <w:p w:rsidR="005F178F" w:rsidRPr="00091921" w:rsidRDefault="005F178F" w:rsidP="005F04AC">
      <w:pPr>
        <w:numPr>
          <w:ilvl w:val="1"/>
          <w:numId w:val="54"/>
        </w:numPr>
        <w:autoSpaceDE w:val="0"/>
        <w:autoSpaceDN w:val="0"/>
        <w:adjustRightInd w:val="0"/>
        <w:spacing w:before="120" w:after="120"/>
        <w:ind w:left="1276"/>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Помещение, назначение: нежилое, общая площадь 525,6 кв.м., этаж №1, адрес:  г. Красноярск,  ул. Айвазовского 37 «А», стр. 2, пом. 1, Кадастровый номер: 24:50:0500203:461</w:t>
      </w:r>
    </w:p>
    <w:p w:rsidR="005F178F" w:rsidRPr="00091921" w:rsidRDefault="005F178F" w:rsidP="005F04AC">
      <w:pPr>
        <w:numPr>
          <w:ilvl w:val="1"/>
          <w:numId w:val="54"/>
        </w:numPr>
        <w:autoSpaceDE w:val="0"/>
        <w:autoSpaceDN w:val="0"/>
        <w:adjustRightInd w:val="0"/>
        <w:spacing w:before="120" w:after="120"/>
        <w:ind w:left="1276"/>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Общая долевая собственность, доля в праве ½</w:t>
      </w:r>
      <w:proofErr w:type="gramStart"/>
      <w:r w:rsidRPr="00091921">
        <w:rPr>
          <w:rFonts w:ascii="Bookman Old Style" w:hAnsi="Bookman Old Style"/>
          <w:color w:val="000000" w:themeColor="text1"/>
          <w:sz w:val="20"/>
          <w:szCs w:val="20"/>
        </w:rPr>
        <w:t xml:space="preserve"> ,</w:t>
      </w:r>
      <w:proofErr w:type="gramEnd"/>
      <w:r w:rsidRPr="00091921">
        <w:rPr>
          <w:rFonts w:ascii="Bookman Old Style" w:hAnsi="Bookman Old Style"/>
          <w:color w:val="000000" w:themeColor="text1"/>
          <w:sz w:val="20"/>
          <w:szCs w:val="20"/>
        </w:rPr>
        <w:t xml:space="preserve"> Земельный участок, категория земель: земли населенных пунктов, Общая площадь 1181 кв. м., адрес : г. Красноярск, ул. Айвазовского, 37 «А»</w:t>
      </w:r>
      <w:r>
        <w:rPr>
          <w:rFonts w:ascii="Bookman Old Style" w:hAnsi="Bookman Old Style"/>
          <w:color w:val="000000" w:themeColor="text1"/>
          <w:sz w:val="20"/>
          <w:szCs w:val="20"/>
        </w:rPr>
        <w:t>.</w:t>
      </w:r>
      <w:r w:rsidRPr="00091921">
        <w:rPr>
          <w:rFonts w:ascii="Bookman Old Style" w:hAnsi="Bookman Old Style"/>
          <w:color w:val="000000" w:themeColor="text1"/>
          <w:sz w:val="20"/>
          <w:szCs w:val="20"/>
        </w:rPr>
        <w:t xml:space="preserve"> </w:t>
      </w:r>
      <w:r>
        <w:rPr>
          <w:rFonts w:ascii="Bookman Old Style" w:hAnsi="Bookman Old Style"/>
          <w:color w:val="000000" w:themeColor="text1"/>
          <w:sz w:val="20"/>
          <w:szCs w:val="20"/>
        </w:rPr>
        <w:t>К</w:t>
      </w:r>
      <w:r w:rsidRPr="00091921">
        <w:rPr>
          <w:rFonts w:ascii="Bookman Old Style" w:hAnsi="Bookman Old Style"/>
          <w:color w:val="000000" w:themeColor="text1"/>
          <w:sz w:val="20"/>
          <w:szCs w:val="20"/>
        </w:rPr>
        <w:t>адастровый номер: 24:50:0500203:15;</w:t>
      </w:r>
    </w:p>
    <w:p w:rsidR="00F174D2" w:rsidRPr="005F6A69" w:rsidRDefault="005F178F" w:rsidP="005F04AC">
      <w:pPr>
        <w:numPr>
          <w:ilvl w:val="1"/>
          <w:numId w:val="54"/>
        </w:numPr>
        <w:autoSpaceDE w:val="0"/>
        <w:autoSpaceDN w:val="0"/>
        <w:adjustRightInd w:val="0"/>
        <w:spacing w:before="120" w:after="120"/>
        <w:ind w:left="1276"/>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 xml:space="preserve">Стойка 150 мм*4м, </w:t>
      </w:r>
      <w:proofErr w:type="spellStart"/>
      <w:r w:rsidRPr="00091921">
        <w:rPr>
          <w:rFonts w:ascii="Bookman Old Style" w:hAnsi="Bookman Old Style"/>
          <w:color w:val="000000" w:themeColor="text1"/>
          <w:sz w:val="20"/>
          <w:szCs w:val="20"/>
        </w:rPr>
        <w:t>Naturall</w:t>
      </w:r>
      <w:proofErr w:type="spellEnd"/>
      <w:r w:rsidRPr="00091921">
        <w:rPr>
          <w:rFonts w:ascii="Bookman Old Style" w:hAnsi="Bookman Old Style"/>
          <w:color w:val="000000" w:themeColor="text1"/>
          <w:sz w:val="20"/>
          <w:szCs w:val="20"/>
        </w:rPr>
        <w:t xml:space="preserve"> </w:t>
      </w:r>
      <w:proofErr w:type="spellStart"/>
      <w:r w:rsidRPr="00091921">
        <w:rPr>
          <w:rFonts w:ascii="Bookman Old Style" w:hAnsi="Bookman Old Style"/>
          <w:color w:val="000000" w:themeColor="text1"/>
          <w:sz w:val="20"/>
          <w:szCs w:val="20"/>
        </w:rPr>
        <w:t>Noce</w:t>
      </w:r>
      <w:proofErr w:type="spellEnd"/>
      <w:r w:rsidRPr="00091921">
        <w:rPr>
          <w:rFonts w:ascii="Bookman Old Style" w:hAnsi="Bookman Old Style"/>
          <w:color w:val="000000" w:themeColor="text1"/>
          <w:sz w:val="20"/>
          <w:szCs w:val="20"/>
        </w:rPr>
        <w:t xml:space="preserve"> </w:t>
      </w:r>
      <w:proofErr w:type="spellStart"/>
      <w:r w:rsidRPr="00091921">
        <w:rPr>
          <w:rFonts w:ascii="Bookman Old Style" w:hAnsi="Bookman Old Style"/>
          <w:color w:val="000000" w:themeColor="text1"/>
          <w:sz w:val="20"/>
          <w:szCs w:val="20"/>
        </w:rPr>
        <w:t>Scuro</w:t>
      </w:r>
      <w:proofErr w:type="spellEnd"/>
      <w:r w:rsidRPr="00091921">
        <w:rPr>
          <w:rFonts w:ascii="Bookman Old Style" w:hAnsi="Bookman Old Style"/>
          <w:color w:val="000000" w:themeColor="text1"/>
          <w:sz w:val="20"/>
          <w:szCs w:val="20"/>
        </w:rPr>
        <w:t xml:space="preserve"> в количестве 200 штук</w:t>
      </w:r>
    </w:p>
    <w:p w:rsidR="00F71403" w:rsidRDefault="00F174D2" w:rsidP="00F174D2">
      <w:pPr>
        <w:spacing w:before="120" w:after="120"/>
        <w:ind w:firstLine="709"/>
        <w:jc w:val="both"/>
        <w:rPr>
          <w:rFonts w:ascii="Bookman Old Style" w:hAnsi="Bookman Old Style"/>
          <w:sz w:val="20"/>
          <w:szCs w:val="20"/>
        </w:rPr>
      </w:pPr>
      <w:r w:rsidRPr="00F174D2">
        <w:rPr>
          <w:rFonts w:ascii="Bookman Old Style" w:hAnsi="Bookman Old Style"/>
          <w:sz w:val="20"/>
          <w:szCs w:val="20"/>
        </w:rPr>
        <w:t xml:space="preserve">Таким образом, сегментом рынка, к которому относится Объект оценки, является рынок </w:t>
      </w:r>
      <w:r w:rsidR="00F71403">
        <w:rPr>
          <w:rFonts w:ascii="Bookman Old Style" w:hAnsi="Bookman Old Style"/>
          <w:sz w:val="20"/>
          <w:szCs w:val="20"/>
        </w:rPr>
        <w:t xml:space="preserve">коммерческой </w:t>
      </w:r>
      <w:r w:rsidRPr="00F174D2">
        <w:rPr>
          <w:rFonts w:ascii="Bookman Old Style" w:hAnsi="Bookman Old Style"/>
          <w:sz w:val="20"/>
          <w:szCs w:val="20"/>
        </w:rPr>
        <w:t xml:space="preserve">недвижимости </w:t>
      </w:r>
      <w:r w:rsidR="005F6A69">
        <w:rPr>
          <w:rFonts w:ascii="Bookman Old Style" w:hAnsi="Bookman Old Style"/>
          <w:sz w:val="20"/>
          <w:szCs w:val="20"/>
        </w:rPr>
        <w:t>производственно-складского и офисного</w:t>
      </w:r>
      <w:r w:rsidRPr="00F174D2">
        <w:rPr>
          <w:rFonts w:ascii="Bookman Old Style" w:hAnsi="Bookman Old Style"/>
          <w:sz w:val="20"/>
          <w:szCs w:val="20"/>
        </w:rPr>
        <w:t xml:space="preserve"> назначения</w:t>
      </w:r>
      <w:r w:rsidR="005F6A69">
        <w:rPr>
          <w:rFonts w:ascii="Bookman Old Style" w:hAnsi="Bookman Old Style"/>
          <w:sz w:val="20"/>
          <w:szCs w:val="20"/>
        </w:rPr>
        <w:t xml:space="preserve">, рынок земельных участков </w:t>
      </w:r>
      <w:r w:rsidR="005F6A69" w:rsidRPr="005F6A69">
        <w:rPr>
          <w:rFonts w:ascii="Bookman Old Style" w:hAnsi="Bookman Old Style"/>
          <w:sz w:val="20"/>
          <w:szCs w:val="20"/>
        </w:rPr>
        <w:t>производственно-складского назначения</w:t>
      </w:r>
      <w:r w:rsidR="005F6A69">
        <w:rPr>
          <w:rFonts w:ascii="Bookman Old Style" w:hAnsi="Bookman Old Style"/>
          <w:sz w:val="20"/>
          <w:szCs w:val="20"/>
        </w:rPr>
        <w:t xml:space="preserve"> и рынок оборудования</w:t>
      </w:r>
      <w:r w:rsidR="00F71403">
        <w:rPr>
          <w:rFonts w:ascii="Bookman Old Style" w:hAnsi="Bookman Old Style"/>
          <w:sz w:val="20"/>
          <w:szCs w:val="20"/>
        </w:rPr>
        <w:t>.</w:t>
      </w:r>
    </w:p>
    <w:p w:rsidR="00511C48" w:rsidRPr="00071A85" w:rsidRDefault="00071A85" w:rsidP="00D96ED6">
      <w:pPr>
        <w:pStyle w:val="2"/>
        <w:rPr>
          <w:rFonts w:ascii="Bookman Old Style" w:hAnsi="Bookman Old Style"/>
          <w:b/>
          <w:sz w:val="20"/>
          <w:szCs w:val="20"/>
        </w:rPr>
      </w:pPr>
      <w:bookmarkStart w:id="191" w:name="_Toc364433865"/>
      <w:bookmarkStart w:id="192" w:name="_Toc461375576"/>
      <w:r w:rsidRPr="00071A85">
        <w:rPr>
          <w:rFonts w:ascii="Bookman Old Style" w:hAnsi="Bookman Old Style"/>
          <w:b/>
          <w:sz w:val="20"/>
          <w:szCs w:val="20"/>
        </w:rPr>
        <w:t xml:space="preserve">4.4. АНАЛИЗ ФАКТИЧЕСКИХ ДАННЫХ </w:t>
      </w:r>
      <w:r w:rsidR="00D96ED6" w:rsidRPr="00D96ED6">
        <w:rPr>
          <w:rFonts w:ascii="Bookman Old Style" w:hAnsi="Bookman Old Style"/>
          <w:b/>
          <w:sz w:val="20"/>
          <w:szCs w:val="20"/>
        </w:rPr>
        <w:t>О ЦЕНАХ СДЕЛОК И ПРЕДЛОЖЕНИЙ С ЭЛЕМЕНТАМИ ОБЪЕКТА ОЦЕНКИ, С УКАЗАНИЕМ ИНТЕРВАЛА ЗНАЧЕНИЙ ЦЕН</w:t>
      </w:r>
      <w:r w:rsidR="002F61EF">
        <w:rPr>
          <w:rFonts w:ascii="Bookman Old Style" w:hAnsi="Bookman Old Style"/>
          <w:b/>
          <w:sz w:val="20"/>
          <w:szCs w:val="20"/>
        </w:rPr>
        <w:t xml:space="preserve"> </w:t>
      </w:r>
      <w:r w:rsidRPr="00071A85">
        <w:rPr>
          <w:rFonts w:ascii="Bookman Old Style" w:hAnsi="Bookman Old Style"/>
          <w:b/>
          <w:sz w:val="20"/>
          <w:szCs w:val="20"/>
        </w:rPr>
        <w:t>КРАСНОЯРСК</w:t>
      </w:r>
      <w:r w:rsidRPr="0016464E">
        <w:rPr>
          <w:rFonts w:ascii="Bookman Old Style" w:hAnsi="Bookman Old Style"/>
          <w:b/>
          <w:sz w:val="20"/>
          <w:szCs w:val="20"/>
        </w:rPr>
        <w:t>А</w:t>
      </w:r>
      <w:bookmarkEnd w:id="192"/>
    </w:p>
    <w:p w:rsidR="00066E13" w:rsidRPr="00677254" w:rsidRDefault="00CB027F" w:rsidP="00066E13">
      <w:pPr>
        <w:pStyle w:val="3"/>
        <w:rPr>
          <w:rFonts w:ascii="Bookman Old Style" w:hAnsi="Bookman Old Style"/>
          <w:sz w:val="20"/>
          <w:szCs w:val="20"/>
        </w:rPr>
      </w:pPr>
      <w:bookmarkStart w:id="193" w:name="_Toc348605145"/>
      <w:bookmarkStart w:id="194" w:name="_Toc364433866"/>
      <w:bookmarkStart w:id="195" w:name="_Toc461375577"/>
      <w:bookmarkEnd w:id="191"/>
      <w:r>
        <w:rPr>
          <w:rFonts w:ascii="Bookman Old Style" w:hAnsi="Bookman Old Style"/>
          <w:sz w:val="20"/>
          <w:szCs w:val="20"/>
        </w:rPr>
        <w:t>4</w:t>
      </w:r>
      <w:r w:rsidR="00066E13" w:rsidRPr="00677254">
        <w:rPr>
          <w:rFonts w:ascii="Bookman Old Style" w:hAnsi="Bookman Old Style"/>
          <w:sz w:val="20"/>
          <w:szCs w:val="20"/>
        </w:rPr>
        <w:t>.</w:t>
      </w:r>
      <w:r w:rsidR="00590619">
        <w:rPr>
          <w:rFonts w:ascii="Bookman Old Style" w:hAnsi="Bookman Old Style"/>
          <w:sz w:val="20"/>
          <w:szCs w:val="20"/>
        </w:rPr>
        <w:t>4</w:t>
      </w:r>
      <w:r w:rsidR="00066E13" w:rsidRPr="00677254">
        <w:rPr>
          <w:rFonts w:ascii="Bookman Old Style" w:hAnsi="Bookman Old Style"/>
          <w:sz w:val="20"/>
          <w:szCs w:val="20"/>
        </w:rPr>
        <w:t>.</w:t>
      </w:r>
      <w:r w:rsidR="00590619">
        <w:rPr>
          <w:rFonts w:ascii="Bookman Old Style" w:hAnsi="Bookman Old Style"/>
          <w:sz w:val="20"/>
          <w:szCs w:val="20"/>
        </w:rPr>
        <w:t>1</w:t>
      </w:r>
      <w:r w:rsidR="00066E13" w:rsidRPr="00677254">
        <w:rPr>
          <w:rFonts w:ascii="Bookman Old Style" w:hAnsi="Bookman Old Style"/>
          <w:sz w:val="20"/>
          <w:szCs w:val="20"/>
        </w:rPr>
        <w:t xml:space="preserve">. </w:t>
      </w:r>
      <w:bookmarkEnd w:id="193"/>
      <w:bookmarkEnd w:id="194"/>
      <w:r w:rsidR="00B12755" w:rsidRPr="00B12755">
        <w:rPr>
          <w:rFonts w:ascii="Bookman Old Style" w:hAnsi="Bookman Old Style"/>
          <w:sz w:val="20"/>
          <w:szCs w:val="20"/>
        </w:rPr>
        <w:t>Анализ вторичного рынка коммерческой недвижимости</w:t>
      </w:r>
      <w:r w:rsidR="00B12755" w:rsidRPr="00B12755">
        <w:rPr>
          <w:rFonts w:ascii="Bookman Old Style" w:hAnsi="Bookman Old Style"/>
          <w:sz w:val="20"/>
          <w:szCs w:val="20"/>
          <w:vertAlign w:val="superscript"/>
        </w:rPr>
        <w:t xml:space="preserve"> </w:t>
      </w:r>
      <w:r w:rsidR="00D96ED6" w:rsidRPr="0016464E">
        <w:rPr>
          <w:rFonts w:ascii="Bookman Old Style" w:hAnsi="Bookman Old Style"/>
          <w:b w:val="0"/>
          <w:sz w:val="20"/>
          <w:szCs w:val="20"/>
          <w:vertAlign w:val="superscript"/>
        </w:rPr>
        <w:footnoteReference w:id="20"/>
      </w:r>
      <w:bookmarkEnd w:id="195"/>
    </w:p>
    <w:p w:rsidR="00B12755" w:rsidRDefault="00B12755" w:rsidP="00B12755">
      <w:pPr>
        <w:spacing w:before="120" w:after="120"/>
        <w:ind w:firstLine="709"/>
        <w:jc w:val="both"/>
        <w:rPr>
          <w:rFonts w:ascii="Bookman Old Style" w:hAnsi="Bookman Old Style"/>
          <w:sz w:val="20"/>
          <w:szCs w:val="20"/>
        </w:rPr>
      </w:pPr>
      <w:bookmarkStart w:id="196" w:name="_Toc367864958"/>
      <w:bookmarkStart w:id="197" w:name="_Toc380226791"/>
      <w:bookmarkStart w:id="198" w:name="_Toc404078824"/>
      <w:bookmarkStart w:id="199" w:name="_Toc364433869"/>
      <w:bookmarkStart w:id="200" w:name="_Toc404078825"/>
      <w:r w:rsidRPr="00112651">
        <w:rPr>
          <w:rFonts w:ascii="Bookman Old Style" w:hAnsi="Bookman Old Style"/>
          <w:sz w:val="20"/>
          <w:szCs w:val="20"/>
        </w:rPr>
        <w:t>На рынке коммерческой недвижимости Красноярска представлен</w:t>
      </w:r>
      <w:r>
        <w:rPr>
          <w:rFonts w:ascii="Bookman Old Style" w:hAnsi="Bookman Old Style"/>
          <w:sz w:val="20"/>
          <w:szCs w:val="20"/>
        </w:rPr>
        <w:t>о</w:t>
      </w:r>
      <w:r w:rsidRPr="00112651">
        <w:rPr>
          <w:rFonts w:ascii="Bookman Old Style" w:hAnsi="Bookman Old Style"/>
          <w:sz w:val="20"/>
          <w:szCs w:val="20"/>
        </w:rPr>
        <w:t xml:space="preserve"> </w:t>
      </w:r>
      <w:r w:rsidRPr="0018076A">
        <w:rPr>
          <w:rFonts w:ascii="Bookman Old Style" w:hAnsi="Bookman Old Style"/>
          <w:sz w:val="20"/>
          <w:szCs w:val="20"/>
        </w:rPr>
        <w:t xml:space="preserve">около </w:t>
      </w:r>
      <w:r>
        <w:rPr>
          <w:rFonts w:ascii="Bookman Old Style" w:hAnsi="Bookman Old Style"/>
          <w:sz w:val="20"/>
          <w:szCs w:val="20"/>
        </w:rPr>
        <w:t xml:space="preserve">370 </w:t>
      </w:r>
      <w:r w:rsidRPr="00112651">
        <w:rPr>
          <w:rFonts w:ascii="Bookman Old Style" w:hAnsi="Bookman Old Style"/>
          <w:sz w:val="20"/>
          <w:szCs w:val="20"/>
        </w:rPr>
        <w:t>все</w:t>
      </w:r>
      <w:r>
        <w:rPr>
          <w:rFonts w:ascii="Bookman Old Style" w:hAnsi="Bookman Old Style"/>
          <w:sz w:val="20"/>
          <w:szCs w:val="20"/>
        </w:rPr>
        <w:t>х видов</w:t>
      </w:r>
      <w:r w:rsidRPr="00112651">
        <w:rPr>
          <w:rFonts w:ascii="Bookman Old Style" w:hAnsi="Bookman Old Style"/>
          <w:sz w:val="20"/>
          <w:szCs w:val="20"/>
        </w:rPr>
        <w:t xml:space="preserve"> объектов – складские, офисные, торговые, производственные</w:t>
      </w:r>
      <w:r>
        <w:rPr>
          <w:rFonts w:ascii="Bookman Old Style" w:hAnsi="Bookman Old Style"/>
          <w:sz w:val="20"/>
          <w:szCs w:val="20"/>
        </w:rPr>
        <w:t>,</w:t>
      </w:r>
      <w:r w:rsidRPr="00112651">
        <w:rPr>
          <w:rFonts w:ascii="Bookman Old Style" w:hAnsi="Bookman Old Style"/>
          <w:sz w:val="20"/>
          <w:szCs w:val="20"/>
        </w:rPr>
        <w:t xml:space="preserve"> </w:t>
      </w:r>
      <w:r w:rsidRPr="0018076A">
        <w:rPr>
          <w:rFonts w:ascii="Bookman Old Style" w:hAnsi="Bookman Old Style"/>
          <w:sz w:val="20"/>
          <w:szCs w:val="20"/>
        </w:rPr>
        <w:t xml:space="preserve">из них большую часть представляет </w:t>
      </w:r>
      <w:r>
        <w:rPr>
          <w:rFonts w:ascii="Bookman Old Style" w:hAnsi="Bookman Old Style"/>
          <w:sz w:val="20"/>
          <w:szCs w:val="20"/>
        </w:rPr>
        <w:t>офисные</w:t>
      </w:r>
      <w:r w:rsidRPr="0018076A">
        <w:rPr>
          <w:rFonts w:ascii="Bookman Old Style" w:hAnsi="Bookman Old Style"/>
          <w:sz w:val="20"/>
          <w:szCs w:val="20"/>
        </w:rPr>
        <w:t xml:space="preserve"> объекты</w:t>
      </w:r>
      <w:r>
        <w:rPr>
          <w:rFonts w:ascii="Bookman Old Style" w:hAnsi="Bookman Old Style"/>
          <w:sz w:val="20"/>
          <w:szCs w:val="20"/>
        </w:rPr>
        <w:t xml:space="preserve"> и </w:t>
      </w:r>
      <w:r w:rsidRPr="0018076A">
        <w:rPr>
          <w:rFonts w:ascii="Bookman Old Style" w:hAnsi="Bookman Old Style"/>
          <w:sz w:val="20"/>
          <w:szCs w:val="20"/>
        </w:rPr>
        <w:t xml:space="preserve">помещения свободного назначения, требующие </w:t>
      </w:r>
      <w:r>
        <w:rPr>
          <w:rFonts w:ascii="Bookman Old Style" w:hAnsi="Bookman Old Style"/>
          <w:sz w:val="20"/>
          <w:szCs w:val="20"/>
        </w:rPr>
        <w:t>ремонта. С</w:t>
      </w:r>
      <w:r w:rsidRPr="00112651">
        <w:rPr>
          <w:rFonts w:ascii="Bookman Old Style" w:hAnsi="Bookman Old Style"/>
          <w:sz w:val="20"/>
          <w:szCs w:val="20"/>
        </w:rPr>
        <w:t>просом</w:t>
      </w:r>
      <w:r>
        <w:rPr>
          <w:rFonts w:ascii="Bookman Old Style" w:hAnsi="Bookman Old Style"/>
          <w:sz w:val="20"/>
          <w:szCs w:val="20"/>
        </w:rPr>
        <w:t>,</w:t>
      </w:r>
      <w:r w:rsidRPr="00112651">
        <w:rPr>
          <w:rFonts w:ascii="Bookman Old Style" w:hAnsi="Bookman Old Style"/>
          <w:sz w:val="20"/>
          <w:szCs w:val="20"/>
        </w:rPr>
        <w:t xml:space="preserve"> </w:t>
      </w:r>
      <w:r>
        <w:rPr>
          <w:rFonts w:ascii="Bookman Old Style" w:hAnsi="Bookman Old Style"/>
          <w:sz w:val="20"/>
          <w:szCs w:val="20"/>
        </w:rPr>
        <w:t xml:space="preserve">в основном, </w:t>
      </w:r>
      <w:r w:rsidRPr="00112651">
        <w:rPr>
          <w:rFonts w:ascii="Bookman Old Style" w:hAnsi="Bookman Old Style"/>
          <w:sz w:val="20"/>
          <w:szCs w:val="20"/>
        </w:rPr>
        <w:t xml:space="preserve">пользуются торговые и офисные помещения. </w:t>
      </w:r>
    </w:p>
    <w:p w:rsidR="00B12755" w:rsidRPr="00112651" w:rsidRDefault="00B12755" w:rsidP="00B12755">
      <w:pPr>
        <w:spacing w:before="120" w:after="120"/>
        <w:ind w:firstLine="709"/>
        <w:jc w:val="both"/>
        <w:rPr>
          <w:rFonts w:ascii="Bookman Old Style" w:hAnsi="Bookman Old Style"/>
          <w:sz w:val="20"/>
          <w:szCs w:val="20"/>
        </w:rPr>
      </w:pPr>
      <w:r w:rsidRPr="00112651">
        <w:rPr>
          <w:rFonts w:ascii="Bookman Old Style" w:hAnsi="Bookman Old Style"/>
          <w:sz w:val="20"/>
          <w:szCs w:val="20"/>
        </w:rPr>
        <w:t xml:space="preserve">На рынке промышленных объектов застой наблюдался еще </w:t>
      </w:r>
      <w:r>
        <w:rPr>
          <w:rFonts w:ascii="Bookman Old Style" w:hAnsi="Bookman Old Style"/>
          <w:sz w:val="20"/>
          <w:szCs w:val="20"/>
        </w:rPr>
        <w:t>с 2008 года</w:t>
      </w:r>
      <w:r w:rsidRPr="00112651">
        <w:rPr>
          <w:rFonts w:ascii="Bookman Old Style" w:hAnsi="Bookman Old Style"/>
          <w:sz w:val="20"/>
          <w:szCs w:val="20"/>
        </w:rPr>
        <w:t xml:space="preserve">. Всё дело в том, что большинство таких объектов еще несколько лет назад было переоборудовано под офисы или склады. </w:t>
      </w:r>
    </w:p>
    <w:p w:rsidR="00B12755" w:rsidRDefault="00B12755" w:rsidP="00B12755">
      <w:pPr>
        <w:spacing w:before="120" w:after="120"/>
        <w:ind w:firstLine="709"/>
        <w:jc w:val="both"/>
        <w:rPr>
          <w:rFonts w:ascii="Bookman Old Style" w:hAnsi="Bookman Old Style"/>
          <w:sz w:val="20"/>
          <w:szCs w:val="20"/>
        </w:rPr>
      </w:pPr>
      <w:r w:rsidRPr="00112651">
        <w:rPr>
          <w:rFonts w:ascii="Bookman Old Style" w:hAnsi="Bookman Old Style"/>
          <w:sz w:val="20"/>
          <w:szCs w:val="20"/>
        </w:rPr>
        <w:t>Суммарный объем офисных помещений в городе по итогам I квартала 2016 г. составил 450 752 кв.м (в результате ввода в III квартале 2015 г. БЦ «Капитал»). Лидером по общему объему предложения офис</w:t>
      </w:r>
      <w:r>
        <w:rPr>
          <w:rFonts w:ascii="Bookman Old Style" w:hAnsi="Bookman Old Style"/>
          <w:sz w:val="20"/>
          <w:szCs w:val="20"/>
        </w:rPr>
        <w:t xml:space="preserve">ных площадей является Советский, Железнодорожный и Центральный </w:t>
      </w:r>
      <w:r w:rsidRPr="00112651">
        <w:rPr>
          <w:rFonts w:ascii="Bookman Old Style" w:hAnsi="Bookman Old Style"/>
          <w:sz w:val="20"/>
          <w:szCs w:val="20"/>
        </w:rPr>
        <w:t>район</w:t>
      </w:r>
      <w:r>
        <w:rPr>
          <w:rFonts w:ascii="Bookman Old Style" w:hAnsi="Bookman Old Style"/>
          <w:sz w:val="20"/>
          <w:szCs w:val="20"/>
        </w:rPr>
        <w:t>ы</w:t>
      </w:r>
      <w:r w:rsidRPr="00112651">
        <w:rPr>
          <w:rFonts w:ascii="Bookman Old Style" w:hAnsi="Bookman Old Style"/>
          <w:sz w:val="20"/>
          <w:szCs w:val="20"/>
        </w:rPr>
        <w:t xml:space="preserve"> города. Наименьший объем предложения характерен для Ленинского и Кировского районов города</w:t>
      </w:r>
      <w:r>
        <w:rPr>
          <w:rFonts w:ascii="Bookman Old Style" w:hAnsi="Bookman Old Style"/>
          <w:sz w:val="20"/>
          <w:szCs w:val="20"/>
        </w:rPr>
        <w:t>.</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sz w:val="20"/>
          <w:szCs w:val="20"/>
        </w:rPr>
        <w:t>Так, п</w:t>
      </w:r>
      <w:r w:rsidRPr="0018076A">
        <w:rPr>
          <w:rFonts w:ascii="Bookman Old Style" w:hAnsi="Bookman Old Style"/>
          <w:sz w:val="20"/>
          <w:szCs w:val="20"/>
        </w:rPr>
        <w:t xml:space="preserve">редложения о продаже офисных площадей находятся в диапазоне от </w:t>
      </w:r>
      <w:r>
        <w:rPr>
          <w:rFonts w:ascii="Bookman Old Style" w:hAnsi="Bookman Old Style"/>
          <w:sz w:val="20"/>
          <w:szCs w:val="20"/>
        </w:rPr>
        <w:t>25</w:t>
      </w:r>
      <w:r w:rsidRPr="0018076A">
        <w:rPr>
          <w:rFonts w:ascii="Bookman Old Style" w:hAnsi="Bookman Old Style"/>
          <w:sz w:val="20"/>
          <w:szCs w:val="20"/>
        </w:rPr>
        <w:t xml:space="preserve"> </w:t>
      </w:r>
      <w:r>
        <w:rPr>
          <w:rFonts w:ascii="Bookman Old Style" w:hAnsi="Bookman Old Style"/>
          <w:sz w:val="20"/>
          <w:szCs w:val="20"/>
        </w:rPr>
        <w:t>446</w:t>
      </w:r>
      <w:r w:rsidRPr="0018076A">
        <w:rPr>
          <w:rFonts w:ascii="Bookman Old Style" w:hAnsi="Bookman Old Style"/>
          <w:sz w:val="20"/>
          <w:szCs w:val="20"/>
        </w:rPr>
        <w:t xml:space="preserve"> до </w:t>
      </w:r>
      <w:r>
        <w:rPr>
          <w:rFonts w:ascii="Bookman Old Style" w:hAnsi="Bookman Old Style"/>
          <w:sz w:val="20"/>
          <w:szCs w:val="20"/>
        </w:rPr>
        <w:t>130 682</w:t>
      </w:r>
      <w:r w:rsidRPr="0018076A">
        <w:rPr>
          <w:rFonts w:ascii="Bookman Old Style" w:hAnsi="Bookman Old Style"/>
          <w:sz w:val="20"/>
          <w:szCs w:val="20"/>
        </w:rPr>
        <w:t xml:space="preserve"> рублей за 1 кв.м.</w:t>
      </w:r>
      <w:r>
        <w:rPr>
          <w:rFonts w:ascii="Bookman Old Style" w:hAnsi="Bookman Old Style"/>
          <w:sz w:val="20"/>
          <w:szCs w:val="20"/>
        </w:rPr>
        <w:t xml:space="preserve"> в зависимости от расположения и технического состояния объекта. </w:t>
      </w:r>
    </w:p>
    <w:p w:rsidR="00B12755" w:rsidRDefault="00B12755" w:rsidP="00B12755">
      <w:pPr>
        <w:spacing w:before="120" w:after="120"/>
        <w:ind w:firstLine="709"/>
        <w:jc w:val="both"/>
        <w:rPr>
          <w:rFonts w:ascii="Bookman Old Style" w:hAnsi="Bookman Old Style"/>
          <w:sz w:val="20"/>
          <w:szCs w:val="20"/>
        </w:rPr>
      </w:pPr>
      <w:r w:rsidRPr="00112651">
        <w:rPr>
          <w:rFonts w:ascii="Bookman Old Style" w:hAnsi="Bookman Old Style"/>
          <w:sz w:val="20"/>
          <w:szCs w:val="20"/>
        </w:rPr>
        <w:t xml:space="preserve">Рынок торговой недвижимости Красноярска сегодня находится под негативным внешнеэкономическим влиянием. Сегодня, по подсчетам специалистов, общая площадь всех ТЦ и ТРЦ в Красноярске составляет более 1,1 млн. кв. м. Одной из важных тенденцией развития рынка торговой недвижимости Красноярска является отказ игроков рынка от менее успешных направлений в пользу наиболее эффективных брендов. Тем не менее, рынок торговых площадей Красноярска будет близок к своему насыщению. Площадь торговых и торгово-развлекательных центров Красноярска увеличится на 180 </w:t>
      </w:r>
      <w:proofErr w:type="spellStart"/>
      <w:r w:rsidRPr="00112651">
        <w:rPr>
          <w:rFonts w:ascii="Bookman Old Style" w:hAnsi="Bookman Old Style"/>
          <w:sz w:val="20"/>
          <w:szCs w:val="20"/>
        </w:rPr>
        <w:t>тыс.кв.м</w:t>
      </w:r>
      <w:proofErr w:type="spellEnd"/>
      <w:r w:rsidRPr="00112651">
        <w:rPr>
          <w:rFonts w:ascii="Bookman Old Style" w:hAnsi="Bookman Old Style"/>
          <w:sz w:val="20"/>
          <w:szCs w:val="20"/>
        </w:rPr>
        <w:t>. Показатель обеспеченности населения торговыми площадями приблизится к критическому уровню в 500-600 кв.м на 1000 жителей.</w:t>
      </w:r>
    </w:p>
    <w:p w:rsidR="00B12755" w:rsidRDefault="00B12755" w:rsidP="00B12755">
      <w:pPr>
        <w:spacing w:before="120" w:after="120"/>
        <w:ind w:firstLine="709"/>
        <w:jc w:val="both"/>
        <w:rPr>
          <w:rFonts w:ascii="Bookman Old Style" w:hAnsi="Bookman Old Style"/>
          <w:sz w:val="20"/>
          <w:szCs w:val="20"/>
        </w:rPr>
      </w:pPr>
      <w:r w:rsidRPr="0018076A">
        <w:rPr>
          <w:rFonts w:ascii="Bookman Old Style" w:hAnsi="Bookman Old Style"/>
          <w:sz w:val="20"/>
          <w:szCs w:val="20"/>
        </w:rPr>
        <w:lastRenderedPageBreak/>
        <w:t xml:space="preserve">На рынке продаж коммерческой недвижимости </w:t>
      </w:r>
      <w:r>
        <w:rPr>
          <w:rFonts w:ascii="Bookman Old Style" w:hAnsi="Bookman Old Style"/>
          <w:sz w:val="20"/>
          <w:szCs w:val="20"/>
        </w:rPr>
        <w:t xml:space="preserve">на дату оценки </w:t>
      </w:r>
      <w:r w:rsidRPr="0018076A">
        <w:rPr>
          <w:rFonts w:ascii="Bookman Old Style" w:hAnsi="Bookman Old Style"/>
          <w:sz w:val="20"/>
          <w:szCs w:val="20"/>
        </w:rPr>
        <w:t xml:space="preserve">представлено около </w:t>
      </w:r>
      <w:r>
        <w:rPr>
          <w:rFonts w:ascii="Bookman Old Style" w:hAnsi="Bookman Old Style"/>
          <w:sz w:val="20"/>
          <w:szCs w:val="20"/>
        </w:rPr>
        <w:t>60</w:t>
      </w:r>
      <w:r w:rsidRPr="0018076A">
        <w:rPr>
          <w:rFonts w:ascii="Bookman Old Style" w:hAnsi="Bookman Old Style"/>
          <w:sz w:val="20"/>
          <w:szCs w:val="20"/>
        </w:rPr>
        <w:t xml:space="preserve"> помещений торгового назначения. Торговые площади расположены как на первых этажах жилых домов, переведенных в </w:t>
      </w:r>
      <w:proofErr w:type="gramStart"/>
      <w:r w:rsidRPr="0018076A">
        <w:rPr>
          <w:rFonts w:ascii="Bookman Old Style" w:hAnsi="Bookman Old Style"/>
          <w:sz w:val="20"/>
          <w:szCs w:val="20"/>
        </w:rPr>
        <w:t>нежилое</w:t>
      </w:r>
      <w:proofErr w:type="gramEnd"/>
      <w:r w:rsidRPr="0018076A">
        <w:rPr>
          <w:rFonts w:ascii="Bookman Old Style" w:hAnsi="Bookman Old Style"/>
          <w:sz w:val="20"/>
          <w:szCs w:val="20"/>
        </w:rPr>
        <w:t>, так и отдельно стоящи</w:t>
      </w:r>
      <w:r>
        <w:rPr>
          <w:rFonts w:ascii="Bookman Old Style" w:hAnsi="Bookman Old Style"/>
          <w:sz w:val="20"/>
          <w:szCs w:val="20"/>
        </w:rPr>
        <w:t>х</w:t>
      </w:r>
      <w:r w:rsidRPr="0018076A">
        <w:rPr>
          <w:rFonts w:ascii="Bookman Old Style" w:hAnsi="Bookman Old Style"/>
          <w:sz w:val="20"/>
          <w:szCs w:val="20"/>
        </w:rPr>
        <w:t xml:space="preserve"> здания</w:t>
      </w:r>
      <w:r>
        <w:rPr>
          <w:rFonts w:ascii="Bookman Old Style" w:hAnsi="Bookman Old Style"/>
          <w:sz w:val="20"/>
          <w:szCs w:val="20"/>
        </w:rPr>
        <w:t>х и торговые центры</w:t>
      </w:r>
      <w:r w:rsidRPr="0018076A">
        <w:rPr>
          <w:rFonts w:ascii="Bookman Old Style" w:hAnsi="Bookman Old Style"/>
          <w:sz w:val="20"/>
          <w:szCs w:val="20"/>
        </w:rPr>
        <w:t xml:space="preserve">. Диапазон средней стоимости составляет </w:t>
      </w:r>
      <w:r>
        <w:rPr>
          <w:rFonts w:ascii="Bookman Old Style" w:hAnsi="Bookman Old Style"/>
          <w:sz w:val="20"/>
          <w:szCs w:val="20"/>
        </w:rPr>
        <w:t>11 429</w:t>
      </w:r>
      <w:r w:rsidRPr="0018076A">
        <w:rPr>
          <w:rFonts w:ascii="Bookman Old Style" w:hAnsi="Bookman Old Style"/>
          <w:sz w:val="20"/>
          <w:szCs w:val="20"/>
        </w:rPr>
        <w:t xml:space="preserve"> – </w:t>
      </w:r>
      <w:r>
        <w:rPr>
          <w:rFonts w:ascii="Bookman Old Style" w:hAnsi="Bookman Old Style"/>
          <w:sz w:val="20"/>
          <w:szCs w:val="20"/>
        </w:rPr>
        <w:t>194 611</w:t>
      </w:r>
      <w:r w:rsidRPr="0018076A">
        <w:rPr>
          <w:rFonts w:ascii="Bookman Old Style" w:hAnsi="Bookman Old Style"/>
          <w:sz w:val="20"/>
          <w:szCs w:val="20"/>
        </w:rPr>
        <w:t>. Разброс цен зависит от местоположения торгового помещения, чем дальше от центральной части города, тем стоимость 1 кв.м. меньше</w:t>
      </w:r>
      <w:r>
        <w:rPr>
          <w:rFonts w:ascii="Bookman Old Style" w:hAnsi="Bookman Old Style"/>
          <w:sz w:val="20"/>
          <w:szCs w:val="20"/>
        </w:rPr>
        <w:t xml:space="preserve">. </w:t>
      </w:r>
      <w:r w:rsidRPr="00112651">
        <w:rPr>
          <w:rFonts w:ascii="Bookman Old Style" w:hAnsi="Bookman Old Style"/>
          <w:sz w:val="20"/>
          <w:szCs w:val="20"/>
        </w:rPr>
        <w:t>Торговые центры</w:t>
      </w:r>
      <w:r>
        <w:rPr>
          <w:rFonts w:ascii="Bookman Old Style" w:hAnsi="Bookman Old Style"/>
          <w:sz w:val="20"/>
          <w:szCs w:val="20"/>
        </w:rPr>
        <w:t>, в основном,</w:t>
      </w:r>
      <w:r w:rsidRPr="00112651">
        <w:rPr>
          <w:rFonts w:ascii="Bookman Old Style" w:hAnsi="Bookman Old Style"/>
          <w:sz w:val="20"/>
          <w:szCs w:val="20"/>
        </w:rPr>
        <w:t xml:space="preserve"> соср</w:t>
      </w:r>
      <w:r>
        <w:rPr>
          <w:rFonts w:ascii="Bookman Old Style" w:hAnsi="Bookman Old Style"/>
          <w:sz w:val="20"/>
          <w:szCs w:val="20"/>
        </w:rPr>
        <w:t>едоточены в отдаленных районах, б</w:t>
      </w:r>
      <w:r w:rsidRPr="00112651">
        <w:rPr>
          <w:rFonts w:ascii="Bookman Old Style" w:hAnsi="Bookman Old Style"/>
          <w:sz w:val="20"/>
          <w:szCs w:val="20"/>
        </w:rPr>
        <w:t>ольшая часть находится в Советском районе</w:t>
      </w:r>
      <w:r>
        <w:rPr>
          <w:rFonts w:ascii="Bookman Old Style" w:hAnsi="Bookman Old Style"/>
          <w:sz w:val="20"/>
          <w:szCs w:val="20"/>
        </w:rPr>
        <w:t xml:space="preserve">, примерно </w:t>
      </w:r>
      <w:r w:rsidRPr="00112651">
        <w:rPr>
          <w:rFonts w:ascii="Bookman Old Style" w:hAnsi="Bookman Old Style"/>
          <w:sz w:val="20"/>
          <w:szCs w:val="20"/>
        </w:rPr>
        <w:t xml:space="preserve"> 23% торговых центров расположилось в </w:t>
      </w:r>
      <w:r>
        <w:rPr>
          <w:rFonts w:ascii="Bookman Old Style" w:hAnsi="Bookman Old Style"/>
          <w:sz w:val="20"/>
          <w:szCs w:val="20"/>
        </w:rPr>
        <w:t>С</w:t>
      </w:r>
      <w:r w:rsidRPr="00112651">
        <w:rPr>
          <w:rFonts w:ascii="Bookman Old Style" w:hAnsi="Bookman Old Style"/>
          <w:sz w:val="20"/>
          <w:szCs w:val="20"/>
        </w:rPr>
        <w:t xml:space="preserve">вердловском </w:t>
      </w:r>
      <w:r>
        <w:rPr>
          <w:rFonts w:ascii="Bookman Old Style" w:hAnsi="Bookman Old Style"/>
          <w:sz w:val="20"/>
          <w:szCs w:val="20"/>
        </w:rPr>
        <w:t>районе.</w:t>
      </w:r>
    </w:p>
    <w:p w:rsidR="00B12755" w:rsidRDefault="00B12755" w:rsidP="00B12755">
      <w:pPr>
        <w:spacing w:before="120" w:after="120"/>
        <w:ind w:firstLine="709"/>
        <w:jc w:val="both"/>
        <w:rPr>
          <w:rFonts w:ascii="Bookman Old Style" w:hAnsi="Bookman Old Style"/>
          <w:sz w:val="20"/>
          <w:szCs w:val="20"/>
        </w:rPr>
      </w:pPr>
      <w:r w:rsidRPr="0018076A">
        <w:rPr>
          <w:rFonts w:ascii="Bookman Old Style" w:hAnsi="Bookman Old Style"/>
          <w:sz w:val="20"/>
          <w:szCs w:val="20"/>
        </w:rPr>
        <w:t>Производственно-складские объекты в основном представлены в промышленной части города</w:t>
      </w:r>
      <w:r>
        <w:rPr>
          <w:rFonts w:ascii="Bookman Old Style" w:hAnsi="Bookman Old Style"/>
          <w:sz w:val="20"/>
          <w:szCs w:val="20"/>
        </w:rPr>
        <w:t xml:space="preserve">. </w:t>
      </w:r>
      <w:r w:rsidRPr="009B5FEB">
        <w:rPr>
          <w:rFonts w:ascii="Bookman Old Style" w:hAnsi="Bookman Old Style"/>
          <w:iCs/>
          <w:sz w:val="20"/>
          <w:szCs w:val="20"/>
        </w:rPr>
        <w:t xml:space="preserve">На сегодняшний момент Красноярск не является крупным логистическим </w:t>
      </w:r>
      <w:proofErr w:type="spellStart"/>
      <w:r w:rsidRPr="009B5FEB">
        <w:rPr>
          <w:rFonts w:ascii="Bookman Old Style" w:hAnsi="Bookman Old Style"/>
          <w:iCs/>
          <w:sz w:val="20"/>
          <w:szCs w:val="20"/>
        </w:rPr>
        <w:t>хабом</w:t>
      </w:r>
      <w:proofErr w:type="spellEnd"/>
      <w:r w:rsidRPr="009B5FEB">
        <w:rPr>
          <w:rFonts w:ascii="Bookman Old Style" w:hAnsi="Bookman Old Style"/>
          <w:iCs/>
          <w:sz w:val="20"/>
          <w:szCs w:val="20"/>
        </w:rPr>
        <w:t xml:space="preserve"> в России. </w:t>
      </w:r>
      <w:proofErr w:type="gramStart"/>
      <w:r w:rsidRPr="009B5FEB">
        <w:rPr>
          <w:rFonts w:ascii="Bookman Old Style" w:hAnsi="Bookman Old Style"/>
          <w:iCs/>
          <w:sz w:val="20"/>
          <w:szCs w:val="20"/>
        </w:rPr>
        <w:t>Общая площадь помещений, которую можно отнести к разряду качественной, составляет порядка 100 тыс. метров</w:t>
      </w:r>
      <w:r>
        <w:rPr>
          <w:rFonts w:ascii="Bookman Old Style" w:hAnsi="Bookman Old Style"/>
          <w:iCs/>
          <w:sz w:val="20"/>
          <w:szCs w:val="20"/>
        </w:rPr>
        <w:t>, н</w:t>
      </w:r>
      <w:r w:rsidRPr="009B5FEB">
        <w:rPr>
          <w:rFonts w:ascii="Bookman Old Style" w:hAnsi="Bookman Old Style"/>
          <w:iCs/>
          <w:sz w:val="20"/>
          <w:szCs w:val="20"/>
        </w:rPr>
        <w:t>о заполняемость довольно высокая, что хорошо для экономики этих проектов</w:t>
      </w:r>
      <w:proofErr w:type="gramEnd"/>
    </w:p>
    <w:p w:rsidR="00B12755" w:rsidRDefault="00B12755" w:rsidP="00B12755">
      <w:pPr>
        <w:spacing w:before="120" w:after="120"/>
        <w:ind w:firstLine="709"/>
        <w:jc w:val="both"/>
        <w:rPr>
          <w:rFonts w:ascii="Bookman Old Style" w:hAnsi="Bookman Old Style"/>
          <w:sz w:val="20"/>
          <w:szCs w:val="20"/>
        </w:rPr>
      </w:pPr>
      <w:r w:rsidRPr="009B5FEB">
        <w:rPr>
          <w:rFonts w:ascii="Bookman Old Style" w:hAnsi="Bookman Old Style"/>
          <w:sz w:val="20"/>
          <w:szCs w:val="20"/>
        </w:rPr>
        <w:t xml:space="preserve">По данным </w:t>
      </w:r>
      <w:r>
        <w:rPr>
          <w:rFonts w:ascii="Bookman Old Style" w:hAnsi="Bookman Old Style"/>
          <w:sz w:val="20"/>
          <w:szCs w:val="20"/>
        </w:rPr>
        <w:t>специалистов</w:t>
      </w:r>
      <w:r w:rsidRPr="009B5FEB">
        <w:rPr>
          <w:rFonts w:ascii="Bookman Old Style" w:hAnsi="Bookman Old Style"/>
          <w:sz w:val="20"/>
          <w:szCs w:val="20"/>
        </w:rPr>
        <w:t>, формированию рынка качественной складской недвижимости в Красноярске препятствует близость к разви</w:t>
      </w:r>
      <w:r>
        <w:rPr>
          <w:rFonts w:ascii="Bookman Old Style" w:hAnsi="Bookman Old Style"/>
          <w:sz w:val="20"/>
          <w:szCs w:val="20"/>
        </w:rPr>
        <w:t>тому рынку Новосибирска и отдале</w:t>
      </w:r>
      <w:r w:rsidRPr="009B5FEB">
        <w:rPr>
          <w:rFonts w:ascii="Bookman Old Style" w:hAnsi="Bookman Old Style"/>
          <w:sz w:val="20"/>
          <w:szCs w:val="20"/>
        </w:rPr>
        <w:t>нность от большинства других крупных городов России.</w:t>
      </w:r>
      <w:r>
        <w:rPr>
          <w:rFonts w:ascii="Bookman Old Style" w:hAnsi="Bookman Old Style"/>
          <w:sz w:val="20"/>
          <w:szCs w:val="20"/>
        </w:rPr>
        <w:t xml:space="preserve"> </w:t>
      </w:r>
      <w:r w:rsidRPr="009B5FEB">
        <w:rPr>
          <w:rFonts w:ascii="Bookman Old Style" w:hAnsi="Bookman Old Style"/>
          <w:sz w:val="20"/>
          <w:szCs w:val="20"/>
        </w:rPr>
        <w:t>На сегодняшний день в Красноярске порядка 70% складских объектов относятся к классу «С»: расположены в полуподвальных помещениях и на территории бывших промышленных площадок</w:t>
      </w:r>
      <w:r>
        <w:rPr>
          <w:rFonts w:ascii="Bookman Old Style" w:hAnsi="Bookman Old Style"/>
          <w:sz w:val="20"/>
          <w:szCs w:val="20"/>
        </w:rPr>
        <w:t>.</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sz w:val="20"/>
          <w:szCs w:val="20"/>
        </w:rPr>
        <w:t>Средняя стоимость предложений за 1 кв.м. объектов производственно-складского назначения варьируется в пределах 1 364 – 65 000. О</w:t>
      </w:r>
      <w:r w:rsidRPr="0018076A">
        <w:rPr>
          <w:rFonts w:ascii="Bookman Old Style" w:hAnsi="Bookman Old Style"/>
          <w:sz w:val="20"/>
          <w:szCs w:val="20"/>
        </w:rPr>
        <w:t>бщ</w:t>
      </w:r>
      <w:r>
        <w:rPr>
          <w:rFonts w:ascii="Bookman Old Style" w:hAnsi="Bookman Old Style"/>
          <w:sz w:val="20"/>
          <w:szCs w:val="20"/>
        </w:rPr>
        <w:t>ий</w:t>
      </w:r>
      <w:r w:rsidRPr="0018076A">
        <w:rPr>
          <w:rFonts w:ascii="Bookman Old Style" w:hAnsi="Bookman Old Style"/>
          <w:sz w:val="20"/>
          <w:szCs w:val="20"/>
        </w:rPr>
        <w:t xml:space="preserve"> объем предложени</w:t>
      </w:r>
      <w:r>
        <w:rPr>
          <w:rFonts w:ascii="Bookman Old Style" w:hAnsi="Bookman Old Style"/>
          <w:sz w:val="20"/>
          <w:szCs w:val="20"/>
        </w:rPr>
        <w:t>й</w:t>
      </w:r>
      <w:r w:rsidRPr="0018076A">
        <w:rPr>
          <w:rFonts w:ascii="Bookman Old Style" w:hAnsi="Bookman Old Style"/>
          <w:sz w:val="20"/>
          <w:szCs w:val="20"/>
        </w:rPr>
        <w:t xml:space="preserve"> </w:t>
      </w:r>
      <w:r>
        <w:rPr>
          <w:rFonts w:ascii="Bookman Old Style" w:hAnsi="Bookman Old Style"/>
          <w:sz w:val="20"/>
          <w:szCs w:val="20"/>
        </w:rPr>
        <w:t>ПСН</w:t>
      </w:r>
      <w:r w:rsidRPr="0018076A">
        <w:rPr>
          <w:rFonts w:ascii="Bookman Old Style" w:hAnsi="Bookman Old Style"/>
          <w:sz w:val="20"/>
          <w:szCs w:val="20"/>
        </w:rPr>
        <w:t xml:space="preserve"> площадей </w:t>
      </w:r>
      <w:r>
        <w:rPr>
          <w:rFonts w:ascii="Bookman Old Style" w:hAnsi="Bookman Old Style"/>
          <w:sz w:val="20"/>
          <w:szCs w:val="20"/>
        </w:rPr>
        <w:t xml:space="preserve">находится в </w:t>
      </w:r>
      <w:r w:rsidRPr="0018076A">
        <w:rPr>
          <w:rFonts w:ascii="Bookman Old Style" w:hAnsi="Bookman Old Style"/>
          <w:sz w:val="20"/>
          <w:szCs w:val="20"/>
        </w:rPr>
        <w:t>Советск</w:t>
      </w:r>
      <w:r>
        <w:rPr>
          <w:rFonts w:ascii="Bookman Old Style" w:hAnsi="Bookman Old Style"/>
          <w:sz w:val="20"/>
          <w:szCs w:val="20"/>
        </w:rPr>
        <w:t xml:space="preserve">ом и Ленинском </w:t>
      </w:r>
      <w:r w:rsidRPr="0018076A">
        <w:rPr>
          <w:rFonts w:ascii="Bookman Old Style" w:hAnsi="Bookman Old Style"/>
          <w:sz w:val="20"/>
          <w:szCs w:val="20"/>
        </w:rPr>
        <w:t>рай</w:t>
      </w:r>
      <w:r>
        <w:rPr>
          <w:rFonts w:ascii="Bookman Old Style" w:hAnsi="Bookman Old Style"/>
          <w:sz w:val="20"/>
          <w:szCs w:val="20"/>
        </w:rPr>
        <w:t>онах</w:t>
      </w:r>
      <w:r w:rsidRPr="0018076A">
        <w:rPr>
          <w:rFonts w:ascii="Bookman Old Style" w:hAnsi="Bookman Old Style"/>
          <w:sz w:val="20"/>
          <w:szCs w:val="20"/>
        </w:rPr>
        <w:t xml:space="preserve"> города</w:t>
      </w:r>
      <w:r>
        <w:rPr>
          <w:rFonts w:ascii="Bookman Old Style" w:hAnsi="Bookman Old Style"/>
          <w:sz w:val="20"/>
          <w:szCs w:val="20"/>
        </w:rPr>
        <w:t>.</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sz w:val="20"/>
          <w:szCs w:val="20"/>
        </w:rPr>
        <w:t>По данным</w:t>
      </w:r>
      <w:r w:rsidRPr="00423DD5">
        <w:rPr>
          <w:rFonts w:ascii="Cambria" w:hAnsi="Cambria"/>
          <w:sz w:val="16"/>
          <w:szCs w:val="16"/>
        </w:rPr>
        <w:t xml:space="preserve"> </w:t>
      </w:r>
      <w:r>
        <w:rPr>
          <w:rFonts w:ascii="Bookman Old Style" w:hAnsi="Bookman Old Style"/>
          <w:sz w:val="20"/>
          <w:szCs w:val="20"/>
        </w:rPr>
        <w:t>о</w:t>
      </w:r>
      <w:r w:rsidRPr="0018076A">
        <w:rPr>
          <w:rFonts w:ascii="Bookman Old Style" w:hAnsi="Bookman Old Style"/>
          <w:sz w:val="20"/>
          <w:szCs w:val="20"/>
        </w:rPr>
        <w:t>тчет</w:t>
      </w:r>
      <w:r>
        <w:rPr>
          <w:rFonts w:ascii="Bookman Old Style" w:hAnsi="Bookman Old Style"/>
          <w:sz w:val="20"/>
          <w:szCs w:val="20"/>
        </w:rPr>
        <w:t>а</w:t>
      </w:r>
      <w:r w:rsidRPr="0018076A">
        <w:rPr>
          <w:rFonts w:ascii="Bookman Old Style" w:hAnsi="Bookman Old Style"/>
          <w:sz w:val="20"/>
          <w:szCs w:val="20"/>
        </w:rPr>
        <w:t xml:space="preserve"> </w:t>
      </w:r>
      <w:r w:rsidRPr="0018076A">
        <w:rPr>
          <w:rFonts w:ascii="Bookman Old Style" w:hAnsi="Bookman Old Style"/>
          <w:sz w:val="20"/>
          <w:szCs w:val="20"/>
          <w:lang w:val="en-GB"/>
        </w:rPr>
        <w:t>RID</w:t>
      </w:r>
      <w:r w:rsidRPr="0018076A">
        <w:rPr>
          <w:rFonts w:ascii="Bookman Old Style" w:hAnsi="Bookman Old Style"/>
          <w:sz w:val="20"/>
          <w:szCs w:val="20"/>
        </w:rPr>
        <w:t xml:space="preserve"> </w:t>
      </w:r>
      <w:r w:rsidRPr="0018076A">
        <w:rPr>
          <w:rFonts w:ascii="Bookman Old Style" w:hAnsi="Bookman Old Style"/>
          <w:sz w:val="20"/>
          <w:szCs w:val="20"/>
          <w:lang w:val="en-GB"/>
        </w:rPr>
        <w:t>Analytics</w:t>
      </w:r>
      <w:r>
        <w:rPr>
          <w:rFonts w:ascii="Bookman Old Style" w:hAnsi="Bookman Old Style"/>
          <w:sz w:val="20"/>
          <w:szCs w:val="20"/>
        </w:rPr>
        <w:t>, в</w:t>
      </w:r>
      <w:r w:rsidRPr="00112651">
        <w:rPr>
          <w:rFonts w:ascii="Bookman Old Style" w:hAnsi="Bookman Old Style"/>
          <w:sz w:val="20"/>
          <w:szCs w:val="20"/>
        </w:rPr>
        <w:t xml:space="preserve"> 1 квартале 2016 года, по сравнению с предыдущим периодом, средние удельные цены выросли по производственно-складским объектам на 1,1%, по офисным и торговым помещениям цены снизились на 3,3% и 3,4% соответственно</w:t>
      </w:r>
      <w:r>
        <w:rPr>
          <w:rFonts w:ascii="Bookman Old Style" w:hAnsi="Bookman Old Style"/>
          <w:sz w:val="20"/>
          <w:szCs w:val="20"/>
        </w:rPr>
        <w:t>.</w:t>
      </w:r>
    </w:p>
    <w:p w:rsidR="00B12755" w:rsidRDefault="00B12755" w:rsidP="00B12755">
      <w:pPr>
        <w:spacing w:before="120" w:after="120"/>
        <w:ind w:firstLine="709"/>
        <w:jc w:val="center"/>
        <w:rPr>
          <w:rFonts w:ascii="Bookman Old Style" w:hAnsi="Bookman Old Style"/>
          <w:sz w:val="20"/>
          <w:szCs w:val="20"/>
        </w:rPr>
      </w:pPr>
      <w:r>
        <w:rPr>
          <w:rFonts w:ascii="Bookman Old Style" w:hAnsi="Bookman Old Style"/>
          <w:noProof/>
          <w:sz w:val="20"/>
          <w:szCs w:val="20"/>
        </w:rPr>
        <w:drawing>
          <wp:inline distT="0" distB="0" distL="0" distR="0" wp14:anchorId="63B538DC" wp14:editId="3A533AC5">
            <wp:extent cx="5752465" cy="2254250"/>
            <wp:effectExtent l="0" t="0" r="635" b="0"/>
            <wp:docPr id="235" name="Рисунок 235" descr="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2465" cy="2254250"/>
                    </a:xfrm>
                    <a:prstGeom prst="rect">
                      <a:avLst/>
                    </a:prstGeom>
                    <a:noFill/>
                    <a:ln>
                      <a:noFill/>
                    </a:ln>
                  </pic:spPr>
                </pic:pic>
              </a:graphicData>
            </a:graphic>
          </wp:inline>
        </w:drawing>
      </w:r>
    </w:p>
    <w:p w:rsidR="00B12755" w:rsidRDefault="00B12755" w:rsidP="00B12755">
      <w:pPr>
        <w:spacing w:before="120" w:after="120"/>
        <w:ind w:firstLine="709"/>
        <w:jc w:val="both"/>
        <w:rPr>
          <w:rFonts w:ascii="Bookman Old Style" w:hAnsi="Bookman Old Style"/>
          <w:sz w:val="20"/>
          <w:szCs w:val="20"/>
        </w:rPr>
      </w:pPr>
      <w:r w:rsidRPr="00AC326F">
        <w:rPr>
          <w:rFonts w:ascii="Bookman Old Style" w:hAnsi="Bookman Old Style" w:cs="Arial"/>
          <w:sz w:val="20"/>
          <w:szCs w:val="20"/>
        </w:rPr>
        <w:t xml:space="preserve">Рынок аренды коммерческой недвижимости </w:t>
      </w:r>
      <w:r>
        <w:rPr>
          <w:rFonts w:ascii="Bookman Old Style" w:hAnsi="Bookman Old Style" w:cs="Arial"/>
          <w:sz w:val="20"/>
          <w:szCs w:val="20"/>
        </w:rPr>
        <w:t>также активно развит</w:t>
      </w:r>
      <w:r w:rsidRPr="00AC326F">
        <w:rPr>
          <w:rFonts w:ascii="Bookman Old Style" w:hAnsi="Bookman Old Style" w:cs="Arial"/>
          <w:sz w:val="20"/>
          <w:szCs w:val="20"/>
        </w:rPr>
        <w:t xml:space="preserve">. </w:t>
      </w:r>
      <w:r>
        <w:rPr>
          <w:rFonts w:ascii="Bookman Old Style" w:hAnsi="Bookman Old Style" w:cs="Arial"/>
          <w:sz w:val="20"/>
          <w:szCs w:val="20"/>
        </w:rPr>
        <w:t xml:space="preserve">Общее количество предложений о сдаче в аренду всех площадей коммерческого назначения составляет порядка 670 объявлений. </w:t>
      </w:r>
      <w:r w:rsidRPr="00AC326F">
        <w:rPr>
          <w:rFonts w:ascii="Bookman Old Style" w:hAnsi="Bookman Old Style" w:cs="Arial"/>
          <w:sz w:val="20"/>
          <w:szCs w:val="20"/>
        </w:rPr>
        <w:t>В основном в аренду предлагаются помещения торгового</w:t>
      </w:r>
      <w:r>
        <w:rPr>
          <w:rFonts w:ascii="Bookman Old Style" w:hAnsi="Bookman Old Style" w:cs="Arial"/>
          <w:sz w:val="20"/>
          <w:szCs w:val="20"/>
        </w:rPr>
        <w:t xml:space="preserve"> и офисного</w:t>
      </w:r>
      <w:r w:rsidRPr="00AC326F">
        <w:rPr>
          <w:rFonts w:ascii="Bookman Old Style" w:hAnsi="Bookman Old Style" w:cs="Arial"/>
          <w:sz w:val="20"/>
          <w:szCs w:val="20"/>
        </w:rPr>
        <w:t xml:space="preserve"> назначения. Средняя ставка аренды 1 кв.м. торгово</w:t>
      </w:r>
      <w:r>
        <w:rPr>
          <w:rFonts w:ascii="Bookman Old Style" w:hAnsi="Bookman Old Style" w:cs="Arial"/>
          <w:sz w:val="20"/>
          <w:szCs w:val="20"/>
        </w:rPr>
        <w:t>го помещения составляет 200 – 2 500</w:t>
      </w:r>
      <w:r w:rsidRPr="00AC326F">
        <w:rPr>
          <w:rFonts w:ascii="Bookman Old Style" w:hAnsi="Bookman Old Style" w:cs="Arial"/>
          <w:sz w:val="20"/>
          <w:szCs w:val="20"/>
        </w:rPr>
        <w:t xml:space="preserve"> руб. в месяц в зависимости от местоположения и состояния. </w:t>
      </w:r>
      <w:r>
        <w:rPr>
          <w:rFonts w:ascii="Bookman Old Style" w:hAnsi="Bookman Old Style" w:cs="Arial"/>
          <w:sz w:val="20"/>
          <w:szCs w:val="20"/>
        </w:rPr>
        <w:t>Ставка аренды офисных площадей находится в диапазоне от 200 до 1 200 рублей за 1 кв.м. в месяц. Из п</w:t>
      </w:r>
      <w:r w:rsidRPr="00AC326F">
        <w:rPr>
          <w:rFonts w:ascii="Bookman Old Style" w:hAnsi="Bookman Old Style" w:cs="Arial"/>
          <w:sz w:val="20"/>
          <w:szCs w:val="20"/>
        </w:rPr>
        <w:t>роизводственно-складских помещений предлагающихся к сдаче в аренду</w:t>
      </w:r>
      <w:r>
        <w:rPr>
          <w:rFonts w:ascii="Bookman Old Style" w:hAnsi="Bookman Old Style" w:cs="Arial"/>
          <w:sz w:val="20"/>
          <w:szCs w:val="20"/>
        </w:rPr>
        <w:t>, выявлено около 60 объектов со стоимостью предложения от 100 до 500  руб. за 1 кв.м.</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sz w:val="20"/>
          <w:szCs w:val="20"/>
        </w:rPr>
        <w:t>А</w:t>
      </w:r>
      <w:r w:rsidRPr="00112651">
        <w:rPr>
          <w:rFonts w:ascii="Bookman Old Style" w:hAnsi="Bookman Old Style"/>
          <w:sz w:val="20"/>
          <w:szCs w:val="20"/>
        </w:rPr>
        <w:t xml:space="preserve">рендные ставки предложения </w:t>
      </w:r>
      <w:r>
        <w:rPr>
          <w:rFonts w:ascii="Bookman Old Style" w:hAnsi="Bookman Old Style"/>
          <w:sz w:val="20"/>
          <w:szCs w:val="20"/>
        </w:rPr>
        <w:t>в</w:t>
      </w:r>
      <w:r w:rsidRPr="00112651">
        <w:rPr>
          <w:rFonts w:ascii="Bookman Old Style" w:hAnsi="Bookman Old Style"/>
          <w:sz w:val="20"/>
          <w:szCs w:val="20"/>
        </w:rPr>
        <w:t xml:space="preserve"> 1 полугодии 2016г.</w:t>
      </w:r>
      <w:r>
        <w:rPr>
          <w:rFonts w:ascii="Bookman Old Style" w:hAnsi="Bookman Old Style"/>
          <w:sz w:val="20"/>
          <w:szCs w:val="20"/>
        </w:rPr>
        <w:t xml:space="preserve">, по данным </w:t>
      </w:r>
      <w:r w:rsidRPr="007D11A8">
        <w:rPr>
          <w:rFonts w:ascii="Bookman Old Style" w:hAnsi="Bookman Old Style"/>
          <w:sz w:val="20"/>
          <w:szCs w:val="20"/>
        </w:rPr>
        <w:t xml:space="preserve">отчета </w:t>
      </w:r>
      <w:r w:rsidRPr="007D11A8">
        <w:rPr>
          <w:rFonts w:ascii="Bookman Old Style" w:hAnsi="Bookman Old Style"/>
          <w:sz w:val="20"/>
          <w:szCs w:val="20"/>
          <w:lang w:val="en-GB"/>
        </w:rPr>
        <w:t>RID</w:t>
      </w:r>
      <w:r w:rsidRPr="007D11A8">
        <w:rPr>
          <w:rFonts w:ascii="Bookman Old Style" w:hAnsi="Bookman Old Style"/>
          <w:sz w:val="20"/>
          <w:szCs w:val="20"/>
        </w:rPr>
        <w:t xml:space="preserve"> </w:t>
      </w:r>
      <w:r w:rsidRPr="007D11A8">
        <w:rPr>
          <w:rFonts w:ascii="Bookman Old Style" w:hAnsi="Bookman Old Style"/>
          <w:sz w:val="20"/>
          <w:szCs w:val="20"/>
          <w:lang w:val="en-GB"/>
        </w:rPr>
        <w:t>Analytics</w:t>
      </w:r>
      <w:r w:rsidRPr="00112651">
        <w:rPr>
          <w:rFonts w:ascii="Bookman Old Style" w:hAnsi="Bookman Old Style"/>
          <w:sz w:val="20"/>
          <w:szCs w:val="20"/>
        </w:rPr>
        <w:t>, по сравнению с предыдущим периодом, снизились по производственно-складским помещениям на 4,6%, по офисным и торговым объектам – на 3,3% и 0,01% соответственно</w:t>
      </w:r>
      <w:r>
        <w:rPr>
          <w:rFonts w:ascii="Bookman Old Style" w:hAnsi="Bookman Old Style"/>
          <w:sz w:val="20"/>
          <w:szCs w:val="20"/>
        </w:rPr>
        <w:t xml:space="preserve"> </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noProof/>
          <w:sz w:val="20"/>
          <w:szCs w:val="20"/>
        </w:rPr>
        <w:lastRenderedPageBreak/>
        <w:drawing>
          <wp:inline distT="0" distB="0" distL="0" distR="0" wp14:anchorId="26027228" wp14:editId="46E23329">
            <wp:extent cx="5901055" cy="2286000"/>
            <wp:effectExtent l="0" t="0" r="4445" b="0"/>
            <wp:docPr id="234" name="Рисунок 234" descr="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6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1055" cy="2286000"/>
                    </a:xfrm>
                    <a:prstGeom prst="rect">
                      <a:avLst/>
                    </a:prstGeom>
                    <a:noFill/>
                    <a:ln>
                      <a:noFill/>
                    </a:ln>
                  </pic:spPr>
                </pic:pic>
              </a:graphicData>
            </a:graphic>
          </wp:inline>
        </w:drawing>
      </w:r>
    </w:p>
    <w:p w:rsidR="00424E1B" w:rsidRPr="00D229B7" w:rsidRDefault="00391023" w:rsidP="00424E1B">
      <w:pPr>
        <w:pStyle w:val="3"/>
        <w:rPr>
          <w:rFonts w:ascii="Bookman Old Style" w:hAnsi="Bookman Old Style"/>
          <w:sz w:val="20"/>
          <w:szCs w:val="20"/>
        </w:rPr>
      </w:pPr>
      <w:bookmarkStart w:id="201" w:name="_Toc461375578"/>
      <w:bookmarkEnd w:id="196"/>
      <w:bookmarkEnd w:id="197"/>
      <w:r>
        <w:rPr>
          <w:rFonts w:ascii="Bookman Old Style" w:hAnsi="Bookman Old Style"/>
          <w:sz w:val="20"/>
          <w:szCs w:val="20"/>
        </w:rPr>
        <w:t>4.</w:t>
      </w:r>
      <w:r w:rsidR="00D96ED6">
        <w:rPr>
          <w:rFonts w:ascii="Bookman Old Style" w:hAnsi="Bookman Old Style"/>
          <w:sz w:val="20"/>
          <w:szCs w:val="20"/>
        </w:rPr>
        <w:t>4</w:t>
      </w:r>
      <w:r w:rsidR="00424E1B" w:rsidRPr="00D229B7">
        <w:rPr>
          <w:rFonts w:ascii="Bookman Old Style" w:hAnsi="Bookman Old Style"/>
          <w:sz w:val="20"/>
          <w:szCs w:val="20"/>
        </w:rPr>
        <w:t>.</w:t>
      </w:r>
      <w:r w:rsidR="00B12755">
        <w:rPr>
          <w:rFonts w:ascii="Bookman Old Style" w:hAnsi="Bookman Old Style"/>
          <w:sz w:val="20"/>
          <w:szCs w:val="20"/>
        </w:rPr>
        <w:t>2</w:t>
      </w:r>
      <w:r w:rsidR="00424E1B">
        <w:rPr>
          <w:rFonts w:ascii="Bookman Old Style" w:hAnsi="Bookman Old Style"/>
          <w:sz w:val="20"/>
          <w:szCs w:val="20"/>
        </w:rPr>
        <w:t>.</w:t>
      </w:r>
      <w:r w:rsidR="00424E1B" w:rsidRPr="00D229B7">
        <w:rPr>
          <w:rFonts w:ascii="Bookman Old Style" w:hAnsi="Bookman Old Style"/>
          <w:sz w:val="20"/>
          <w:szCs w:val="20"/>
        </w:rPr>
        <w:t xml:space="preserve"> Анализ основных факторов, влияющих на спрос, предложение и цены</w:t>
      </w:r>
      <w:bookmarkEnd w:id="201"/>
      <w:r w:rsidR="00424E1B" w:rsidRPr="00D229B7">
        <w:rPr>
          <w:rFonts w:ascii="Bookman Old Style" w:hAnsi="Bookman Old Style"/>
          <w:sz w:val="20"/>
          <w:szCs w:val="20"/>
        </w:rPr>
        <w:t xml:space="preserve"> </w:t>
      </w:r>
      <w:bookmarkEnd w:id="198"/>
    </w:p>
    <w:p w:rsidR="00424E1B" w:rsidRPr="00167C02" w:rsidRDefault="00424E1B" w:rsidP="00424E1B">
      <w:pPr>
        <w:spacing w:before="120" w:after="120"/>
        <w:ind w:firstLine="709"/>
        <w:jc w:val="both"/>
        <w:rPr>
          <w:rFonts w:ascii="Bookman Old Style" w:hAnsi="Bookman Old Style" w:cs="Arial"/>
          <w:sz w:val="20"/>
          <w:szCs w:val="20"/>
        </w:rPr>
      </w:pPr>
      <w:r w:rsidRPr="00167C02">
        <w:rPr>
          <w:rFonts w:ascii="Bookman Old Style" w:hAnsi="Bookman Old Style"/>
          <w:sz w:val="20"/>
          <w:szCs w:val="20"/>
        </w:rPr>
        <w:t xml:space="preserve">Существует целый ряд показателей и тенденций, которые считаются ключевыми в формировании рынка недвижимости. В первую очередь, это </w:t>
      </w:r>
      <w:hyperlink r:id="rId25" w:history="1">
        <w:r w:rsidRPr="00167C02">
          <w:rPr>
            <w:rFonts w:ascii="Bookman Old Style" w:hAnsi="Bookman Old Style" w:cs="Arial"/>
            <w:sz w:val="20"/>
            <w:szCs w:val="20"/>
          </w:rPr>
          <w:t>цены на недвижимость</w:t>
        </w:r>
      </w:hyperlink>
      <w:r w:rsidRPr="00167C02">
        <w:rPr>
          <w:rFonts w:ascii="Bookman Old Style" w:hAnsi="Bookman Old Style" w:cs="Arial"/>
          <w:sz w:val="20"/>
          <w:szCs w:val="20"/>
        </w:rPr>
        <w:t xml:space="preserve"> в различных сегментах рынка, которые зависят от многих факторов, таких как </w:t>
      </w:r>
      <w:r>
        <w:rPr>
          <w:rFonts w:ascii="Bookman Old Style" w:hAnsi="Bookman Old Style" w:cs="Arial"/>
          <w:sz w:val="20"/>
          <w:szCs w:val="20"/>
        </w:rPr>
        <w:t>площадь</w:t>
      </w:r>
      <w:r w:rsidRPr="00167C02">
        <w:rPr>
          <w:rFonts w:ascii="Bookman Old Style" w:hAnsi="Bookman Old Style" w:cs="Arial"/>
          <w:sz w:val="20"/>
          <w:szCs w:val="20"/>
        </w:rPr>
        <w:t>, местополо</w:t>
      </w:r>
      <w:r>
        <w:rPr>
          <w:rFonts w:ascii="Bookman Old Style" w:hAnsi="Bookman Old Style" w:cs="Arial"/>
          <w:sz w:val="20"/>
          <w:szCs w:val="20"/>
        </w:rPr>
        <w:t>жение</w:t>
      </w:r>
      <w:r w:rsidRPr="00167C02">
        <w:rPr>
          <w:rFonts w:ascii="Bookman Old Style" w:hAnsi="Bookman Old Style" w:cs="Arial"/>
          <w:sz w:val="20"/>
          <w:szCs w:val="20"/>
        </w:rPr>
        <w:t xml:space="preserve">, </w:t>
      </w:r>
      <w:r>
        <w:rPr>
          <w:rFonts w:ascii="Bookman Old Style" w:hAnsi="Bookman Old Style" w:cs="Arial"/>
          <w:sz w:val="20"/>
          <w:szCs w:val="20"/>
        </w:rPr>
        <w:t xml:space="preserve">физические </w:t>
      </w:r>
      <w:r w:rsidRPr="00167C02">
        <w:rPr>
          <w:rFonts w:ascii="Bookman Old Style" w:hAnsi="Bookman Old Style" w:cs="Arial"/>
          <w:sz w:val="20"/>
          <w:szCs w:val="20"/>
        </w:rPr>
        <w:t xml:space="preserve">характеристики, </w:t>
      </w:r>
      <w:r>
        <w:rPr>
          <w:rFonts w:ascii="Bookman Old Style" w:hAnsi="Bookman Old Style" w:cs="Arial"/>
          <w:sz w:val="20"/>
          <w:szCs w:val="20"/>
        </w:rPr>
        <w:t>условия сделки, состояние объекта</w:t>
      </w:r>
      <w:r w:rsidRPr="00167C02">
        <w:rPr>
          <w:rFonts w:ascii="Bookman Old Style" w:hAnsi="Bookman Old Style" w:cs="Arial"/>
          <w:sz w:val="20"/>
          <w:szCs w:val="20"/>
        </w:rPr>
        <w:t xml:space="preserve">, качество инфраструктуры и удобство транспортного сообщения. Но все же основными факторами, которые играют главную роль при выборе недвижимости, являются местоположение, площадь и техническое состояние недвижимости. </w:t>
      </w:r>
    </w:p>
    <w:p w:rsidR="00424E1B" w:rsidRDefault="00424E1B" w:rsidP="00424E1B">
      <w:pPr>
        <w:spacing w:before="120" w:after="120"/>
        <w:ind w:firstLine="708"/>
        <w:jc w:val="both"/>
        <w:rPr>
          <w:rFonts w:ascii="Bookman Old Style" w:hAnsi="Bookman Old Style"/>
          <w:sz w:val="20"/>
          <w:szCs w:val="20"/>
          <w:highlight w:val="yellow"/>
        </w:rPr>
      </w:pPr>
      <w:r w:rsidRPr="00BB3CA4">
        <w:rPr>
          <w:rFonts w:ascii="Bookman Old Style" w:hAnsi="Bookman Old Style"/>
          <w:sz w:val="20"/>
          <w:szCs w:val="20"/>
        </w:rPr>
        <w:t>Предваряя анализ факторов местоположения</w:t>
      </w:r>
      <w:r>
        <w:rPr>
          <w:rFonts w:ascii="Bookman Old Style" w:hAnsi="Bookman Old Style"/>
          <w:sz w:val="20"/>
          <w:szCs w:val="20"/>
        </w:rPr>
        <w:t>, площади</w:t>
      </w:r>
      <w:r w:rsidRPr="00BB3CA4">
        <w:rPr>
          <w:rFonts w:ascii="Bookman Old Style" w:hAnsi="Bookman Old Style"/>
          <w:sz w:val="20"/>
          <w:szCs w:val="20"/>
        </w:rPr>
        <w:t xml:space="preserve"> и </w:t>
      </w:r>
      <w:r>
        <w:rPr>
          <w:rFonts w:ascii="Bookman Old Style" w:hAnsi="Bookman Old Style"/>
          <w:sz w:val="20"/>
          <w:szCs w:val="20"/>
        </w:rPr>
        <w:t>состояния объекта</w:t>
      </w:r>
      <w:r w:rsidRPr="00BB3CA4">
        <w:rPr>
          <w:rFonts w:ascii="Bookman Old Style" w:hAnsi="Bookman Old Style"/>
          <w:sz w:val="20"/>
          <w:szCs w:val="20"/>
        </w:rPr>
        <w:t>, оказывающих</w:t>
      </w:r>
      <w:r>
        <w:rPr>
          <w:rFonts w:ascii="Bookman Old Style" w:hAnsi="Bookman Old Style"/>
          <w:sz w:val="20"/>
          <w:szCs w:val="20"/>
        </w:rPr>
        <w:t xml:space="preserve"> наибольшее влияние</w:t>
      </w:r>
      <w:r w:rsidRPr="00BB3CA4">
        <w:rPr>
          <w:rFonts w:ascii="Bookman Old Style" w:hAnsi="Bookman Old Style"/>
          <w:sz w:val="20"/>
          <w:szCs w:val="20"/>
        </w:rPr>
        <w:t xml:space="preserve"> на цену </w:t>
      </w:r>
      <w:r>
        <w:rPr>
          <w:rFonts w:ascii="Bookman Old Style" w:hAnsi="Bookman Old Style"/>
          <w:sz w:val="20"/>
          <w:szCs w:val="20"/>
        </w:rPr>
        <w:t>недвижимости</w:t>
      </w:r>
      <w:r w:rsidRPr="00BB3CA4">
        <w:rPr>
          <w:rFonts w:ascii="Bookman Old Style" w:hAnsi="Bookman Old Style"/>
          <w:sz w:val="20"/>
          <w:szCs w:val="20"/>
        </w:rPr>
        <w:t>, отметим, что в сложившейся оценочной практике первоначально объекты</w:t>
      </w:r>
      <w:r>
        <w:rPr>
          <w:rFonts w:ascii="Bookman Old Style" w:hAnsi="Bookman Old Style"/>
          <w:sz w:val="20"/>
          <w:szCs w:val="20"/>
        </w:rPr>
        <w:t xml:space="preserve"> недвижимости</w:t>
      </w:r>
      <w:r w:rsidRPr="00BB3CA4">
        <w:rPr>
          <w:rFonts w:ascii="Bookman Old Style" w:hAnsi="Bookman Old Style"/>
          <w:sz w:val="20"/>
          <w:szCs w:val="20"/>
        </w:rPr>
        <w:t xml:space="preserve"> сравниваются по </w:t>
      </w:r>
      <w:r>
        <w:rPr>
          <w:rFonts w:ascii="Bookman Old Style" w:hAnsi="Bookman Old Style"/>
          <w:sz w:val="20"/>
          <w:szCs w:val="20"/>
        </w:rPr>
        <w:t>следующим элементам сравнения</w:t>
      </w:r>
      <w:r>
        <w:rPr>
          <w:rStyle w:val="aff0"/>
          <w:rFonts w:ascii="Bookman Old Style" w:hAnsi="Bookman Old Style"/>
          <w:sz w:val="20"/>
          <w:szCs w:val="20"/>
        </w:rPr>
        <w:footnoteReference w:id="21"/>
      </w:r>
      <w:r>
        <w:rPr>
          <w:rFonts w:ascii="Bookman Old Style" w:hAnsi="Bookman Old Style"/>
          <w:sz w:val="20"/>
          <w:szCs w:val="20"/>
        </w:rPr>
        <w:t>.</w:t>
      </w:r>
    </w:p>
    <w:p w:rsidR="00424E1B" w:rsidRPr="00275286" w:rsidRDefault="00424E1B" w:rsidP="00424E1B">
      <w:pPr>
        <w:spacing w:before="120" w:after="120"/>
        <w:ind w:firstLine="708"/>
        <w:jc w:val="both"/>
        <w:rPr>
          <w:rFonts w:ascii="Bookman Old Style" w:hAnsi="Bookman Old Style"/>
          <w:sz w:val="20"/>
          <w:szCs w:val="20"/>
        </w:rPr>
      </w:pPr>
      <w:r w:rsidRPr="00344BB0">
        <w:rPr>
          <w:rFonts w:ascii="Bookman Old Style" w:hAnsi="Bookman Old Style"/>
          <w:i/>
          <w:sz w:val="20"/>
          <w:szCs w:val="20"/>
        </w:rPr>
        <w:t>Передаваемые права, ограничения этих прав</w:t>
      </w:r>
      <w:r>
        <w:rPr>
          <w:rFonts w:ascii="Bookman Old Style" w:hAnsi="Bookman Old Style"/>
          <w:sz w:val="20"/>
          <w:szCs w:val="20"/>
        </w:rPr>
        <w:t>.</w:t>
      </w:r>
      <w:r w:rsidRPr="00275286">
        <w:rPr>
          <w:rFonts w:ascii="Bookman Old Style" w:hAnsi="Bookman Old Style"/>
          <w:sz w:val="20"/>
          <w:szCs w:val="20"/>
        </w:rPr>
        <w:t xml:space="preserve"> Существенное значение имеет идентификация передаваемых прав на недвижимость в каждой сопоставимой сделке выбранной для анализа, поскольку цена сделки всегда основывается на передаваемом интересе в имуществе. Разница между оцениваемой недвижимостью и сопоставимым объектом, влияющая на его стоимость, достаточно часто определяется разницей их юридического статуса (набора прав).</w:t>
      </w:r>
      <w:r>
        <w:rPr>
          <w:rFonts w:ascii="Bookman Old Style" w:hAnsi="Bookman Old Style"/>
          <w:sz w:val="20"/>
          <w:szCs w:val="20"/>
        </w:rPr>
        <w:t xml:space="preserve"> Ограничения и обременения прав, также существенным образом сказываются на стоимости недвижимости</w:t>
      </w:r>
      <w:r w:rsidR="0093230C">
        <w:rPr>
          <w:rFonts w:ascii="Bookman Old Style" w:hAnsi="Bookman Old Style"/>
          <w:sz w:val="20"/>
          <w:szCs w:val="20"/>
        </w:rPr>
        <w:t>.</w:t>
      </w:r>
    </w:p>
    <w:p w:rsidR="00424E1B" w:rsidRPr="00275286" w:rsidRDefault="00424E1B" w:rsidP="00424E1B">
      <w:pPr>
        <w:spacing w:before="120" w:after="120"/>
        <w:ind w:firstLine="709"/>
        <w:jc w:val="both"/>
        <w:rPr>
          <w:rFonts w:ascii="Bookman Old Style" w:hAnsi="Bookman Old Style"/>
          <w:sz w:val="20"/>
          <w:szCs w:val="20"/>
        </w:rPr>
      </w:pPr>
      <w:r w:rsidRPr="00275286">
        <w:rPr>
          <w:rFonts w:ascii="Bookman Old Style" w:hAnsi="Bookman Old Style"/>
          <w:i/>
          <w:sz w:val="20"/>
          <w:szCs w:val="20"/>
        </w:rPr>
        <w:t>Условия финансирования</w:t>
      </w:r>
      <w:r w:rsidRPr="00275286">
        <w:rPr>
          <w:rFonts w:ascii="Bookman Old Style" w:hAnsi="Bookman Old Style"/>
          <w:sz w:val="20"/>
          <w:szCs w:val="20"/>
        </w:rPr>
        <w:t xml:space="preserve">. Различные условия финансирования сделки могут привести к отличию цены, уплаченной за недвижимое имущество, от цены, уплаченной за другое идентичное имущество. Как </w:t>
      </w:r>
      <w:proofErr w:type="gramStart"/>
      <w:r w:rsidRPr="00275286">
        <w:rPr>
          <w:rFonts w:ascii="Bookman Old Style" w:hAnsi="Bookman Old Style"/>
          <w:sz w:val="20"/>
          <w:szCs w:val="20"/>
        </w:rPr>
        <w:t>правило</w:t>
      </w:r>
      <w:proofErr w:type="gramEnd"/>
      <w:r w:rsidRPr="00275286">
        <w:rPr>
          <w:rFonts w:ascii="Bookman Old Style" w:hAnsi="Bookman Old Style"/>
          <w:sz w:val="20"/>
          <w:szCs w:val="20"/>
        </w:rPr>
        <w:t xml:space="preserve"> условия финансирования Объекта оценки и аналогов при определении рыночной стоимости идентичны, однако, при совершении сделки купли-продажи в специальных условиях определения стоимости, например при использовании кредитных средств покупателем или при внесении денежных средств в рассрочку необходимо учесть фактор стоимости денег во времени. Средний диапазон отличий для условий финансирования может составлять до 2-10% стоимости</w:t>
      </w:r>
      <w:r>
        <w:rPr>
          <w:rFonts w:ascii="Bookman Old Style" w:hAnsi="Bookman Old Style"/>
          <w:sz w:val="20"/>
          <w:szCs w:val="20"/>
        </w:rPr>
        <w:t xml:space="preserve"> на</w:t>
      </w:r>
      <w:r w:rsidRPr="00275286">
        <w:rPr>
          <w:rFonts w:ascii="Bookman Old Style" w:hAnsi="Bookman Old Style"/>
          <w:sz w:val="20"/>
          <w:szCs w:val="20"/>
        </w:rPr>
        <w:t xml:space="preserve"> 1 кв.м. </w:t>
      </w:r>
      <w:r>
        <w:rPr>
          <w:rFonts w:ascii="Bookman Old Style" w:hAnsi="Bookman Old Style"/>
          <w:sz w:val="20"/>
          <w:szCs w:val="20"/>
        </w:rPr>
        <w:t>объекта недвижимости</w:t>
      </w:r>
      <w:r w:rsidRPr="00275286">
        <w:rPr>
          <w:rFonts w:ascii="Bookman Old Style" w:hAnsi="Bookman Old Style"/>
          <w:sz w:val="20"/>
          <w:szCs w:val="20"/>
        </w:rPr>
        <w:t>.</w:t>
      </w:r>
    </w:p>
    <w:p w:rsidR="00424E1B" w:rsidRDefault="00424E1B" w:rsidP="00424E1B">
      <w:pPr>
        <w:spacing w:before="120" w:after="120"/>
        <w:ind w:firstLine="709"/>
        <w:jc w:val="both"/>
        <w:rPr>
          <w:rFonts w:ascii="Bookman Old Style" w:hAnsi="Bookman Old Style"/>
          <w:sz w:val="20"/>
          <w:szCs w:val="20"/>
        </w:rPr>
      </w:pPr>
      <w:r w:rsidRPr="00275286">
        <w:rPr>
          <w:rFonts w:ascii="Bookman Old Style" w:hAnsi="Bookman Old Style"/>
          <w:i/>
          <w:sz w:val="20"/>
          <w:szCs w:val="20"/>
        </w:rPr>
        <w:t>Условия рынка</w:t>
      </w:r>
      <w:r w:rsidRPr="00275286">
        <w:rPr>
          <w:rFonts w:ascii="Bookman Old Style" w:hAnsi="Bookman Old Style"/>
          <w:sz w:val="20"/>
          <w:szCs w:val="20"/>
        </w:rPr>
        <w:t xml:space="preserve">. Под корректировкой цен на рыночные условия понимается корректировка цен на время от даты сделки (экспозиции) аналога до даты оценки. На рынке коммерческой недвижимости цены с течением времени изменяются. Причиной этого могут быть инфляционные или дефляционные процессы в экономике. Изменение цен может произойти в результате принятия новых законов, налоговых норм, а так же в связи с колебанием спроса и предложения на недвижимость в целом или ее отдельные типы. Основной причиной учета ценообразующего фактора является колебание спроса и предложения, что в свою очередь сказывается на стоимости </w:t>
      </w:r>
      <w:r w:rsidRPr="00344BB0">
        <w:rPr>
          <w:rFonts w:ascii="Bookman Old Style" w:hAnsi="Bookman Old Style"/>
          <w:sz w:val="20"/>
          <w:szCs w:val="20"/>
        </w:rPr>
        <w:t>недвижимости</w:t>
      </w:r>
      <w:r w:rsidRPr="00275286">
        <w:rPr>
          <w:rFonts w:ascii="Bookman Old Style" w:hAnsi="Bookman Old Style"/>
          <w:sz w:val="20"/>
          <w:szCs w:val="20"/>
        </w:rPr>
        <w:t xml:space="preserve">. </w:t>
      </w:r>
      <w:r w:rsidRPr="00344BB0">
        <w:rPr>
          <w:rFonts w:ascii="Bookman Old Style" w:hAnsi="Bookman Old Style"/>
          <w:sz w:val="20"/>
          <w:szCs w:val="20"/>
        </w:rPr>
        <w:t xml:space="preserve">Проведенный анализ рынка недвижимости отметил </w:t>
      </w:r>
      <w:r>
        <w:rPr>
          <w:rFonts w:ascii="Bookman Old Style" w:hAnsi="Bookman Old Style"/>
          <w:sz w:val="20"/>
          <w:szCs w:val="20"/>
        </w:rPr>
        <w:t>незначительное изменение</w:t>
      </w:r>
      <w:r w:rsidRPr="00344BB0">
        <w:rPr>
          <w:rFonts w:ascii="Bookman Old Style" w:hAnsi="Bookman Old Style"/>
          <w:sz w:val="20"/>
          <w:szCs w:val="20"/>
        </w:rPr>
        <w:t xml:space="preserve"> цен по всем сегментам практически во всех районах города</w:t>
      </w:r>
      <w:r w:rsidRPr="00275286">
        <w:rPr>
          <w:rFonts w:ascii="Bookman Old Style" w:hAnsi="Bookman Old Style"/>
          <w:sz w:val="20"/>
          <w:szCs w:val="20"/>
        </w:rPr>
        <w:t>.</w:t>
      </w:r>
    </w:p>
    <w:p w:rsidR="00424E1B" w:rsidRPr="00275286" w:rsidRDefault="00424E1B" w:rsidP="00424E1B">
      <w:pPr>
        <w:spacing w:before="120" w:after="120"/>
        <w:ind w:firstLine="709"/>
        <w:jc w:val="both"/>
        <w:rPr>
          <w:rFonts w:ascii="Bookman Old Style" w:hAnsi="Bookman Old Style"/>
          <w:sz w:val="20"/>
          <w:szCs w:val="20"/>
        </w:rPr>
      </w:pPr>
      <w:r w:rsidRPr="00275286">
        <w:rPr>
          <w:rFonts w:ascii="Bookman Old Style" w:hAnsi="Bookman Old Style"/>
          <w:i/>
          <w:sz w:val="20"/>
          <w:szCs w:val="20"/>
        </w:rPr>
        <w:t>Условия продажи (</w:t>
      </w:r>
      <w:r w:rsidRPr="00344BB0">
        <w:rPr>
          <w:rFonts w:ascii="Bookman Old Style" w:hAnsi="Bookman Old Style"/>
          <w:i/>
          <w:sz w:val="20"/>
          <w:szCs w:val="20"/>
        </w:rPr>
        <w:t>нетипичные для рынка условия, сделка между аффилированными лицами, иные условия</w:t>
      </w:r>
      <w:r w:rsidRPr="00275286">
        <w:rPr>
          <w:rFonts w:ascii="Bookman Old Style" w:hAnsi="Bookman Old Style"/>
          <w:i/>
          <w:sz w:val="20"/>
          <w:szCs w:val="20"/>
        </w:rPr>
        <w:t>)</w:t>
      </w:r>
      <w:r w:rsidRPr="00275286">
        <w:rPr>
          <w:rFonts w:ascii="Bookman Old Style" w:hAnsi="Bookman Old Style"/>
          <w:sz w:val="20"/>
          <w:szCs w:val="20"/>
        </w:rPr>
        <w:t xml:space="preserve">. </w:t>
      </w:r>
      <w:r>
        <w:rPr>
          <w:rFonts w:ascii="Bookman Old Style" w:hAnsi="Bookman Old Style"/>
          <w:sz w:val="20"/>
          <w:szCs w:val="20"/>
        </w:rPr>
        <w:t xml:space="preserve">Как известно, оценщик в рамках сравнительного подхода в подавляющем большинстве случаев не имеет возможности использовать данные по реальным сделкам, в </w:t>
      </w:r>
      <w:proofErr w:type="gramStart"/>
      <w:r>
        <w:rPr>
          <w:rFonts w:ascii="Bookman Old Style" w:hAnsi="Bookman Old Style"/>
          <w:sz w:val="20"/>
          <w:szCs w:val="20"/>
        </w:rPr>
        <w:t>вынужден</w:t>
      </w:r>
      <w:proofErr w:type="gramEnd"/>
      <w:r>
        <w:rPr>
          <w:rFonts w:ascii="Bookman Old Style" w:hAnsi="Bookman Old Style"/>
          <w:sz w:val="20"/>
          <w:szCs w:val="20"/>
        </w:rPr>
        <w:t xml:space="preserve"> ограничится информацией по предложениям которые обычно достаточно полно представлены в соответствующих источниках</w:t>
      </w:r>
      <w:r w:rsidRPr="00275286">
        <w:rPr>
          <w:rFonts w:ascii="Bookman Old Style" w:hAnsi="Bookman Old Style"/>
          <w:sz w:val="20"/>
          <w:szCs w:val="20"/>
        </w:rPr>
        <w:t>.</w:t>
      </w:r>
      <w:r w:rsidRPr="00275286">
        <w:rPr>
          <w:rFonts w:ascii="Bookman Old Style" w:eastAsia="Calibri" w:hAnsi="Bookman Old Style"/>
          <w:color w:val="000000"/>
          <w:sz w:val="20"/>
          <w:szCs w:val="20"/>
          <w:lang w:eastAsia="en-US"/>
        </w:rPr>
        <w:t xml:space="preserve"> </w:t>
      </w:r>
      <w:r>
        <w:rPr>
          <w:rFonts w:ascii="Bookman Old Style" w:eastAsia="Calibri" w:hAnsi="Bookman Old Style"/>
          <w:color w:val="000000"/>
          <w:sz w:val="20"/>
          <w:szCs w:val="20"/>
          <w:lang w:eastAsia="en-US"/>
        </w:rPr>
        <w:t>В этом случае обычно используется понижающая процентная поправка – скидка на торг</w:t>
      </w:r>
      <w:r w:rsidRPr="00275286">
        <w:rPr>
          <w:rFonts w:ascii="Bookman Old Style" w:eastAsia="Calibri" w:hAnsi="Bookman Old Style"/>
          <w:color w:val="000000"/>
          <w:sz w:val="20"/>
          <w:szCs w:val="20"/>
          <w:lang w:eastAsia="en-US"/>
        </w:rPr>
        <w:t>.</w:t>
      </w:r>
      <w:r w:rsidRPr="00275286">
        <w:rPr>
          <w:rFonts w:ascii="Bookman Old Style" w:hAnsi="Bookman Old Style"/>
          <w:sz w:val="20"/>
          <w:szCs w:val="20"/>
        </w:rPr>
        <w:t xml:space="preserve"> Среднее значение диапазона </w:t>
      </w:r>
      <w:r w:rsidRPr="00802567">
        <w:rPr>
          <w:rFonts w:ascii="Bookman Old Style" w:hAnsi="Bookman Old Style"/>
          <w:sz w:val="20"/>
          <w:szCs w:val="20"/>
        </w:rPr>
        <w:t>«</w:t>
      </w:r>
      <w:r w:rsidRPr="00275286">
        <w:rPr>
          <w:rFonts w:ascii="Bookman Old Style" w:hAnsi="Bookman Old Style"/>
          <w:sz w:val="20"/>
          <w:szCs w:val="20"/>
        </w:rPr>
        <w:t xml:space="preserve">скидок </w:t>
      </w:r>
      <w:r w:rsidRPr="00802567">
        <w:rPr>
          <w:rFonts w:ascii="Bookman Old Style" w:hAnsi="Bookman Old Style"/>
          <w:sz w:val="20"/>
          <w:szCs w:val="20"/>
        </w:rPr>
        <w:t>на торг»</w:t>
      </w:r>
      <w:r>
        <w:rPr>
          <w:rFonts w:ascii="Bookman Old Style" w:hAnsi="Bookman Old Style"/>
          <w:sz w:val="20"/>
          <w:szCs w:val="20"/>
        </w:rPr>
        <w:t xml:space="preserve"> для </w:t>
      </w:r>
      <w:proofErr w:type="spellStart"/>
      <w:r w:rsidR="00B12755">
        <w:rPr>
          <w:rFonts w:ascii="Bookman Old Style" w:hAnsi="Bookman Old Style"/>
          <w:sz w:val="20"/>
          <w:szCs w:val="20"/>
        </w:rPr>
        <w:lastRenderedPageBreak/>
        <w:t>низкоклассных</w:t>
      </w:r>
      <w:proofErr w:type="spellEnd"/>
      <w:r w:rsidR="00B12755">
        <w:rPr>
          <w:rFonts w:ascii="Bookman Old Style" w:hAnsi="Bookman Old Style"/>
          <w:sz w:val="20"/>
          <w:szCs w:val="20"/>
        </w:rPr>
        <w:t xml:space="preserve"> офисно-торговых объектов</w:t>
      </w:r>
      <w:r w:rsidRPr="00275286">
        <w:rPr>
          <w:rFonts w:ascii="Bookman Old Style" w:hAnsi="Bookman Old Style"/>
          <w:sz w:val="20"/>
          <w:szCs w:val="20"/>
          <w:vertAlign w:val="superscript"/>
        </w:rPr>
        <w:footnoteReference w:id="22"/>
      </w:r>
      <w:r w:rsidRPr="00275286">
        <w:rPr>
          <w:rFonts w:ascii="Bookman Old Style" w:hAnsi="Bookman Old Style"/>
          <w:sz w:val="20"/>
          <w:szCs w:val="20"/>
        </w:rPr>
        <w:t xml:space="preserve"> </w:t>
      </w:r>
      <w:r>
        <w:rPr>
          <w:rFonts w:ascii="Bookman Old Style" w:hAnsi="Bookman Old Style"/>
          <w:sz w:val="20"/>
          <w:szCs w:val="20"/>
        </w:rPr>
        <w:t xml:space="preserve">в условиях активного рынка </w:t>
      </w:r>
      <w:r w:rsidRPr="00275286">
        <w:rPr>
          <w:rFonts w:ascii="Bookman Old Style" w:hAnsi="Bookman Old Style"/>
          <w:sz w:val="20"/>
          <w:szCs w:val="20"/>
        </w:rPr>
        <w:t xml:space="preserve">составляет </w:t>
      </w:r>
      <w:r>
        <w:rPr>
          <w:rFonts w:ascii="Bookman Old Style" w:hAnsi="Bookman Old Style"/>
          <w:sz w:val="20"/>
          <w:szCs w:val="20"/>
        </w:rPr>
        <w:t>8-9% от стоимости предложения</w:t>
      </w:r>
      <w:r w:rsidRPr="00E822AF">
        <w:rPr>
          <w:rFonts w:ascii="Bookman Old Style" w:hAnsi="Bookman Old Style"/>
          <w:sz w:val="20"/>
          <w:szCs w:val="20"/>
        </w:rPr>
        <w:t xml:space="preserve">. В условиях неактивного рынка для </w:t>
      </w:r>
      <w:proofErr w:type="spellStart"/>
      <w:r w:rsidR="00B12755" w:rsidRPr="00B12755">
        <w:rPr>
          <w:rFonts w:ascii="Bookman Old Style" w:hAnsi="Bookman Old Style"/>
          <w:sz w:val="20"/>
          <w:szCs w:val="20"/>
        </w:rPr>
        <w:t>низкоклассных</w:t>
      </w:r>
      <w:proofErr w:type="spellEnd"/>
      <w:r w:rsidR="00B12755" w:rsidRPr="00B12755">
        <w:rPr>
          <w:rFonts w:ascii="Bookman Old Style" w:hAnsi="Bookman Old Style"/>
          <w:sz w:val="20"/>
          <w:szCs w:val="20"/>
        </w:rPr>
        <w:t xml:space="preserve"> офисно-торговых объектов </w:t>
      </w:r>
      <w:r w:rsidRPr="00E822AF">
        <w:rPr>
          <w:rFonts w:ascii="Bookman Old Style" w:hAnsi="Bookman Old Style"/>
          <w:sz w:val="20"/>
          <w:szCs w:val="20"/>
        </w:rPr>
        <w:t xml:space="preserve">диапазон скидок уже составляет </w:t>
      </w:r>
      <w:r w:rsidR="00B12755">
        <w:rPr>
          <w:rFonts w:ascii="Bookman Old Style" w:hAnsi="Bookman Old Style"/>
          <w:sz w:val="20"/>
          <w:szCs w:val="20"/>
        </w:rPr>
        <w:t>13-14</w:t>
      </w:r>
      <w:r w:rsidRPr="00E822AF">
        <w:rPr>
          <w:rFonts w:ascii="Bookman Old Style" w:hAnsi="Bookman Old Style"/>
          <w:sz w:val="20"/>
          <w:szCs w:val="20"/>
        </w:rPr>
        <w:t>%.</w:t>
      </w:r>
    </w:p>
    <w:p w:rsidR="00424E1B" w:rsidRPr="00275286" w:rsidRDefault="00424E1B" w:rsidP="00424E1B">
      <w:pPr>
        <w:spacing w:before="120" w:after="120"/>
        <w:ind w:firstLine="709"/>
        <w:jc w:val="both"/>
        <w:rPr>
          <w:rFonts w:ascii="Bookman Old Style" w:hAnsi="Bookman Old Style"/>
          <w:sz w:val="20"/>
          <w:szCs w:val="20"/>
        </w:rPr>
      </w:pPr>
      <w:r w:rsidRPr="00344BB0">
        <w:rPr>
          <w:rFonts w:ascii="Bookman Old Style" w:hAnsi="Bookman Old Style"/>
          <w:i/>
          <w:sz w:val="20"/>
          <w:szCs w:val="20"/>
        </w:rPr>
        <w:t>Вид использования</w:t>
      </w:r>
      <w:r w:rsidRPr="00275286">
        <w:rPr>
          <w:rFonts w:ascii="Bookman Old Style" w:hAnsi="Bookman Old Style"/>
          <w:sz w:val="20"/>
          <w:szCs w:val="20"/>
        </w:rPr>
        <w:t xml:space="preserve">. На использование имущества влияют зонирование или другие ограничения. Если имеет место отличие в текущем использовании или в НЭИ сопоставимого имущества от рассматриваемого имущества, следует тщательно изучить влияние этого отличия на стоимость. </w:t>
      </w:r>
      <w:r>
        <w:rPr>
          <w:rFonts w:ascii="Bookman Old Style" w:hAnsi="Bookman Old Style"/>
          <w:sz w:val="20"/>
          <w:szCs w:val="20"/>
        </w:rPr>
        <w:t>Вид использования</w:t>
      </w:r>
      <w:r w:rsidRPr="00275286">
        <w:rPr>
          <w:rFonts w:ascii="Bookman Old Style" w:hAnsi="Bookman Old Style"/>
          <w:sz w:val="20"/>
          <w:szCs w:val="20"/>
        </w:rPr>
        <w:t xml:space="preserve"> один из основных ценообразующих факторов </w:t>
      </w:r>
      <w:r>
        <w:rPr>
          <w:rFonts w:ascii="Bookman Old Style" w:hAnsi="Bookman Old Style"/>
          <w:sz w:val="20"/>
          <w:szCs w:val="20"/>
        </w:rPr>
        <w:t>недвижимости</w:t>
      </w:r>
      <w:r w:rsidRPr="00275286">
        <w:rPr>
          <w:rFonts w:ascii="Bookman Old Style" w:hAnsi="Bookman Old Style"/>
          <w:sz w:val="20"/>
          <w:szCs w:val="20"/>
        </w:rPr>
        <w:t>. Так,</w:t>
      </w:r>
      <w:r>
        <w:rPr>
          <w:rFonts w:ascii="Bookman Old Style" w:hAnsi="Bookman Old Style"/>
          <w:sz w:val="20"/>
          <w:szCs w:val="20"/>
        </w:rPr>
        <w:t xml:space="preserve"> средняя</w:t>
      </w:r>
      <w:r w:rsidRPr="00275286">
        <w:rPr>
          <w:rFonts w:ascii="Bookman Old Style" w:hAnsi="Bookman Old Style"/>
          <w:sz w:val="20"/>
          <w:szCs w:val="20"/>
        </w:rPr>
        <w:t xml:space="preserve"> стоимость </w:t>
      </w:r>
      <w:r>
        <w:rPr>
          <w:rFonts w:ascii="Bookman Old Style" w:hAnsi="Bookman Old Style"/>
          <w:sz w:val="20"/>
          <w:szCs w:val="20"/>
        </w:rPr>
        <w:t>недвижимости, вне зависимости от площади,</w:t>
      </w:r>
      <w:r w:rsidRPr="00275286">
        <w:rPr>
          <w:rFonts w:ascii="Bookman Old Style" w:hAnsi="Bookman Old Style"/>
          <w:sz w:val="20"/>
          <w:szCs w:val="20"/>
        </w:rPr>
        <w:t xml:space="preserve"> с видом использования – </w:t>
      </w:r>
      <w:r>
        <w:rPr>
          <w:rFonts w:ascii="Bookman Old Style" w:hAnsi="Bookman Old Style"/>
          <w:sz w:val="20"/>
          <w:szCs w:val="20"/>
        </w:rPr>
        <w:t xml:space="preserve">производственно-складская недвижимость в </w:t>
      </w:r>
      <w:r w:rsidR="00C539BF">
        <w:rPr>
          <w:rFonts w:ascii="Bookman Old Style" w:hAnsi="Bookman Old Style"/>
          <w:sz w:val="20"/>
          <w:szCs w:val="20"/>
        </w:rPr>
        <w:t>Железнодорожном</w:t>
      </w:r>
      <w:r>
        <w:rPr>
          <w:rFonts w:ascii="Bookman Old Style" w:hAnsi="Bookman Old Style"/>
          <w:sz w:val="20"/>
          <w:szCs w:val="20"/>
        </w:rPr>
        <w:t xml:space="preserve"> районе Красноярска</w:t>
      </w:r>
      <w:r w:rsidRPr="00275286">
        <w:rPr>
          <w:rFonts w:ascii="Bookman Old Style" w:hAnsi="Bookman Old Style"/>
          <w:sz w:val="20"/>
          <w:szCs w:val="20"/>
        </w:rPr>
        <w:t xml:space="preserve">, составляет </w:t>
      </w:r>
      <w:r>
        <w:rPr>
          <w:rFonts w:ascii="Bookman Old Style" w:hAnsi="Bookman Old Style"/>
          <w:sz w:val="20"/>
          <w:szCs w:val="20"/>
        </w:rPr>
        <w:t xml:space="preserve">величину около </w:t>
      </w:r>
      <w:r w:rsidR="00C539BF">
        <w:rPr>
          <w:rFonts w:ascii="Bookman Old Style" w:hAnsi="Bookman Old Style"/>
          <w:sz w:val="20"/>
          <w:szCs w:val="20"/>
        </w:rPr>
        <w:t>22881</w:t>
      </w:r>
      <w:r w:rsidRPr="008B0D80">
        <w:rPr>
          <w:rFonts w:ascii="Bookman Old Style" w:hAnsi="Bookman Old Style"/>
          <w:sz w:val="20"/>
          <w:szCs w:val="20"/>
        </w:rPr>
        <w:t xml:space="preserve"> рублей за 1 кв.м., то стоимость недвижимости с ВИ </w:t>
      </w:r>
      <w:proofErr w:type="gramStart"/>
      <w:r w:rsidRPr="008B0D80">
        <w:rPr>
          <w:rFonts w:ascii="Bookman Old Style" w:hAnsi="Bookman Old Style"/>
          <w:sz w:val="20"/>
          <w:szCs w:val="20"/>
        </w:rPr>
        <w:t>–т</w:t>
      </w:r>
      <w:proofErr w:type="gramEnd"/>
      <w:r w:rsidRPr="008B0D80">
        <w:rPr>
          <w:rFonts w:ascii="Bookman Old Style" w:hAnsi="Bookman Old Style"/>
          <w:sz w:val="20"/>
          <w:szCs w:val="20"/>
        </w:rPr>
        <w:t>орговая</w:t>
      </w:r>
      <w:r w:rsidR="00C539BF">
        <w:rPr>
          <w:rFonts w:ascii="Bookman Old Style" w:hAnsi="Bookman Old Style"/>
          <w:sz w:val="20"/>
          <w:szCs w:val="20"/>
        </w:rPr>
        <w:t xml:space="preserve"> и офисная</w:t>
      </w:r>
      <w:r w:rsidRPr="008B0D80">
        <w:rPr>
          <w:rFonts w:ascii="Bookman Old Style" w:hAnsi="Bookman Old Style"/>
          <w:sz w:val="20"/>
          <w:szCs w:val="20"/>
        </w:rPr>
        <w:t>, уже составляет величин</w:t>
      </w:r>
      <w:r w:rsidR="000855E4">
        <w:rPr>
          <w:rFonts w:ascii="Bookman Old Style" w:hAnsi="Bookman Old Style"/>
          <w:sz w:val="20"/>
          <w:szCs w:val="20"/>
        </w:rPr>
        <w:t>у</w:t>
      </w:r>
      <w:r w:rsidRPr="008B0D80">
        <w:rPr>
          <w:rFonts w:ascii="Bookman Old Style" w:hAnsi="Bookman Old Style"/>
          <w:sz w:val="20"/>
          <w:szCs w:val="20"/>
        </w:rPr>
        <w:t xml:space="preserve"> </w:t>
      </w:r>
      <w:r w:rsidR="00C539BF">
        <w:rPr>
          <w:rFonts w:ascii="Bookman Old Style" w:hAnsi="Bookman Old Style"/>
          <w:sz w:val="20"/>
          <w:szCs w:val="20"/>
        </w:rPr>
        <w:t>89857 и</w:t>
      </w:r>
      <w:r w:rsidRPr="008B0D80">
        <w:rPr>
          <w:rFonts w:ascii="Bookman Old Style" w:hAnsi="Bookman Old Style"/>
          <w:sz w:val="20"/>
          <w:szCs w:val="20"/>
        </w:rPr>
        <w:t xml:space="preserve"> </w:t>
      </w:r>
      <w:r w:rsidR="00C539BF">
        <w:rPr>
          <w:rFonts w:ascii="Bookman Old Style" w:hAnsi="Bookman Old Style"/>
          <w:sz w:val="20"/>
          <w:szCs w:val="20"/>
        </w:rPr>
        <w:t xml:space="preserve">61146 </w:t>
      </w:r>
      <w:r w:rsidRPr="008B0D80">
        <w:rPr>
          <w:rFonts w:ascii="Bookman Old Style" w:hAnsi="Bookman Old Style"/>
          <w:sz w:val="20"/>
          <w:szCs w:val="20"/>
        </w:rPr>
        <w:t>рублей за 1 кв.м.</w:t>
      </w:r>
      <w:r w:rsidRPr="00275286">
        <w:rPr>
          <w:rFonts w:ascii="Bookman Old Style" w:hAnsi="Bookman Old Style"/>
          <w:sz w:val="20"/>
          <w:szCs w:val="20"/>
        </w:rPr>
        <w:t xml:space="preserve"> </w:t>
      </w:r>
    </w:p>
    <w:p w:rsidR="00424E1B" w:rsidRPr="00167C02" w:rsidRDefault="00424E1B" w:rsidP="00424E1B">
      <w:pPr>
        <w:tabs>
          <w:tab w:val="left" w:pos="426"/>
        </w:tabs>
        <w:spacing w:before="120" w:after="120"/>
        <w:ind w:firstLine="709"/>
        <w:jc w:val="both"/>
        <w:rPr>
          <w:rFonts w:ascii="Bookman Old Style" w:hAnsi="Bookman Old Style" w:cs="Arial"/>
          <w:sz w:val="20"/>
          <w:szCs w:val="20"/>
        </w:rPr>
      </w:pPr>
      <w:r w:rsidRPr="00344BB0">
        <w:rPr>
          <w:rFonts w:ascii="Bookman Old Style" w:hAnsi="Bookman Old Style" w:cs="Arial"/>
          <w:i/>
          <w:sz w:val="20"/>
          <w:szCs w:val="20"/>
        </w:rPr>
        <w:t>Анализ местоположения</w:t>
      </w:r>
      <w:r>
        <w:rPr>
          <w:rFonts w:ascii="Bookman Old Style" w:hAnsi="Bookman Old Style" w:cs="Arial"/>
          <w:sz w:val="20"/>
          <w:szCs w:val="20"/>
        </w:rPr>
        <w:t xml:space="preserve">. </w:t>
      </w:r>
      <w:r w:rsidRPr="00167C02">
        <w:rPr>
          <w:rFonts w:ascii="Bookman Old Style" w:hAnsi="Bookman Old Style" w:cs="Arial"/>
          <w:sz w:val="20"/>
          <w:szCs w:val="20"/>
        </w:rPr>
        <w:t xml:space="preserve">Традиционно в число самых престижных и дорогих входят районы, расположенные вблизи центра города. </w:t>
      </w:r>
      <w:proofErr w:type="gramStart"/>
      <w:r w:rsidRPr="00167C02">
        <w:rPr>
          <w:rFonts w:ascii="Bookman Old Style" w:hAnsi="Bookman Old Style" w:cs="Arial"/>
          <w:sz w:val="20"/>
          <w:szCs w:val="20"/>
        </w:rPr>
        <w:t>При этом речь идет не всегда о географическом центре, а скорее об экономическом, где расположены центры деловой жизни горожан.</w:t>
      </w:r>
      <w:proofErr w:type="gramEnd"/>
      <w:r w:rsidRPr="00167C02">
        <w:rPr>
          <w:rFonts w:ascii="Bookman Old Style" w:hAnsi="Bookman Old Style" w:cs="Arial"/>
          <w:sz w:val="20"/>
          <w:szCs w:val="20"/>
        </w:rPr>
        <w:t xml:space="preserve"> Хотя в последнее время довольно высокими ценами на недвижимость могут похвастаться и определенные районы, отличающиеся отличной экологией и качественной инфраструктурой. Как правило, речь идет о новых жилых комплексах, где </w:t>
      </w:r>
      <w:proofErr w:type="gramStart"/>
      <w:r w:rsidRPr="00167C02">
        <w:rPr>
          <w:rFonts w:ascii="Bookman Old Style" w:hAnsi="Bookman Old Style" w:cs="Arial"/>
          <w:sz w:val="20"/>
          <w:szCs w:val="20"/>
        </w:rPr>
        <w:t>возводится современное жилье и строятся</w:t>
      </w:r>
      <w:proofErr w:type="gramEnd"/>
      <w:r w:rsidRPr="00167C02">
        <w:rPr>
          <w:rFonts w:ascii="Bookman Old Style" w:hAnsi="Bookman Old Style" w:cs="Arial"/>
          <w:sz w:val="20"/>
          <w:szCs w:val="20"/>
        </w:rPr>
        <w:t xml:space="preserve"> новые бизнес центры. </w:t>
      </w:r>
    </w:p>
    <w:p w:rsidR="00424E1B" w:rsidRDefault="00424E1B" w:rsidP="00424E1B">
      <w:pPr>
        <w:spacing w:before="120" w:after="120"/>
        <w:ind w:firstLine="709"/>
        <w:jc w:val="both"/>
        <w:rPr>
          <w:rFonts w:ascii="Bookman Old Style" w:hAnsi="Bookman Old Style" w:cs="Arial"/>
          <w:sz w:val="20"/>
          <w:szCs w:val="20"/>
        </w:rPr>
      </w:pPr>
      <w:r w:rsidRPr="008B0D80">
        <w:rPr>
          <w:rFonts w:ascii="Bookman Old Style" w:hAnsi="Bookman Old Style" w:cs="Arial"/>
          <w:sz w:val="20"/>
          <w:szCs w:val="20"/>
        </w:rPr>
        <w:t xml:space="preserve">Наиболее престижными районами г. Красноярска для покупки </w:t>
      </w:r>
      <w:r w:rsidR="00B12755">
        <w:rPr>
          <w:rFonts w:ascii="Bookman Old Style" w:hAnsi="Bookman Old Style" w:cs="Arial"/>
          <w:sz w:val="20"/>
          <w:szCs w:val="20"/>
        </w:rPr>
        <w:t>торгово-</w:t>
      </w:r>
      <w:r w:rsidRPr="008B0D80">
        <w:rPr>
          <w:rFonts w:ascii="Bookman Old Style" w:hAnsi="Bookman Old Style" w:cs="Arial"/>
          <w:sz w:val="20"/>
          <w:szCs w:val="20"/>
        </w:rPr>
        <w:t xml:space="preserve">офисной недвижимости являются Центральный и Железнодорожный, стоимость 1 кв.м. составляет </w:t>
      </w:r>
      <w:r w:rsidR="00C539BF">
        <w:rPr>
          <w:rFonts w:ascii="Bookman Old Style" w:hAnsi="Bookman Old Style" w:cs="Arial"/>
          <w:sz w:val="20"/>
          <w:szCs w:val="20"/>
        </w:rPr>
        <w:t>71812 и 61146</w:t>
      </w:r>
      <w:r w:rsidRPr="008B0D80">
        <w:rPr>
          <w:rFonts w:ascii="Bookman Old Style" w:hAnsi="Bookman Old Style" w:cs="Arial"/>
          <w:sz w:val="20"/>
          <w:szCs w:val="20"/>
        </w:rPr>
        <w:t xml:space="preserve"> руб.</w:t>
      </w:r>
      <w:r w:rsidR="008B0D80" w:rsidRPr="008B0D80">
        <w:rPr>
          <w:rFonts w:ascii="Bookman Old Style" w:hAnsi="Bookman Old Style" w:cs="Arial"/>
          <w:sz w:val="20"/>
          <w:szCs w:val="20"/>
        </w:rPr>
        <w:t xml:space="preserve"> соответственно.</w:t>
      </w:r>
      <w:r w:rsidRPr="00167C02">
        <w:rPr>
          <w:rFonts w:ascii="Bookman Old Style" w:hAnsi="Bookman Old Style" w:cs="Arial"/>
          <w:sz w:val="20"/>
          <w:szCs w:val="20"/>
        </w:rPr>
        <w:t xml:space="preserve"> </w:t>
      </w:r>
    </w:p>
    <w:p w:rsidR="00424E1B" w:rsidRPr="00167C02" w:rsidRDefault="00424E1B" w:rsidP="00424E1B">
      <w:pPr>
        <w:spacing w:before="120" w:after="120"/>
        <w:ind w:firstLine="709"/>
        <w:jc w:val="both"/>
        <w:rPr>
          <w:rFonts w:ascii="Bookman Old Style" w:hAnsi="Bookman Old Style" w:cs="Arial"/>
          <w:sz w:val="20"/>
          <w:szCs w:val="20"/>
        </w:rPr>
      </w:pPr>
      <w:r w:rsidRPr="00167C02">
        <w:rPr>
          <w:rFonts w:ascii="Bookman Old Style" w:hAnsi="Bookman Old Style" w:cs="Arial"/>
          <w:sz w:val="20"/>
          <w:szCs w:val="20"/>
        </w:rPr>
        <w:t xml:space="preserve">Клиенты, занятые мелкооптовой торговлей (малообъемные, легкие товары), стремятся также купить небольшое помещение ближе к центру города, так, стоимость </w:t>
      </w:r>
      <w:r w:rsidRPr="008B0D80">
        <w:rPr>
          <w:rFonts w:ascii="Bookman Old Style" w:hAnsi="Bookman Old Style" w:cs="Arial"/>
          <w:sz w:val="20"/>
          <w:szCs w:val="20"/>
        </w:rPr>
        <w:t xml:space="preserve">производственно-складской недвижимости в </w:t>
      </w:r>
      <w:r w:rsidR="008B0D80">
        <w:rPr>
          <w:rFonts w:ascii="Bookman Old Style" w:hAnsi="Bookman Old Style" w:cs="Arial"/>
          <w:sz w:val="20"/>
          <w:szCs w:val="20"/>
        </w:rPr>
        <w:t xml:space="preserve">Центральном </w:t>
      </w:r>
      <w:r w:rsidR="00C539BF">
        <w:rPr>
          <w:rFonts w:ascii="Bookman Old Style" w:hAnsi="Bookman Old Style" w:cs="Arial"/>
          <w:sz w:val="20"/>
          <w:szCs w:val="20"/>
        </w:rPr>
        <w:t xml:space="preserve">и Железнодорожных </w:t>
      </w:r>
      <w:r w:rsidR="008B0D80">
        <w:rPr>
          <w:rFonts w:ascii="Bookman Old Style" w:hAnsi="Bookman Old Style" w:cs="Arial"/>
          <w:sz w:val="20"/>
          <w:szCs w:val="20"/>
        </w:rPr>
        <w:t>район</w:t>
      </w:r>
      <w:r w:rsidR="00C539BF">
        <w:rPr>
          <w:rFonts w:ascii="Bookman Old Style" w:hAnsi="Bookman Old Style" w:cs="Arial"/>
          <w:sz w:val="20"/>
          <w:szCs w:val="20"/>
        </w:rPr>
        <w:t>ах</w:t>
      </w:r>
      <w:r w:rsidRPr="008B0D80">
        <w:rPr>
          <w:rFonts w:ascii="Bookman Old Style" w:hAnsi="Bookman Old Style" w:cs="Arial"/>
          <w:sz w:val="20"/>
          <w:szCs w:val="20"/>
        </w:rPr>
        <w:t xml:space="preserve"> города</w:t>
      </w:r>
      <w:r w:rsidR="008B0D80">
        <w:rPr>
          <w:rFonts w:ascii="Bookman Old Style" w:hAnsi="Bookman Old Style" w:cs="Arial"/>
          <w:sz w:val="20"/>
          <w:szCs w:val="20"/>
        </w:rPr>
        <w:t xml:space="preserve"> составляет</w:t>
      </w:r>
      <w:r w:rsidRPr="008B0D80">
        <w:rPr>
          <w:rFonts w:ascii="Bookman Old Style" w:hAnsi="Bookman Old Style" w:cs="Arial"/>
          <w:sz w:val="20"/>
          <w:szCs w:val="20"/>
        </w:rPr>
        <w:t xml:space="preserve"> </w:t>
      </w:r>
      <w:r w:rsidR="00C539BF">
        <w:rPr>
          <w:rFonts w:ascii="Bookman Old Style" w:hAnsi="Bookman Old Style" w:cs="Arial"/>
          <w:sz w:val="20"/>
          <w:szCs w:val="20"/>
        </w:rPr>
        <w:t>24004 и 22881</w:t>
      </w:r>
      <w:r w:rsidRPr="00167C02">
        <w:rPr>
          <w:rFonts w:ascii="Bookman Old Style" w:hAnsi="Bookman Old Style" w:cs="Arial"/>
          <w:sz w:val="20"/>
          <w:szCs w:val="20"/>
        </w:rPr>
        <w:t xml:space="preserve"> руб. за 1 кв.м. </w:t>
      </w:r>
    </w:p>
    <w:p w:rsidR="00424E1B" w:rsidRPr="00167C02" w:rsidRDefault="00424E1B" w:rsidP="00424E1B">
      <w:pPr>
        <w:spacing w:before="120" w:after="120"/>
        <w:ind w:firstLine="709"/>
        <w:jc w:val="both"/>
        <w:rPr>
          <w:rFonts w:ascii="Bookman Old Style" w:hAnsi="Bookman Old Style" w:cs="Arial"/>
          <w:sz w:val="20"/>
          <w:szCs w:val="20"/>
        </w:rPr>
      </w:pPr>
      <w:r w:rsidRPr="00167C02">
        <w:rPr>
          <w:rFonts w:ascii="Bookman Old Style" w:hAnsi="Bookman Old Style" w:cs="Arial"/>
          <w:sz w:val="20"/>
          <w:szCs w:val="20"/>
        </w:rPr>
        <w:t xml:space="preserve">Что касается торговых площадей, то наиболее высокие цены находятся в тех районах города, где есть большие торговые центры, таких как в Центральном, Железнодорожном, Октябрьском и Советском районах города. Стоимость 1 кв.м. торговой площади в этих районах составляет </w:t>
      </w:r>
      <w:r w:rsidR="000855E4">
        <w:rPr>
          <w:rFonts w:ascii="Bookman Old Style" w:hAnsi="Bookman Old Style" w:cs="Arial"/>
          <w:sz w:val="20"/>
          <w:szCs w:val="20"/>
        </w:rPr>
        <w:t xml:space="preserve">70 </w:t>
      </w:r>
      <w:r w:rsidR="00C539BF">
        <w:rPr>
          <w:rFonts w:ascii="Bookman Old Style" w:hAnsi="Bookman Old Style" w:cs="Arial"/>
          <w:sz w:val="20"/>
          <w:szCs w:val="20"/>
        </w:rPr>
        <w:t>549</w:t>
      </w:r>
      <w:r w:rsidR="008B0D80" w:rsidRPr="008B0D80">
        <w:rPr>
          <w:rFonts w:ascii="Bookman Old Style" w:hAnsi="Bookman Old Style" w:cs="Arial"/>
          <w:sz w:val="20"/>
          <w:szCs w:val="20"/>
        </w:rPr>
        <w:t xml:space="preserve"> – </w:t>
      </w:r>
      <w:r w:rsidR="00C539BF">
        <w:rPr>
          <w:rFonts w:ascii="Bookman Old Style" w:hAnsi="Bookman Old Style" w:cs="Arial"/>
          <w:sz w:val="20"/>
          <w:szCs w:val="20"/>
        </w:rPr>
        <w:t>101 785</w:t>
      </w:r>
      <w:r w:rsidR="00EB0C74">
        <w:rPr>
          <w:rFonts w:ascii="Bookman Old Style" w:hAnsi="Bookman Old Style" w:cs="Arial"/>
          <w:sz w:val="20"/>
          <w:szCs w:val="20"/>
        </w:rPr>
        <w:t xml:space="preserve"> руб. за 1</w:t>
      </w:r>
      <w:r w:rsidRPr="008B0D80">
        <w:rPr>
          <w:rFonts w:ascii="Bookman Old Style" w:hAnsi="Bookman Old Style" w:cs="Arial"/>
          <w:sz w:val="20"/>
          <w:szCs w:val="20"/>
        </w:rPr>
        <w:t xml:space="preserve"> кв.м.</w:t>
      </w:r>
      <w:r w:rsidRPr="00167C02">
        <w:rPr>
          <w:rFonts w:ascii="Bookman Old Style" w:hAnsi="Bookman Old Style" w:cs="Arial"/>
          <w:sz w:val="20"/>
          <w:szCs w:val="20"/>
        </w:rPr>
        <w:t xml:space="preserve">  </w:t>
      </w:r>
    </w:p>
    <w:p w:rsidR="00424E1B" w:rsidRDefault="008B0D80" w:rsidP="00424E1B">
      <w:pPr>
        <w:spacing w:before="120" w:after="120"/>
        <w:ind w:firstLine="709"/>
        <w:jc w:val="both"/>
        <w:rPr>
          <w:rFonts w:ascii="Bookman Old Style" w:hAnsi="Bookman Old Style" w:cs="Arial"/>
          <w:sz w:val="20"/>
          <w:szCs w:val="20"/>
        </w:rPr>
      </w:pPr>
      <w:r>
        <w:rPr>
          <w:rFonts w:ascii="Bookman Old Style" w:hAnsi="Bookman Old Style" w:cs="Arial"/>
          <w:sz w:val="20"/>
          <w:szCs w:val="20"/>
        </w:rPr>
        <w:t>С</w:t>
      </w:r>
      <w:r w:rsidR="00424E1B" w:rsidRPr="00167C02">
        <w:rPr>
          <w:rFonts w:ascii="Bookman Old Style" w:hAnsi="Bookman Old Style" w:cs="Arial"/>
          <w:sz w:val="20"/>
          <w:szCs w:val="20"/>
        </w:rPr>
        <w:t xml:space="preserve">амым престижным и дорогим районом города для расположения коммерческой недвижимости является Центральный район. </w:t>
      </w:r>
    </w:p>
    <w:p w:rsidR="00424E1B" w:rsidRDefault="00424E1B" w:rsidP="00424E1B">
      <w:pPr>
        <w:spacing w:before="120" w:after="120"/>
        <w:ind w:firstLine="709"/>
        <w:jc w:val="both"/>
        <w:rPr>
          <w:rFonts w:ascii="Bookman Old Style" w:hAnsi="Bookman Old Style"/>
          <w:sz w:val="20"/>
          <w:szCs w:val="20"/>
        </w:rPr>
      </w:pPr>
      <w:r w:rsidRPr="00E42A8F">
        <w:rPr>
          <w:rFonts w:ascii="Bookman Old Style" w:hAnsi="Bookman Old Style" w:cs="Arial"/>
          <w:i/>
          <w:sz w:val="20"/>
          <w:szCs w:val="20"/>
        </w:rPr>
        <w:t>Площадь объекта недвижимости.</w:t>
      </w:r>
      <w:r>
        <w:rPr>
          <w:rFonts w:ascii="Bookman Old Style" w:hAnsi="Bookman Old Style" w:cs="Arial"/>
          <w:i/>
          <w:sz w:val="20"/>
          <w:szCs w:val="20"/>
        </w:rPr>
        <w:t xml:space="preserve"> </w:t>
      </w:r>
      <w:r w:rsidRPr="00167C02">
        <w:rPr>
          <w:rFonts w:ascii="Bookman Old Style" w:hAnsi="Bookman Old Style" w:cs="Arial"/>
          <w:sz w:val="20"/>
          <w:szCs w:val="20"/>
        </w:rPr>
        <w:t xml:space="preserve">Также существенное влияние на стоимость недвижимости оказывает площадь </w:t>
      </w:r>
      <w:r>
        <w:rPr>
          <w:rFonts w:ascii="Bookman Old Style" w:hAnsi="Bookman Old Style" w:cs="Arial"/>
          <w:sz w:val="20"/>
          <w:szCs w:val="20"/>
        </w:rPr>
        <w:t>предлагаемой недвижимости</w:t>
      </w:r>
      <w:r w:rsidRPr="00167C02">
        <w:rPr>
          <w:rFonts w:ascii="Bookman Old Style" w:hAnsi="Bookman Old Style" w:cs="Arial"/>
          <w:sz w:val="20"/>
          <w:szCs w:val="20"/>
        </w:rPr>
        <w:t xml:space="preserve">. Проанализировав рынок продаж каждого из сегментов коммерческой недвижимости, можно сделать вывод, что </w:t>
      </w:r>
      <w:r w:rsidRPr="00167C02">
        <w:rPr>
          <w:rFonts w:ascii="Bookman Old Style" w:hAnsi="Bookman Old Style"/>
          <w:sz w:val="20"/>
          <w:szCs w:val="20"/>
        </w:rPr>
        <w:t xml:space="preserve">большие по площади </w:t>
      </w:r>
      <w:r>
        <w:rPr>
          <w:rFonts w:ascii="Bookman Old Style" w:hAnsi="Bookman Old Style"/>
          <w:sz w:val="20"/>
          <w:szCs w:val="20"/>
        </w:rPr>
        <w:t xml:space="preserve">объекты </w:t>
      </w:r>
      <w:r w:rsidRPr="00167C02">
        <w:rPr>
          <w:rFonts w:ascii="Bookman Old Style" w:hAnsi="Bookman Old Style"/>
          <w:sz w:val="20"/>
          <w:szCs w:val="20"/>
        </w:rPr>
        <w:t>недвижимости стоят несколько дешевле в расчете на единицу площади</w:t>
      </w:r>
      <w:r>
        <w:rPr>
          <w:rFonts w:ascii="Bookman Old Style" w:hAnsi="Bookman Old Style"/>
          <w:sz w:val="20"/>
          <w:szCs w:val="20"/>
        </w:rPr>
        <w:t xml:space="preserve"> (</w:t>
      </w:r>
      <w:proofErr w:type="gramStart"/>
      <w:r>
        <w:rPr>
          <w:rFonts w:ascii="Bookman Old Style" w:hAnsi="Bookman Old Style"/>
          <w:sz w:val="20"/>
          <w:szCs w:val="20"/>
        </w:rPr>
        <w:t>например</w:t>
      </w:r>
      <w:proofErr w:type="gramEnd"/>
      <w:r>
        <w:rPr>
          <w:rFonts w:ascii="Bookman Old Style" w:hAnsi="Bookman Old Style"/>
          <w:sz w:val="20"/>
          <w:szCs w:val="20"/>
        </w:rPr>
        <w:t xml:space="preserve"> 1 кв.м.)</w:t>
      </w:r>
      <w:r w:rsidRPr="00167C02">
        <w:rPr>
          <w:rFonts w:ascii="Bookman Old Style" w:hAnsi="Bookman Old Style"/>
          <w:sz w:val="20"/>
          <w:szCs w:val="20"/>
        </w:rPr>
        <w:t xml:space="preserve">, чем меньшие. </w:t>
      </w:r>
    </w:p>
    <w:p w:rsidR="00424E1B" w:rsidRPr="00983123" w:rsidRDefault="00424E1B" w:rsidP="00424E1B">
      <w:pPr>
        <w:spacing w:before="120" w:after="120"/>
        <w:ind w:firstLine="709"/>
        <w:jc w:val="both"/>
        <w:rPr>
          <w:rFonts w:ascii="Bookman Old Style" w:hAnsi="Bookman Old Style" w:cs="Arial"/>
          <w:sz w:val="20"/>
          <w:szCs w:val="20"/>
        </w:rPr>
      </w:pPr>
      <w:r w:rsidRPr="001E4C84">
        <w:rPr>
          <w:rFonts w:ascii="Bookman Old Style" w:hAnsi="Bookman Old Style" w:cs="Arial"/>
          <w:i/>
          <w:sz w:val="20"/>
          <w:szCs w:val="20"/>
        </w:rPr>
        <w:t xml:space="preserve">Состояние </w:t>
      </w:r>
      <w:r>
        <w:rPr>
          <w:rFonts w:ascii="Bookman Old Style" w:hAnsi="Bookman Old Style" w:cs="Arial"/>
          <w:i/>
          <w:sz w:val="20"/>
          <w:szCs w:val="20"/>
        </w:rPr>
        <w:t>объекта</w:t>
      </w:r>
      <w:r w:rsidRPr="001E4C84">
        <w:rPr>
          <w:rFonts w:ascii="Bookman Old Style" w:hAnsi="Bookman Old Style" w:cs="Arial"/>
          <w:i/>
          <w:sz w:val="20"/>
          <w:szCs w:val="20"/>
        </w:rPr>
        <w:t>.</w:t>
      </w:r>
      <w:r>
        <w:rPr>
          <w:rFonts w:ascii="Bookman Old Style" w:hAnsi="Bookman Old Style" w:cs="Arial"/>
          <w:sz w:val="20"/>
          <w:szCs w:val="20"/>
        </w:rPr>
        <w:t xml:space="preserve"> </w:t>
      </w:r>
      <w:r w:rsidRPr="00983123">
        <w:rPr>
          <w:rFonts w:ascii="Bookman Old Style" w:hAnsi="Bookman Old Style" w:cs="Arial"/>
          <w:sz w:val="20"/>
          <w:szCs w:val="20"/>
        </w:rPr>
        <w:t>Можно выделить несколько рыночных типов состояния объектов недвижимости:</w:t>
      </w:r>
    </w:p>
    <w:p w:rsidR="00424E1B" w:rsidRDefault="00424E1B" w:rsidP="00424E1B">
      <w:pPr>
        <w:spacing w:before="120" w:after="120"/>
        <w:ind w:firstLine="709"/>
        <w:jc w:val="both"/>
        <w:rPr>
          <w:rFonts w:ascii="Bookman Old Style" w:hAnsi="Bookman Old Style" w:cs="Arial"/>
          <w:sz w:val="20"/>
          <w:szCs w:val="20"/>
        </w:rPr>
      </w:pPr>
      <w:r w:rsidRPr="00983123">
        <w:rPr>
          <w:rFonts w:ascii="Bookman Old Style" w:hAnsi="Bookman Old Style" w:cs="Arial"/>
          <w:sz w:val="20"/>
          <w:szCs w:val="20"/>
        </w:rPr>
        <w:t xml:space="preserve">«Хорошее» – это </w:t>
      </w:r>
      <w:proofErr w:type="gramStart"/>
      <w:r w:rsidRPr="00983123">
        <w:rPr>
          <w:rFonts w:ascii="Bookman Old Style" w:hAnsi="Bookman Old Style" w:cs="Arial"/>
          <w:sz w:val="20"/>
          <w:szCs w:val="20"/>
        </w:rPr>
        <w:t>состояние</w:t>
      </w:r>
      <w:proofErr w:type="gramEnd"/>
      <w:r>
        <w:rPr>
          <w:rFonts w:ascii="Bookman Old Style" w:hAnsi="Bookman Old Style" w:cs="Arial"/>
          <w:sz w:val="20"/>
          <w:szCs w:val="20"/>
        </w:rPr>
        <w:t xml:space="preserve"> при котором объект годен к эксплуатации, без проведения каких либо работ по ремонту.</w:t>
      </w:r>
    </w:p>
    <w:p w:rsidR="00424E1B" w:rsidRDefault="00424E1B" w:rsidP="00424E1B">
      <w:pPr>
        <w:spacing w:before="120" w:after="120"/>
        <w:ind w:firstLine="709"/>
        <w:jc w:val="both"/>
        <w:rPr>
          <w:rFonts w:ascii="Bookman Old Style" w:hAnsi="Bookman Old Style" w:cs="Arial"/>
          <w:sz w:val="20"/>
          <w:szCs w:val="20"/>
        </w:rPr>
      </w:pPr>
      <w:r>
        <w:rPr>
          <w:rFonts w:ascii="Bookman Old Style" w:hAnsi="Bookman Old Style" w:cs="Arial"/>
          <w:sz w:val="20"/>
          <w:szCs w:val="20"/>
        </w:rPr>
        <w:t xml:space="preserve">«Удовлетворительное» – это состояние при котором объект годен к эксплуатации, но требует работ по проведению текущего ремонта в </w:t>
      </w:r>
      <w:proofErr w:type="gramStart"/>
      <w:r>
        <w:rPr>
          <w:rFonts w:ascii="Bookman Old Style" w:hAnsi="Bookman Old Style" w:cs="Arial"/>
          <w:sz w:val="20"/>
          <w:szCs w:val="20"/>
        </w:rPr>
        <w:t>объеме</w:t>
      </w:r>
      <w:proofErr w:type="gramEnd"/>
      <w:r>
        <w:rPr>
          <w:rFonts w:ascii="Bookman Old Style" w:hAnsi="Bookman Old Style" w:cs="Arial"/>
          <w:sz w:val="20"/>
          <w:szCs w:val="20"/>
        </w:rPr>
        <w:t xml:space="preserve"> не затрагивающем замены долгоживущих конструктивных элементов.</w:t>
      </w:r>
    </w:p>
    <w:p w:rsidR="00424E1B" w:rsidRDefault="00424E1B" w:rsidP="00424E1B">
      <w:pPr>
        <w:spacing w:before="120" w:after="120"/>
        <w:ind w:firstLine="709"/>
        <w:jc w:val="both"/>
        <w:rPr>
          <w:rFonts w:ascii="Bookman Old Style" w:hAnsi="Bookman Old Style" w:cs="Arial"/>
          <w:sz w:val="20"/>
          <w:szCs w:val="20"/>
        </w:rPr>
      </w:pPr>
      <w:r>
        <w:rPr>
          <w:rFonts w:ascii="Bookman Old Style" w:hAnsi="Bookman Old Style" w:cs="Arial"/>
          <w:sz w:val="20"/>
          <w:szCs w:val="20"/>
        </w:rPr>
        <w:t xml:space="preserve">«Неудовлетворительное» – это состояние </w:t>
      </w:r>
      <w:proofErr w:type="gramStart"/>
      <w:r>
        <w:rPr>
          <w:rFonts w:ascii="Bookman Old Style" w:hAnsi="Bookman Old Style" w:cs="Arial"/>
          <w:sz w:val="20"/>
          <w:szCs w:val="20"/>
        </w:rPr>
        <w:t>объекта</w:t>
      </w:r>
      <w:proofErr w:type="gramEnd"/>
      <w:r>
        <w:rPr>
          <w:rFonts w:ascii="Bookman Old Style" w:hAnsi="Bookman Old Style" w:cs="Arial"/>
          <w:sz w:val="20"/>
          <w:szCs w:val="20"/>
        </w:rPr>
        <w:t xml:space="preserve"> при котором объект недвижимости не годен к эксплуатации без проведения работ по капитальному ремонту или реконструкции. </w:t>
      </w:r>
    </w:p>
    <w:p w:rsidR="005F6A69" w:rsidRDefault="005F6A69" w:rsidP="005F6A69">
      <w:pPr>
        <w:spacing w:before="100" w:after="100"/>
        <w:ind w:firstLine="709"/>
        <w:jc w:val="both"/>
        <w:rPr>
          <w:rFonts w:ascii="Bookman Old Style" w:hAnsi="Bookman Old Style" w:cs="Arial"/>
          <w:sz w:val="20"/>
          <w:szCs w:val="20"/>
        </w:rPr>
      </w:pPr>
      <w:r>
        <w:rPr>
          <w:rFonts w:ascii="Bookman Old Style" w:hAnsi="Bookman Old Style" w:cs="Arial"/>
          <w:sz w:val="20"/>
          <w:szCs w:val="20"/>
        </w:rPr>
        <w:t>Для производственно-складской недвижимости, экспертное значение отличий в стоимости 1 кв.м. выглядит следующим образом</w:t>
      </w:r>
      <w:r>
        <w:rPr>
          <w:rStyle w:val="aff0"/>
          <w:rFonts w:ascii="Bookman Old Style" w:hAnsi="Bookman Old Style" w:cs="Arial"/>
          <w:sz w:val="20"/>
          <w:szCs w:val="20"/>
        </w:rPr>
        <w:footnoteReference w:id="23"/>
      </w:r>
      <w:r>
        <w:rPr>
          <w:rFonts w:ascii="Bookman Old Style" w:hAnsi="Bookman Old Style" w:cs="Arial"/>
          <w:sz w:val="20"/>
          <w:szCs w:val="20"/>
        </w:rPr>
        <w:t>:</w:t>
      </w:r>
    </w:p>
    <w:p w:rsidR="005F6A69" w:rsidRDefault="005F6A69" w:rsidP="005F04AC">
      <w:pPr>
        <w:pStyle w:val="aff2"/>
        <w:numPr>
          <w:ilvl w:val="0"/>
          <w:numId w:val="55"/>
        </w:numPr>
        <w:spacing w:before="100" w:after="100"/>
        <w:contextualSpacing w:val="0"/>
        <w:rPr>
          <w:rFonts w:ascii="Bookman Old Style" w:hAnsi="Bookman Old Style" w:cs="Arial"/>
          <w:sz w:val="20"/>
          <w:szCs w:val="20"/>
        </w:rPr>
      </w:pPr>
      <w:r w:rsidRPr="0016464E">
        <w:rPr>
          <w:rFonts w:ascii="Bookman Old Style" w:hAnsi="Bookman Old Style" w:cs="Arial"/>
          <w:sz w:val="20"/>
          <w:szCs w:val="20"/>
        </w:rPr>
        <w:t xml:space="preserve">Экспертное значение диапазона отношения удельной стоимости производственно-складских объектов требующих проведения капитального ремонта и находящихся в </w:t>
      </w:r>
      <w:r w:rsidRPr="0016464E">
        <w:rPr>
          <w:rFonts w:ascii="Bookman Old Style" w:hAnsi="Bookman Old Style" w:cs="Arial"/>
          <w:sz w:val="20"/>
          <w:szCs w:val="20"/>
        </w:rPr>
        <w:lastRenderedPageBreak/>
        <w:t xml:space="preserve">неудовлетворительном состоянии к производственно-складским объектам, находящимся в удовлетворительном состоянии составляет диапазон 0,72-0,76. </w:t>
      </w:r>
    </w:p>
    <w:p w:rsidR="005F6A69" w:rsidRDefault="005F6A69" w:rsidP="005F04AC">
      <w:pPr>
        <w:pStyle w:val="aff2"/>
        <w:numPr>
          <w:ilvl w:val="0"/>
          <w:numId w:val="55"/>
        </w:numPr>
        <w:spacing w:before="100" w:after="100"/>
        <w:contextualSpacing w:val="0"/>
        <w:rPr>
          <w:rFonts w:ascii="Bookman Old Style" w:hAnsi="Bookman Old Style" w:cs="Arial"/>
          <w:sz w:val="20"/>
          <w:szCs w:val="20"/>
        </w:rPr>
      </w:pPr>
      <w:r>
        <w:rPr>
          <w:rFonts w:ascii="Bookman Old Style" w:hAnsi="Bookman Old Style"/>
          <w:sz w:val="20"/>
          <w:szCs w:val="20"/>
        </w:rPr>
        <w:t>Э</w:t>
      </w:r>
      <w:r w:rsidRPr="00431CC5">
        <w:rPr>
          <w:rFonts w:ascii="Bookman Old Style" w:hAnsi="Bookman Old Style"/>
          <w:sz w:val="20"/>
          <w:szCs w:val="20"/>
        </w:rPr>
        <w:t>кспертное значение диапазона отношени</w:t>
      </w:r>
      <w:r>
        <w:rPr>
          <w:rFonts w:ascii="Bookman Old Style" w:hAnsi="Bookman Old Style"/>
          <w:sz w:val="20"/>
          <w:szCs w:val="20"/>
        </w:rPr>
        <w:t>я удельной стоимости</w:t>
      </w:r>
      <w:r w:rsidRPr="00431CC5">
        <w:rPr>
          <w:rFonts w:ascii="Bookman Old Style" w:hAnsi="Bookman Old Style"/>
          <w:sz w:val="20"/>
          <w:szCs w:val="20"/>
        </w:rPr>
        <w:t xml:space="preserve"> прои</w:t>
      </w:r>
      <w:r>
        <w:rPr>
          <w:rFonts w:ascii="Bookman Old Style" w:hAnsi="Bookman Old Style"/>
          <w:sz w:val="20"/>
          <w:szCs w:val="20"/>
        </w:rPr>
        <w:t>зводственно-складских объектов в удовлетворительном состоянии к цене производственно-складских объектов в хорошем (не требующем проведения значительного ремонта) состоянии составляет диапазон 0,65-0,83</w:t>
      </w:r>
      <w:r w:rsidRPr="00431CC5">
        <w:rPr>
          <w:rFonts w:ascii="Bookman Old Style" w:hAnsi="Bookman Old Style"/>
          <w:sz w:val="20"/>
          <w:szCs w:val="20"/>
        </w:rPr>
        <w:t>.</w:t>
      </w:r>
    </w:p>
    <w:p w:rsidR="005F6A69" w:rsidRPr="0016464E" w:rsidRDefault="005F6A69" w:rsidP="005F6A69">
      <w:pPr>
        <w:spacing w:before="100" w:after="100"/>
        <w:ind w:firstLine="709"/>
        <w:jc w:val="both"/>
        <w:rPr>
          <w:rFonts w:ascii="Bookman Old Style" w:hAnsi="Bookman Old Style" w:cs="Arial"/>
          <w:sz w:val="20"/>
          <w:szCs w:val="20"/>
        </w:rPr>
      </w:pPr>
      <w:r w:rsidRPr="0016464E">
        <w:rPr>
          <w:rFonts w:ascii="Bookman Old Style" w:hAnsi="Bookman Old Style" w:cs="Arial"/>
          <w:sz w:val="20"/>
          <w:szCs w:val="20"/>
        </w:rPr>
        <w:t xml:space="preserve">Для </w:t>
      </w:r>
      <w:r>
        <w:rPr>
          <w:rFonts w:ascii="Bookman Old Style" w:hAnsi="Bookman Old Style" w:cs="Arial"/>
          <w:sz w:val="20"/>
          <w:szCs w:val="20"/>
        </w:rPr>
        <w:t>административно-офисных объектов</w:t>
      </w:r>
      <w:r w:rsidRPr="0016464E">
        <w:rPr>
          <w:rFonts w:ascii="Bookman Old Style" w:hAnsi="Bookman Old Style" w:cs="Arial"/>
          <w:sz w:val="20"/>
          <w:szCs w:val="20"/>
        </w:rPr>
        <w:t>, экспертное значение отличий в стоимости 1 кв.м. выглядит следующим образом</w:t>
      </w:r>
      <w:r>
        <w:rPr>
          <w:rStyle w:val="aff0"/>
          <w:rFonts w:ascii="Bookman Old Style" w:hAnsi="Bookman Old Style" w:cs="Arial"/>
          <w:sz w:val="20"/>
          <w:szCs w:val="20"/>
        </w:rPr>
        <w:footnoteReference w:id="24"/>
      </w:r>
      <w:r w:rsidRPr="0016464E">
        <w:rPr>
          <w:rFonts w:ascii="Bookman Old Style" w:hAnsi="Bookman Old Style" w:cs="Arial"/>
          <w:sz w:val="20"/>
          <w:szCs w:val="20"/>
        </w:rPr>
        <w:t>:</w:t>
      </w:r>
    </w:p>
    <w:p w:rsidR="005F6A69" w:rsidRDefault="005F6A69" w:rsidP="005F04AC">
      <w:pPr>
        <w:pStyle w:val="aff2"/>
        <w:numPr>
          <w:ilvl w:val="0"/>
          <w:numId w:val="36"/>
        </w:numPr>
        <w:spacing w:before="100" w:after="100"/>
        <w:ind w:left="714" w:hanging="357"/>
        <w:contextualSpacing w:val="0"/>
        <w:jc w:val="both"/>
        <w:rPr>
          <w:rFonts w:ascii="Bookman Old Style" w:hAnsi="Bookman Old Style"/>
          <w:sz w:val="20"/>
          <w:szCs w:val="20"/>
        </w:rPr>
      </w:pPr>
      <w:r w:rsidRPr="0016464E">
        <w:rPr>
          <w:rFonts w:ascii="Bookman Old Style" w:hAnsi="Bookman Old Style"/>
          <w:sz w:val="20"/>
          <w:szCs w:val="20"/>
        </w:rPr>
        <w:t xml:space="preserve">Экспертное значение диапазона отношения удельной стоимости административно-офисных объектов требующих проведения капитального ремонта и находящихся в неудовлетворительном состоянии к удельной цене такого же объекта, находящегося в удовлетворительном состоянии составляет диапазон 0,71-0,76. </w:t>
      </w:r>
    </w:p>
    <w:p w:rsidR="005F6A69" w:rsidRPr="0016464E" w:rsidRDefault="005F6A69" w:rsidP="005F04AC">
      <w:pPr>
        <w:pStyle w:val="aff2"/>
        <w:numPr>
          <w:ilvl w:val="0"/>
          <w:numId w:val="36"/>
        </w:numPr>
        <w:spacing w:before="100" w:after="100"/>
        <w:ind w:left="714" w:hanging="357"/>
        <w:contextualSpacing w:val="0"/>
        <w:jc w:val="both"/>
        <w:rPr>
          <w:rFonts w:ascii="Bookman Old Style" w:hAnsi="Bookman Old Style"/>
          <w:sz w:val="20"/>
          <w:szCs w:val="20"/>
        </w:rPr>
      </w:pPr>
      <w:r w:rsidRPr="0016464E">
        <w:rPr>
          <w:rFonts w:ascii="Bookman Old Style" w:hAnsi="Bookman Old Style"/>
          <w:sz w:val="20"/>
          <w:szCs w:val="20"/>
        </w:rPr>
        <w:t xml:space="preserve">Экспертное значение диапазона отношения удельной стоимости административно-офисных объектов в удовлетворительном состоянии к удельной цене такого же объекта, находящегося в хорошем состоянии составляет диапазон 0,80-0,83. </w:t>
      </w:r>
    </w:p>
    <w:p w:rsidR="00424E1B" w:rsidRDefault="005F6A69" w:rsidP="005F6A69">
      <w:pPr>
        <w:spacing w:before="120" w:after="120"/>
        <w:ind w:firstLine="709"/>
        <w:jc w:val="both"/>
        <w:rPr>
          <w:rFonts w:ascii="Bookman Old Style" w:hAnsi="Bookman Old Style"/>
          <w:sz w:val="20"/>
          <w:szCs w:val="20"/>
        </w:rPr>
      </w:pPr>
      <w:r w:rsidRPr="00D229B7">
        <w:rPr>
          <w:rFonts w:ascii="Bookman Old Style" w:hAnsi="Bookman Old Style"/>
          <w:sz w:val="20"/>
          <w:szCs w:val="20"/>
        </w:rPr>
        <w:t xml:space="preserve">Таким </w:t>
      </w:r>
      <w:proofErr w:type="gramStart"/>
      <w:r w:rsidRPr="00D229B7">
        <w:rPr>
          <w:rFonts w:ascii="Bookman Old Style" w:hAnsi="Bookman Old Style"/>
          <w:sz w:val="20"/>
          <w:szCs w:val="20"/>
        </w:rPr>
        <w:t>образом</w:t>
      </w:r>
      <w:proofErr w:type="gramEnd"/>
      <w:r w:rsidRPr="00D229B7">
        <w:rPr>
          <w:rFonts w:ascii="Bookman Old Style" w:hAnsi="Bookman Old Style"/>
          <w:sz w:val="20"/>
          <w:szCs w:val="20"/>
        </w:rPr>
        <w:t xml:space="preserve"> в данному разделе рассмотрены основные факторы влияющие на спрос, предложение и цены на рынке коммерческой недвижимости Красноярска</w:t>
      </w:r>
      <w:r w:rsidR="00424E1B" w:rsidRPr="00D229B7">
        <w:rPr>
          <w:rFonts w:ascii="Bookman Old Style" w:hAnsi="Bookman Old Style"/>
          <w:sz w:val="20"/>
          <w:szCs w:val="20"/>
        </w:rPr>
        <w:t>.</w:t>
      </w:r>
    </w:p>
    <w:p w:rsidR="005F6A69" w:rsidRPr="00D229B7" w:rsidRDefault="005F6A69" w:rsidP="005F6A69">
      <w:pPr>
        <w:pStyle w:val="3"/>
        <w:spacing w:before="100" w:after="100"/>
        <w:rPr>
          <w:rFonts w:ascii="Bookman Old Style" w:hAnsi="Bookman Old Style"/>
          <w:sz w:val="20"/>
          <w:szCs w:val="20"/>
        </w:rPr>
      </w:pPr>
      <w:bookmarkStart w:id="202" w:name="_Toc449016298"/>
      <w:bookmarkStart w:id="203" w:name="_Toc461375579"/>
      <w:r>
        <w:rPr>
          <w:rFonts w:ascii="Bookman Old Style" w:hAnsi="Bookman Old Style"/>
          <w:sz w:val="20"/>
          <w:szCs w:val="20"/>
        </w:rPr>
        <w:t>4.4</w:t>
      </w:r>
      <w:r w:rsidRPr="00920907">
        <w:rPr>
          <w:rFonts w:ascii="Bookman Old Style" w:hAnsi="Bookman Old Style"/>
          <w:sz w:val="20"/>
          <w:szCs w:val="20"/>
        </w:rPr>
        <w:t>.</w:t>
      </w:r>
      <w:r>
        <w:rPr>
          <w:rFonts w:ascii="Bookman Old Style" w:hAnsi="Bookman Old Style"/>
          <w:sz w:val="20"/>
          <w:szCs w:val="20"/>
        </w:rPr>
        <w:t>3</w:t>
      </w:r>
      <w:r w:rsidRPr="00920907">
        <w:rPr>
          <w:rFonts w:ascii="Bookman Old Style" w:hAnsi="Bookman Old Style"/>
          <w:sz w:val="20"/>
          <w:szCs w:val="20"/>
        </w:rPr>
        <w:t>. Рынок земельных участков. Ценообразующие факторы, использовавшиеся при определении стоимости, и обоснование значений диапазонов значений ценообразующих факторов</w:t>
      </w:r>
      <w:bookmarkEnd w:id="202"/>
      <w:bookmarkEnd w:id="203"/>
    </w:p>
    <w:p w:rsidR="005F6A69" w:rsidRDefault="005F6A69" w:rsidP="005F6A69">
      <w:pPr>
        <w:spacing w:before="100" w:after="100"/>
        <w:ind w:firstLine="709"/>
        <w:jc w:val="both"/>
        <w:rPr>
          <w:rFonts w:ascii="Bookman Old Style" w:hAnsi="Bookman Old Style"/>
          <w:sz w:val="20"/>
          <w:szCs w:val="20"/>
        </w:rPr>
      </w:pPr>
      <w:r>
        <w:rPr>
          <w:rFonts w:ascii="Bookman Old Style" w:hAnsi="Bookman Old Style"/>
          <w:sz w:val="20"/>
          <w:szCs w:val="20"/>
        </w:rPr>
        <w:t>Анализ предложений по продаже земельных участков позволил сделать следующие выводы:</w:t>
      </w:r>
    </w:p>
    <w:p w:rsidR="005F6A69" w:rsidRPr="00670C3F" w:rsidRDefault="005F6A69" w:rsidP="005F04AC">
      <w:pPr>
        <w:pStyle w:val="aff2"/>
        <w:numPr>
          <w:ilvl w:val="0"/>
          <w:numId w:val="57"/>
        </w:numPr>
        <w:spacing w:before="100" w:after="100"/>
        <w:contextualSpacing w:val="0"/>
        <w:jc w:val="both"/>
        <w:rPr>
          <w:rFonts w:ascii="Bookman Old Style" w:hAnsi="Bookman Old Style"/>
          <w:sz w:val="20"/>
          <w:szCs w:val="20"/>
        </w:rPr>
      </w:pPr>
      <w:r w:rsidRPr="00670C3F">
        <w:rPr>
          <w:rFonts w:ascii="Bookman Old Style" w:hAnsi="Bookman Old Style"/>
          <w:sz w:val="20"/>
          <w:szCs w:val="20"/>
        </w:rPr>
        <w:t xml:space="preserve">На рынке земельных участков Красноярска наблюдается превышение количества предложения над спросом, что негативно отражается на средней рыночной стоимости земельных участков различного вида использования. </w:t>
      </w:r>
    </w:p>
    <w:p w:rsidR="005F6A69" w:rsidRPr="00670C3F" w:rsidRDefault="005F6A69" w:rsidP="005F04AC">
      <w:pPr>
        <w:pStyle w:val="aff2"/>
        <w:numPr>
          <w:ilvl w:val="0"/>
          <w:numId w:val="57"/>
        </w:numPr>
        <w:spacing w:before="100" w:after="100"/>
        <w:contextualSpacing w:val="0"/>
        <w:jc w:val="both"/>
        <w:rPr>
          <w:rFonts w:ascii="Bookman Old Style" w:hAnsi="Bookman Old Style"/>
          <w:sz w:val="20"/>
          <w:szCs w:val="20"/>
        </w:rPr>
      </w:pPr>
      <w:r w:rsidRPr="00670C3F">
        <w:rPr>
          <w:rFonts w:ascii="Bookman Old Style" w:hAnsi="Bookman Old Style"/>
          <w:sz w:val="20"/>
          <w:szCs w:val="20"/>
        </w:rPr>
        <w:t>Рынок земельных участков характеризуется большим количеством предложений по продаже земель промназначения или для эксплуатации производственно-складской недвижимости в Ленинском районе Красноярска.</w:t>
      </w:r>
    </w:p>
    <w:p w:rsidR="005F6A69" w:rsidRDefault="005F6A69" w:rsidP="005F6A69">
      <w:pPr>
        <w:spacing w:before="100" w:after="100"/>
        <w:ind w:firstLine="709"/>
        <w:jc w:val="both"/>
        <w:rPr>
          <w:rFonts w:ascii="Bookman Old Style" w:hAnsi="Bookman Old Style"/>
          <w:sz w:val="20"/>
          <w:szCs w:val="20"/>
        </w:rPr>
      </w:pPr>
      <w:r w:rsidRPr="00161622">
        <w:rPr>
          <w:rFonts w:ascii="Bookman Old Style" w:hAnsi="Bookman Old Style"/>
          <w:sz w:val="20"/>
          <w:szCs w:val="20"/>
        </w:rPr>
        <w:t xml:space="preserve">На дату оценки на рынке земельных участков коммерческого назначения в рассматриваемом сегменте рынка наблюдается порядка </w:t>
      </w:r>
      <w:r>
        <w:rPr>
          <w:rFonts w:ascii="Bookman Old Style" w:hAnsi="Bookman Old Style"/>
          <w:sz w:val="20"/>
          <w:szCs w:val="20"/>
        </w:rPr>
        <w:t>2</w:t>
      </w:r>
      <w:r w:rsidRPr="00161622">
        <w:rPr>
          <w:rFonts w:ascii="Bookman Old Style" w:hAnsi="Bookman Old Style"/>
          <w:sz w:val="20"/>
          <w:szCs w:val="20"/>
        </w:rPr>
        <w:t>0 предложений</w:t>
      </w:r>
      <w:r>
        <w:rPr>
          <w:rFonts w:ascii="Bookman Old Style" w:hAnsi="Bookman Old Style"/>
          <w:sz w:val="20"/>
          <w:szCs w:val="20"/>
        </w:rPr>
        <w:t xml:space="preserve">. </w:t>
      </w:r>
    </w:p>
    <w:p w:rsidR="005F6A69" w:rsidRPr="00161622" w:rsidRDefault="005F6A69" w:rsidP="005F6A69">
      <w:pPr>
        <w:spacing w:before="100" w:after="100"/>
        <w:ind w:firstLine="709"/>
        <w:jc w:val="both"/>
        <w:rPr>
          <w:rFonts w:ascii="Bookman Old Style" w:hAnsi="Bookman Old Style"/>
          <w:sz w:val="20"/>
          <w:szCs w:val="20"/>
        </w:rPr>
      </w:pPr>
      <w:r w:rsidRPr="00161622">
        <w:rPr>
          <w:rFonts w:ascii="Bookman Old Style" w:hAnsi="Bookman Old Style"/>
          <w:sz w:val="20"/>
          <w:szCs w:val="20"/>
        </w:rPr>
        <w:t>Структура стоимости предложений земельных участков под коммерческую застройку определяется в основном местоположением земельного участка, размером и возможностью подключения инженерных сетей и коммуникаций.</w:t>
      </w:r>
    </w:p>
    <w:p w:rsidR="005F6A69" w:rsidRDefault="005F6A69" w:rsidP="005F6A69">
      <w:pPr>
        <w:spacing w:before="100" w:after="100"/>
        <w:ind w:firstLine="709"/>
        <w:jc w:val="both"/>
        <w:rPr>
          <w:rFonts w:ascii="Bookman Old Style" w:hAnsi="Bookman Old Style"/>
          <w:sz w:val="20"/>
          <w:szCs w:val="20"/>
        </w:rPr>
      </w:pPr>
      <w:r w:rsidRPr="00161622">
        <w:rPr>
          <w:rFonts w:ascii="Bookman Old Style" w:hAnsi="Bookman Old Style"/>
          <w:sz w:val="20"/>
          <w:szCs w:val="20"/>
        </w:rPr>
        <w:t xml:space="preserve">Стоимость предложения земельных участков исследуемого </w:t>
      </w:r>
      <w:proofErr w:type="gramStart"/>
      <w:r w:rsidRPr="00161622">
        <w:rPr>
          <w:rFonts w:ascii="Bookman Old Style" w:hAnsi="Bookman Old Style"/>
          <w:sz w:val="20"/>
          <w:szCs w:val="20"/>
        </w:rPr>
        <w:t>В</w:t>
      </w:r>
      <w:r>
        <w:rPr>
          <w:rFonts w:ascii="Bookman Old Style" w:hAnsi="Bookman Old Style"/>
          <w:sz w:val="20"/>
          <w:szCs w:val="20"/>
        </w:rPr>
        <w:t>РИ в Ленинском районе составляет</w:t>
      </w:r>
      <w:proofErr w:type="gramEnd"/>
      <w:r>
        <w:rPr>
          <w:rFonts w:ascii="Bookman Old Style" w:hAnsi="Bookman Old Style"/>
          <w:sz w:val="20"/>
          <w:szCs w:val="20"/>
        </w:rPr>
        <w:t>: 150-400 рублей за 1 кв.м. площади участка.</w:t>
      </w:r>
    </w:p>
    <w:p w:rsidR="005F6A69" w:rsidRDefault="005F6A69" w:rsidP="005F6A69">
      <w:pPr>
        <w:spacing w:before="100" w:after="100"/>
        <w:ind w:firstLine="708"/>
        <w:jc w:val="both"/>
        <w:rPr>
          <w:rFonts w:ascii="Bookman Old Style" w:hAnsi="Bookman Old Style"/>
          <w:sz w:val="20"/>
          <w:szCs w:val="20"/>
        </w:rPr>
      </w:pPr>
      <w:r>
        <w:rPr>
          <w:rFonts w:ascii="Bookman Old Style" w:hAnsi="Bookman Old Style"/>
          <w:sz w:val="20"/>
          <w:szCs w:val="20"/>
        </w:rPr>
        <w:t xml:space="preserve">Для определения типичной доли застройки проведено дополнительное исследование доли площади застройки в общей площади земельного участка. В результате исследования </w:t>
      </w:r>
      <w:proofErr w:type="gramStart"/>
      <w:r>
        <w:rPr>
          <w:rFonts w:ascii="Bookman Old Style" w:hAnsi="Bookman Old Style"/>
          <w:sz w:val="20"/>
          <w:szCs w:val="20"/>
        </w:rPr>
        <w:t>установлено</w:t>
      </w:r>
      <w:proofErr w:type="gramEnd"/>
      <w:r>
        <w:rPr>
          <w:rFonts w:ascii="Bookman Old Style" w:hAnsi="Bookman Old Style"/>
          <w:sz w:val="20"/>
          <w:szCs w:val="20"/>
        </w:rPr>
        <w:t xml:space="preserve"> что типичная для рынка доля площади застройки в общей площади земельного участка составляет диапазон 0,1-0,4.</w:t>
      </w:r>
    </w:p>
    <w:p w:rsidR="005F6A69" w:rsidRDefault="005F6A69" w:rsidP="005F6A69">
      <w:pPr>
        <w:spacing w:before="100" w:after="100"/>
        <w:ind w:firstLine="708"/>
        <w:jc w:val="both"/>
        <w:rPr>
          <w:rFonts w:ascii="Bookman Old Style" w:hAnsi="Bookman Old Style"/>
          <w:sz w:val="20"/>
          <w:szCs w:val="20"/>
        </w:rPr>
      </w:pPr>
      <w:r w:rsidRPr="004144A2">
        <w:rPr>
          <w:rFonts w:ascii="Bookman Old Style" w:hAnsi="Bookman Old Style"/>
          <w:sz w:val="20"/>
          <w:szCs w:val="20"/>
        </w:rPr>
        <w:t>В ходе проведения исследования рынка земельных участков был сделан вывод о том, что</w:t>
      </w:r>
      <w:r>
        <w:rPr>
          <w:rFonts w:ascii="Bookman Old Style" w:hAnsi="Bookman Old Style"/>
          <w:sz w:val="20"/>
          <w:szCs w:val="20"/>
        </w:rPr>
        <w:t>,</w:t>
      </w:r>
      <w:r w:rsidRPr="004144A2">
        <w:rPr>
          <w:rFonts w:ascii="Bookman Old Style" w:hAnsi="Bookman Old Style"/>
          <w:sz w:val="20"/>
          <w:szCs w:val="20"/>
        </w:rPr>
        <w:t xml:space="preserve"> значительный диапазон цен в рыночной информации </w:t>
      </w:r>
      <w:proofErr w:type="gramStart"/>
      <w:r w:rsidRPr="004144A2">
        <w:rPr>
          <w:rFonts w:ascii="Bookman Old Style" w:hAnsi="Bookman Old Style"/>
          <w:sz w:val="20"/>
          <w:szCs w:val="20"/>
        </w:rPr>
        <w:t>свидетельствует о влиянии на стоимость земельных участков рассматриваемого ВРИ</w:t>
      </w:r>
      <w:proofErr w:type="gramEnd"/>
      <w:r w:rsidRPr="004144A2">
        <w:rPr>
          <w:rFonts w:ascii="Bookman Old Style" w:hAnsi="Bookman Old Style"/>
          <w:sz w:val="20"/>
          <w:szCs w:val="20"/>
        </w:rPr>
        <w:t xml:space="preserve"> многих факторов. </w:t>
      </w:r>
    </w:p>
    <w:p w:rsidR="005F6A69" w:rsidRDefault="005F6A69" w:rsidP="005F6A69">
      <w:pPr>
        <w:spacing w:before="100" w:after="100"/>
        <w:ind w:firstLine="708"/>
        <w:jc w:val="both"/>
        <w:rPr>
          <w:rFonts w:ascii="Bookman Old Style" w:hAnsi="Bookman Old Style"/>
          <w:sz w:val="20"/>
          <w:szCs w:val="20"/>
          <w:highlight w:val="yellow"/>
        </w:rPr>
      </w:pPr>
      <w:r w:rsidRPr="00BB3CA4">
        <w:rPr>
          <w:rFonts w:ascii="Bookman Old Style" w:hAnsi="Bookman Old Style"/>
          <w:sz w:val="20"/>
          <w:szCs w:val="20"/>
        </w:rPr>
        <w:t xml:space="preserve">Предваряя анализ факторов местоположения и других характеристик, оказывающих влияния на цену земельных участков, отметим, что в сложившейся оценочной практике первоначально объекты сравниваются по </w:t>
      </w:r>
      <w:r>
        <w:rPr>
          <w:rFonts w:ascii="Bookman Old Style" w:hAnsi="Bookman Old Style"/>
          <w:sz w:val="20"/>
          <w:szCs w:val="20"/>
        </w:rPr>
        <w:t>следующим элементам сравнения:</w:t>
      </w:r>
    </w:p>
    <w:p w:rsidR="005F6A69" w:rsidRPr="00161622" w:rsidRDefault="005F6A69" w:rsidP="005F04AC">
      <w:pPr>
        <w:numPr>
          <w:ilvl w:val="0"/>
          <w:numId w:val="56"/>
        </w:numPr>
        <w:spacing w:before="100" w:after="100"/>
        <w:jc w:val="both"/>
        <w:rPr>
          <w:rFonts w:ascii="Bookman Old Style" w:hAnsi="Bookman Old Style"/>
          <w:sz w:val="20"/>
          <w:szCs w:val="20"/>
        </w:rPr>
      </w:pPr>
      <w:r w:rsidRPr="00161622">
        <w:rPr>
          <w:rFonts w:ascii="Bookman Old Style" w:hAnsi="Bookman Old Style"/>
          <w:sz w:val="20"/>
          <w:szCs w:val="20"/>
        </w:rPr>
        <w:t xml:space="preserve">Передаваемые права. Существенное значение имеет идентификация передаваемых прав на недвижимость в каждой сопоставимой сделке выбранной для анализа, поскольку цена сделки всегда основывается на передаваемом интересе в имуществе. Разница между оцениваемой недвижимостью и сопоставимым объектом, влияющая на его стоимость, достаточно часто определяется разницей их юридического статуса (набора прав). Право аренды и право собственности имеют различную стоимость. Как </w:t>
      </w:r>
      <w:proofErr w:type="gramStart"/>
      <w:r w:rsidRPr="00161622">
        <w:rPr>
          <w:rFonts w:ascii="Bookman Old Style" w:hAnsi="Bookman Old Style"/>
          <w:sz w:val="20"/>
          <w:szCs w:val="20"/>
        </w:rPr>
        <w:t>правило</w:t>
      </w:r>
      <w:proofErr w:type="gramEnd"/>
      <w:r w:rsidRPr="00161622">
        <w:rPr>
          <w:rFonts w:ascii="Bookman Old Style" w:hAnsi="Bookman Old Style"/>
          <w:sz w:val="20"/>
          <w:szCs w:val="20"/>
        </w:rPr>
        <w:t xml:space="preserve"> скидка для </w:t>
      </w:r>
      <w:r w:rsidRPr="00161622">
        <w:rPr>
          <w:rFonts w:ascii="Bookman Old Style" w:hAnsi="Bookman Old Style"/>
          <w:sz w:val="20"/>
          <w:szCs w:val="20"/>
        </w:rPr>
        <w:lastRenderedPageBreak/>
        <w:t>земельных участков находящихся на праве аренды составляет 13-15%, что в нашем случае может составить диапазон цен в 15-35 рублей на 1 кв.м</w:t>
      </w:r>
      <w:r w:rsidRPr="00161622">
        <w:rPr>
          <w:rFonts w:ascii="Bookman Old Style" w:hAnsi="Bookman Old Style"/>
          <w:sz w:val="20"/>
          <w:szCs w:val="20"/>
          <w:vertAlign w:val="superscript"/>
        </w:rPr>
        <w:footnoteReference w:id="25"/>
      </w:r>
      <w:r w:rsidRPr="00161622">
        <w:rPr>
          <w:rFonts w:ascii="Bookman Old Style" w:hAnsi="Bookman Old Style"/>
          <w:sz w:val="20"/>
          <w:szCs w:val="20"/>
        </w:rPr>
        <w:t>.</w:t>
      </w:r>
    </w:p>
    <w:p w:rsidR="005F6A69" w:rsidRPr="00161622" w:rsidRDefault="005F6A69" w:rsidP="005F04AC">
      <w:pPr>
        <w:numPr>
          <w:ilvl w:val="0"/>
          <w:numId w:val="56"/>
        </w:numPr>
        <w:spacing w:before="100" w:after="100"/>
        <w:jc w:val="both"/>
        <w:rPr>
          <w:rFonts w:ascii="Bookman Old Style" w:hAnsi="Bookman Old Style"/>
          <w:sz w:val="20"/>
          <w:szCs w:val="20"/>
        </w:rPr>
      </w:pPr>
      <w:r w:rsidRPr="00161622">
        <w:rPr>
          <w:rFonts w:ascii="Bookman Old Style" w:hAnsi="Bookman Old Style"/>
          <w:sz w:val="20"/>
          <w:szCs w:val="20"/>
        </w:rPr>
        <w:t xml:space="preserve">Условия финансирования. Различные условия финансирования сделки могут привести к отличию цены, уплаченной за недвижимое имущество, от цены, уплаченной за другое идентичное имущество. Как </w:t>
      </w:r>
      <w:proofErr w:type="gramStart"/>
      <w:r w:rsidRPr="00161622">
        <w:rPr>
          <w:rFonts w:ascii="Bookman Old Style" w:hAnsi="Bookman Old Style"/>
          <w:sz w:val="20"/>
          <w:szCs w:val="20"/>
        </w:rPr>
        <w:t>правило</w:t>
      </w:r>
      <w:proofErr w:type="gramEnd"/>
      <w:r w:rsidRPr="00161622">
        <w:rPr>
          <w:rFonts w:ascii="Bookman Old Style" w:hAnsi="Bookman Old Style"/>
          <w:sz w:val="20"/>
          <w:szCs w:val="20"/>
        </w:rPr>
        <w:t xml:space="preserve"> условия финансирования Объекта оценки и аналогов при определении рыночной стоимости идентичны, однако, при совершении сделки купли-продажи в специальных условиях определения стоимости, например при использовании кредитных средств покупателем или при внесении денежных средств в рассрочку необходимо учесть фактор стоимости денег во времени. Средний диапазон отличий для условий финансирования может составлять до 2-10% стоимости 1 кв.м. земельного участка.</w:t>
      </w:r>
    </w:p>
    <w:p w:rsidR="005F6A69" w:rsidRPr="00161622" w:rsidRDefault="005F6A69" w:rsidP="005F04AC">
      <w:pPr>
        <w:numPr>
          <w:ilvl w:val="0"/>
          <w:numId w:val="56"/>
        </w:numPr>
        <w:spacing w:before="100" w:after="100"/>
        <w:jc w:val="both"/>
        <w:rPr>
          <w:rFonts w:ascii="Bookman Old Style" w:hAnsi="Bookman Old Style"/>
          <w:sz w:val="20"/>
          <w:szCs w:val="20"/>
        </w:rPr>
      </w:pPr>
      <w:r w:rsidRPr="00161622">
        <w:rPr>
          <w:rFonts w:ascii="Bookman Old Style" w:hAnsi="Bookman Old Style"/>
          <w:sz w:val="20"/>
          <w:szCs w:val="20"/>
        </w:rPr>
        <w:t>Условия рынка. Под корректировкой цен на рыночные условия понимается корректировка цен на время от даты сделки (экспозиции) аналога до даты оценки. На рынке коммерческой недвижимости цены с течением времени изменяются. Причиной этого могут быть инфляционные или дефляционные процессы в экономике. Изменение цен может произойти в результате принятия новых законов, налоговых норм, а так же в связи с колебанием спроса и предложения на недвижимость в целом или ее отдельные типы. Основной причиной учета ценообразующего фактора является колебание спроса и предложения, что в свою очередь сказывается на стоимости земельного участка. Диапазон изменений стоимости земельных участков составляет на дату оценки примерно от 5 до 15% от стоимости 1 кв.м. в год</w:t>
      </w:r>
      <w:r w:rsidRPr="00161622">
        <w:rPr>
          <w:rFonts w:ascii="Bookman Old Style" w:hAnsi="Bookman Old Style"/>
          <w:sz w:val="20"/>
          <w:szCs w:val="20"/>
          <w:vertAlign w:val="superscript"/>
          <w:lang w:val="en-GB"/>
        </w:rPr>
        <w:footnoteReference w:id="26"/>
      </w:r>
      <w:r w:rsidRPr="00161622">
        <w:rPr>
          <w:rFonts w:ascii="Bookman Old Style" w:hAnsi="Bookman Old Style"/>
          <w:sz w:val="20"/>
          <w:szCs w:val="20"/>
        </w:rPr>
        <w:t>.</w:t>
      </w:r>
    </w:p>
    <w:p w:rsidR="005F6A69" w:rsidRPr="00161622" w:rsidRDefault="005F6A69" w:rsidP="005F04AC">
      <w:pPr>
        <w:numPr>
          <w:ilvl w:val="0"/>
          <w:numId w:val="56"/>
        </w:numPr>
        <w:spacing w:before="100" w:after="100"/>
        <w:jc w:val="both"/>
        <w:rPr>
          <w:rFonts w:ascii="Bookman Old Style" w:hAnsi="Bookman Old Style"/>
          <w:sz w:val="20"/>
          <w:szCs w:val="20"/>
        </w:rPr>
      </w:pPr>
      <w:r w:rsidRPr="00161622">
        <w:rPr>
          <w:rFonts w:ascii="Bookman Old Style" w:hAnsi="Bookman Old Style"/>
          <w:sz w:val="20"/>
          <w:szCs w:val="20"/>
        </w:rPr>
        <w:t xml:space="preserve">Условия продажи (Вид сделки). С учетом сложившейся практики, </w:t>
      </w:r>
      <w:r w:rsidRPr="00161622">
        <w:rPr>
          <w:rFonts w:ascii="Bookman Old Style" w:eastAsia="Calibri" w:hAnsi="Bookman Old Style"/>
          <w:color w:val="000000"/>
          <w:sz w:val="20"/>
          <w:szCs w:val="20"/>
          <w:lang w:eastAsia="en-US"/>
        </w:rPr>
        <w:t>чтобы устранить систематическую составляющую погрешности</w:t>
      </w:r>
      <w:r w:rsidRPr="0079143D">
        <w:rPr>
          <w:rFonts w:ascii="Bookman Old Style" w:eastAsia="Calibri" w:hAnsi="Bookman Old Style"/>
          <w:color w:val="000000"/>
          <w:sz w:val="20"/>
          <w:szCs w:val="20"/>
          <w:lang w:eastAsia="en-US"/>
        </w:rPr>
        <w:t xml:space="preserve"> при расчете</w:t>
      </w:r>
      <w:r w:rsidRPr="00161622">
        <w:rPr>
          <w:rFonts w:ascii="Bookman Old Style" w:eastAsia="Calibri" w:hAnsi="Bookman Old Style"/>
          <w:color w:val="000000"/>
          <w:sz w:val="20"/>
          <w:szCs w:val="20"/>
          <w:lang w:eastAsia="en-US"/>
        </w:rPr>
        <w:t>, используется понижающая процентная поправка</w:t>
      </w:r>
      <w:r w:rsidRPr="00161622">
        <w:rPr>
          <w:rFonts w:ascii="Bookman Old Style" w:hAnsi="Bookman Old Style"/>
          <w:sz w:val="20"/>
          <w:szCs w:val="20"/>
        </w:rPr>
        <w:t>.</w:t>
      </w:r>
      <w:r w:rsidRPr="00161622">
        <w:rPr>
          <w:rFonts w:ascii="Bookman Old Style" w:eastAsia="Calibri" w:hAnsi="Bookman Old Style"/>
          <w:color w:val="000000"/>
          <w:sz w:val="20"/>
          <w:szCs w:val="20"/>
          <w:lang w:eastAsia="en-US"/>
        </w:rPr>
        <w:t xml:space="preserve"> Так как фактическая цена сделки может быть скорректирована в ходе предварительных переговоров между покупателем и продавцом – требуется расчет корректировки.</w:t>
      </w:r>
      <w:r w:rsidRPr="00161622">
        <w:rPr>
          <w:rFonts w:ascii="Bookman Old Style" w:hAnsi="Bookman Old Style"/>
          <w:sz w:val="20"/>
          <w:szCs w:val="20"/>
        </w:rPr>
        <w:t xml:space="preserve"> Ср</w:t>
      </w:r>
      <w:r w:rsidRPr="0079143D">
        <w:rPr>
          <w:rFonts w:ascii="Bookman Old Style" w:hAnsi="Bookman Old Style"/>
          <w:sz w:val="20"/>
          <w:szCs w:val="20"/>
        </w:rPr>
        <w:t>еднее значение диапазона скидок</w:t>
      </w:r>
      <w:r w:rsidRPr="00161622">
        <w:rPr>
          <w:rFonts w:ascii="Bookman Old Style" w:hAnsi="Bookman Old Style"/>
          <w:sz w:val="20"/>
          <w:szCs w:val="20"/>
          <w:vertAlign w:val="superscript"/>
        </w:rPr>
        <w:footnoteReference w:id="27"/>
      </w:r>
      <w:r w:rsidRPr="00161622">
        <w:rPr>
          <w:rFonts w:ascii="Bookman Old Style" w:hAnsi="Bookman Old Style"/>
          <w:sz w:val="20"/>
          <w:szCs w:val="20"/>
        </w:rPr>
        <w:t xml:space="preserve"> составляет </w:t>
      </w:r>
      <w:r w:rsidRPr="0079143D">
        <w:rPr>
          <w:rFonts w:ascii="Bookman Old Style" w:hAnsi="Bookman Old Style"/>
          <w:sz w:val="20"/>
          <w:szCs w:val="20"/>
        </w:rPr>
        <w:t>13</w:t>
      </w:r>
      <w:r w:rsidRPr="00161622">
        <w:rPr>
          <w:rFonts w:ascii="Bookman Old Style" w:hAnsi="Bookman Old Style"/>
          <w:sz w:val="20"/>
          <w:szCs w:val="20"/>
        </w:rPr>
        <w:t>% для земельных участков под производственно-складские объекты.</w:t>
      </w:r>
    </w:p>
    <w:p w:rsidR="005F6A69" w:rsidRPr="00BA3D57" w:rsidRDefault="005F6A69" w:rsidP="005F04AC">
      <w:pPr>
        <w:numPr>
          <w:ilvl w:val="0"/>
          <w:numId w:val="56"/>
        </w:numPr>
        <w:spacing w:before="100" w:after="100"/>
        <w:jc w:val="both"/>
        <w:rPr>
          <w:rFonts w:ascii="Bookman Old Style" w:hAnsi="Bookman Old Style"/>
          <w:sz w:val="20"/>
          <w:szCs w:val="20"/>
        </w:rPr>
      </w:pPr>
      <w:r w:rsidRPr="00BA3D57">
        <w:rPr>
          <w:rFonts w:ascii="Bookman Old Style" w:hAnsi="Bookman Old Style"/>
          <w:sz w:val="20"/>
          <w:szCs w:val="20"/>
        </w:rPr>
        <w:t xml:space="preserve">Разрешенное использование. На использование имущества влияют зонирование или другие ограничения. Если имеет место отличие в текущем использовании или в НЭИ сопоставимого имущества от рассматриваемого имущества, следует тщательно изучить влияние этого отличия на стоимость. ВРИ один из основных ценообразующих факторов земельных участков. </w:t>
      </w:r>
      <w:proofErr w:type="gramStart"/>
      <w:r w:rsidRPr="00BA3D57">
        <w:rPr>
          <w:rFonts w:ascii="Bookman Old Style" w:hAnsi="Bookman Old Style"/>
          <w:sz w:val="20"/>
          <w:szCs w:val="20"/>
        </w:rPr>
        <w:t xml:space="preserve">Так, стоимость земельных участков с видом разрешенного использования – промышленная застройка, по всем районам города, составляет диапазон цен от 100 до 1500 рублей за 1 кв.м., а стоимости земельных участков с ВРИ – под строительство офисных или торговых центров, уже составляет диапазон цен от 2000 до 10000 рублей за 1 кв.м. в зависимости от их местоположения. </w:t>
      </w:r>
      <w:proofErr w:type="gramEnd"/>
    </w:p>
    <w:p w:rsidR="005F6A69" w:rsidRDefault="005F6A69" w:rsidP="005F04AC">
      <w:pPr>
        <w:numPr>
          <w:ilvl w:val="0"/>
          <w:numId w:val="56"/>
        </w:numPr>
        <w:spacing w:before="100" w:after="100"/>
        <w:ind w:left="714" w:hanging="357"/>
        <w:jc w:val="both"/>
        <w:rPr>
          <w:rFonts w:ascii="Bookman Old Style" w:hAnsi="Bookman Old Style"/>
          <w:sz w:val="20"/>
          <w:szCs w:val="20"/>
        </w:rPr>
      </w:pPr>
      <w:r w:rsidRPr="00BA3D57">
        <w:rPr>
          <w:rFonts w:ascii="Bookman Old Style" w:hAnsi="Bookman Old Style"/>
          <w:sz w:val="20"/>
          <w:szCs w:val="20"/>
        </w:rPr>
        <w:t xml:space="preserve">Местоположение. При расчете корректировки следует сравнить местоположение объектов имущества в сопоставимых продажах и рассматриваемого имущества, чтобы установить влияет ли местоположение и ближайшие окрестности на уплачиваемые цены. Также является основным ценообразующим фактором любого недвижимого имущества. Стоимость земельных участков с ВРИ – промышленная застройка в Ленинском районе находится в диапазоне от </w:t>
      </w:r>
      <w:r>
        <w:rPr>
          <w:rFonts w:ascii="Bookman Old Style" w:hAnsi="Bookman Old Style"/>
          <w:sz w:val="20"/>
          <w:szCs w:val="20"/>
        </w:rPr>
        <w:t>150 до 400</w:t>
      </w:r>
      <w:r w:rsidRPr="00BA3D57">
        <w:rPr>
          <w:rFonts w:ascii="Bookman Old Style" w:hAnsi="Bookman Old Style"/>
          <w:sz w:val="20"/>
          <w:szCs w:val="20"/>
        </w:rPr>
        <w:t xml:space="preserve"> рублей за 1 кв.м., в Советском районе этот диапазон уже составляет от 300-1000 рублей за 1 кв.м., Центральный район, в районе ул.2-ая Брянская,</w:t>
      </w:r>
      <w:r w:rsidRPr="00161622">
        <w:rPr>
          <w:rFonts w:ascii="Bookman Old Style" w:hAnsi="Bookman Old Style"/>
          <w:sz w:val="20"/>
          <w:szCs w:val="20"/>
        </w:rPr>
        <w:t xml:space="preserve"> </w:t>
      </w:r>
      <w:proofErr w:type="spellStart"/>
      <w:r w:rsidRPr="00161622">
        <w:rPr>
          <w:rFonts w:ascii="Bookman Old Style" w:hAnsi="Bookman Old Style"/>
          <w:sz w:val="20"/>
          <w:szCs w:val="20"/>
        </w:rPr>
        <w:t>Алп</w:t>
      </w:r>
      <w:proofErr w:type="gramStart"/>
      <w:r w:rsidRPr="00161622">
        <w:rPr>
          <w:rFonts w:ascii="Bookman Old Style" w:hAnsi="Bookman Old Style"/>
          <w:sz w:val="20"/>
          <w:szCs w:val="20"/>
        </w:rPr>
        <w:t>и</w:t>
      </w:r>
      <w:proofErr w:type="spellEnd"/>
      <w:r w:rsidRPr="00161622">
        <w:rPr>
          <w:rFonts w:ascii="Bookman Old Style" w:hAnsi="Bookman Old Style"/>
          <w:sz w:val="20"/>
          <w:szCs w:val="20"/>
        </w:rPr>
        <w:t>(</w:t>
      </w:r>
      <w:proofErr w:type="gramEnd"/>
      <w:r w:rsidRPr="00161622">
        <w:rPr>
          <w:rFonts w:ascii="Bookman Old Style" w:hAnsi="Bookman Old Style"/>
          <w:sz w:val="20"/>
          <w:szCs w:val="20"/>
        </w:rPr>
        <w:t>солонцы) диапазон цен начинается от 500 рублей и можно встретить предложения по 1000-1500 рублей за 1 кв.м.</w:t>
      </w:r>
    </w:p>
    <w:p w:rsidR="005F6A69" w:rsidRPr="00161622" w:rsidRDefault="005F6A69" w:rsidP="005F04AC">
      <w:pPr>
        <w:numPr>
          <w:ilvl w:val="0"/>
          <w:numId w:val="56"/>
        </w:numPr>
        <w:spacing w:before="100" w:after="100"/>
        <w:ind w:left="714" w:hanging="357"/>
        <w:jc w:val="both"/>
        <w:rPr>
          <w:rFonts w:ascii="Bookman Old Style" w:hAnsi="Bookman Old Style"/>
          <w:sz w:val="20"/>
          <w:szCs w:val="20"/>
        </w:rPr>
      </w:pPr>
      <w:r w:rsidRPr="00161622">
        <w:rPr>
          <w:rFonts w:ascii="Bookman Old Style" w:hAnsi="Bookman Old Style"/>
          <w:sz w:val="20"/>
          <w:szCs w:val="20"/>
        </w:rPr>
        <w:t>Физические характеристики. Масштаб земельного участка. Как правило, большие по размеру земельные участки стоят несколько дешевле в расчете на единицу площади, чем меньшие по размеру участки, поэтому в цены аналогов необходимо внести корректировки. Проведенный анализ выявил наличие исследований касающихся земельных участков по виду разрешенного использования – промышленная застройка. Суть исследования сводится к построению математической зависимости между площадью земельных участков и стоимостью с последующим расчетом корректирующих значений</w:t>
      </w:r>
      <w:r w:rsidRPr="00161622">
        <w:rPr>
          <w:rFonts w:ascii="Bookman Old Style" w:hAnsi="Bookman Old Style"/>
          <w:sz w:val="20"/>
          <w:szCs w:val="20"/>
          <w:vertAlign w:val="superscript"/>
        </w:rPr>
        <w:footnoteReference w:id="28"/>
      </w:r>
      <w:r w:rsidRPr="00161622">
        <w:rPr>
          <w:rFonts w:ascii="Bookman Old Style" w:hAnsi="Bookman Old Style"/>
          <w:sz w:val="20"/>
          <w:szCs w:val="20"/>
        </w:rPr>
        <w:t xml:space="preserve">. Согласно данным </w:t>
      </w:r>
      <w:r w:rsidRPr="00161622">
        <w:rPr>
          <w:rFonts w:ascii="Bookman Old Style" w:hAnsi="Bookman Old Style"/>
          <w:sz w:val="20"/>
          <w:szCs w:val="20"/>
        </w:rPr>
        <w:lastRenderedPageBreak/>
        <w:t xml:space="preserve">исследованиям поправка к стоимости 1 кв.м. может составлять величины до 50% от начальной стоимости предложения. </w:t>
      </w:r>
    </w:p>
    <w:p w:rsidR="005F6A69" w:rsidRPr="00161622" w:rsidRDefault="005F6A69" w:rsidP="005F04AC">
      <w:pPr>
        <w:numPr>
          <w:ilvl w:val="0"/>
          <w:numId w:val="56"/>
        </w:numPr>
        <w:spacing w:before="100" w:after="100"/>
        <w:ind w:left="714" w:hanging="357"/>
        <w:jc w:val="both"/>
        <w:rPr>
          <w:rFonts w:ascii="Bookman Old Style" w:hAnsi="Bookman Old Style"/>
          <w:sz w:val="20"/>
          <w:szCs w:val="20"/>
        </w:rPr>
      </w:pPr>
      <w:r w:rsidRPr="00161622">
        <w:rPr>
          <w:rFonts w:ascii="Bookman Old Style" w:hAnsi="Bookman Old Style"/>
          <w:sz w:val="20"/>
          <w:szCs w:val="20"/>
        </w:rPr>
        <w:t xml:space="preserve">Возможность подключения к коммуникациям. Земельные участки, имеющие возможность подключения к инженерным коммуникациям стоят значительно дороже объектов, не имеющих такой возможности, диапазон отличий составляет 1,5-2 раза.  Как правило на рынке земельных участков, участки не имеющие возможности подключения к коммуникациям расположены на окраинах города Красноярска и стоимость их подключения определяется затратами необходимыми для проведения коммуникаций к земельному участку. Типичной ситуацией при реализации земельных участков рассматриваемого ВРИ, является ситуация при которой продавцы ЗУ обеспечивают возможности подключения к необходимым для жизнедеятельности будущего предприятия коммуникациям, т.к. это значительно увеличивает капитализацию земли. </w:t>
      </w:r>
    </w:p>
    <w:p w:rsidR="005F6A69" w:rsidRPr="00161622" w:rsidRDefault="005F6A69" w:rsidP="005F04AC">
      <w:pPr>
        <w:numPr>
          <w:ilvl w:val="0"/>
          <w:numId w:val="56"/>
        </w:numPr>
        <w:spacing w:before="100" w:after="100"/>
        <w:ind w:left="714" w:hanging="357"/>
        <w:jc w:val="both"/>
        <w:rPr>
          <w:rFonts w:ascii="Bookman Old Style" w:hAnsi="Bookman Old Style"/>
          <w:sz w:val="20"/>
          <w:szCs w:val="20"/>
        </w:rPr>
      </w:pPr>
      <w:r w:rsidRPr="00161622">
        <w:rPr>
          <w:rFonts w:ascii="Bookman Old Style" w:hAnsi="Bookman Old Style"/>
          <w:sz w:val="20"/>
          <w:szCs w:val="20"/>
        </w:rPr>
        <w:t>Состояние земельных участков. Земля не подвержена физическому износу, однако, при наличии дополнительных загрязнений и естественных разрушений (мусор, овраги, затопление и т.д.) необходимо учесть такие затраты. Диапазон скидок для этих земельных участков составляет значения от 50 до 100 рублей на 1 кв.м. площади участка.</w:t>
      </w:r>
    </w:p>
    <w:p w:rsidR="005F6A69" w:rsidRDefault="005F6A69" w:rsidP="005F6A69">
      <w:pPr>
        <w:spacing w:before="100" w:after="100"/>
        <w:ind w:firstLine="709"/>
        <w:jc w:val="both"/>
        <w:rPr>
          <w:rFonts w:ascii="Bookman Old Style" w:hAnsi="Bookman Old Style"/>
          <w:sz w:val="20"/>
          <w:szCs w:val="20"/>
        </w:rPr>
      </w:pPr>
      <w:r w:rsidRPr="00F37D18">
        <w:rPr>
          <w:rFonts w:ascii="Bookman Old Style" w:hAnsi="Bookman Old Style"/>
          <w:sz w:val="20"/>
          <w:szCs w:val="20"/>
        </w:rPr>
        <w:t xml:space="preserve">Таким </w:t>
      </w:r>
      <w:proofErr w:type="gramStart"/>
      <w:r w:rsidRPr="00F37D18">
        <w:rPr>
          <w:rFonts w:ascii="Bookman Old Style" w:hAnsi="Bookman Old Style"/>
          <w:sz w:val="20"/>
          <w:szCs w:val="20"/>
        </w:rPr>
        <w:t>образом</w:t>
      </w:r>
      <w:proofErr w:type="gramEnd"/>
      <w:r w:rsidRPr="00F37D18">
        <w:rPr>
          <w:rFonts w:ascii="Bookman Old Style" w:hAnsi="Bookman Old Style"/>
          <w:sz w:val="20"/>
          <w:szCs w:val="20"/>
        </w:rPr>
        <w:t xml:space="preserve"> в данному разделе рассмотрены основные факторы влияющие на спрос, предложение и цены на рынке </w:t>
      </w:r>
      <w:r>
        <w:rPr>
          <w:rFonts w:ascii="Bookman Old Style" w:hAnsi="Bookman Old Style"/>
          <w:sz w:val="20"/>
          <w:szCs w:val="20"/>
        </w:rPr>
        <w:t>земельных участков</w:t>
      </w:r>
      <w:r w:rsidRPr="00F37D18">
        <w:rPr>
          <w:rFonts w:ascii="Bookman Old Style" w:hAnsi="Bookman Old Style"/>
          <w:sz w:val="20"/>
          <w:szCs w:val="20"/>
        </w:rPr>
        <w:t>.</w:t>
      </w:r>
    </w:p>
    <w:p w:rsidR="005F6A69" w:rsidRDefault="005F6A69" w:rsidP="005F6A69">
      <w:pPr>
        <w:pStyle w:val="3"/>
        <w:spacing w:before="100" w:after="100"/>
        <w:rPr>
          <w:rFonts w:ascii="Bookman Old Style" w:hAnsi="Bookman Old Style"/>
          <w:sz w:val="20"/>
          <w:szCs w:val="20"/>
        </w:rPr>
      </w:pPr>
      <w:bookmarkStart w:id="204" w:name="_Toc449016299"/>
      <w:bookmarkStart w:id="205" w:name="_Toc461375580"/>
      <w:r>
        <w:rPr>
          <w:rFonts w:ascii="Bookman Old Style" w:hAnsi="Bookman Old Style"/>
          <w:sz w:val="20"/>
          <w:szCs w:val="20"/>
        </w:rPr>
        <w:t>4.4</w:t>
      </w:r>
      <w:r w:rsidRPr="00920907">
        <w:rPr>
          <w:rFonts w:ascii="Bookman Old Style" w:hAnsi="Bookman Old Style"/>
          <w:sz w:val="20"/>
          <w:szCs w:val="20"/>
        </w:rPr>
        <w:t>.</w:t>
      </w:r>
      <w:r w:rsidR="0070748F">
        <w:rPr>
          <w:rFonts w:ascii="Bookman Old Style" w:hAnsi="Bookman Old Style"/>
          <w:sz w:val="20"/>
          <w:szCs w:val="20"/>
        </w:rPr>
        <w:t>4</w:t>
      </w:r>
      <w:r w:rsidRPr="00920907">
        <w:rPr>
          <w:rFonts w:ascii="Bookman Old Style" w:hAnsi="Bookman Old Style"/>
          <w:sz w:val="20"/>
          <w:szCs w:val="20"/>
        </w:rPr>
        <w:t xml:space="preserve">. Рынок </w:t>
      </w:r>
      <w:r>
        <w:rPr>
          <w:rFonts w:ascii="Bookman Old Style" w:hAnsi="Bookman Old Style"/>
          <w:sz w:val="20"/>
          <w:szCs w:val="20"/>
        </w:rPr>
        <w:t>оборудования</w:t>
      </w:r>
      <w:r w:rsidRPr="00920907">
        <w:rPr>
          <w:rFonts w:ascii="Bookman Old Style" w:hAnsi="Bookman Old Style"/>
          <w:sz w:val="20"/>
          <w:szCs w:val="20"/>
        </w:rPr>
        <w:t>. Ценообразующие факторы, использовавшиеся при определении стоимости, и обоснование значений диапазонов значений ценообразующих факторов</w:t>
      </w:r>
      <w:bookmarkEnd w:id="204"/>
      <w:bookmarkEnd w:id="205"/>
    </w:p>
    <w:p w:rsidR="005F6A69" w:rsidRDefault="005F6A69" w:rsidP="005F6A69">
      <w:pPr>
        <w:shd w:val="clear" w:color="auto" w:fill="FFFFFF"/>
        <w:spacing w:before="120" w:after="120"/>
        <w:ind w:firstLine="709"/>
        <w:jc w:val="both"/>
        <w:rPr>
          <w:rFonts w:ascii="Bookman Old Style" w:hAnsi="Bookman Old Style" w:cs="Calibri"/>
          <w:sz w:val="20"/>
          <w:szCs w:val="20"/>
        </w:rPr>
      </w:pPr>
      <w:proofErr w:type="gramStart"/>
      <w:r w:rsidRPr="005E7AF8">
        <w:rPr>
          <w:rFonts w:ascii="Bookman Old Style" w:hAnsi="Bookman Old Style" w:cs="Calibri"/>
          <w:sz w:val="20"/>
          <w:szCs w:val="20"/>
        </w:rPr>
        <w:t>Промышленное оборудование представляет собой сложный продукт, обладающий значительным количеством эксплуатационных и технических характеристик, таких как КПД, производственная мощность, расходование электроэнергии, срок эксплуатации, габариты и т. д. При изучении рынков промышленного оборудования важно не только получить основные рыночные показатели (объемы производства, импорта, экспорта, потребления и т. п.), но и разобраться в особенностях предложения, выявить конкурентные преимущества компаний, причины их лидерства или</w:t>
      </w:r>
      <w:proofErr w:type="gramEnd"/>
      <w:r w:rsidRPr="005E7AF8">
        <w:rPr>
          <w:rFonts w:ascii="Bookman Old Style" w:hAnsi="Bookman Old Style" w:cs="Calibri"/>
          <w:sz w:val="20"/>
          <w:szCs w:val="20"/>
        </w:rPr>
        <w:t>, напротив, неудач.</w:t>
      </w:r>
    </w:p>
    <w:p w:rsidR="005F6A69" w:rsidRPr="004A3D90" w:rsidRDefault="005F6A69" w:rsidP="005F6A69">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Производс</w:t>
      </w:r>
      <w:r>
        <w:rPr>
          <w:rFonts w:ascii="Bookman Old Style" w:hAnsi="Bookman Old Style" w:cs="Calibri"/>
          <w:sz w:val="20"/>
          <w:szCs w:val="20"/>
        </w:rPr>
        <w:t xml:space="preserve">тво промышленного оборудования </w:t>
      </w:r>
      <w:r w:rsidRPr="004A3D90">
        <w:rPr>
          <w:rFonts w:ascii="Bookman Old Style" w:hAnsi="Bookman Old Style" w:cs="Calibri"/>
          <w:sz w:val="20"/>
          <w:szCs w:val="20"/>
        </w:rPr>
        <w:t>при принятии решения об объемах производства обязательно учитывают имеющиеся особенности рынка, изучают как существующих потребителей, таки потенциальных, оценивают объем рынка. Так многообразие сфер, где можно применить промышленное оборудование, обусловило богатый ассортимент предлагаемого оборудования, начиная от ручных установок и заканчивая целыми промышленными комплексами, которые занимают огромные цеха.</w:t>
      </w:r>
    </w:p>
    <w:p w:rsidR="005F6A69" w:rsidRPr="004A3D90" w:rsidRDefault="005F6A69" w:rsidP="005F6A69">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Самый колоссальный объем продаж приходится на предприятия, занятые в машиностроительной отрасли, а также в металлообрабатывающей промышленности. Также крупными потребителями являются заводы по производству автомобилей и заводы по производству бытовой техники. Стремительное развитие мебельной промышленности привело к увеличению спроса на промышленное оборудование.</w:t>
      </w:r>
    </w:p>
    <w:p w:rsidR="005F6A69" w:rsidRDefault="005F6A69" w:rsidP="005F6A69">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Наблюдается устойчивая тенденция к увеличению спроса на оборудование. Это обусловлено экономическим ростом, а также заметным оживление промышленного производства. Также необходимо учитывать следующие моменты: существует высокая степень физического износа имеющегося на предприятии оборудования. Моральный износ происходит значительно быстрее. Следовательно, есть необходимость периодически производить модернизацию имеющегося на производстве оборудования. Однако стоит заметить, что руководители предприятий не всегда могут позволить своевременную модернизацию оборудования из-за определенных финансовых затруднений. Занимателен тот факт, что директорами совершенно не используется возможность, которая предоставляется лизинговой схемой. Продажа промышленного оборудования может быть осуществлена посредством приобретением его в лизинг. Страх использования лизинга объясняется инертностью мышления, боязнью принимать рисковые решения.</w:t>
      </w:r>
    </w:p>
    <w:p w:rsidR="005F6A69" w:rsidRDefault="005F6A69" w:rsidP="005F6A69">
      <w:pPr>
        <w:shd w:val="clear" w:color="auto" w:fill="FFFFFF"/>
        <w:spacing w:before="120" w:after="120"/>
        <w:ind w:firstLine="709"/>
        <w:jc w:val="both"/>
        <w:rPr>
          <w:rFonts w:ascii="Bookman Old Style" w:hAnsi="Bookman Old Style" w:cs="Calibri"/>
          <w:sz w:val="20"/>
          <w:szCs w:val="20"/>
        </w:rPr>
      </w:pPr>
      <w:r w:rsidRPr="005F6A69">
        <w:rPr>
          <w:rFonts w:ascii="Bookman Old Style" w:hAnsi="Bookman Old Style" w:cs="Calibri"/>
          <w:sz w:val="20"/>
          <w:szCs w:val="20"/>
        </w:rPr>
        <w:t xml:space="preserve">Изделия из ПВХ стали закрепляться на отечественном рынке с начала 2000-х и сегодня достаточно прочно вошли в наш обиход. Конечно, самыми массовыми и распространенными — практически визитной карточкой этого сегмента — стали профили из </w:t>
      </w:r>
      <w:proofErr w:type="spellStart"/>
      <w:proofErr w:type="gramStart"/>
      <w:r w:rsidRPr="005F6A69">
        <w:rPr>
          <w:rFonts w:ascii="Bookman Old Style" w:hAnsi="Bookman Old Style" w:cs="Calibri"/>
          <w:sz w:val="20"/>
          <w:szCs w:val="20"/>
        </w:rPr>
        <w:t>поливинил</w:t>
      </w:r>
      <w:proofErr w:type="spellEnd"/>
      <w:r w:rsidRPr="005F6A69">
        <w:rPr>
          <w:rFonts w:ascii="Bookman Old Style" w:hAnsi="Bookman Old Style" w:cs="Calibri"/>
          <w:sz w:val="20"/>
          <w:szCs w:val="20"/>
        </w:rPr>
        <w:t>-хлорида</w:t>
      </w:r>
      <w:proofErr w:type="gramEnd"/>
      <w:r w:rsidRPr="005F6A69">
        <w:rPr>
          <w:rFonts w:ascii="Bookman Old Style" w:hAnsi="Bookman Old Style" w:cs="Calibri"/>
          <w:sz w:val="20"/>
          <w:szCs w:val="20"/>
        </w:rPr>
        <w:t xml:space="preserve"> (ПВХ) для производства окон.</w:t>
      </w:r>
    </w:p>
    <w:p w:rsidR="005F6A69" w:rsidRPr="005F6A69" w:rsidRDefault="005F6A69" w:rsidP="005F6A69">
      <w:pPr>
        <w:shd w:val="clear" w:color="auto" w:fill="FFFFFF"/>
        <w:spacing w:before="120" w:after="120"/>
        <w:ind w:firstLine="709"/>
        <w:jc w:val="both"/>
        <w:rPr>
          <w:rFonts w:ascii="Bookman Old Style" w:hAnsi="Bookman Old Style" w:cs="Calibri"/>
          <w:sz w:val="20"/>
          <w:szCs w:val="20"/>
        </w:rPr>
      </w:pPr>
      <w:r>
        <w:rPr>
          <w:rFonts w:ascii="Bookman Old Style" w:hAnsi="Bookman Old Style" w:cs="Calibri"/>
          <w:sz w:val="20"/>
          <w:szCs w:val="20"/>
        </w:rPr>
        <w:t>С</w:t>
      </w:r>
      <w:r w:rsidRPr="005F6A69">
        <w:rPr>
          <w:rFonts w:ascii="Bookman Old Style" w:hAnsi="Bookman Old Style" w:cs="Calibri"/>
          <w:sz w:val="20"/>
          <w:szCs w:val="20"/>
        </w:rPr>
        <w:t xml:space="preserve">егодняшнее состояние на рынке ПВХ-профилей оставляет желать лучшего. С 2011 года рынок достиг своего пика, наступило насыщение — во многом за счет импорта. После чего </w:t>
      </w:r>
      <w:r w:rsidRPr="005F6A69">
        <w:rPr>
          <w:rFonts w:ascii="Bookman Old Style" w:hAnsi="Bookman Old Style" w:cs="Calibri"/>
          <w:sz w:val="20"/>
          <w:szCs w:val="20"/>
        </w:rPr>
        <w:lastRenderedPageBreak/>
        <w:t>началась стагнация, за которой последовал спад. В 2013 году емкость рынка снизилась на 4%, а в 2014-м — еще на 4,7%.</w:t>
      </w:r>
    </w:p>
    <w:p w:rsidR="005F6A69" w:rsidRPr="005F6A69" w:rsidRDefault="005F6A69" w:rsidP="005F6A69">
      <w:pPr>
        <w:shd w:val="clear" w:color="auto" w:fill="FFFFFF"/>
        <w:spacing w:before="120" w:after="120"/>
        <w:ind w:firstLine="709"/>
        <w:jc w:val="both"/>
        <w:rPr>
          <w:rFonts w:ascii="Bookman Old Style" w:hAnsi="Bookman Old Style" w:cs="Calibri"/>
          <w:sz w:val="20"/>
          <w:szCs w:val="20"/>
        </w:rPr>
      </w:pPr>
      <w:r>
        <w:rPr>
          <w:rFonts w:ascii="Bookman Old Style" w:hAnsi="Bookman Old Style" w:cs="Calibri"/>
          <w:sz w:val="20"/>
          <w:szCs w:val="20"/>
        </w:rPr>
        <w:t>В</w:t>
      </w:r>
      <w:r w:rsidRPr="005F6A69">
        <w:rPr>
          <w:rFonts w:ascii="Bookman Old Style" w:hAnsi="Bookman Old Style" w:cs="Calibri"/>
          <w:sz w:val="20"/>
          <w:szCs w:val="20"/>
        </w:rPr>
        <w:t xml:space="preserve"> России </w:t>
      </w:r>
      <w:r>
        <w:rPr>
          <w:rFonts w:ascii="Bookman Old Style" w:hAnsi="Bookman Old Style" w:cs="Calibri"/>
          <w:sz w:val="20"/>
          <w:szCs w:val="20"/>
        </w:rPr>
        <w:t>работает</w:t>
      </w:r>
      <w:r w:rsidRPr="005F6A69">
        <w:rPr>
          <w:rFonts w:ascii="Bookman Old Style" w:hAnsi="Bookman Old Style" w:cs="Calibri"/>
          <w:sz w:val="20"/>
          <w:szCs w:val="20"/>
        </w:rPr>
        <w:t xml:space="preserve"> собственное крупное производство поливинилхлорида. Это должно благотворно повлиять на конечную стоимость изделий, приведя к их удешевлению. В настоящее время на рынке соотношение импорта и собственного продукта составляет примерно 50 на 50 (если считать в тоннах).</w:t>
      </w:r>
    </w:p>
    <w:p w:rsidR="005F6A69" w:rsidRPr="005F6A69" w:rsidRDefault="005F6A69" w:rsidP="005F6A69">
      <w:pPr>
        <w:shd w:val="clear" w:color="auto" w:fill="FFFFFF"/>
        <w:spacing w:before="120" w:after="120"/>
        <w:ind w:firstLine="709"/>
        <w:jc w:val="both"/>
        <w:rPr>
          <w:rFonts w:ascii="Bookman Old Style" w:hAnsi="Bookman Old Style" w:cs="Calibri"/>
          <w:sz w:val="20"/>
          <w:szCs w:val="20"/>
        </w:rPr>
      </w:pPr>
      <w:r w:rsidRPr="005F6A69">
        <w:rPr>
          <w:rFonts w:ascii="Bookman Old Style" w:hAnsi="Bookman Old Style" w:cs="Calibri"/>
          <w:sz w:val="20"/>
          <w:szCs w:val="20"/>
        </w:rPr>
        <w:t xml:space="preserve">Однако потребление продолжает снижаться, и производителям приходится искать новые пути сбыта и оптимизировать свои затраты. </w:t>
      </w:r>
      <w:r>
        <w:rPr>
          <w:rFonts w:ascii="Bookman Old Style" w:hAnsi="Bookman Old Style" w:cs="Calibri"/>
          <w:sz w:val="20"/>
          <w:szCs w:val="20"/>
        </w:rPr>
        <w:t>Н</w:t>
      </w:r>
      <w:r w:rsidRPr="005F6A69">
        <w:rPr>
          <w:rFonts w:ascii="Bookman Old Style" w:hAnsi="Bookman Old Style" w:cs="Calibri"/>
          <w:sz w:val="20"/>
          <w:szCs w:val="20"/>
        </w:rPr>
        <w:t>е все компоненты для готовых изделий можно приобретать в России: часть их по-прежнему закупается за рубежом.</w:t>
      </w:r>
    </w:p>
    <w:p w:rsidR="005F6A69" w:rsidRDefault="005F6A69" w:rsidP="005F6A69">
      <w:pPr>
        <w:shd w:val="clear" w:color="auto" w:fill="FFFFFF"/>
        <w:spacing w:before="120" w:after="120"/>
        <w:ind w:firstLine="709"/>
        <w:jc w:val="both"/>
        <w:rPr>
          <w:rFonts w:ascii="Bookman Old Style" w:hAnsi="Bookman Old Style" w:cs="Calibri"/>
          <w:sz w:val="20"/>
          <w:szCs w:val="20"/>
        </w:rPr>
      </w:pPr>
      <w:r>
        <w:rPr>
          <w:rFonts w:ascii="Bookman Old Style" w:hAnsi="Bookman Old Style" w:cs="Calibri"/>
          <w:sz w:val="20"/>
          <w:szCs w:val="20"/>
        </w:rPr>
        <w:t>Н</w:t>
      </w:r>
      <w:r w:rsidRPr="005F6A69">
        <w:rPr>
          <w:rFonts w:ascii="Bookman Old Style" w:hAnsi="Bookman Old Style" w:cs="Calibri"/>
          <w:sz w:val="20"/>
          <w:szCs w:val="20"/>
        </w:rPr>
        <w:t xml:space="preserve">а конец прошлого года, в стране работали 5862 компании, которые занимаются изготовлением оконного профиля. По мнению </w:t>
      </w:r>
      <w:r>
        <w:rPr>
          <w:rFonts w:ascii="Bookman Old Style" w:hAnsi="Bookman Old Style" w:cs="Calibri"/>
          <w:sz w:val="20"/>
          <w:szCs w:val="20"/>
        </w:rPr>
        <w:t>специалистов</w:t>
      </w:r>
      <w:r w:rsidRPr="005F6A69">
        <w:rPr>
          <w:rFonts w:ascii="Bookman Old Style" w:hAnsi="Bookman Old Style" w:cs="Calibri"/>
          <w:sz w:val="20"/>
          <w:szCs w:val="20"/>
        </w:rPr>
        <w:t>, экономическая ситуация вынудит уйти с рынка много компаний.</w:t>
      </w:r>
    </w:p>
    <w:p w:rsidR="005F6A69" w:rsidRDefault="005F6A69" w:rsidP="005F6A69">
      <w:pPr>
        <w:shd w:val="clear" w:color="auto" w:fill="FFFFFF"/>
        <w:spacing w:before="120" w:after="120"/>
        <w:ind w:firstLine="709"/>
        <w:jc w:val="both"/>
        <w:rPr>
          <w:rFonts w:ascii="Bookman Old Style" w:hAnsi="Bookman Old Style" w:cs="Calibri"/>
          <w:sz w:val="20"/>
          <w:szCs w:val="20"/>
        </w:rPr>
      </w:pPr>
      <w:r>
        <w:rPr>
          <w:rFonts w:ascii="Bookman Old Style" w:hAnsi="Bookman Old Style" w:cs="Calibri"/>
          <w:sz w:val="20"/>
          <w:szCs w:val="20"/>
        </w:rPr>
        <w:t>Статисти</w:t>
      </w:r>
      <w:r w:rsidRPr="005F6A69">
        <w:rPr>
          <w:rFonts w:ascii="Bookman Old Style" w:hAnsi="Bookman Old Style" w:cs="Calibri"/>
          <w:sz w:val="20"/>
          <w:szCs w:val="20"/>
        </w:rPr>
        <w:t xml:space="preserve">ка утверждает, что рынок производства </w:t>
      </w:r>
      <w:proofErr w:type="spellStart"/>
      <w:r w:rsidRPr="005F6A69">
        <w:rPr>
          <w:rFonts w:ascii="Bookman Old Style" w:hAnsi="Bookman Old Style" w:cs="Calibri"/>
          <w:sz w:val="20"/>
          <w:szCs w:val="20"/>
        </w:rPr>
        <w:t>светопрозрачных</w:t>
      </w:r>
      <w:proofErr w:type="spellEnd"/>
      <w:r w:rsidRPr="005F6A69">
        <w:rPr>
          <w:rFonts w:ascii="Bookman Old Style" w:hAnsi="Bookman Old Style" w:cs="Calibri"/>
          <w:sz w:val="20"/>
          <w:szCs w:val="20"/>
        </w:rPr>
        <w:t xml:space="preserve"> конструкций, в том числе окон из ПВХ, алюминиевых, деревянных стеклопакетов и — из других материалов, постепенно сужается, более 50% объектов застеклено стеклопакетами, а макроэкономические и внутренние экономические факторы, как известно, резко ухудшились в 2015 году, что повлияло на покупательную способность россиян. </w:t>
      </w:r>
      <w:r>
        <w:rPr>
          <w:rFonts w:ascii="Bookman Old Style" w:hAnsi="Bookman Old Style" w:cs="Calibri"/>
          <w:sz w:val="20"/>
          <w:szCs w:val="20"/>
        </w:rPr>
        <w:t>Р</w:t>
      </w:r>
      <w:r w:rsidRPr="005F6A69">
        <w:rPr>
          <w:rFonts w:ascii="Bookman Old Style" w:hAnsi="Bookman Old Style" w:cs="Calibri"/>
          <w:sz w:val="20"/>
          <w:szCs w:val="20"/>
        </w:rPr>
        <w:t xml:space="preserve">ынок производства металлопластиковых окон и стеклопакетов сокращается, </w:t>
      </w:r>
      <w:proofErr w:type="gramStart"/>
      <w:r w:rsidRPr="005F6A69">
        <w:rPr>
          <w:rFonts w:ascii="Bookman Old Style" w:hAnsi="Bookman Old Style" w:cs="Calibri"/>
          <w:sz w:val="20"/>
          <w:szCs w:val="20"/>
        </w:rPr>
        <w:t>сокращается</w:t>
      </w:r>
      <w:proofErr w:type="gramEnd"/>
      <w:r w:rsidRPr="005F6A69">
        <w:rPr>
          <w:rFonts w:ascii="Bookman Old Style" w:hAnsi="Bookman Old Style" w:cs="Calibri"/>
          <w:sz w:val="20"/>
          <w:szCs w:val="20"/>
        </w:rPr>
        <w:t xml:space="preserve"> прежде всего число производителей, а само производство ослабевает в два раза меньше. Следовательно, только сильные компании останутся на рынке.</w:t>
      </w:r>
      <w:r>
        <w:rPr>
          <w:rFonts w:ascii="Bookman Old Style" w:hAnsi="Bookman Old Style" w:cs="Calibri"/>
          <w:sz w:val="20"/>
          <w:szCs w:val="20"/>
        </w:rPr>
        <w:t xml:space="preserve"> </w:t>
      </w:r>
      <w:r w:rsidRPr="005F6A69">
        <w:rPr>
          <w:rFonts w:ascii="Bookman Old Style" w:hAnsi="Bookman Old Style" w:cs="Calibri"/>
          <w:sz w:val="20"/>
          <w:szCs w:val="20"/>
        </w:rPr>
        <w:t>В первую очередь закроются так называемые середнячки,</w:t>
      </w:r>
      <w:r>
        <w:rPr>
          <w:rFonts w:ascii="Bookman Old Style" w:hAnsi="Bookman Old Style" w:cs="Calibri"/>
          <w:sz w:val="20"/>
          <w:szCs w:val="20"/>
        </w:rPr>
        <w:t xml:space="preserve"> а</w:t>
      </w:r>
      <w:r w:rsidRPr="005F6A69">
        <w:rPr>
          <w:rFonts w:ascii="Bookman Old Style" w:hAnsi="Bookman Old Style" w:cs="Calibri"/>
          <w:sz w:val="20"/>
          <w:szCs w:val="20"/>
        </w:rPr>
        <w:t xml:space="preserve"> выживут мелкие производители и очень крупные компании. Первые — за счет небольшого производства и малых потерь, а вторые — за счет накопленного потенциала и известных марок, брендов, которые в любом случае будут востребованы покупателем.</w:t>
      </w:r>
    </w:p>
    <w:p w:rsidR="005F6A69" w:rsidRDefault="005F6A69" w:rsidP="005F6A69">
      <w:pPr>
        <w:spacing w:before="120" w:after="120"/>
        <w:ind w:firstLine="708"/>
        <w:jc w:val="both"/>
        <w:rPr>
          <w:rFonts w:ascii="Bookman Old Style" w:hAnsi="Bookman Old Style"/>
          <w:sz w:val="20"/>
          <w:szCs w:val="20"/>
        </w:rPr>
      </w:pPr>
      <w:r>
        <w:rPr>
          <w:rFonts w:ascii="Bookman Old Style" w:hAnsi="Bookman Old Style"/>
          <w:sz w:val="20"/>
          <w:szCs w:val="20"/>
        </w:rPr>
        <w:t xml:space="preserve">В ходе проведения исследования рынка машин и оборудования, установлено, что на их стоимость влияет несколько существенных ценообразующих факторов. </w:t>
      </w:r>
    </w:p>
    <w:p w:rsidR="005F6A69" w:rsidRDefault="005F6A69" w:rsidP="005F6A69">
      <w:pPr>
        <w:spacing w:before="120" w:after="120"/>
        <w:ind w:firstLine="708"/>
        <w:jc w:val="both"/>
        <w:rPr>
          <w:rFonts w:ascii="Bookman Old Style" w:hAnsi="Bookman Old Style"/>
          <w:sz w:val="20"/>
          <w:szCs w:val="20"/>
        </w:rPr>
      </w:pPr>
      <w:r>
        <w:rPr>
          <w:rFonts w:ascii="Bookman Old Style" w:hAnsi="Bookman Old Style"/>
          <w:sz w:val="20"/>
          <w:szCs w:val="20"/>
        </w:rPr>
        <w:t>Ценообразующие факторы на вторичном рынке продаж оборудования:</w:t>
      </w:r>
    </w:p>
    <w:p w:rsidR="005F6A69" w:rsidRPr="0090061D" w:rsidRDefault="005F6A69" w:rsidP="005F04AC">
      <w:pPr>
        <w:pStyle w:val="aff2"/>
        <w:numPr>
          <w:ilvl w:val="0"/>
          <w:numId w:val="58"/>
        </w:numPr>
        <w:spacing w:before="120" w:after="120"/>
        <w:contextualSpacing w:val="0"/>
        <w:jc w:val="both"/>
        <w:rPr>
          <w:rFonts w:ascii="Bookman Old Style" w:hAnsi="Bookman Old Style"/>
          <w:sz w:val="20"/>
          <w:szCs w:val="20"/>
        </w:rPr>
      </w:pPr>
      <w:r w:rsidRPr="0090061D">
        <w:rPr>
          <w:rFonts w:ascii="Bookman Old Style" w:hAnsi="Bookman Old Style"/>
          <w:sz w:val="20"/>
          <w:szCs w:val="20"/>
        </w:rPr>
        <w:t>Состояние оборудования. Является основным ценообразующим фактором. Определяется по данным визуального осмотра, затем путем математических преобразований разности износов, получается необходимая для расчета корректировка.</w:t>
      </w:r>
      <w:r>
        <w:rPr>
          <w:rFonts w:ascii="Bookman Old Style" w:hAnsi="Bookman Old Style"/>
          <w:sz w:val="20"/>
          <w:szCs w:val="20"/>
        </w:rPr>
        <w:t xml:space="preserve"> </w:t>
      </w:r>
      <w:proofErr w:type="gramStart"/>
      <w:r>
        <w:rPr>
          <w:rFonts w:ascii="Bookman Old Style" w:hAnsi="Bookman Old Style"/>
          <w:sz w:val="20"/>
          <w:szCs w:val="20"/>
        </w:rPr>
        <w:t>Таким образом, стоимость оборудования в хорошем состоянии отличается от оборудования в неудовлетворительном примерно в 2-4 раза</w:t>
      </w:r>
      <w:proofErr w:type="gramEnd"/>
    </w:p>
    <w:p w:rsidR="005F6A69" w:rsidRPr="008659FA" w:rsidRDefault="005F6A69" w:rsidP="005F04AC">
      <w:pPr>
        <w:pStyle w:val="aff2"/>
        <w:numPr>
          <w:ilvl w:val="0"/>
          <w:numId w:val="58"/>
        </w:numPr>
        <w:spacing w:before="120" w:after="120"/>
        <w:contextualSpacing w:val="0"/>
        <w:jc w:val="both"/>
        <w:rPr>
          <w:rFonts w:ascii="Bookman Old Style" w:hAnsi="Bookman Old Style"/>
          <w:sz w:val="20"/>
          <w:szCs w:val="20"/>
        </w:rPr>
      </w:pPr>
      <w:r w:rsidRPr="008659FA">
        <w:rPr>
          <w:rFonts w:ascii="Bookman Old Style" w:hAnsi="Bookman Old Style"/>
          <w:sz w:val="20"/>
          <w:szCs w:val="20"/>
        </w:rPr>
        <w:t>Производительность. Немаловажным фактором при выборе </w:t>
      </w:r>
      <w:r w:rsidRPr="008659FA">
        <w:rPr>
          <w:rFonts w:ascii="Bookman Old Style" w:hAnsi="Bookman Old Style"/>
          <w:bCs/>
          <w:sz w:val="20"/>
          <w:szCs w:val="20"/>
        </w:rPr>
        <w:t>оборудования я</w:t>
      </w:r>
      <w:r w:rsidRPr="008659FA">
        <w:rPr>
          <w:rFonts w:ascii="Bookman Old Style" w:hAnsi="Bookman Old Style"/>
          <w:sz w:val="20"/>
          <w:szCs w:val="20"/>
        </w:rPr>
        <w:t xml:space="preserve">вляется планируемый объем выпускаемой продукции и интенсивность работы оборудования. Современное оборудование оснащено последними техническими наработками, новейшими износостойкими материалами и усовершенствованной эргономикой, что значительно увеличиваем производительность и эффективность рабочего процесса. </w:t>
      </w:r>
    </w:p>
    <w:p w:rsidR="005F6A69" w:rsidRDefault="005F6A69" w:rsidP="005F04AC">
      <w:pPr>
        <w:pStyle w:val="aff2"/>
        <w:numPr>
          <w:ilvl w:val="0"/>
          <w:numId w:val="58"/>
        </w:numPr>
        <w:spacing w:before="120" w:after="120"/>
        <w:contextualSpacing w:val="0"/>
        <w:jc w:val="both"/>
        <w:rPr>
          <w:rFonts w:ascii="Bookman Old Style" w:hAnsi="Bookman Old Style"/>
          <w:sz w:val="20"/>
          <w:szCs w:val="20"/>
        </w:rPr>
      </w:pPr>
      <w:r w:rsidRPr="00C823E2">
        <w:rPr>
          <w:rFonts w:ascii="Bookman Old Style" w:hAnsi="Bookman Old Style"/>
          <w:sz w:val="20"/>
          <w:szCs w:val="20"/>
        </w:rPr>
        <w:t xml:space="preserve">Страна изготовитель оборудования. </w:t>
      </w:r>
      <w:r>
        <w:rPr>
          <w:rFonts w:ascii="Bookman Old Style" w:hAnsi="Bookman Old Style"/>
          <w:sz w:val="20"/>
          <w:szCs w:val="20"/>
        </w:rPr>
        <w:t xml:space="preserve">Как правило, на стоимость оборудования влияет страна-изготовитель. Так, например, немецкое и итальянское оборудование стоит примерно на в 2-3 раза дороже отечественного со схожими техническими характеристиками, а оборудование из Китая дороже примерно </w:t>
      </w:r>
      <w:proofErr w:type="gramStart"/>
      <w:r>
        <w:rPr>
          <w:rFonts w:ascii="Bookman Old Style" w:hAnsi="Bookman Old Style"/>
          <w:sz w:val="20"/>
          <w:szCs w:val="20"/>
        </w:rPr>
        <w:t>на</w:t>
      </w:r>
      <w:proofErr w:type="gramEnd"/>
      <w:r>
        <w:rPr>
          <w:rFonts w:ascii="Bookman Old Style" w:hAnsi="Bookman Old Style"/>
          <w:sz w:val="20"/>
          <w:szCs w:val="20"/>
        </w:rPr>
        <w:t xml:space="preserve"> в 1,5 раза.  Российское оборудование</w:t>
      </w:r>
      <w:r w:rsidRPr="009C02B9">
        <w:rPr>
          <w:rFonts w:ascii="Bookman Old Style" w:hAnsi="Bookman Old Style"/>
          <w:sz w:val="20"/>
          <w:szCs w:val="20"/>
        </w:rPr>
        <w:t xml:space="preserve"> более доступно по цене, однако оно значительно уступает импортным аналогам по производительности и надежности</w:t>
      </w:r>
    </w:p>
    <w:p w:rsidR="005F6A69" w:rsidRDefault="005F6A69" w:rsidP="005F04AC">
      <w:pPr>
        <w:pStyle w:val="aff2"/>
        <w:numPr>
          <w:ilvl w:val="0"/>
          <w:numId w:val="58"/>
        </w:numPr>
        <w:spacing w:before="120" w:after="120"/>
        <w:contextualSpacing w:val="0"/>
        <w:jc w:val="both"/>
        <w:rPr>
          <w:rFonts w:ascii="Bookman Old Style" w:hAnsi="Bookman Old Style"/>
          <w:sz w:val="20"/>
          <w:szCs w:val="20"/>
        </w:rPr>
      </w:pPr>
      <w:r w:rsidRPr="005F6A69">
        <w:rPr>
          <w:rFonts w:ascii="Bookman Old Style" w:hAnsi="Bookman Old Style"/>
          <w:sz w:val="20"/>
          <w:szCs w:val="20"/>
        </w:rPr>
        <w:t>Скидка к цене предложения (корректировка на торг), определяется на основании средней уступки продавцом покупателю от запрашиваемой цены. Средняя величина по рынку рассматриваемого оборудования, составляет -13,0%</w:t>
      </w:r>
      <w:r w:rsidRPr="003867DB">
        <w:rPr>
          <w:rStyle w:val="aff0"/>
          <w:rFonts w:ascii="Bookman Old Style" w:hAnsi="Bookman Old Style"/>
          <w:sz w:val="20"/>
          <w:szCs w:val="20"/>
        </w:rPr>
        <w:footnoteReference w:id="29"/>
      </w:r>
      <w:r w:rsidRPr="005F6A69">
        <w:rPr>
          <w:rFonts w:ascii="Bookman Old Style" w:hAnsi="Bookman Old Style"/>
          <w:noProof/>
          <w:sz w:val="20"/>
          <w:szCs w:val="20"/>
        </w:rPr>
        <w:t>;</w:t>
      </w:r>
    </w:p>
    <w:p w:rsidR="0070748F" w:rsidRDefault="0070748F" w:rsidP="0070748F">
      <w:pPr>
        <w:spacing w:before="120" w:after="120"/>
        <w:jc w:val="both"/>
        <w:rPr>
          <w:rFonts w:ascii="Bookman Old Style" w:hAnsi="Bookman Old Style"/>
          <w:sz w:val="20"/>
          <w:szCs w:val="20"/>
        </w:rPr>
      </w:pPr>
    </w:p>
    <w:p w:rsidR="0070748F" w:rsidRDefault="0070748F" w:rsidP="0070748F">
      <w:pPr>
        <w:spacing w:before="120" w:after="120"/>
        <w:jc w:val="both"/>
        <w:rPr>
          <w:rFonts w:ascii="Bookman Old Style" w:hAnsi="Bookman Old Style"/>
          <w:sz w:val="20"/>
          <w:szCs w:val="20"/>
        </w:rPr>
      </w:pPr>
    </w:p>
    <w:p w:rsidR="0070748F" w:rsidRDefault="0070748F" w:rsidP="0070748F">
      <w:pPr>
        <w:spacing w:before="120" w:after="120"/>
        <w:jc w:val="both"/>
        <w:rPr>
          <w:rFonts w:ascii="Bookman Old Style" w:hAnsi="Bookman Old Style"/>
          <w:sz w:val="20"/>
          <w:szCs w:val="20"/>
        </w:rPr>
      </w:pPr>
    </w:p>
    <w:p w:rsidR="0070748F" w:rsidRDefault="0070748F" w:rsidP="0070748F">
      <w:pPr>
        <w:spacing w:before="120" w:after="120"/>
        <w:jc w:val="both"/>
        <w:rPr>
          <w:rFonts w:ascii="Bookman Old Style" w:hAnsi="Bookman Old Style"/>
          <w:sz w:val="20"/>
          <w:szCs w:val="20"/>
        </w:rPr>
      </w:pPr>
    </w:p>
    <w:p w:rsidR="0070748F" w:rsidRDefault="0070748F" w:rsidP="0070748F">
      <w:pPr>
        <w:spacing w:before="120" w:after="120"/>
        <w:jc w:val="both"/>
        <w:rPr>
          <w:rFonts w:ascii="Bookman Old Style" w:hAnsi="Bookman Old Style"/>
          <w:sz w:val="20"/>
          <w:szCs w:val="20"/>
        </w:rPr>
      </w:pPr>
    </w:p>
    <w:p w:rsidR="001C4571" w:rsidRPr="00C329C9" w:rsidRDefault="001C4571" w:rsidP="00C329C9">
      <w:pPr>
        <w:pStyle w:val="1"/>
        <w:spacing w:before="120" w:after="120"/>
        <w:jc w:val="center"/>
        <w:rPr>
          <w:rFonts w:ascii="Bookman Old Style" w:hAnsi="Bookman Old Style"/>
        </w:rPr>
      </w:pPr>
      <w:bookmarkStart w:id="206" w:name="_Toc365041366"/>
      <w:bookmarkStart w:id="207" w:name="_Toc461375581"/>
      <w:bookmarkEnd w:id="199"/>
      <w:bookmarkEnd w:id="200"/>
      <w:r w:rsidRPr="00C329C9">
        <w:rPr>
          <w:rFonts w:ascii="Bookman Old Style" w:hAnsi="Bookman Old Style"/>
        </w:rPr>
        <w:lastRenderedPageBreak/>
        <w:t>5. ОПИСАНИЕ ПРОЦЕССА ОЦЕНКИ</w:t>
      </w:r>
      <w:bookmarkEnd w:id="206"/>
      <w:bookmarkEnd w:id="207"/>
    </w:p>
    <w:p w:rsidR="001C4571" w:rsidRPr="00C329C9" w:rsidRDefault="001C4571" w:rsidP="00C329C9">
      <w:pPr>
        <w:pStyle w:val="2"/>
        <w:spacing w:before="120" w:after="120"/>
        <w:rPr>
          <w:rFonts w:ascii="Bookman Old Style" w:hAnsi="Bookman Old Style"/>
          <w:b/>
          <w:sz w:val="20"/>
          <w:szCs w:val="20"/>
        </w:rPr>
      </w:pPr>
      <w:bookmarkStart w:id="208" w:name="_Toc365041367"/>
      <w:bookmarkStart w:id="209" w:name="_Toc260134785"/>
      <w:bookmarkStart w:id="210" w:name="_Toc260339944"/>
      <w:bookmarkStart w:id="211" w:name="_Toc279178935"/>
      <w:bookmarkStart w:id="212" w:name="_Toc279196472"/>
      <w:bookmarkStart w:id="213" w:name="_Toc238358581"/>
      <w:bookmarkStart w:id="214" w:name="_Toc240097255"/>
      <w:bookmarkStart w:id="215" w:name="_Toc260339945"/>
      <w:bookmarkStart w:id="216" w:name="_Toc461375582"/>
      <w:r w:rsidRPr="00C329C9">
        <w:rPr>
          <w:rFonts w:ascii="Bookman Old Style" w:hAnsi="Bookman Old Style"/>
          <w:b/>
          <w:sz w:val="20"/>
          <w:szCs w:val="20"/>
        </w:rPr>
        <w:t>5.1. ОБЗОР ПОДХОДОВ</w:t>
      </w:r>
      <w:bookmarkEnd w:id="208"/>
      <w:bookmarkEnd w:id="216"/>
      <w:r w:rsidRPr="00C329C9">
        <w:rPr>
          <w:rFonts w:ascii="Bookman Old Style" w:hAnsi="Bookman Old Style"/>
          <w:b/>
          <w:sz w:val="20"/>
          <w:szCs w:val="20"/>
        </w:rPr>
        <w:t xml:space="preserve"> </w:t>
      </w:r>
    </w:p>
    <w:p w:rsidR="001C4571" w:rsidRPr="001C4571" w:rsidRDefault="001C4571" w:rsidP="00C329C9">
      <w:pPr>
        <w:autoSpaceDE w:val="0"/>
        <w:autoSpaceDN w:val="0"/>
        <w:adjustRightInd w:val="0"/>
        <w:spacing w:before="120" w:after="120"/>
        <w:ind w:firstLine="708"/>
        <w:jc w:val="both"/>
        <w:rPr>
          <w:rFonts w:ascii="Bookman Old Style" w:hAnsi="Bookman Old Style"/>
          <w:sz w:val="20"/>
          <w:szCs w:val="20"/>
        </w:rPr>
      </w:pPr>
      <w:r w:rsidRPr="001C4571">
        <w:rPr>
          <w:rFonts w:ascii="Bookman Old Style" w:hAnsi="Bookman Old Style"/>
          <w:sz w:val="20"/>
          <w:szCs w:val="20"/>
        </w:rPr>
        <w:t>Традиционно для оценки имущества могут применяться все или некоторые из следующих подходов:</w:t>
      </w:r>
    </w:p>
    <w:p w:rsidR="001C4571" w:rsidRPr="001C4571" w:rsidRDefault="001C4571" w:rsidP="00AB1FB9">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1C4571">
        <w:rPr>
          <w:rFonts w:ascii="Bookman Old Style" w:hAnsi="Bookman Old Style"/>
          <w:sz w:val="20"/>
          <w:szCs w:val="20"/>
        </w:rPr>
        <w:t>Доходный;</w:t>
      </w:r>
    </w:p>
    <w:p w:rsidR="001C4571" w:rsidRPr="001C4571" w:rsidRDefault="001C4571" w:rsidP="00AB1FB9">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1C4571">
        <w:rPr>
          <w:rFonts w:ascii="Bookman Old Style" w:hAnsi="Bookman Old Style"/>
          <w:sz w:val="20"/>
          <w:szCs w:val="20"/>
        </w:rPr>
        <w:t>Сравнительный;</w:t>
      </w:r>
    </w:p>
    <w:p w:rsidR="001C4571" w:rsidRPr="001C4571" w:rsidRDefault="001C4571" w:rsidP="00AB1FB9">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1C4571">
        <w:rPr>
          <w:rFonts w:ascii="Bookman Old Style" w:hAnsi="Bookman Old Style"/>
          <w:sz w:val="20"/>
          <w:szCs w:val="20"/>
        </w:rPr>
        <w:t>Затратный;</w:t>
      </w:r>
    </w:p>
    <w:p w:rsidR="001C4571" w:rsidRPr="001C4571" w:rsidRDefault="001C4571" w:rsidP="00230864">
      <w:pPr>
        <w:autoSpaceDE w:val="0"/>
        <w:autoSpaceDN w:val="0"/>
        <w:adjustRightInd w:val="0"/>
        <w:spacing w:before="120" w:after="120"/>
        <w:ind w:firstLine="708"/>
        <w:jc w:val="both"/>
        <w:rPr>
          <w:rFonts w:ascii="Bookman Old Style" w:hAnsi="Bookman Old Style"/>
          <w:sz w:val="20"/>
          <w:szCs w:val="20"/>
        </w:rPr>
      </w:pPr>
      <w:r w:rsidRPr="001C4571">
        <w:rPr>
          <w:rFonts w:ascii="Bookman Old Style" w:hAnsi="Bookman Old Style"/>
          <w:sz w:val="20"/>
          <w:szCs w:val="20"/>
        </w:rPr>
        <w:t xml:space="preserve">Каждый из подходов к оценке имеет свою специфику и определённые области применения (с учетом цели оценки, имеющейся информации или нормативных ограничений). </w:t>
      </w:r>
    </w:p>
    <w:p w:rsidR="009467C8" w:rsidRPr="005D726A" w:rsidRDefault="009467C8" w:rsidP="00230864">
      <w:pPr>
        <w:pStyle w:val="3"/>
        <w:rPr>
          <w:rFonts w:ascii="Bookman Old Style" w:hAnsi="Bookman Old Style"/>
          <w:sz w:val="20"/>
          <w:szCs w:val="20"/>
        </w:rPr>
      </w:pPr>
      <w:bookmarkStart w:id="217" w:name="13"/>
      <w:bookmarkStart w:id="218" w:name="_Toc330465423"/>
      <w:bookmarkStart w:id="219" w:name="_Toc461375583"/>
      <w:bookmarkEnd w:id="217"/>
      <w:r w:rsidRPr="005D726A">
        <w:rPr>
          <w:rFonts w:ascii="Bookman Old Style" w:hAnsi="Bookman Old Style"/>
          <w:sz w:val="20"/>
          <w:szCs w:val="20"/>
        </w:rPr>
        <w:t>5.1.1. Доходный подход при оценке недвижимости</w:t>
      </w:r>
      <w:bookmarkEnd w:id="219"/>
    </w:p>
    <w:p w:rsidR="001C4571" w:rsidRPr="009467C8" w:rsidRDefault="001C4571" w:rsidP="00230864">
      <w:pPr>
        <w:spacing w:before="120" w:after="120"/>
        <w:ind w:firstLine="708"/>
        <w:jc w:val="both"/>
        <w:rPr>
          <w:rFonts w:ascii="Bookman Old Style" w:hAnsi="Bookman Old Style" w:cs="Arial"/>
          <w:color w:val="000000"/>
          <w:sz w:val="20"/>
          <w:szCs w:val="20"/>
        </w:rPr>
      </w:pPr>
      <w:r w:rsidRPr="009467C8">
        <w:rPr>
          <w:rFonts w:ascii="Bookman Old Style" w:hAnsi="Bookman Old Style" w:cs="Arial"/>
          <w:color w:val="000000"/>
          <w:sz w:val="20"/>
          <w:szCs w:val="20"/>
        </w:rPr>
        <w:t>Доходный подход - совокупность методов оценки стоимости объекта оценки, основанных на определении ожидаемых доходов от использования объекта оценки</w:t>
      </w:r>
      <w:r w:rsidRPr="009467C8">
        <w:rPr>
          <w:rFonts w:ascii="Bookman Old Style" w:hAnsi="Bookman Old Style" w:cs="Arial"/>
          <w:color w:val="000000"/>
          <w:sz w:val="20"/>
          <w:szCs w:val="20"/>
          <w:vertAlign w:val="superscript"/>
        </w:rPr>
        <w:footnoteReference w:id="30"/>
      </w:r>
      <w:r w:rsidRPr="009467C8">
        <w:rPr>
          <w:rFonts w:ascii="Bookman Old Style" w:hAnsi="Bookman Old Style" w:cs="Arial"/>
          <w:color w:val="000000"/>
          <w:sz w:val="20"/>
          <w:szCs w:val="20"/>
        </w:rPr>
        <w:t>.</w:t>
      </w:r>
    </w:p>
    <w:p w:rsidR="001C4571" w:rsidRPr="009467C8" w:rsidRDefault="001C4571" w:rsidP="00230864">
      <w:pPr>
        <w:spacing w:before="120" w:after="120"/>
        <w:ind w:firstLine="708"/>
        <w:jc w:val="both"/>
        <w:rPr>
          <w:rFonts w:ascii="Bookman Old Style" w:hAnsi="Bookman Old Style" w:cs="Arial"/>
          <w:color w:val="000000"/>
          <w:sz w:val="20"/>
          <w:szCs w:val="20"/>
        </w:rPr>
      </w:pPr>
      <w:bookmarkStart w:id="221" w:name="14"/>
      <w:bookmarkEnd w:id="221"/>
      <w:r w:rsidRPr="009467C8">
        <w:rPr>
          <w:rFonts w:ascii="Bookman Old Style" w:hAnsi="Bookman Old Style" w:cs="Arial"/>
          <w:color w:val="000000"/>
          <w:sz w:val="20"/>
          <w:szCs w:val="20"/>
        </w:rPr>
        <w:t>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 При применении доходного подхода оценщик определяет величину будущих доходов и расходов и моменты их получения.</w:t>
      </w:r>
    </w:p>
    <w:p w:rsidR="001C4571" w:rsidRPr="009467C8" w:rsidRDefault="001C4571" w:rsidP="00230864">
      <w:pPr>
        <w:spacing w:before="120" w:after="120"/>
        <w:ind w:firstLine="708"/>
        <w:jc w:val="both"/>
        <w:rPr>
          <w:rFonts w:ascii="Bookman Old Style" w:hAnsi="Bookman Old Style" w:cs="Arial"/>
          <w:color w:val="000000"/>
          <w:sz w:val="20"/>
          <w:szCs w:val="20"/>
        </w:rPr>
      </w:pPr>
      <w:r w:rsidRPr="009467C8">
        <w:rPr>
          <w:rFonts w:ascii="Bookman Old Style" w:hAnsi="Bookman Old Style" w:cs="Arial"/>
          <w:color w:val="000000"/>
          <w:sz w:val="20"/>
          <w:szCs w:val="20"/>
        </w:rPr>
        <w:t>Применяя доходный подход к оценке, оценщик должен:</w:t>
      </w:r>
    </w:p>
    <w:p w:rsidR="001C4571" w:rsidRPr="009467C8" w:rsidRDefault="001C4571" w:rsidP="005F04AC">
      <w:pPr>
        <w:numPr>
          <w:ilvl w:val="0"/>
          <w:numId w:val="20"/>
        </w:numPr>
        <w:spacing w:before="120" w:after="120"/>
        <w:ind w:left="714" w:hanging="357"/>
        <w:jc w:val="both"/>
        <w:rPr>
          <w:rFonts w:ascii="Bookman Old Style" w:hAnsi="Bookman Old Style" w:cs="Arial"/>
          <w:color w:val="000000"/>
          <w:sz w:val="20"/>
          <w:szCs w:val="20"/>
        </w:rPr>
      </w:pPr>
      <w:r w:rsidRPr="009467C8">
        <w:rPr>
          <w:rFonts w:ascii="Bookman Old Style" w:hAnsi="Bookman Old Style" w:cs="Arial"/>
          <w:color w:val="000000"/>
          <w:sz w:val="20"/>
          <w:szCs w:val="20"/>
        </w:rPr>
        <w:t>установить период прогнозирования. Под периодом прогнозирования понимается период в будущем, на который от даты оценки производится прогнозирование количественных характеристик факторов, влияющих на величину будущих доходов;</w:t>
      </w:r>
    </w:p>
    <w:p w:rsidR="001C4571" w:rsidRPr="009467C8" w:rsidRDefault="001C4571" w:rsidP="005F04AC">
      <w:pPr>
        <w:numPr>
          <w:ilvl w:val="0"/>
          <w:numId w:val="20"/>
        </w:numPr>
        <w:spacing w:before="120" w:after="120"/>
        <w:ind w:left="714" w:hanging="357"/>
        <w:jc w:val="both"/>
        <w:rPr>
          <w:rFonts w:ascii="Bookman Old Style" w:hAnsi="Bookman Old Style" w:cs="Arial"/>
          <w:color w:val="000000"/>
          <w:sz w:val="20"/>
          <w:szCs w:val="20"/>
        </w:rPr>
      </w:pPr>
      <w:r w:rsidRPr="009467C8">
        <w:rPr>
          <w:rFonts w:ascii="Bookman Old Style" w:hAnsi="Bookman Old Style" w:cs="Arial"/>
          <w:color w:val="000000"/>
          <w:sz w:val="20"/>
          <w:szCs w:val="20"/>
        </w:rPr>
        <w:t>исследовать способность объекта оценки приносить поток доходов в течение периода прогнозирования, а также сделать заключение о способности объекта приносить поток доходов в период после периода прогнозирования;</w:t>
      </w:r>
    </w:p>
    <w:p w:rsidR="001C4571" w:rsidRPr="009467C8" w:rsidRDefault="001C4571" w:rsidP="005F04AC">
      <w:pPr>
        <w:numPr>
          <w:ilvl w:val="0"/>
          <w:numId w:val="20"/>
        </w:numPr>
        <w:spacing w:before="120" w:after="120"/>
        <w:ind w:left="714" w:hanging="357"/>
        <w:jc w:val="both"/>
        <w:rPr>
          <w:rFonts w:ascii="Bookman Old Style" w:hAnsi="Bookman Old Style" w:cs="Arial"/>
          <w:color w:val="000000"/>
          <w:sz w:val="20"/>
          <w:szCs w:val="20"/>
        </w:rPr>
      </w:pPr>
      <w:r w:rsidRPr="009467C8">
        <w:rPr>
          <w:rFonts w:ascii="Bookman Old Style" w:hAnsi="Bookman Old Style" w:cs="Arial"/>
          <w:color w:val="000000"/>
          <w:sz w:val="20"/>
          <w:szCs w:val="20"/>
        </w:rPr>
        <w:t>определить ставку дисконтирования, отражающую доходность вложений в сопоставимые с объектом оценки по уровню риска объекты инвестирования, используемую для приведения будущих потоков доходов к дате оценки;</w:t>
      </w:r>
    </w:p>
    <w:p w:rsidR="001C4571" w:rsidRDefault="001C4571" w:rsidP="005F04AC">
      <w:pPr>
        <w:numPr>
          <w:ilvl w:val="0"/>
          <w:numId w:val="20"/>
        </w:numPr>
        <w:spacing w:before="120" w:after="120"/>
        <w:ind w:left="714" w:hanging="357"/>
        <w:jc w:val="both"/>
        <w:rPr>
          <w:rFonts w:ascii="Bookman Old Style" w:hAnsi="Bookman Old Style" w:cs="Arial"/>
          <w:color w:val="000000"/>
          <w:sz w:val="20"/>
          <w:szCs w:val="20"/>
        </w:rPr>
      </w:pPr>
      <w:r w:rsidRPr="009467C8">
        <w:rPr>
          <w:rFonts w:ascii="Bookman Old Style" w:hAnsi="Bookman Old Style" w:cs="Arial"/>
          <w:color w:val="000000"/>
          <w:sz w:val="20"/>
          <w:szCs w:val="20"/>
        </w:rPr>
        <w:t>осуществить процедуру приведения потока ожидаемых доходов в период прогнозирования, а также доходов после периода прогнозирования в стоимость на дату оценки</w:t>
      </w:r>
      <w:r w:rsidR="009467C8">
        <w:rPr>
          <w:rFonts w:ascii="Bookman Old Style" w:hAnsi="Bookman Old Style" w:cs="Arial"/>
          <w:color w:val="000000"/>
          <w:sz w:val="20"/>
          <w:szCs w:val="20"/>
        </w:rPr>
        <w:t xml:space="preserve">. </w:t>
      </w:r>
    </w:p>
    <w:p w:rsidR="009467C8" w:rsidRPr="009467C8" w:rsidRDefault="009467C8" w:rsidP="00230864">
      <w:pPr>
        <w:spacing w:before="120" w:after="120"/>
        <w:ind w:firstLine="709"/>
        <w:jc w:val="both"/>
        <w:rPr>
          <w:rFonts w:ascii="Bookman Old Style" w:hAnsi="Bookman Old Style" w:cs="Arial"/>
          <w:color w:val="000000"/>
          <w:sz w:val="20"/>
          <w:szCs w:val="20"/>
        </w:rPr>
      </w:pPr>
      <w:r>
        <w:rPr>
          <w:rFonts w:ascii="Bookman Old Style" w:hAnsi="Bookman Old Style" w:cs="Arial"/>
          <w:color w:val="000000"/>
          <w:sz w:val="20"/>
          <w:szCs w:val="20"/>
        </w:rPr>
        <w:t>Согласно ФСО № 7</w:t>
      </w:r>
      <w:r>
        <w:rPr>
          <w:rStyle w:val="aff0"/>
          <w:rFonts w:ascii="Bookman Old Style" w:hAnsi="Bookman Old Style" w:cs="Arial"/>
          <w:color w:val="000000"/>
          <w:sz w:val="20"/>
          <w:szCs w:val="20"/>
        </w:rPr>
        <w:footnoteReference w:id="31"/>
      </w:r>
      <w:r>
        <w:rPr>
          <w:rFonts w:ascii="Bookman Old Style" w:hAnsi="Bookman Old Style" w:cs="Arial"/>
          <w:color w:val="000000"/>
          <w:sz w:val="20"/>
          <w:szCs w:val="20"/>
        </w:rPr>
        <w:t>, п</w:t>
      </w:r>
      <w:r>
        <w:rPr>
          <w:rFonts w:ascii="Bookman Old Style" w:hAnsi="Bookman Old Style" w:cs="Bookman Old Style"/>
          <w:sz w:val="20"/>
          <w:szCs w:val="20"/>
        </w:rPr>
        <w:t>ри применении доходного подхода оценщик учитывает следующие положения:</w:t>
      </w:r>
    </w:p>
    <w:p w:rsidR="009467C8" w:rsidRPr="009467C8" w:rsidRDefault="009467C8" w:rsidP="005F04AC">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доходный подход применяется для оценки недвижимости, генерирующей или способной генерировать потоки доходов;</w:t>
      </w:r>
    </w:p>
    <w:p w:rsidR="009467C8" w:rsidRPr="009467C8" w:rsidRDefault="009467C8" w:rsidP="005F04AC">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в рамках доходного подхода стоимость недвижимости может определяться методом прямой капитализации, методом дисконтирования денежных потоков или методом капитализации по расчетным моделям;</w:t>
      </w:r>
    </w:p>
    <w:p w:rsidR="009467C8" w:rsidRPr="009467C8" w:rsidRDefault="009467C8" w:rsidP="005F04AC">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метод прямой капитализации применяется для оценки объектов недвижимости, не требующих значительных капитальных вложений в их ремонт или реконструкцию, фактическое использование которых соответствует их наиболее эффективному использованию. Определение стоимости объектов недвижимости с использованием данного метода выполняется путем деления соответствующего рынку годового дохода от объекта на общую ставку капитализации, которая при этом определяется на основе анализа рыночных данных о соотношениях доходов и цен объектов недвижимости, аналогичных оцениваемому объекту;</w:t>
      </w:r>
    </w:p>
    <w:p w:rsidR="009467C8" w:rsidRPr="009467C8" w:rsidRDefault="009467C8" w:rsidP="005F04AC">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метод дисконтирования денежных потоков применяется для оценки недвижимости, генерирующей или способной генерировать потоки доходов с произвольной динамикой их изменения во времени путем дисконтирования их по ставке, соответствующей доходности инвестиций в аналогичную недвижимость;</w:t>
      </w:r>
    </w:p>
    <w:p w:rsidR="009467C8" w:rsidRPr="009467C8" w:rsidRDefault="009467C8" w:rsidP="005F04AC">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lastRenderedPageBreak/>
        <w:t xml:space="preserve">метод капитализации по расчетным моделям применяется для оценки недвижимости, генерирующей регулярные потоки доходов с ожидаемой динамикой их изменения. </w:t>
      </w:r>
      <w:proofErr w:type="gramStart"/>
      <w:r w:rsidRPr="009467C8">
        <w:rPr>
          <w:rFonts w:ascii="Bookman Old Style" w:hAnsi="Bookman Old Style" w:cs="Bookman Old Style"/>
          <w:sz w:val="20"/>
          <w:szCs w:val="20"/>
        </w:rPr>
        <w:t>Капитализация таких доходов проводится по общей ставке капитализации, конструируемой на основе ставки дисконтирования, принимаемой в расчет модели возврата капитала, способов и условий финансирования, а также ожидаемых изменений доходов и стоимости недвижимости в будущем;</w:t>
      </w:r>
      <w:proofErr w:type="gramEnd"/>
    </w:p>
    <w:p w:rsidR="009467C8" w:rsidRPr="009467C8" w:rsidRDefault="009467C8" w:rsidP="005F04AC">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структура (учет налогов, возврата капитала, темпов изменения доходов и стоимости актива) используемых ставок дисконтирования и (или) капитализации должна соответствовать структуре дисконтируемого (капитализируемого) дохода;</w:t>
      </w:r>
    </w:p>
    <w:p w:rsidR="009467C8" w:rsidRPr="009467C8" w:rsidRDefault="009467C8" w:rsidP="005F04AC">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для недвижимости, которую можно сдавать в аренду, в качестве источника доходов следует рассматривать арендные платежи;</w:t>
      </w:r>
    </w:p>
    <w:p w:rsidR="009467C8" w:rsidRDefault="009467C8" w:rsidP="005F04AC">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оценка недвижимости, предназначенной для ведения определенного вида бизнеса (например, гостиницы, рестораны, автозаправочные станции), может проводиться на основании информации об операционной деятельности этого бизнеса путем выделения из его стоимости составляющих, не относящихся к оцениваемой недвижимости.</w:t>
      </w:r>
    </w:p>
    <w:p w:rsidR="005D726A" w:rsidRPr="005D726A" w:rsidRDefault="005D726A" w:rsidP="00230864">
      <w:pPr>
        <w:pStyle w:val="3"/>
        <w:rPr>
          <w:rFonts w:ascii="Bookman Old Style" w:hAnsi="Bookman Old Style"/>
          <w:sz w:val="20"/>
          <w:szCs w:val="20"/>
        </w:rPr>
      </w:pPr>
      <w:bookmarkStart w:id="222" w:name="_Toc461375584"/>
      <w:r w:rsidRPr="005D726A">
        <w:rPr>
          <w:rFonts w:ascii="Bookman Old Style" w:hAnsi="Bookman Old Style"/>
          <w:sz w:val="20"/>
          <w:szCs w:val="20"/>
        </w:rPr>
        <w:t>5.1.</w:t>
      </w:r>
      <w:r>
        <w:rPr>
          <w:rFonts w:ascii="Bookman Old Style" w:hAnsi="Bookman Old Style"/>
          <w:sz w:val="20"/>
          <w:szCs w:val="20"/>
        </w:rPr>
        <w:t>2</w:t>
      </w:r>
      <w:r w:rsidRPr="005D726A">
        <w:rPr>
          <w:rFonts w:ascii="Bookman Old Style" w:hAnsi="Bookman Old Style"/>
          <w:sz w:val="20"/>
          <w:szCs w:val="20"/>
        </w:rPr>
        <w:t xml:space="preserve">. </w:t>
      </w:r>
      <w:r>
        <w:rPr>
          <w:rFonts w:ascii="Bookman Old Style" w:hAnsi="Bookman Old Style"/>
          <w:sz w:val="20"/>
          <w:szCs w:val="20"/>
        </w:rPr>
        <w:t xml:space="preserve">Сравнительный </w:t>
      </w:r>
      <w:r w:rsidRPr="005D726A">
        <w:rPr>
          <w:rFonts w:ascii="Bookman Old Style" w:hAnsi="Bookman Old Style"/>
          <w:sz w:val="20"/>
          <w:szCs w:val="20"/>
        </w:rPr>
        <w:t>подход при оценке недвижимости</w:t>
      </w:r>
      <w:bookmarkEnd w:id="222"/>
    </w:p>
    <w:p w:rsidR="001C4571" w:rsidRPr="001C4571" w:rsidRDefault="001C4571" w:rsidP="00230864">
      <w:pPr>
        <w:spacing w:before="120" w:after="120"/>
        <w:ind w:firstLine="708"/>
        <w:jc w:val="both"/>
        <w:rPr>
          <w:rFonts w:ascii="Bookman Old Style" w:hAnsi="Bookman Old Style" w:cs="Arial"/>
          <w:color w:val="000000"/>
          <w:sz w:val="20"/>
          <w:szCs w:val="20"/>
        </w:rPr>
      </w:pPr>
      <w:r w:rsidRPr="001C4571">
        <w:rPr>
          <w:rFonts w:ascii="Bookman Old Style" w:hAnsi="Bookman Old Style" w:cs="Arial"/>
          <w:color w:val="000000"/>
          <w:sz w:val="20"/>
          <w:szCs w:val="20"/>
        </w:rPr>
        <w:t>Сравнительный подход - совокупность методов оценки стоимости объекта оценки, основанных на сравнении объекта оценки с объектами - аналогами объекта оценки, в отношении которых имеется информация о ценах. Объектом - аналогом объекта оценки для целей оценки признается объект, сходный объекту оценки по основным экономическим, материальным, техническим и другим характеристикам, определяющим его стоимость</w:t>
      </w:r>
      <w:r w:rsidRPr="001C4571">
        <w:rPr>
          <w:rFonts w:ascii="Bookman Old Style" w:hAnsi="Bookman Old Style" w:cs="Arial"/>
          <w:color w:val="000000"/>
          <w:sz w:val="20"/>
          <w:szCs w:val="20"/>
          <w:vertAlign w:val="superscript"/>
        </w:rPr>
        <w:footnoteReference w:id="32"/>
      </w:r>
      <w:r w:rsidRPr="001C4571">
        <w:rPr>
          <w:rFonts w:ascii="Bookman Old Style" w:hAnsi="Bookman Old Style" w:cs="Arial"/>
          <w:color w:val="000000"/>
          <w:sz w:val="20"/>
          <w:szCs w:val="20"/>
        </w:rPr>
        <w:t>.</w:t>
      </w:r>
    </w:p>
    <w:p w:rsidR="001C4571" w:rsidRPr="001C4571" w:rsidRDefault="001C4571" w:rsidP="00230864">
      <w:pPr>
        <w:spacing w:before="120" w:after="120"/>
        <w:ind w:firstLine="708"/>
        <w:jc w:val="both"/>
        <w:rPr>
          <w:rFonts w:ascii="Bookman Old Style" w:hAnsi="Bookman Old Style" w:cs="Arial"/>
          <w:color w:val="000000"/>
          <w:sz w:val="20"/>
          <w:szCs w:val="20"/>
        </w:rPr>
      </w:pPr>
      <w:r w:rsidRPr="001C4571">
        <w:rPr>
          <w:rFonts w:ascii="Bookman Old Style" w:hAnsi="Bookman Old Style" w:cs="Arial"/>
          <w:color w:val="000000"/>
          <w:sz w:val="20"/>
          <w:szCs w:val="20"/>
        </w:rPr>
        <w:t>Сравнительный подход применяется, когда существует достоверная и доступная для анализа информация о ценах и характеристиках объектов-аналогов. Применяя сравнительный подход к оценке, оценщик должен:</w:t>
      </w:r>
    </w:p>
    <w:p w:rsidR="001C4571" w:rsidRPr="001C4571" w:rsidRDefault="001C4571" w:rsidP="005F04AC">
      <w:pPr>
        <w:numPr>
          <w:ilvl w:val="0"/>
          <w:numId w:val="21"/>
        </w:numPr>
        <w:spacing w:before="120" w:after="120"/>
        <w:ind w:left="714" w:hanging="357"/>
        <w:jc w:val="both"/>
        <w:rPr>
          <w:rFonts w:ascii="Bookman Old Style" w:hAnsi="Bookman Old Style" w:cs="Arial"/>
          <w:color w:val="000000"/>
          <w:sz w:val="20"/>
          <w:szCs w:val="20"/>
        </w:rPr>
      </w:pPr>
      <w:r w:rsidRPr="001C4571">
        <w:rPr>
          <w:rFonts w:ascii="Bookman Old Style" w:hAnsi="Bookman Old Style" w:cs="Arial"/>
          <w:color w:val="000000"/>
          <w:sz w:val="20"/>
          <w:szCs w:val="20"/>
        </w:rPr>
        <w:t>выбрать единицы сравнения и провести сравнительный анализ объекта оценки и каждого объекта-аналога по всем элементам сравнения. По каждому объекту-аналогу может быть выбрано несколько единиц сравнения. Выбор единиц сравнения должен быть обоснован оценщиком. Оценщик должен обосновать отказ от использования других единиц сравнения, принятых при проведении оценки и связанных с факторами спроса и предложения;</w:t>
      </w:r>
    </w:p>
    <w:p w:rsidR="001C4571" w:rsidRPr="001C4571" w:rsidRDefault="001C4571" w:rsidP="005F04AC">
      <w:pPr>
        <w:numPr>
          <w:ilvl w:val="0"/>
          <w:numId w:val="21"/>
        </w:numPr>
        <w:spacing w:before="120" w:after="120"/>
        <w:ind w:left="714" w:hanging="357"/>
        <w:jc w:val="both"/>
        <w:rPr>
          <w:rFonts w:ascii="Bookman Old Style" w:hAnsi="Bookman Old Style" w:cs="Arial"/>
          <w:color w:val="000000"/>
          <w:sz w:val="20"/>
          <w:szCs w:val="20"/>
        </w:rPr>
      </w:pPr>
      <w:r w:rsidRPr="001C4571">
        <w:rPr>
          <w:rFonts w:ascii="Bookman Old Style" w:hAnsi="Bookman Old Style" w:cs="Arial"/>
          <w:color w:val="000000"/>
          <w:sz w:val="20"/>
          <w:szCs w:val="20"/>
        </w:rPr>
        <w:t>скорректировать значения единицы сравнения для объектов-аналогов по каждому элементу сравнения в зависимости от соотношения характеристик объекта оценки и объекта-аналога по данному элементу сравнения. При внесении корректировок оценщик должен ввести и обосновать шкалу корректировок и привести объяснение того, при каких условиях значения введенных корректировок будут иными. Шкала и процедура корректирования единицы сравнения не должны меняться от одного объекта-аналога к другому;</w:t>
      </w:r>
    </w:p>
    <w:p w:rsidR="001C4571" w:rsidRDefault="001C4571" w:rsidP="005F04AC">
      <w:pPr>
        <w:numPr>
          <w:ilvl w:val="0"/>
          <w:numId w:val="21"/>
        </w:numPr>
        <w:spacing w:before="120" w:after="120"/>
        <w:ind w:left="714" w:hanging="357"/>
        <w:jc w:val="both"/>
        <w:rPr>
          <w:rFonts w:ascii="Bookman Old Style" w:hAnsi="Bookman Old Style" w:cs="Arial"/>
          <w:color w:val="000000"/>
          <w:sz w:val="20"/>
          <w:szCs w:val="20"/>
        </w:rPr>
      </w:pPr>
      <w:r w:rsidRPr="001C4571">
        <w:rPr>
          <w:rFonts w:ascii="Bookman Old Style" w:hAnsi="Bookman Old Style" w:cs="Arial"/>
          <w:color w:val="000000"/>
          <w:sz w:val="20"/>
          <w:szCs w:val="20"/>
        </w:rPr>
        <w:t>согласовать результаты корректирования значений единиц сравнения по выбранным объектам-аналогам. Оценщик должен обосновать схему согласования скорректированных значений единиц сравнения и скорректированных цен объектов-аналогов</w:t>
      </w:r>
      <w:r w:rsidR="009467C8">
        <w:rPr>
          <w:rFonts w:ascii="Bookman Old Style" w:hAnsi="Bookman Old Style" w:cs="Arial"/>
          <w:color w:val="000000"/>
          <w:sz w:val="20"/>
          <w:szCs w:val="20"/>
        </w:rPr>
        <w:t>.</w:t>
      </w:r>
    </w:p>
    <w:p w:rsidR="005D726A" w:rsidRDefault="005D726A" w:rsidP="00230864">
      <w:pPr>
        <w:autoSpaceDE w:val="0"/>
        <w:autoSpaceDN w:val="0"/>
        <w:adjustRightInd w:val="0"/>
        <w:spacing w:before="120" w:after="120"/>
        <w:ind w:firstLine="539"/>
        <w:jc w:val="both"/>
        <w:rPr>
          <w:rFonts w:ascii="Bookman Old Style" w:hAnsi="Bookman Old Style" w:cs="Arial"/>
          <w:color w:val="000000"/>
          <w:sz w:val="20"/>
          <w:szCs w:val="20"/>
        </w:rPr>
      </w:pPr>
      <w:r>
        <w:rPr>
          <w:rFonts w:ascii="Bookman Old Style" w:hAnsi="Bookman Old Style" w:cs="Arial"/>
          <w:color w:val="000000"/>
          <w:sz w:val="20"/>
          <w:szCs w:val="20"/>
        </w:rPr>
        <w:t>Согласно ФСО № 7</w:t>
      </w:r>
      <w:r>
        <w:rPr>
          <w:rStyle w:val="aff0"/>
          <w:rFonts w:ascii="Bookman Old Style" w:hAnsi="Bookman Old Style" w:cs="Arial"/>
          <w:color w:val="000000"/>
          <w:sz w:val="20"/>
          <w:szCs w:val="20"/>
        </w:rPr>
        <w:footnoteReference w:id="33"/>
      </w:r>
      <w:r>
        <w:rPr>
          <w:rFonts w:ascii="Bookman Old Style" w:hAnsi="Bookman Old Style" w:cs="Arial"/>
          <w:color w:val="000000"/>
          <w:sz w:val="20"/>
          <w:szCs w:val="20"/>
        </w:rPr>
        <w:t xml:space="preserve">, </w:t>
      </w:r>
      <w:r w:rsidRPr="005D726A">
        <w:rPr>
          <w:rFonts w:ascii="Bookman Old Style" w:hAnsi="Bookman Old Style" w:cs="Arial"/>
          <w:color w:val="000000"/>
          <w:sz w:val="20"/>
          <w:szCs w:val="20"/>
        </w:rPr>
        <w:t xml:space="preserve">при применении </w:t>
      </w:r>
      <w:r>
        <w:rPr>
          <w:rFonts w:ascii="Bookman Old Style" w:hAnsi="Bookman Old Style" w:cs="Arial"/>
          <w:color w:val="000000"/>
          <w:sz w:val="20"/>
          <w:szCs w:val="20"/>
        </w:rPr>
        <w:t>сравнительного</w:t>
      </w:r>
      <w:r w:rsidRPr="005D726A">
        <w:rPr>
          <w:rFonts w:ascii="Bookman Old Style" w:hAnsi="Bookman Old Style" w:cs="Arial"/>
          <w:color w:val="000000"/>
          <w:sz w:val="20"/>
          <w:szCs w:val="20"/>
        </w:rPr>
        <w:t xml:space="preserve"> подхода оценщик учитывает следующие положения:</w:t>
      </w:r>
    </w:p>
    <w:p w:rsidR="009467C8" w:rsidRPr="005D726A" w:rsidRDefault="005D726A" w:rsidP="005F04AC">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Arial"/>
          <w:color w:val="000000"/>
          <w:sz w:val="20"/>
          <w:szCs w:val="20"/>
        </w:rPr>
        <w:t>с</w:t>
      </w:r>
      <w:r w:rsidR="009467C8" w:rsidRPr="005D726A">
        <w:rPr>
          <w:rFonts w:ascii="Bookman Old Style" w:hAnsi="Bookman Old Style" w:cs="Bookman Old Style"/>
          <w:sz w:val="20"/>
          <w:szCs w:val="20"/>
        </w:rPr>
        <w:t>равнительный подход применяется для оценки недвижимости, когда можно подобрать достаточное для оценки количество объектов-аналогов с известными ценами сделок и (или) предложений;</w:t>
      </w:r>
    </w:p>
    <w:p w:rsidR="009467C8" w:rsidRPr="005D726A" w:rsidRDefault="009467C8" w:rsidP="005F04AC">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в качестве объектов-аналогов используются объекты недвижимости, которые относятся к одному с оцениваемым объектом сегменту рынка и сопоставимы с ним по ценообразующим факторам. При этом для всех объектов недвижимости, включая оцениваемый, ценообразование по каждому из указанных факторов должно быть единообразным;</w:t>
      </w:r>
    </w:p>
    <w:p w:rsidR="009467C8" w:rsidRPr="005D726A" w:rsidRDefault="009467C8" w:rsidP="005F04AC">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 xml:space="preserve">при проведении оценки должны быть описаны объем доступных оценщику рыночных данных об объектах-аналогах и правила их отбора для проведения расчетов. Использование </w:t>
      </w:r>
      <w:r w:rsidRPr="005D726A">
        <w:rPr>
          <w:rFonts w:ascii="Bookman Old Style" w:hAnsi="Bookman Old Style" w:cs="Bookman Old Style"/>
          <w:sz w:val="20"/>
          <w:szCs w:val="20"/>
        </w:rPr>
        <w:lastRenderedPageBreak/>
        <w:t>в расчетах лишь части доступных оценщику объектов-аналогов должно быть обосновано в отчете об оценке;</w:t>
      </w:r>
    </w:p>
    <w:p w:rsidR="009467C8" w:rsidRPr="005D726A" w:rsidRDefault="009467C8" w:rsidP="005F04AC">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для выполнения расчетов используются типичные для аналогичного объекта сложившиеся на рынке оцениваемого объекта удельные показатели стоимости (единицы сравнения), в частности цена или арендная плата за единицу площади или единицу объема;</w:t>
      </w:r>
    </w:p>
    <w:p w:rsidR="009467C8" w:rsidRPr="005D726A" w:rsidRDefault="009467C8" w:rsidP="005F04AC">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в зависимости от имеющейся на рынке исходной информации в процессе оценки недвижимости могут использоваться качественные методы оценки (относительный сравнительный анализ, метод экспертных оценок и другие методы), количественные методы оценки (метод регрессионного анализа, метод количественных корректировок и други</w:t>
      </w:r>
      <w:r w:rsidR="002938D1">
        <w:rPr>
          <w:rFonts w:ascii="Bookman Old Style" w:hAnsi="Bookman Old Style" w:cs="Bookman Old Style"/>
          <w:sz w:val="20"/>
          <w:szCs w:val="20"/>
        </w:rPr>
        <w:t>е методы), а также их сочетания.</w:t>
      </w:r>
    </w:p>
    <w:p w:rsidR="009467C8" w:rsidRPr="003B048D" w:rsidRDefault="009467C8" w:rsidP="005F04AC">
      <w:pPr>
        <w:pStyle w:val="aff2"/>
        <w:numPr>
          <w:ilvl w:val="0"/>
          <w:numId w:val="27"/>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3B048D">
        <w:rPr>
          <w:rFonts w:ascii="Bookman Old Style" w:hAnsi="Bookman Old Style" w:cs="Bookman Old Style"/>
          <w:sz w:val="20"/>
          <w:szCs w:val="20"/>
        </w:rPr>
        <w:t>При применении качественных методов оценка недвижимости выполняется путем изучения взаимосвязей, выявляемых на основе анализа цен сделок и (или) предложений с объектами-аналогами или соответствующей информации, полученной от экспертов, и использования этих взаимосвязей для проведения оценки в соответствии с технологией выбранного для оценки метода.</w:t>
      </w:r>
    </w:p>
    <w:p w:rsidR="009467C8" w:rsidRPr="003B048D" w:rsidRDefault="009467C8" w:rsidP="005F04AC">
      <w:pPr>
        <w:pStyle w:val="aff2"/>
        <w:numPr>
          <w:ilvl w:val="0"/>
          <w:numId w:val="27"/>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3B048D">
        <w:rPr>
          <w:rFonts w:ascii="Bookman Old Style" w:hAnsi="Bookman Old Style" w:cs="Bookman Old Style"/>
          <w:sz w:val="20"/>
          <w:szCs w:val="20"/>
        </w:rPr>
        <w:t>При применении метода корректировок каждый объект-аналог сравнивается с объектом оценки по ценообразующим факторам (элементам сравнения), выявляются различия объектов по этим факторам и цена объекта-аналога или ее удельный показатель корректируется по выявленным различиям с целью дальнейшего определения стоимости объекта оценки. При этом корректировка по каждому элементу сравнения основывается на принципе вклада этого элемента в стоимость объекта.</w:t>
      </w:r>
    </w:p>
    <w:p w:rsidR="009467C8" w:rsidRPr="003B048D" w:rsidRDefault="009467C8" w:rsidP="005F04AC">
      <w:pPr>
        <w:pStyle w:val="aff2"/>
        <w:numPr>
          <w:ilvl w:val="0"/>
          <w:numId w:val="27"/>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3B048D">
        <w:rPr>
          <w:rFonts w:ascii="Bookman Old Style" w:hAnsi="Bookman Old Style" w:cs="Bookman Old Style"/>
          <w:sz w:val="20"/>
          <w:szCs w:val="20"/>
        </w:rPr>
        <w:t>При применении методов регрессионного анализа оценщик, используя данные сегмента рынка оцениваемого объекта, конструирует модель ценообразования, соответствующую рынку этого объекта, по которой определяет расчетное значение искомой стоимости;</w:t>
      </w:r>
    </w:p>
    <w:p w:rsidR="009467C8" w:rsidRPr="005D726A" w:rsidRDefault="009467C8" w:rsidP="005F04AC">
      <w:pPr>
        <w:pStyle w:val="aff2"/>
        <w:numPr>
          <w:ilvl w:val="0"/>
          <w:numId w:val="23"/>
        </w:numPr>
        <w:autoSpaceDE w:val="0"/>
        <w:autoSpaceDN w:val="0"/>
        <w:adjustRightInd w:val="0"/>
        <w:spacing w:before="120" w:after="120"/>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для сравнения объекта оценки с другими объектами недвижимости, с которыми были совершены сделки или которые представлены на рынке для их совершения, обычно используются следующие элементы сравнения:</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передаваемые имущественные права, ограничения (обременения) этих прав;</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условия финансирования состоявшейся или предполагаемой сделки (вид оплаты, условия кредитования, иные условия);</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условия продажи (нетипичные для рынка условия, сделка между аффилированными лицами, иные условия);</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условия рынка (изменения цен за период между датами сделки и оценки, скидки к ценам предложений, иные условия);</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вид использования и (или) зонирование;</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местоположение объекта;</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физические характеристики объекта, в том числе свойства земельного участка, состояние объектов капитального строительства, соотношение площади земельного участка и площади его застройки, иные характеристики;</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экономические характеристики (уровень операционных расходов, условия аренды, состав арендаторов, иные характеристики);</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наличие движимого имущества, не связанного с недвижимостью;</w:t>
      </w:r>
    </w:p>
    <w:p w:rsidR="009467C8" w:rsidRPr="003B048D" w:rsidRDefault="009467C8" w:rsidP="005F04AC">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другие характеристики (элементы), влияющие на стоимость;</w:t>
      </w:r>
    </w:p>
    <w:p w:rsidR="009467C8" w:rsidRPr="005D726A" w:rsidRDefault="009467C8" w:rsidP="005F04AC">
      <w:pPr>
        <w:pStyle w:val="aff2"/>
        <w:numPr>
          <w:ilvl w:val="0"/>
          <w:numId w:val="23"/>
        </w:numPr>
        <w:autoSpaceDE w:val="0"/>
        <w:autoSpaceDN w:val="0"/>
        <w:adjustRightInd w:val="0"/>
        <w:spacing w:before="120" w:after="120"/>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помимо стоимости, сравнительный подход может использоваться для определения других расчетных показателей, например арендных ставок, износа и устареваний, ставок капитализации и дисконтирования.</w:t>
      </w:r>
    </w:p>
    <w:p w:rsidR="002938D1" w:rsidRPr="005D726A" w:rsidRDefault="002938D1" w:rsidP="002938D1">
      <w:pPr>
        <w:pStyle w:val="3"/>
        <w:rPr>
          <w:rFonts w:ascii="Bookman Old Style" w:hAnsi="Bookman Old Style"/>
          <w:sz w:val="20"/>
          <w:szCs w:val="20"/>
        </w:rPr>
      </w:pPr>
      <w:bookmarkStart w:id="223" w:name="_Toc461375585"/>
      <w:r w:rsidRPr="005D726A">
        <w:rPr>
          <w:rFonts w:ascii="Bookman Old Style" w:hAnsi="Bookman Old Style"/>
          <w:sz w:val="20"/>
          <w:szCs w:val="20"/>
        </w:rPr>
        <w:t>5.1.</w:t>
      </w:r>
      <w:r>
        <w:rPr>
          <w:rFonts w:ascii="Bookman Old Style" w:hAnsi="Bookman Old Style"/>
          <w:sz w:val="20"/>
          <w:szCs w:val="20"/>
        </w:rPr>
        <w:t>3</w:t>
      </w:r>
      <w:r w:rsidRPr="005D726A">
        <w:rPr>
          <w:rFonts w:ascii="Bookman Old Style" w:hAnsi="Bookman Old Style"/>
          <w:sz w:val="20"/>
          <w:szCs w:val="20"/>
        </w:rPr>
        <w:t xml:space="preserve">. </w:t>
      </w:r>
      <w:r>
        <w:rPr>
          <w:rFonts w:ascii="Bookman Old Style" w:hAnsi="Bookman Old Style"/>
          <w:sz w:val="20"/>
          <w:szCs w:val="20"/>
        </w:rPr>
        <w:t xml:space="preserve">Затратный </w:t>
      </w:r>
      <w:r w:rsidRPr="005D726A">
        <w:rPr>
          <w:rFonts w:ascii="Bookman Old Style" w:hAnsi="Bookman Old Style"/>
          <w:sz w:val="20"/>
          <w:szCs w:val="20"/>
        </w:rPr>
        <w:t>подход при оценке недвижимости</w:t>
      </w:r>
      <w:bookmarkEnd w:id="223"/>
    </w:p>
    <w:p w:rsidR="001C4571" w:rsidRPr="001C4571" w:rsidRDefault="001C4571" w:rsidP="001C4571">
      <w:pPr>
        <w:spacing w:before="120" w:after="120"/>
        <w:ind w:firstLine="708"/>
        <w:jc w:val="both"/>
        <w:rPr>
          <w:rFonts w:ascii="Bookman Old Style" w:hAnsi="Bookman Old Style"/>
          <w:sz w:val="20"/>
          <w:szCs w:val="20"/>
        </w:rPr>
      </w:pPr>
      <w:bookmarkStart w:id="224" w:name="15"/>
      <w:bookmarkEnd w:id="224"/>
      <w:r w:rsidRPr="001C4571">
        <w:rPr>
          <w:rFonts w:ascii="Bookman Old Style" w:hAnsi="Bookman Old Style"/>
          <w:sz w:val="20"/>
          <w:szCs w:val="20"/>
        </w:rPr>
        <w:t>Затратный подход - совокупность методов оценки стоимости объекта оценки, основанных на определении затрат, необходимых для воспроизводства либо замещения объекта оценки с учетом износа и устареваний. Затратами на воспроизводство объекта оценки являются затраты, необходимые для создания точной копии объекта оценки с использованием применявшихся при создании объекта оценки материалов и технологий. Затратами на замещение объекта оценки являются затраты, необходимые для создания аналогичного объекта с использованием материалов и технологий, применяющихся на дату оценки</w:t>
      </w:r>
      <w:r w:rsidRPr="001C4571">
        <w:rPr>
          <w:rFonts w:ascii="Bookman Old Style" w:hAnsi="Bookman Old Style" w:cs="Arial"/>
          <w:color w:val="000000"/>
          <w:sz w:val="20"/>
          <w:szCs w:val="20"/>
          <w:vertAlign w:val="superscript"/>
        </w:rPr>
        <w:footnoteReference w:id="34"/>
      </w:r>
      <w:r w:rsidRPr="001C4571">
        <w:rPr>
          <w:rFonts w:ascii="Bookman Old Style" w:hAnsi="Bookman Old Style"/>
          <w:sz w:val="20"/>
          <w:szCs w:val="20"/>
        </w:rPr>
        <w:t>.</w:t>
      </w:r>
    </w:p>
    <w:p w:rsidR="001C4571" w:rsidRDefault="001C4571" w:rsidP="001C4571">
      <w:pPr>
        <w:spacing w:before="120" w:after="120"/>
        <w:ind w:firstLine="708"/>
        <w:jc w:val="both"/>
        <w:rPr>
          <w:rFonts w:ascii="Bookman Old Style" w:hAnsi="Bookman Old Style"/>
          <w:sz w:val="20"/>
          <w:szCs w:val="20"/>
        </w:rPr>
      </w:pPr>
      <w:r w:rsidRPr="001C4571">
        <w:rPr>
          <w:rFonts w:ascii="Bookman Old Style" w:hAnsi="Bookman Old Style"/>
          <w:sz w:val="20"/>
          <w:szCs w:val="20"/>
        </w:rPr>
        <w:lastRenderedPageBreak/>
        <w:t>Затратный подход применяется, когда существует возможность заменить объект оценки другим объектом, который либо является точной копией объекта оценки, либо имеет аналогичные полезные свойства. Если объекту оценки свойственно уменьшение стоимости в связи с физическим состоянием, функциональным или экономическим устареванием, при применении затратного подхода необходимо учитывать износ и все виды устареваний.</w:t>
      </w:r>
    </w:p>
    <w:p w:rsidR="00B84D3C" w:rsidRDefault="00B84D3C" w:rsidP="00230864">
      <w:pPr>
        <w:autoSpaceDE w:val="0"/>
        <w:autoSpaceDN w:val="0"/>
        <w:adjustRightInd w:val="0"/>
        <w:spacing w:before="120" w:after="120"/>
        <w:ind w:firstLine="539"/>
        <w:jc w:val="both"/>
        <w:rPr>
          <w:rFonts w:ascii="Bookman Old Style" w:hAnsi="Bookman Old Style" w:cs="Arial"/>
          <w:color w:val="000000"/>
          <w:sz w:val="20"/>
          <w:szCs w:val="20"/>
        </w:rPr>
      </w:pPr>
      <w:r>
        <w:rPr>
          <w:rFonts w:ascii="Bookman Old Style" w:hAnsi="Bookman Old Style" w:cs="Arial"/>
          <w:color w:val="000000"/>
          <w:sz w:val="20"/>
          <w:szCs w:val="20"/>
        </w:rPr>
        <w:t>Согласно ФСО № 7</w:t>
      </w:r>
      <w:r>
        <w:rPr>
          <w:rStyle w:val="aff0"/>
          <w:rFonts w:ascii="Bookman Old Style" w:hAnsi="Bookman Old Style" w:cs="Arial"/>
          <w:color w:val="000000"/>
          <w:sz w:val="20"/>
          <w:szCs w:val="20"/>
        </w:rPr>
        <w:footnoteReference w:id="35"/>
      </w:r>
      <w:r>
        <w:rPr>
          <w:rFonts w:ascii="Bookman Old Style" w:hAnsi="Bookman Old Style" w:cs="Arial"/>
          <w:color w:val="000000"/>
          <w:sz w:val="20"/>
          <w:szCs w:val="20"/>
        </w:rPr>
        <w:t xml:space="preserve">, </w:t>
      </w:r>
      <w:r w:rsidRPr="005D726A">
        <w:rPr>
          <w:rFonts w:ascii="Bookman Old Style" w:hAnsi="Bookman Old Style" w:cs="Arial"/>
          <w:color w:val="000000"/>
          <w:sz w:val="20"/>
          <w:szCs w:val="20"/>
        </w:rPr>
        <w:t xml:space="preserve">при применении </w:t>
      </w:r>
      <w:r>
        <w:rPr>
          <w:rFonts w:ascii="Bookman Old Style" w:hAnsi="Bookman Old Style" w:cs="Arial"/>
          <w:color w:val="000000"/>
          <w:sz w:val="20"/>
          <w:szCs w:val="20"/>
        </w:rPr>
        <w:t>затратного</w:t>
      </w:r>
      <w:r w:rsidRPr="005D726A">
        <w:rPr>
          <w:rFonts w:ascii="Bookman Old Style" w:hAnsi="Bookman Old Style" w:cs="Arial"/>
          <w:color w:val="000000"/>
          <w:sz w:val="20"/>
          <w:szCs w:val="20"/>
        </w:rPr>
        <w:t xml:space="preserve"> подхода оценщик учитывает следующие положения:</w:t>
      </w:r>
    </w:p>
    <w:p w:rsidR="00B84D3C" w:rsidRPr="00B84D3C"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затратный подход рекомендуется применять для оценки объектов недвижимости - земельных участков, застроенных объектами капитального строительства, или объектов капитального строительства, но не их частей, например жилых и нежилых помещений;</w:t>
      </w:r>
    </w:p>
    <w:p w:rsidR="00B84D3C" w:rsidRPr="00B84D3C"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затратный подход целесообразно применять для оценки недвижимости, если она соответствует наиболее эффективному использованию земельного участка как незастроенного и есть возможность корректной оценки физического износа, а также функционального и внешнего (экономического) устареваний объектов капитального строительства;</w:t>
      </w:r>
    </w:p>
    <w:p w:rsidR="00B84D3C" w:rsidRPr="00B84D3C"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proofErr w:type="gramStart"/>
      <w:r w:rsidRPr="00B84D3C">
        <w:rPr>
          <w:rFonts w:ascii="Bookman Old Style" w:hAnsi="Bookman Old Style" w:cs="Bookman Old Style"/>
          <w:sz w:val="20"/>
          <w:szCs w:val="20"/>
        </w:rPr>
        <w:t>затратный подход рекомендуется использовать при низкой активности рынка, когда недостаточно данных, необходимых для применения сравнительного и доходного подходов к оценке, а также для оценки недвижимости специального назначения и использования (например, линейных объектов, гидротехнических сооружений, водонапорных башен, насосных станций, котельных, инженерных сетей и другой недвижимости, в отношении которой рыночные данные о сделках и предложениях отсутствуют);</w:t>
      </w:r>
      <w:proofErr w:type="gramEnd"/>
    </w:p>
    <w:p w:rsidR="00B84D3C" w:rsidRPr="00B84D3C"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в общем случае стоимость объекта недвижимости, определяемая с использованием затратного подхода, рассчитывается в следующей последовательности:</w:t>
      </w:r>
    </w:p>
    <w:p w:rsidR="00B84D3C" w:rsidRPr="003B048D" w:rsidRDefault="00B84D3C" w:rsidP="005F04AC">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стоимости прав на земельный участок как незастроенный;</w:t>
      </w:r>
    </w:p>
    <w:p w:rsidR="00B84D3C" w:rsidRPr="003B048D" w:rsidRDefault="00B84D3C" w:rsidP="005F04AC">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расчет затрат на создание (воспроизводство или замещение) объектов капитального строительства;</w:t>
      </w:r>
    </w:p>
    <w:p w:rsidR="00B84D3C" w:rsidRPr="003B048D" w:rsidRDefault="00B84D3C" w:rsidP="005F04AC">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прибыли предпринимателя;</w:t>
      </w:r>
    </w:p>
    <w:p w:rsidR="00B84D3C" w:rsidRPr="003B048D" w:rsidRDefault="00B84D3C" w:rsidP="005F04AC">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износа и устареваний;</w:t>
      </w:r>
    </w:p>
    <w:p w:rsidR="00B84D3C" w:rsidRPr="003B048D" w:rsidRDefault="00B84D3C" w:rsidP="005F04AC">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стоимости объектов капитального строительства путем суммирования затрат на создание этих объектов и прибыли предпринимателя и вычитания их физического износа и устареваний;</w:t>
      </w:r>
    </w:p>
    <w:p w:rsidR="00B84D3C" w:rsidRPr="003B048D" w:rsidRDefault="00B84D3C" w:rsidP="005F04AC">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стоимости объекта недвижимости как суммы стоимости прав на земельный участок и стоимости объектов капитального строительства;</w:t>
      </w:r>
    </w:p>
    <w:p w:rsidR="00B84D3C" w:rsidRPr="00B84D3C"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для целей определения рыночной стоимости объекта недвижимости с использованием затратного подхода земельный участок оценивается как незастроенный в предположении его наиболее эффективного использования;</w:t>
      </w:r>
    </w:p>
    <w:p w:rsidR="00B84D3C" w:rsidRPr="00B84D3C"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расчет затрат на создание объектов капитального строительства производится на основании:</w:t>
      </w:r>
    </w:p>
    <w:p w:rsidR="00B84D3C" w:rsidRPr="003B048D" w:rsidRDefault="00B84D3C" w:rsidP="005F04AC">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данных о строительных контрактах (договорах) на возведение аналогичных объектов;</w:t>
      </w:r>
    </w:p>
    <w:p w:rsidR="00B84D3C" w:rsidRPr="003B048D" w:rsidRDefault="00B84D3C" w:rsidP="005F04AC">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данных о затратах на строительство аналогичных объектов из специализированных справочников;</w:t>
      </w:r>
    </w:p>
    <w:p w:rsidR="00B84D3C" w:rsidRPr="003B048D" w:rsidRDefault="00B84D3C" w:rsidP="005F04AC">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сметных расчетов;</w:t>
      </w:r>
    </w:p>
    <w:p w:rsidR="00B84D3C" w:rsidRPr="003B048D" w:rsidRDefault="00B84D3C" w:rsidP="005F04AC">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информации о рыночных ценах на строительные материалы;</w:t>
      </w:r>
    </w:p>
    <w:p w:rsidR="00B84D3C" w:rsidRPr="003B048D" w:rsidRDefault="00B84D3C" w:rsidP="005F04AC">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других данных;</w:t>
      </w:r>
    </w:p>
    <w:p w:rsidR="00B84D3C" w:rsidRPr="00B84D3C"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затраты на создание объектов капитального строительства определяются как сумма издержек, входящих в состав строительно-монтажных работ, непосредственно связанных с созданием этих объектов, и издержек, сопутствующих их созданию, но не включаемых в состав строительно-монтажных работ;</w:t>
      </w:r>
    </w:p>
    <w:p w:rsidR="00B84D3C" w:rsidRPr="00B84D3C"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для целей оценки рыночной стоимости недвижимости величина прибыли предпринимателя определяется на основе рыночной информации методами экстракции, экспертных оценок или аналитических моделей с учетом прямых, косвенных и вмененных издержек, связанных с созданием объектов капитального строительства и приобретением прав на земельный участок;</w:t>
      </w:r>
    </w:p>
    <w:p w:rsidR="00A7343D" w:rsidRPr="009E33BE" w:rsidRDefault="00B84D3C" w:rsidP="005F04AC">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lastRenderedPageBreak/>
        <w:t>величина износа и устареваний определяется как потеря стоимости недвижимости в результате физического износа, функционального и внешнего (экономического) устареваний. При этом износ и устаревания относятся к объектам капитального строительства, относящимся к оцениваемой недвижимости.</w:t>
      </w:r>
    </w:p>
    <w:p w:rsidR="001C4571" w:rsidRPr="00D60B93" w:rsidRDefault="001C4571" w:rsidP="00CD4611">
      <w:pPr>
        <w:pStyle w:val="2"/>
        <w:spacing w:before="120" w:after="120"/>
        <w:rPr>
          <w:rFonts w:ascii="Bookman Old Style" w:hAnsi="Bookman Old Style"/>
          <w:b/>
          <w:sz w:val="20"/>
          <w:szCs w:val="20"/>
        </w:rPr>
      </w:pPr>
      <w:bookmarkStart w:id="225" w:name="_Toc365041369"/>
      <w:bookmarkStart w:id="226" w:name="_Toc461375586"/>
      <w:bookmarkEnd w:id="209"/>
      <w:bookmarkEnd w:id="210"/>
      <w:bookmarkEnd w:id="211"/>
      <w:bookmarkEnd w:id="212"/>
      <w:bookmarkEnd w:id="218"/>
      <w:r w:rsidRPr="00D60B93">
        <w:rPr>
          <w:rFonts w:ascii="Bookman Old Style" w:hAnsi="Bookman Old Style"/>
          <w:b/>
          <w:sz w:val="20"/>
          <w:szCs w:val="20"/>
        </w:rPr>
        <w:t>5.2. ОБОСНОВАНИЕ ВЫБОРА ПОДХОДОВ И МЕТОДОВ</w:t>
      </w:r>
      <w:bookmarkEnd w:id="213"/>
      <w:bookmarkEnd w:id="214"/>
      <w:bookmarkEnd w:id="215"/>
      <w:bookmarkEnd w:id="225"/>
      <w:bookmarkEnd w:id="226"/>
    </w:p>
    <w:p w:rsidR="00D60B93" w:rsidRPr="00300E68" w:rsidRDefault="00D60B93" w:rsidP="00300E68">
      <w:pPr>
        <w:pStyle w:val="3"/>
        <w:rPr>
          <w:rFonts w:ascii="Bookman Old Style" w:hAnsi="Bookman Old Style"/>
          <w:sz w:val="20"/>
          <w:szCs w:val="20"/>
        </w:rPr>
      </w:pPr>
      <w:bookmarkStart w:id="227" w:name="_Toc238358582"/>
      <w:bookmarkStart w:id="228" w:name="_Toc240097256"/>
      <w:bookmarkStart w:id="229" w:name="_Toc260339946"/>
      <w:bookmarkStart w:id="230" w:name="_Toc365041370"/>
      <w:bookmarkStart w:id="231" w:name="_Toc461375587"/>
      <w:r w:rsidRPr="00300E68">
        <w:rPr>
          <w:rFonts w:ascii="Bookman Old Style" w:hAnsi="Bookman Old Style"/>
          <w:sz w:val="20"/>
          <w:szCs w:val="20"/>
        </w:rPr>
        <w:t>5.2.1. Обоснование выбора подхода и метод</w:t>
      </w:r>
      <w:r w:rsidR="007201B4" w:rsidRPr="00300E68">
        <w:rPr>
          <w:rFonts w:ascii="Bookman Old Style" w:hAnsi="Bookman Old Style"/>
          <w:sz w:val="20"/>
          <w:szCs w:val="20"/>
        </w:rPr>
        <w:t>ов</w:t>
      </w:r>
      <w:r w:rsidRPr="00300E68">
        <w:rPr>
          <w:rFonts w:ascii="Bookman Old Style" w:hAnsi="Bookman Old Style"/>
          <w:sz w:val="20"/>
          <w:szCs w:val="20"/>
        </w:rPr>
        <w:t xml:space="preserve"> затратного подхода</w:t>
      </w:r>
      <w:bookmarkEnd w:id="231"/>
    </w:p>
    <w:p w:rsidR="001C4571" w:rsidRPr="00D60B93" w:rsidRDefault="001C4571" w:rsidP="00CD4611">
      <w:pPr>
        <w:pStyle w:val="3"/>
        <w:spacing w:after="120"/>
        <w:rPr>
          <w:rFonts w:ascii="Bookman Old Style" w:hAnsi="Bookman Old Style"/>
          <w:sz w:val="20"/>
          <w:szCs w:val="20"/>
        </w:rPr>
      </w:pPr>
      <w:bookmarkStart w:id="232" w:name="_Toc461375588"/>
      <w:r w:rsidRPr="00D60B93">
        <w:rPr>
          <w:rFonts w:ascii="Bookman Old Style" w:hAnsi="Bookman Old Style"/>
          <w:sz w:val="20"/>
          <w:szCs w:val="20"/>
        </w:rPr>
        <w:t>5.2.1.</w:t>
      </w:r>
      <w:r w:rsidR="00D60B93" w:rsidRPr="00D60B93">
        <w:rPr>
          <w:rFonts w:ascii="Bookman Old Style" w:hAnsi="Bookman Old Style"/>
          <w:sz w:val="20"/>
          <w:szCs w:val="20"/>
        </w:rPr>
        <w:t>1.</w:t>
      </w:r>
      <w:r w:rsidRPr="00D60B93">
        <w:rPr>
          <w:rFonts w:ascii="Bookman Old Style" w:hAnsi="Bookman Old Style"/>
          <w:sz w:val="20"/>
          <w:szCs w:val="20"/>
        </w:rPr>
        <w:t xml:space="preserve"> Обоснование </w:t>
      </w:r>
      <w:r w:rsidR="00F009BE" w:rsidRPr="00D60B93">
        <w:rPr>
          <w:rFonts w:ascii="Bookman Old Style" w:hAnsi="Bookman Old Style"/>
          <w:sz w:val="20"/>
          <w:szCs w:val="20"/>
        </w:rPr>
        <w:t>применения, отказа от применения</w:t>
      </w:r>
      <w:r w:rsidR="005E6C84" w:rsidRPr="00D60B93">
        <w:rPr>
          <w:rFonts w:ascii="Bookman Old Style" w:hAnsi="Bookman Old Style"/>
          <w:sz w:val="20"/>
          <w:szCs w:val="20"/>
        </w:rPr>
        <w:t xml:space="preserve"> подхода</w:t>
      </w:r>
      <w:bookmarkEnd w:id="232"/>
      <w:r w:rsidR="005E6C84" w:rsidRPr="00D60B93">
        <w:rPr>
          <w:rFonts w:ascii="Bookman Old Style" w:hAnsi="Bookman Old Style"/>
          <w:sz w:val="20"/>
          <w:szCs w:val="20"/>
        </w:rPr>
        <w:t xml:space="preserve"> </w:t>
      </w:r>
      <w:bookmarkEnd w:id="227"/>
      <w:bookmarkEnd w:id="228"/>
      <w:bookmarkEnd w:id="229"/>
      <w:bookmarkEnd w:id="230"/>
    </w:p>
    <w:p w:rsidR="005E6C84" w:rsidRPr="005E6C84" w:rsidRDefault="005E6C84" w:rsidP="00CD4611">
      <w:pPr>
        <w:spacing w:before="120" w:after="120"/>
        <w:ind w:firstLine="709"/>
        <w:jc w:val="both"/>
        <w:rPr>
          <w:rFonts w:ascii="Bookman Old Style" w:hAnsi="Bookman Old Style"/>
          <w:sz w:val="20"/>
          <w:szCs w:val="20"/>
        </w:rPr>
      </w:pPr>
      <w:bookmarkStart w:id="233" w:name="_Toc238358583"/>
      <w:bookmarkStart w:id="234" w:name="_Toc240097257"/>
      <w:bookmarkStart w:id="235" w:name="_Toc260339947"/>
      <w:r w:rsidRPr="005E6C84">
        <w:rPr>
          <w:rFonts w:ascii="Bookman Old Style" w:hAnsi="Bookman Old Style"/>
          <w:sz w:val="20"/>
          <w:szCs w:val="20"/>
        </w:rPr>
        <w:t>Согласно ст. 23 ФСО № 1:</w:t>
      </w:r>
    </w:p>
    <w:p w:rsidR="005E6C84" w:rsidRDefault="005E6C84" w:rsidP="00CD4611">
      <w:pPr>
        <w:spacing w:before="120" w:after="120"/>
        <w:ind w:firstLine="709"/>
        <w:jc w:val="both"/>
        <w:rPr>
          <w:rFonts w:ascii="Bookman Old Style" w:hAnsi="Bookman Old Style"/>
          <w:i/>
          <w:sz w:val="20"/>
          <w:szCs w:val="20"/>
        </w:rPr>
      </w:pPr>
      <w:r w:rsidRPr="005E6C84">
        <w:rPr>
          <w:rFonts w:ascii="Bookman Old Style" w:hAnsi="Bookman Old Style"/>
          <w:i/>
          <w:sz w:val="20"/>
          <w:szCs w:val="20"/>
        </w:rPr>
        <w:t>«Затратный подход применяется, когда существует возможность заменить объект оценки другим объектом, который либо является точной копией объекта оценки, либо имеет аналогичные полезные свойства».</w:t>
      </w:r>
    </w:p>
    <w:p w:rsidR="00094B50" w:rsidRPr="00094B50" w:rsidRDefault="00094B50" w:rsidP="00CD4611">
      <w:pPr>
        <w:spacing w:before="120" w:after="120"/>
        <w:ind w:firstLine="709"/>
        <w:jc w:val="both"/>
      </w:pPr>
      <w:r w:rsidRPr="00094B50">
        <w:rPr>
          <w:rFonts w:ascii="Bookman Old Style" w:hAnsi="Bookman Old Style"/>
          <w:sz w:val="20"/>
          <w:szCs w:val="20"/>
        </w:rPr>
        <w:t>В соответствии с ФСО № 7</w:t>
      </w:r>
      <w:r w:rsidRPr="00094B50">
        <w:t>:</w:t>
      </w:r>
    </w:p>
    <w:p w:rsidR="00094B50" w:rsidRPr="00094B50" w:rsidRDefault="00094B50" w:rsidP="00CD4611">
      <w:pPr>
        <w:spacing w:before="120" w:after="120"/>
        <w:ind w:firstLine="709"/>
        <w:jc w:val="both"/>
        <w:rPr>
          <w:rFonts w:ascii="Bookman Old Style" w:hAnsi="Bookman Old Style"/>
          <w:i/>
          <w:sz w:val="20"/>
          <w:szCs w:val="20"/>
        </w:rPr>
      </w:pPr>
      <w:r>
        <w:rPr>
          <w:rFonts w:ascii="Bookman Old Style" w:hAnsi="Bookman Old Style"/>
          <w:i/>
          <w:sz w:val="20"/>
          <w:szCs w:val="20"/>
        </w:rPr>
        <w:t>«З</w:t>
      </w:r>
      <w:r w:rsidRPr="00094B50">
        <w:rPr>
          <w:rFonts w:ascii="Bookman Old Style" w:hAnsi="Bookman Old Style"/>
          <w:i/>
          <w:sz w:val="20"/>
          <w:szCs w:val="20"/>
        </w:rPr>
        <w:t>атратный подход рекомендуется применять для оценки объектов недвижимости - земельных участков, застроенных объектами капитального строительства, или объектов капитального строительства, но не их частей, например жилых и нежилых помещений</w:t>
      </w:r>
      <w:r>
        <w:rPr>
          <w:rFonts w:ascii="Bookman Old Style" w:hAnsi="Bookman Old Style"/>
          <w:i/>
          <w:sz w:val="20"/>
          <w:szCs w:val="20"/>
        </w:rPr>
        <w:t>»</w:t>
      </w:r>
      <w:r w:rsidRPr="00094B50">
        <w:rPr>
          <w:rFonts w:ascii="Bookman Old Style" w:hAnsi="Bookman Old Style"/>
          <w:i/>
          <w:sz w:val="20"/>
          <w:szCs w:val="20"/>
        </w:rPr>
        <w:t>;</w:t>
      </w:r>
    </w:p>
    <w:p w:rsidR="00094B50" w:rsidRPr="00094B50" w:rsidRDefault="00094B50" w:rsidP="00CD4611">
      <w:pPr>
        <w:spacing w:before="120" w:after="120"/>
        <w:ind w:firstLine="709"/>
        <w:jc w:val="both"/>
        <w:rPr>
          <w:rFonts w:ascii="Bookman Old Style" w:hAnsi="Bookman Old Style"/>
          <w:i/>
          <w:sz w:val="20"/>
          <w:szCs w:val="20"/>
        </w:rPr>
      </w:pPr>
      <w:r>
        <w:rPr>
          <w:rFonts w:ascii="Bookman Old Style" w:hAnsi="Bookman Old Style"/>
          <w:i/>
          <w:sz w:val="20"/>
          <w:szCs w:val="20"/>
        </w:rPr>
        <w:t>«З</w:t>
      </w:r>
      <w:r w:rsidRPr="00094B50">
        <w:rPr>
          <w:rFonts w:ascii="Bookman Old Style" w:hAnsi="Bookman Old Style"/>
          <w:i/>
          <w:sz w:val="20"/>
          <w:szCs w:val="20"/>
        </w:rPr>
        <w:t>атратный подход целесообразно применять для оценки недвижимости, если она соответствует наиболее эффективному использованию земельного участка как незастроенного и есть возможность корректной оценки физического износа, а также функционального и внешнего (экономического) устареваний объектов капитального строительства</w:t>
      </w:r>
      <w:r>
        <w:rPr>
          <w:rFonts w:ascii="Bookman Old Style" w:hAnsi="Bookman Old Style"/>
          <w:i/>
          <w:sz w:val="20"/>
          <w:szCs w:val="20"/>
        </w:rPr>
        <w:t>»</w:t>
      </w:r>
      <w:r w:rsidRPr="00094B50">
        <w:rPr>
          <w:rFonts w:ascii="Bookman Old Style" w:hAnsi="Bookman Old Style"/>
          <w:i/>
          <w:sz w:val="20"/>
          <w:szCs w:val="20"/>
        </w:rPr>
        <w:t>;</w:t>
      </w:r>
    </w:p>
    <w:p w:rsidR="00094B50" w:rsidRPr="005E6C84" w:rsidRDefault="00094B50" w:rsidP="00CD4611">
      <w:pPr>
        <w:spacing w:before="120" w:after="120"/>
        <w:ind w:firstLine="709"/>
        <w:jc w:val="both"/>
        <w:rPr>
          <w:rFonts w:ascii="Bookman Old Style" w:hAnsi="Bookman Old Style"/>
          <w:i/>
          <w:sz w:val="20"/>
          <w:szCs w:val="20"/>
        </w:rPr>
      </w:pPr>
      <w:proofErr w:type="gramStart"/>
      <w:r>
        <w:rPr>
          <w:rFonts w:ascii="Bookman Old Style" w:hAnsi="Bookman Old Style"/>
          <w:i/>
          <w:sz w:val="20"/>
          <w:szCs w:val="20"/>
        </w:rPr>
        <w:t>«З</w:t>
      </w:r>
      <w:r w:rsidRPr="00094B50">
        <w:rPr>
          <w:rFonts w:ascii="Bookman Old Style" w:hAnsi="Bookman Old Style"/>
          <w:i/>
          <w:sz w:val="20"/>
          <w:szCs w:val="20"/>
        </w:rPr>
        <w:t>атратный подход рекомендуется использовать при низкой активности рынка, когда недостаточно данных, необходимых для применения сравнительного и доходного подходов к оценке, а также для оценки недвижимости специального назначения и использования (например, линейных объектов, гидротехнических сооружений, водонапорных башен, насосных станций, котельных, инженерных сетей и другой недвижимости, в отношении которой рыночные данные о сделках и предложениях отсутствуют)</w:t>
      </w:r>
      <w:r>
        <w:rPr>
          <w:rFonts w:ascii="Bookman Old Style" w:hAnsi="Bookman Old Style"/>
          <w:i/>
          <w:sz w:val="20"/>
          <w:szCs w:val="20"/>
        </w:rPr>
        <w:t>»;</w:t>
      </w:r>
      <w:proofErr w:type="gramEnd"/>
    </w:p>
    <w:p w:rsidR="005E6C84" w:rsidRPr="005E6C84" w:rsidRDefault="005E6C84" w:rsidP="00CD4611">
      <w:pPr>
        <w:spacing w:before="120" w:after="120"/>
        <w:ind w:firstLine="709"/>
        <w:jc w:val="both"/>
        <w:rPr>
          <w:rFonts w:ascii="Bookman Old Style" w:hAnsi="Bookman Old Style"/>
          <w:sz w:val="20"/>
          <w:szCs w:val="20"/>
        </w:rPr>
      </w:pPr>
      <w:r w:rsidRPr="005E6C84">
        <w:rPr>
          <w:rFonts w:ascii="Bookman Old Style" w:hAnsi="Bookman Old Style"/>
          <w:sz w:val="20"/>
          <w:szCs w:val="20"/>
        </w:rPr>
        <w:t>При этом, исходя из сущности затратного подхода, под возможностью заменить объект оценки понимается возможность создания новой точной копии или объекта замещения.</w:t>
      </w:r>
    </w:p>
    <w:p w:rsidR="005E6C84" w:rsidRPr="005E6C84" w:rsidRDefault="005E6C84" w:rsidP="00CD4611">
      <w:pPr>
        <w:spacing w:before="120" w:after="120"/>
        <w:ind w:firstLine="709"/>
        <w:jc w:val="both"/>
        <w:rPr>
          <w:rFonts w:ascii="Bookman Old Style" w:hAnsi="Bookman Old Style"/>
          <w:sz w:val="20"/>
          <w:szCs w:val="20"/>
        </w:rPr>
      </w:pPr>
      <w:r w:rsidRPr="005E6C84">
        <w:rPr>
          <w:rFonts w:ascii="Bookman Old Style" w:hAnsi="Bookman Old Style"/>
          <w:sz w:val="20"/>
          <w:szCs w:val="20"/>
        </w:rPr>
        <w:t xml:space="preserve">Изучив количественные и качественные характеристики элементов Объекта оценки, </w:t>
      </w:r>
      <w:r w:rsidR="005737FE">
        <w:rPr>
          <w:rFonts w:ascii="Bookman Old Style" w:hAnsi="Bookman Old Style"/>
          <w:sz w:val="20"/>
          <w:szCs w:val="20"/>
        </w:rPr>
        <w:t xml:space="preserve">материалы анализа рынка и наиболее эффективного использования, </w:t>
      </w:r>
      <w:r w:rsidRPr="005E6C84">
        <w:rPr>
          <w:rFonts w:ascii="Bookman Old Style" w:hAnsi="Bookman Old Style"/>
          <w:sz w:val="20"/>
          <w:szCs w:val="20"/>
        </w:rPr>
        <w:t>оценщик сделал следующие выводы:</w:t>
      </w:r>
    </w:p>
    <w:p w:rsidR="00015C1C" w:rsidRDefault="00197A86" w:rsidP="005F04AC">
      <w:pPr>
        <w:numPr>
          <w:ilvl w:val="0"/>
          <w:numId w:val="18"/>
        </w:numPr>
        <w:spacing w:before="120" w:after="120"/>
        <w:jc w:val="both"/>
        <w:rPr>
          <w:rFonts w:ascii="Bookman Old Style" w:hAnsi="Bookman Old Style"/>
          <w:sz w:val="20"/>
          <w:szCs w:val="20"/>
        </w:rPr>
      </w:pPr>
      <w:r>
        <w:rPr>
          <w:rFonts w:ascii="Bookman Old Style" w:hAnsi="Bookman Old Style"/>
          <w:sz w:val="20"/>
          <w:szCs w:val="20"/>
        </w:rPr>
        <w:t>Затратный подход рекомендуется использовать при низкой активности рынка недвижимости. Проведенный анализ рынка коммерческой недвижимости Красноярска выявил достаточный потенциал данных для проведения оценки методами сравнительного подхода</w:t>
      </w:r>
      <w:r w:rsidR="00CD4611">
        <w:rPr>
          <w:rFonts w:ascii="Bookman Old Style" w:hAnsi="Bookman Old Style"/>
          <w:sz w:val="20"/>
          <w:szCs w:val="20"/>
        </w:rPr>
        <w:t xml:space="preserve">, как наиболее точно </w:t>
      </w:r>
      <w:proofErr w:type="gramStart"/>
      <w:r w:rsidR="00CD4611">
        <w:rPr>
          <w:rFonts w:ascii="Bookman Old Style" w:hAnsi="Bookman Old Style"/>
          <w:sz w:val="20"/>
          <w:szCs w:val="20"/>
        </w:rPr>
        <w:t>отражающи</w:t>
      </w:r>
      <w:r>
        <w:rPr>
          <w:rFonts w:ascii="Bookman Old Style" w:hAnsi="Bookman Old Style"/>
          <w:sz w:val="20"/>
          <w:szCs w:val="20"/>
        </w:rPr>
        <w:t>м</w:t>
      </w:r>
      <w:proofErr w:type="gramEnd"/>
      <w:r>
        <w:rPr>
          <w:rFonts w:ascii="Bookman Old Style" w:hAnsi="Bookman Old Style"/>
          <w:sz w:val="20"/>
          <w:szCs w:val="20"/>
        </w:rPr>
        <w:t xml:space="preserve"> значение рыночной стоимости </w:t>
      </w:r>
      <w:r w:rsidR="00230864">
        <w:rPr>
          <w:rFonts w:ascii="Bookman Old Style" w:hAnsi="Bookman Old Style"/>
          <w:sz w:val="20"/>
          <w:szCs w:val="20"/>
        </w:rPr>
        <w:t>здани</w:t>
      </w:r>
      <w:r w:rsidR="00AD346D">
        <w:rPr>
          <w:rFonts w:ascii="Bookman Old Style" w:hAnsi="Bookman Old Style"/>
          <w:sz w:val="20"/>
          <w:szCs w:val="20"/>
        </w:rPr>
        <w:t>я</w:t>
      </w:r>
      <w:r>
        <w:rPr>
          <w:rFonts w:ascii="Bookman Old Style" w:hAnsi="Bookman Old Style"/>
          <w:sz w:val="20"/>
          <w:szCs w:val="20"/>
        </w:rPr>
        <w:t>.</w:t>
      </w:r>
    </w:p>
    <w:p w:rsidR="00177A72" w:rsidRDefault="00177A72" w:rsidP="005F04AC">
      <w:pPr>
        <w:numPr>
          <w:ilvl w:val="0"/>
          <w:numId w:val="18"/>
        </w:numPr>
        <w:spacing w:before="120" w:after="120"/>
        <w:jc w:val="both"/>
        <w:rPr>
          <w:rFonts w:ascii="Bookman Old Style" w:hAnsi="Bookman Old Style"/>
          <w:sz w:val="20"/>
          <w:szCs w:val="20"/>
        </w:rPr>
      </w:pPr>
      <w:r>
        <w:rPr>
          <w:rFonts w:ascii="Bookman Old Style" w:hAnsi="Bookman Old Style"/>
          <w:sz w:val="20"/>
          <w:szCs w:val="20"/>
        </w:rPr>
        <w:t>Рыночная стоимость объекта недвижимости не определяется затратами на его строительство;</w:t>
      </w:r>
    </w:p>
    <w:p w:rsidR="005F6A69" w:rsidRDefault="005F6A69" w:rsidP="005F04AC">
      <w:pPr>
        <w:numPr>
          <w:ilvl w:val="0"/>
          <w:numId w:val="18"/>
        </w:numPr>
        <w:spacing w:before="120" w:after="120"/>
        <w:jc w:val="both"/>
        <w:rPr>
          <w:rFonts w:ascii="Bookman Old Style" w:hAnsi="Bookman Old Style"/>
          <w:sz w:val="20"/>
          <w:szCs w:val="20"/>
        </w:rPr>
      </w:pPr>
      <w:r w:rsidRPr="005F6A69">
        <w:rPr>
          <w:rFonts w:ascii="Bookman Old Style" w:hAnsi="Bookman Old Style"/>
          <w:sz w:val="20"/>
          <w:szCs w:val="20"/>
        </w:rPr>
        <w:t>На первичном рынке оборудования удалось произвести расчет стоимости затрат на создание новой точной копии для элементов Объекта оценки. Таким образом, проведен расчет стоимости методом затратного подхода</w:t>
      </w:r>
      <w:r>
        <w:rPr>
          <w:rFonts w:ascii="Bookman Old Style" w:hAnsi="Bookman Old Style"/>
          <w:sz w:val="20"/>
          <w:szCs w:val="20"/>
        </w:rPr>
        <w:t>;</w:t>
      </w:r>
    </w:p>
    <w:p w:rsidR="005F6A69" w:rsidRDefault="005F6A69" w:rsidP="005F04AC">
      <w:pPr>
        <w:numPr>
          <w:ilvl w:val="0"/>
          <w:numId w:val="18"/>
        </w:numPr>
        <w:spacing w:before="120" w:after="120"/>
        <w:jc w:val="both"/>
        <w:rPr>
          <w:rFonts w:ascii="Bookman Old Style" w:hAnsi="Bookman Old Style"/>
          <w:sz w:val="20"/>
          <w:szCs w:val="20"/>
        </w:rPr>
      </w:pPr>
      <w:r w:rsidRPr="005F6A69">
        <w:rPr>
          <w:rFonts w:ascii="Bookman Old Style" w:hAnsi="Bookman Old Style"/>
          <w:sz w:val="20"/>
          <w:szCs w:val="20"/>
        </w:rPr>
        <w:t>Затратный подход непосредственно как самостоятельный подход к определению стоимости земельных участков он неприменим</w:t>
      </w:r>
      <w:r w:rsidRPr="005F6A69">
        <w:rPr>
          <w:rFonts w:ascii="Bookman Old Style" w:hAnsi="Bookman Old Style"/>
          <w:sz w:val="20"/>
          <w:szCs w:val="20"/>
          <w:vertAlign w:val="superscript"/>
        </w:rPr>
        <w:footnoteReference w:id="36"/>
      </w:r>
    </w:p>
    <w:p w:rsidR="005E6C84" w:rsidRDefault="005E6C84" w:rsidP="00CD4611">
      <w:pPr>
        <w:spacing w:before="120" w:after="120"/>
        <w:ind w:firstLine="709"/>
        <w:jc w:val="both"/>
        <w:rPr>
          <w:rFonts w:ascii="Bookman Old Style" w:hAnsi="Bookman Old Style"/>
          <w:sz w:val="20"/>
          <w:szCs w:val="20"/>
        </w:rPr>
      </w:pPr>
      <w:r w:rsidRPr="005E6C84">
        <w:rPr>
          <w:rFonts w:ascii="Bookman Old Style" w:hAnsi="Bookman Old Style"/>
          <w:sz w:val="20"/>
          <w:szCs w:val="20"/>
        </w:rPr>
        <w:t>Исходя из представленных фактов, затратный подход</w:t>
      </w:r>
      <w:r w:rsidR="002F6EAB">
        <w:rPr>
          <w:rFonts w:ascii="Bookman Old Style" w:hAnsi="Bookman Old Style"/>
          <w:sz w:val="20"/>
          <w:szCs w:val="20"/>
        </w:rPr>
        <w:t xml:space="preserve"> </w:t>
      </w:r>
      <w:r w:rsidRPr="005E6C84">
        <w:rPr>
          <w:rFonts w:ascii="Bookman Old Style" w:hAnsi="Bookman Old Style"/>
          <w:sz w:val="20"/>
          <w:szCs w:val="20"/>
        </w:rPr>
        <w:t xml:space="preserve">будет использован для оценки </w:t>
      </w:r>
      <w:r w:rsidR="005F6A69">
        <w:rPr>
          <w:rFonts w:ascii="Bookman Old Style" w:hAnsi="Bookman Old Style"/>
          <w:sz w:val="20"/>
          <w:szCs w:val="20"/>
        </w:rPr>
        <w:t xml:space="preserve">части элементов </w:t>
      </w:r>
      <w:r w:rsidR="008E12E7">
        <w:rPr>
          <w:rFonts w:ascii="Bookman Old Style" w:hAnsi="Bookman Old Style"/>
          <w:sz w:val="20"/>
          <w:szCs w:val="20"/>
        </w:rPr>
        <w:t xml:space="preserve">Объекта оценки, </w:t>
      </w:r>
      <w:proofErr w:type="gramStart"/>
      <w:r w:rsidR="008E12E7">
        <w:rPr>
          <w:rFonts w:ascii="Bookman Old Style" w:hAnsi="Bookman Old Style"/>
          <w:sz w:val="20"/>
          <w:szCs w:val="20"/>
        </w:rPr>
        <w:t>в следствии</w:t>
      </w:r>
      <w:proofErr w:type="gramEnd"/>
      <w:r w:rsidR="008E12E7">
        <w:rPr>
          <w:rFonts w:ascii="Bookman Old Style" w:hAnsi="Bookman Old Style"/>
          <w:sz w:val="20"/>
          <w:szCs w:val="20"/>
        </w:rPr>
        <w:t xml:space="preserve"> выполнения условия</w:t>
      </w:r>
      <w:r w:rsidRPr="005E6C84">
        <w:rPr>
          <w:rFonts w:ascii="Bookman Old Style" w:hAnsi="Bookman Old Style"/>
          <w:sz w:val="20"/>
          <w:szCs w:val="20"/>
        </w:rPr>
        <w:t xml:space="preserve"> применения данного</w:t>
      </w:r>
      <w:r w:rsidR="005737FE">
        <w:rPr>
          <w:rFonts w:ascii="Bookman Old Style" w:hAnsi="Bookman Old Style"/>
          <w:sz w:val="20"/>
          <w:szCs w:val="20"/>
        </w:rPr>
        <w:t xml:space="preserve"> подхода согласно ст. 23 ФСО №1 и ст.</w:t>
      </w:r>
      <w:r w:rsidR="0067070B">
        <w:rPr>
          <w:rFonts w:ascii="Bookman Old Style" w:hAnsi="Bookman Old Style"/>
          <w:sz w:val="20"/>
          <w:szCs w:val="20"/>
        </w:rPr>
        <w:t xml:space="preserve"> 24</w:t>
      </w:r>
      <w:r w:rsidR="005737FE">
        <w:rPr>
          <w:rFonts w:ascii="Bookman Old Style" w:hAnsi="Bookman Old Style"/>
          <w:sz w:val="20"/>
          <w:szCs w:val="20"/>
        </w:rPr>
        <w:t xml:space="preserve"> ФСО № 7.</w:t>
      </w:r>
      <w:r w:rsidRPr="005E6C84">
        <w:rPr>
          <w:rFonts w:ascii="Bookman Old Style" w:hAnsi="Bookman Old Style"/>
          <w:sz w:val="20"/>
          <w:szCs w:val="20"/>
        </w:rPr>
        <w:t xml:space="preserve"> </w:t>
      </w:r>
      <w:r w:rsidR="005F6A69">
        <w:rPr>
          <w:rFonts w:ascii="Bookman Old Style" w:hAnsi="Bookman Old Style"/>
          <w:sz w:val="20"/>
          <w:szCs w:val="20"/>
        </w:rPr>
        <w:t xml:space="preserve"> </w:t>
      </w:r>
    </w:p>
    <w:p w:rsidR="00F009BE" w:rsidRPr="000877E7" w:rsidRDefault="00D60B93" w:rsidP="000877E7">
      <w:pPr>
        <w:pStyle w:val="3"/>
        <w:rPr>
          <w:rFonts w:ascii="Bookman Old Style" w:hAnsi="Bookman Old Style"/>
          <w:sz w:val="20"/>
          <w:szCs w:val="20"/>
        </w:rPr>
      </w:pPr>
      <w:bookmarkStart w:id="236" w:name="_Toc461375589"/>
      <w:r w:rsidRPr="000877E7">
        <w:rPr>
          <w:rFonts w:ascii="Bookman Old Style" w:hAnsi="Bookman Old Style"/>
          <w:sz w:val="20"/>
          <w:szCs w:val="20"/>
        </w:rPr>
        <w:t>5.2.1</w:t>
      </w:r>
      <w:r w:rsidR="00F009BE" w:rsidRPr="000877E7">
        <w:rPr>
          <w:rFonts w:ascii="Bookman Old Style" w:hAnsi="Bookman Old Style"/>
          <w:sz w:val="20"/>
          <w:szCs w:val="20"/>
        </w:rPr>
        <w:t>.</w:t>
      </w:r>
      <w:r w:rsidRPr="000877E7">
        <w:rPr>
          <w:rFonts w:ascii="Bookman Old Style" w:hAnsi="Bookman Old Style"/>
          <w:sz w:val="20"/>
          <w:szCs w:val="20"/>
        </w:rPr>
        <w:t>2.</w:t>
      </w:r>
      <w:r w:rsidR="00F009BE" w:rsidRPr="000877E7">
        <w:rPr>
          <w:rFonts w:ascii="Bookman Old Style" w:hAnsi="Bookman Old Style"/>
          <w:sz w:val="20"/>
          <w:szCs w:val="20"/>
        </w:rPr>
        <w:t xml:space="preserve"> Обоснование выбора методов затратного подхода</w:t>
      </w:r>
      <w:bookmarkEnd w:id="236"/>
    </w:p>
    <w:p w:rsidR="005F6A69" w:rsidRPr="00350107" w:rsidRDefault="005F6A69" w:rsidP="005F6A69">
      <w:pPr>
        <w:spacing w:before="100" w:after="100"/>
        <w:ind w:firstLine="708"/>
        <w:jc w:val="both"/>
        <w:rPr>
          <w:rFonts w:ascii="Bookman Old Style" w:hAnsi="Bookman Old Style"/>
          <w:sz w:val="20"/>
          <w:szCs w:val="20"/>
        </w:rPr>
      </w:pPr>
      <w:bookmarkStart w:id="237" w:name="_Toc365041371"/>
      <w:r w:rsidRPr="00350107">
        <w:rPr>
          <w:rFonts w:ascii="Bookman Old Style" w:hAnsi="Bookman Old Style"/>
          <w:sz w:val="20"/>
          <w:szCs w:val="20"/>
        </w:rPr>
        <w:t xml:space="preserve">При расчете </w:t>
      </w:r>
      <w:proofErr w:type="gramStart"/>
      <w:r w:rsidRPr="00350107">
        <w:rPr>
          <w:rFonts w:ascii="Bookman Old Style" w:hAnsi="Bookman Old Style"/>
          <w:sz w:val="20"/>
          <w:szCs w:val="20"/>
        </w:rPr>
        <w:t xml:space="preserve">стоимости </w:t>
      </w:r>
      <w:r>
        <w:rPr>
          <w:rFonts w:ascii="Bookman Old Style" w:hAnsi="Bookman Old Style"/>
          <w:sz w:val="20"/>
          <w:szCs w:val="20"/>
        </w:rPr>
        <w:t xml:space="preserve">части </w:t>
      </w:r>
      <w:r w:rsidRPr="00350107">
        <w:rPr>
          <w:rFonts w:ascii="Bookman Old Style" w:hAnsi="Bookman Old Style"/>
          <w:sz w:val="20"/>
          <w:szCs w:val="20"/>
        </w:rPr>
        <w:t>элементов Объекта оценки</w:t>
      </w:r>
      <w:proofErr w:type="gramEnd"/>
      <w:r w:rsidRPr="00350107">
        <w:rPr>
          <w:rFonts w:ascii="Bookman Old Style" w:hAnsi="Bookman Old Style"/>
          <w:sz w:val="20"/>
          <w:szCs w:val="20"/>
        </w:rPr>
        <w:t xml:space="preserve"> затратным подходом использованы методы  оценки</w:t>
      </w:r>
      <w:r w:rsidRPr="00350107">
        <w:rPr>
          <w:rFonts w:ascii="Bookman Old Style" w:hAnsi="Bookman Old Style"/>
          <w:sz w:val="20"/>
          <w:szCs w:val="20"/>
          <w:vertAlign w:val="superscript"/>
        </w:rPr>
        <w:footnoteReference w:id="37"/>
      </w:r>
      <w:r w:rsidRPr="00350107">
        <w:rPr>
          <w:rFonts w:ascii="Bookman Old Style" w:hAnsi="Bookman Old Style"/>
          <w:sz w:val="20"/>
          <w:szCs w:val="20"/>
        </w:rPr>
        <w:t>:</w:t>
      </w:r>
    </w:p>
    <w:p w:rsidR="005F6A69" w:rsidRPr="00350107" w:rsidRDefault="005F6A69" w:rsidP="005F04AC">
      <w:pPr>
        <w:pStyle w:val="aff2"/>
        <w:numPr>
          <w:ilvl w:val="0"/>
          <w:numId w:val="59"/>
        </w:numPr>
        <w:spacing w:before="100" w:after="100"/>
        <w:ind w:left="0" w:firstLine="709"/>
        <w:contextualSpacing w:val="0"/>
        <w:jc w:val="both"/>
        <w:rPr>
          <w:rFonts w:ascii="Bookman Old Style" w:hAnsi="Bookman Old Style"/>
          <w:sz w:val="20"/>
          <w:szCs w:val="20"/>
        </w:rPr>
      </w:pPr>
      <w:r w:rsidRPr="005F6A69">
        <w:rPr>
          <w:rFonts w:ascii="Bookman Old Style" w:hAnsi="Bookman Old Style"/>
          <w:sz w:val="20"/>
          <w:szCs w:val="20"/>
        </w:rPr>
        <w:lastRenderedPageBreak/>
        <w:t>Метод расчета по цене однородного объекта</w:t>
      </w:r>
      <w:r w:rsidRPr="00350107">
        <w:rPr>
          <w:rFonts w:ascii="Bookman Old Style" w:hAnsi="Bookman Old Style"/>
          <w:sz w:val="20"/>
          <w:szCs w:val="20"/>
        </w:rPr>
        <w:t>.</w:t>
      </w:r>
      <w:r>
        <w:rPr>
          <w:rFonts w:ascii="Bookman Old Style" w:hAnsi="Bookman Old Style"/>
          <w:sz w:val="20"/>
          <w:szCs w:val="20"/>
        </w:rPr>
        <w:t xml:space="preserve"> </w:t>
      </w:r>
    </w:p>
    <w:p w:rsidR="005F6A69" w:rsidRPr="00DA065B" w:rsidRDefault="005F6A69" w:rsidP="005F6A69">
      <w:pPr>
        <w:pStyle w:val="aff2"/>
        <w:spacing w:before="100" w:after="100"/>
        <w:ind w:left="0" w:firstLine="709"/>
        <w:contextualSpacing w:val="0"/>
        <w:jc w:val="both"/>
        <w:rPr>
          <w:rFonts w:ascii="Bookman Old Style" w:hAnsi="Bookman Old Style"/>
          <w:sz w:val="20"/>
          <w:szCs w:val="20"/>
        </w:rPr>
      </w:pPr>
      <w:r w:rsidRPr="005F6A69">
        <w:rPr>
          <w:rFonts w:ascii="Bookman Old Style" w:hAnsi="Bookman Old Style"/>
          <w:sz w:val="20"/>
          <w:szCs w:val="20"/>
        </w:rPr>
        <w:t>Сущность метода заключается в том, что для оцениваемого объекта, если объект не сложный и конструктивно однородный, подбирают конструктивно и технологически однородный объект. При этом предполагают, что полная себестоимость изготовления однородного объекта близка к себестоимости изготовления оцениваемого объекта</w:t>
      </w:r>
    </w:p>
    <w:p w:rsidR="00AA2D36" w:rsidRPr="000877E7" w:rsidRDefault="00AA2D36" w:rsidP="00350107">
      <w:pPr>
        <w:pStyle w:val="3"/>
        <w:spacing w:after="120"/>
        <w:rPr>
          <w:rFonts w:ascii="Bookman Old Style" w:hAnsi="Bookman Old Style"/>
          <w:sz w:val="20"/>
          <w:szCs w:val="20"/>
        </w:rPr>
      </w:pPr>
      <w:bookmarkStart w:id="238" w:name="_Toc461375590"/>
      <w:r w:rsidRPr="000877E7">
        <w:rPr>
          <w:rFonts w:ascii="Bookman Old Style" w:hAnsi="Bookman Old Style"/>
          <w:sz w:val="20"/>
          <w:szCs w:val="20"/>
        </w:rPr>
        <w:t>5.2.2. Обоснование выбора подхода и методов сравнительного подхода</w:t>
      </w:r>
      <w:bookmarkEnd w:id="238"/>
    </w:p>
    <w:p w:rsidR="00AA2D36" w:rsidRPr="000877E7" w:rsidRDefault="00AA2D36" w:rsidP="00350107">
      <w:pPr>
        <w:pStyle w:val="3"/>
        <w:spacing w:after="120"/>
        <w:rPr>
          <w:rFonts w:ascii="Bookman Old Style" w:hAnsi="Bookman Old Style"/>
          <w:sz w:val="20"/>
          <w:szCs w:val="20"/>
        </w:rPr>
      </w:pPr>
      <w:bookmarkStart w:id="239" w:name="_Toc461375591"/>
      <w:r w:rsidRPr="000877E7">
        <w:rPr>
          <w:rFonts w:ascii="Bookman Old Style" w:hAnsi="Bookman Old Style"/>
          <w:sz w:val="20"/>
          <w:szCs w:val="20"/>
        </w:rPr>
        <w:t>5.2.2.1. Обоснование применения, отказа от применения подхода</w:t>
      </w:r>
      <w:bookmarkEnd w:id="239"/>
      <w:r w:rsidRPr="000877E7">
        <w:rPr>
          <w:rFonts w:ascii="Bookman Old Style" w:hAnsi="Bookman Old Style"/>
          <w:sz w:val="20"/>
          <w:szCs w:val="20"/>
        </w:rPr>
        <w:t xml:space="preserve"> </w:t>
      </w:r>
      <w:r w:rsidR="005F6A69">
        <w:rPr>
          <w:rFonts w:ascii="Bookman Old Style" w:hAnsi="Bookman Old Style"/>
          <w:sz w:val="20"/>
          <w:szCs w:val="20"/>
        </w:rPr>
        <w:t xml:space="preserve"> </w:t>
      </w:r>
    </w:p>
    <w:p w:rsidR="005E6C84" w:rsidRPr="007E11AB" w:rsidRDefault="005E6C84" w:rsidP="00350107">
      <w:pPr>
        <w:spacing w:before="120" w:after="120"/>
        <w:ind w:firstLine="708"/>
        <w:jc w:val="both"/>
        <w:rPr>
          <w:rFonts w:ascii="Bookman Old Style" w:hAnsi="Bookman Old Style"/>
          <w:sz w:val="20"/>
          <w:szCs w:val="20"/>
        </w:rPr>
      </w:pPr>
      <w:bookmarkStart w:id="240" w:name="_Toc238358584"/>
      <w:bookmarkStart w:id="241" w:name="_Toc240097258"/>
      <w:bookmarkStart w:id="242" w:name="_Toc260339948"/>
      <w:bookmarkStart w:id="243" w:name="_Toc365041372"/>
      <w:bookmarkEnd w:id="233"/>
      <w:bookmarkEnd w:id="234"/>
      <w:bookmarkEnd w:id="235"/>
      <w:bookmarkEnd w:id="237"/>
      <w:r w:rsidRPr="007E11AB">
        <w:rPr>
          <w:rFonts w:ascii="Bookman Old Style" w:hAnsi="Bookman Old Style"/>
          <w:sz w:val="20"/>
          <w:szCs w:val="20"/>
        </w:rPr>
        <w:t>Согласно ст. 22 ФСО</w:t>
      </w:r>
      <w:r>
        <w:rPr>
          <w:rFonts w:ascii="Bookman Old Style" w:hAnsi="Bookman Old Style"/>
          <w:sz w:val="20"/>
          <w:szCs w:val="20"/>
        </w:rPr>
        <w:t xml:space="preserve"> № </w:t>
      </w:r>
      <w:r w:rsidRPr="007E11AB">
        <w:rPr>
          <w:rFonts w:ascii="Bookman Old Style" w:hAnsi="Bookman Old Style"/>
          <w:sz w:val="20"/>
          <w:szCs w:val="20"/>
        </w:rPr>
        <w:t>1</w:t>
      </w:r>
      <w:r>
        <w:rPr>
          <w:rFonts w:ascii="Bookman Old Style" w:hAnsi="Bookman Old Style"/>
          <w:sz w:val="20"/>
          <w:szCs w:val="20"/>
        </w:rPr>
        <w:t>:</w:t>
      </w:r>
    </w:p>
    <w:p w:rsidR="005E6C84" w:rsidRPr="00011168" w:rsidRDefault="005E6C84" w:rsidP="00CD4611">
      <w:pPr>
        <w:spacing w:before="120" w:after="120"/>
        <w:ind w:left="120" w:firstLine="600"/>
        <w:jc w:val="both"/>
        <w:rPr>
          <w:rFonts w:ascii="Bookman Old Style" w:hAnsi="Bookman Old Style"/>
          <w:i/>
          <w:sz w:val="20"/>
          <w:szCs w:val="20"/>
        </w:rPr>
      </w:pPr>
      <w:r w:rsidRPr="00011168">
        <w:rPr>
          <w:rFonts w:ascii="Bookman Old Style" w:hAnsi="Bookman Old Style"/>
          <w:i/>
          <w:sz w:val="20"/>
          <w:szCs w:val="20"/>
        </w:rPr>
        <w:t>«Сравнительный подход применяется, когда существует достоверная и доступная для анализа информация о ценах и характеристиках объектов-аналогов».</w:t>
      </w:r>
    </w:p>
    <w:p w:rsidR="005E6C84" w:rsidRDefault="005E6C84" w:rsidP="00CD4611">
      <w:pPr>
        <w:spacing w:before="120" w:after="120"/>
        <w:ind w:left="120" w:firstLine="600"/>
        <w:jc w:val="both"/>
        <w:rPr>
          <w:rFonts w:ascii="Bookman Old Style" w:hAnsi="Bookman Old Style"/>
          <w:sz w:val="20"/>
          <w:szCs w:val="20"/>
        </w:rPr>
      </w:pPr>
      <w:r>
        <w:rPr>
          <w:rFonts w:ascii="Bookman Old Style" w:hAnsi="Bookman Old Style"/>
          <w:sz w:val="20"/>
          <w:szCs w:val="20"/>
        </w:rPr>
        <w:t>Под объектом-аналогом признается (ФСО № 1 ст. 14):</w:t>
      </w:r>
    </w:p>
    <w:p w:rsidR="005E6C84" w:rsidRDefault="005E6C84" w:rsidP="00CD4611">
      <w:pPr>
        <w:spacing w:before="120" w:after="120"/>
        <w:ind w:left="120" w:firstLine="600"/>
        <w:jc w:val="both"/>
        <w:rPr>
          <w:rFonts w:ascii="Bookman Old Style" w:hAnsi="Bookman Old Style"/>
          <w:sz w:val="20"/>
          <w:szCs w:val="20"/>
        </w:rPr>
      </w:pPr>
      <w:r>
        <w:rPr>
          <w:rFonts w:ascii="Bookman Old Style" w:hAnsi="Bookman Old Style"/>
          <w:sz w:val="20"/>
          <w:szCs w:val="20"/>
        </w:rPr>
        <w:t>«…объект, сходный объекту оценки по основным экономическим, материальным, техническим и другим характеристикам, определяющим его стоимость».</w:t>
      </w:r>
    </w:p>
    <w:p w:rsidR="00D4697E" w:rsidRDefault="005737FE" w:rsidP="00CD4611">
      <w:pPr>
        <w:autoSpaceDE w:val="0"/>
        <w:autoSpaceDN w:val="0"/>
        <w:adjustRightInd w:val="0"/>
        <w:spacing w:before="120" w:after="120"/>
        <w:ind w:firstLine="709"/>
        <w:jc w:val="both"/>
        <w:rPr>
          <w:rFonts w:ascii="Bookman Old Style" w:hAnsi="Bookman Old Style" w:cs="Arial"/>
          <w:color w:val="000000"/>
          <w:sz w:val="20"/>
          <w:szCs w:val="20"/>
        </w:rPr>
      </w:pPr>
      <w:r>
        <w:rPr>
          <w:rFonts w:ascii="Bookman Old Style" w:hAnsi="Bookman Old Style" w:cs="Arial"/>
          <w:color w:val="000000"/>
          <w:sz w:val="20"/>
          <w:szCs w:val="20"/>
        </w:rPr>
        <w:t>В соответствии с ФСО № 7:</w:t>
      </w:r>
    </w:p>
    <w:p w:rsidR="00D4697E" w:rsidRPr="005737FE" w:rsidRDefault="005737FE" w:rsidP="00CD4611">
      <w:pPr>
        <w:autoSpaceDE w:val="0"/>
        <w:autoSpaceDN w:val="0"/>
        <w:adjustRightInd w:val="0"/>
        <w:spacing w:before="120" w:after="120"/>
        <w:ind w:firstLine="709"/>
        <w:rPr>
          <w:rFonts w:ascii="Bookman Old Style" w:hAnsi="Bookman Old Style" w:cs="Bookman Old Style"/>
          <w:i/>
          <w:sz w:val="20"/>
          <w:szCs w:val="20"/>
        </w:rPr>
      </w:pPr>
      <w:r w:rsidRPr="005737FE">
        <w:rPr>
          <w:rFonts w:ascii="Bookman Old Style" w:hAnsi="Bookman Old Style" w:cs="Arial"/>
          <w:i/>
          <w:color w:val="000000"/>
          <w:sz w:val="20"/>
          <w:szCs w:val="20"/>
        </w:rPr>
        <w:t>«</w:t>
      </w:r>
      <w:r>
        <w:rPr>
          <w:rFonts w:ascii="Bookman Old Style" w:hAnsi="Bookman Old Style" w:cs="Arial"/>
          <w:i/>
          <w:color w:val="000000"/>
          <w:sz w:val="20"/>
          <w:szCs w:val="20"/>
        </w:rPr>
        <w:t>С</w:t>
      </w:r>
      <w:r w:rsidR="00D4697E" w:rsidRPr="005737FE">
        <w:rPr>
          <w:rFonts w:ascii="Bookman Old Style" w:hAnsi="Bookman Old Style" w:cs="Bookman Old Style"/>
          <w:i/>
          <w:sz w:val="20"/>
          <w:szCs w:val="20"/>
        </w:rPr>
        <w:t>равнительный подход применяется для оценки недвижимости, когда можно подобрать достаточное для оценки количество объектов-аналогов с известными ценами сделок и (или) предложений</w:t>
      </w:r>
      <w:r w:rsidRPr="005737FE">
        <w:rPr>
          <w:rFonts w:ascii="Bookman Old Style" w:hAnsi="Bookman Old Style" w:cs="Bookman Old Style"/>
          <w:i/>
          <w:sz w:val="20"/>
          <w:szCs w:val="20"/>
        </w:rPr>
        <w:t>»</w:t>
      </w:r>
      <w:r w:rsidR="00D4697E" w:rsidRPr="005737FE">
        <w:rPr>
          <w:rFonts w:ascii="Bookman Old Style" w:hAnsi="Bookman Old Style" w:cs="Bookman Old Style"/>
          <w:i/>
          <w:sz w:val="20"/>
          <w:szCs w:val="20"/>
        </w:rPr>
        <w:t>;</w:t>
      </w:r>
    </w:p>
    <w:p w:rsidR="005E6C84" w:rsidRDefault="005737FE" w:rsidP="00CD4611">
      <w:pPr>
        <w:pStyle w:val="ConsPlusNormal"/>
        <w:widowControl/>
        <w:spacing w:before="120" w:after="120"/>
        <w:ind w:firstLine="709"/>
        <w:jc w:val="both"/>
        <w:rPr>
          <w:rFonts w:ascii="Bookman Old Style" w:hAnsi="Bookman Old Style"/>
        </w:rPr>
      </w:pPr>
      <w:r w:rsidRPr="005737FE">
        <w:rPr>
          <w:rFonts w:ascii="Bookman Old Style" w:hAnsi="Bookman Old Style"/>
        </w:rPr>
        <w:t>Изучив количественные и качественные характеристики элементов Объекта оценки, материалы анализа рынка и наиболее эффективного использования, оценщик сделал следующие выводы:</w:t>
      </w:r>
    </w:p>
    <w:p w:rsidR="00E75C7A" w:rsidRDefault="00E75C7A" w:rsidP="005F04AC">
      <w:pPr>
        <w:pStyle w:val="ConsPlusNormal"/>
        <w:numPr>
          <w:ilvl w:val="0"/>
          <w:numId w:val="18"/>
        </w:numPr>
        <w:spacing w:before="120" w:after="120"/>
        <w:jc w:val="both"/>
        <w:rPr>
          <w:rFonts w:ascii="Bookman Old Style" w:hAnsi="Bookman Old Style"/>
        </w:rPr>
      </w:pPr>
      <w:r w:rsidRPr="008412E7">
        <w:rPr>
          <w:rFonts w:ascii="Bookman Old Style" w:hAnsi="Bookman Old Style"/>
        </w:rPr>
        <w:t>Элементы Объекта оценки являются типичными для рынка продаж коммерческой недвижимости</w:t>
      </w:r>
      <w:r>
        <w:rPr>
          <w:rFonts w:ascii="Bookman Old Style" w:hAnsi="Bookman Old Style"/>
        </w:rPr>
        <w:t xml:space="preserve"> и земельных участков.</w:t>
      </w:r>
    </w:p>
    <w:p w:rsidR="00DA065B" w:rsidRDefault="00E75C7A" w:rsidP="005F04AC">
      <w:pPr>
        <w:pStyle w:val="ConsPlusNormal"/>
        <w:widowControl/>
        <w:numPr>
          <w:ilvl w:val="0"/>
          <w:numId w:val="18"/>
        </w:numPr>
        <w:spacing w:before="120" w:after="120"/>
        <w:jc w:val="both"/>
        <w:rPr>
          <w:rFonts w:ascii="Bookman Old Style" w:hAnsi="Bookman Old Style"/>
        </w:rPr>
      </w:pPr>
      <w:r>
        <w:rPr>
          <w:rFonts w:ascii="Bookman Old Style" w:hAnsi="Bookman Old Style"/>
        </w:rPr>
        <w:t xml:space="preserve">На рынке коммерческой недвижимости Красноярска существует возможность выбора </w:t>
      </w:r>
      <w:proofErr w:type="gramStart"/>
      <w:r>
        <w:rPr>
          <w:rFonts w:ascii="Bookman Old Style" w:hAnsi="Bookman Old Style"/>
        </w:rPr>
        <w:t>объектов-аналогов</w:t>
      </w:r>
      <w:proofErr w:type="gramEnd"/>
      <w:r>
        <w:rPr>
          <w:rFonts w:ascii="Bookman Old Style" w:hAnsi="Bookman Old Style"/>
        </w:rPr>
        <w:t xml:space="preserve"> </w:t>
      </w:r>
      <w:r w:rsidRPr="005737FE">
        <w:rPr>
          <w:rFonts w:ascii="Bookman Old Style" w:hAnsi="Bookman Old Style"/>
        </w:rPr>
        <w:t xml:space="preserve">которые относятся к одному с </w:t>
      </w:r>
      <w:r>
        <w:rPr>
          <w:rFonts w:ascii="Bookman Old Style" w:hAnsi="Bookman Old Style"/>
        </w:rPr>
        <w:t>Объектом оценки</w:t>
      </w:r>
      <w:r w:rsidRPr="005737FE">
        <w:rPr>
          <w:rFonts w:ascii="Bookman Old Style" w:hAnsi="Bookman Old Style"/>
        </w:rPr>
        <w:t xml:space="preserve"> сегменту рынка и сопоставимы с ним по ценообразующим фактора</w:t>
      </w:r>
      <w:r>
        <w:rPr>
          <w:rFonts w:ascii="Bookman Old Style" w:hAnsi="Bookman Old Style"/>
        </w:rPr>
        <w:t>м. Полученные результаты расчета можно считать надежными и достоверными</w:t>
      </w:r>
      <w:r w:rsidR="00DA065B">
        <w:rPr>
          <w:rFonts w:ascii="Bookman Old Style" w:hAnsi="Bookman Old Style"/>
        </w:rPr>
        <w:t xml:space="preserve">. </w:t>
      </w:r>
    </w:p>
    <w:p w:rsidR="005F6A69" w:rsidRDefault="005F6A69" w:rsidP="005F04AC">
      <w:pPr>
        <w:pStyle w:val="ConsPlusNormal"/>
        <w:widowControl/>
        <w:numPr>
          <w:ilvl w:val="0"/>
          <w:numId w:val="18"/>
        </w:numPr>
        <w:spacing w:before="120" w:after="120"/>
        <w:jc w:val="both"/>
        <w:rPr>
          <w:rFonts w:ascii="Bookman Old Style" w:hAnsi="Bookman Old Style"/>
        </w:rPr>
      </w:pPr>
      <w:r w:rsidRPr="005F6A69">
        <w:rPr>
          <w:rFonts w:ascii="Bookman Old Style" w:hAnsi="Bookman Old Style"/>
        </w:rPr>
        <w:t xml:space="preserve">Проведенные исследования доступных оценщику источников информации не выявили на российском рынке предложений о продаже оборудования с техническими характеристиками элементов Объекта оценки. Также на </w:t>
      </w:r>
      <w:r>
        <w:rPr>
          <w:rFonts w:ascii="Bookman Old Style" w:hAnsi="Bookman Old Style"/>
        </w:rPr>
        <w:t xml:space="preserve">турецком </w:t>
      </w:r>
      <w:r w:rsidRPr="005F6A69">
        <w:rPr>
          <w:rFonts w:ascii="Bookman Old Style" w:hAnsi="Bookman Old Style"/>
        </w:rPr>
        <w:t>рынке не выявлены предложения о продаже оборудования с аналогичными техническими характеристиками элементов Объекта оценки. Что в свою очередь позволило сделать вывод об отсутствии доступной и достоверной информации об объектах аналогах, сходных по своим ценообразующим характеристикам элементам Объекта оценки</w:t>
      </w:r>
    </w:p>
    <w:p w:rsidR="005E6C84" w:rsidRDefault="005E6C84" w:rsidP="00CD4611">
      <w:pPr>
        <w:pStyle w:val="ConsPlusNormal"/>
        <w:widowControl/>
        <w:spacing w:before="120" w:after="120"/>
        <w:jc w:val="both"/>
        <w:rPr>
          <w:rFonts w:ascii="Bookman Old Style" w:hAnsi="Bookman Old Style"/>
        </w:rPr>
      </w:pPr>
      <w:r>
        <w:rPr>
          <w:rFonts w:ascii="Bookman Old Style" w:hAnsi="Bookman Old Style"/>
        </w:rPr>
        <w:t xml:space="preserve">Исходя из представленных фактов, сравнительный подход будет использован для оценки  </w:t>
      </w:r>
      <w:r w:rsidR="005F6A69">
        <w:rPr>
          <w:rFonts w:ascii="Bookman Old Style" w:hAnsi="Bookman Old Style"/>
        </w:rPr>
        <w:t xml:space="preserve">части элементов </w:t>
      </w:r>
      <w:r>
        <w:rPr>
          <w:rFonts w:ascii="Bookman Old Style" w:hAnsi="Bookman Old Style"/>
        </w:rPr>
        <w:t xml:space="preserve">Объекта оценки, </w:t>
      </w:r>
      <w:r w:rsidR="008E12E7">
        <w:rPr>
          <w:rFonts w:ascii="Bookman Old Style" w:hAnsi="Bookman Old Style"/>
        </w:rPr>
        <w:t>т.к.</w:t>
      </w:r>
      <w:r>
        <w:rPr>
          <w:rFonts w:ascii="Bookman Old Style" w:hAnsi="Bookman Old Style"/>
        </w:rPr>
        <w:t xml:space="preserve"> выполняется условие применения данного</w:t>
      </w:r>
      <w:r w:rsidR="005737FE">
        <w:rPr>
          <w:rFonts w:ascii="Bookman Old Style" w:hAnsi="Bookman Old Style"/>
        </w:rPr>
        <w:t xml:space="preserve"> подхода согласно ст. 22 ФСО №1 и  ст. 22 ФСО № 7.</w:t>
      </w:r>
      <w:r w:rsidR="005F6A69">
        <w:rPr>
          <w:rFonts w:ascii="Bookman Old Style" w:hAnsi="Bookman Old Style"/>
        </w:rPr>
        <w:t xml:space="preserve"> </w:t>
      </w:r>
    </w:p>
    <w:p w:rsidR="00AA2D36" w:rsidRPr="000877E7" w:rsidRDefault="00AA2D36" w:rsidP="000877E7">
      <w:pPr>
        <w:pStyle w:val="3"/>
        <w:rPr>
          <w:rFonts w:ascii="Bookman Old Style" w:hAnsi="Bookman Old Style"/>
          <w:sz w:val="20"/>
          <w:szCs w:val="20"/>
        </w:rPr>
      </w:pPr>
      <w:bookmarkStart w:id="244" w:name="_Toc461375592"/>
      <w:r w:rsidRPr="000877E7">
        <w:rPr>
          <w:rFonts w:ascii="Bookman Old Style" w:hAnsi="Bookman Old Style"/>
          <w:sz w:val="20"/>
          <w:szCs w:val="20"/>
        </w:rPr>
        <w:t>5.2.2.2. Обоснование выбора методов сравнительного подхода</w:t>
      </w:r>
      <w:bookmarkEnd w:id="244"/>
    </w:p>
    <w:p w:rsidR="00F53AE8" w:rsidRDefault="0067070B" w:rsidP="00CD4611">
      <w:pPr>
        <w:spacing w:before="120" w:after="120"/>
        <w:ind w:firstLine="709"/>
        <w:jc w:val="both"/>
        <w:rPr>
          <w:rFonts w:ascii="Bookman Old Style" w:hAnsi="Bookman Old Style"/>
          <w:sz w:val="20"/>
          <w:szCs w:val="20"/>
        </w:rPr>
      </w:pPr>
      <w:r>
        <w:rPr>
          <w:rFonts w:ascii="Bookman Old Style" w:hAnsi="Bookman Old Style"/>
          <w:sz w:val="20"/>
          <w:szCs w:val="20"/>
        </w:rPr>
        <w:t>При расчете стоимости О</w:t>
      </w:r>
      <w:r w:rsidR="00F53AE8" w:rsidRPr="0067070B">
        <w:rPr>
          <w:rFonts w:ascii="Bookman Old Style" w:hAnsi="Bookman Old Style"/>
          <w:sz w:val="20"/>
          <w:szCs w:val="20"/>
        </w:rPr>
        <w:t>бъекта оценки сравнительным подходом использ</w:t>
      </w:r>
      <w:r w:rsidR="002C5BF2">
        <w:rPr>
          <w:rFonts w:ascii="Bookman Old Style" w:hAnsi="Bookman Old Style"/>
          <w:sz w:val="20"/>
          <w:szCs w:val="20"/>
        </w:rPr>
        <w:t xml:space="preserve">ованы методы </w:t>
      </w:r>
      <w:r w:rsidR="00F53AE8" w:rsidRPr="0067070B">
        <w:rPr>
          <w:rFonts w:ascii="Bookman Old Style" w:hAnsi="Bookman Old Style"/>
          <w:sz w:val="20"/>
          <w:szCs w:val="20"/>
        </w:rPr>
        <w:t xml:space="preserve"> оценки</w:t>
      </w:r>
      <w:r w:rsidR="00F53AE8" w:rsidRPr="0067070B">
        <w:rPr>
          <w:rStyle w:val="aff0"/>
          <w:rFonts w:ascii="Bookman Old Style" w:hAnsi="Bookman Old Style"/>
          <w:sz w:val="20"/>
          <w:szCs w:val="20"/>
        </w:rPr>
        <w:footnoteReference w:id="38"/>
      </w:r>
      <w:r w:rsidR="00F53AE8" w:rsidRPr="0067070B">
        <w:rPr>
          <w:rFonts w:ascii="Bookman Old Style" w:hAnsi="Bookman Old Style"/>
          <w:sz w:val="20"/>
          <w:szCs w:val="20"/>
        </w:rPr>
        <w:t>:</w:t>
      </w:r>
    </w:p>
    <w:p w:rsidR="00F74994" w:rsidRPr="00F74994" w:rsidRDefault="00F74994" w:rsidP="005F04AC">
      <w:pPr>
        <w:pStyle w:val="aff2"/>
        <w:numPr>
          <w:ilvl w:val="0"/>
          <w:numId w:val="25"/>
        </w:numPr>
        <w:autoSpaceDE w:val="0"/>
        <w:autoSpaceDN w:val="0"/>
        <w:adjustRightInd w:val="0"/>
        <w:spacing w:before="120" w:after="120"/>
        <w:contextualSpacing w:val="0"/>
        <w:rPr>
          <w:rFonts w:ascii="Bookman Old Style" w:hAnsi="Bookman Old Style" w:cs="Bookman Old Style"/>
          <w:sz w:val="20"/>
          <w:szCs w:val="20"/>
        </w:rPr>
      </w:pPr>
      <w:r w:rsidRPr="00F74994">
        <w:rPr>
          <w:rFonts w:ascii="Bookman Old Style" w:hAnsi="Bookman Old Style" w:cs="Bookman Old Style"/>
          <w:sz w:val="20"/>
          <w:szCs w:val="20"/>
        </w:rPr>
        <w:t>метод количественных корректировок, а также его сочетания с качественными методами оценки.</w:t>
      </w:r>
    </w:p>
    <w:p w:rsidR="00F74994" w:rsidRPr="00F74994" w:rsidRDefault="00F74994" w:rsidP="00CD4611">
      <w:pPr>
        <w:autoSpaceDE w:val="0"/>
        <w:autoSpaceDN w:val="0"/>
        <w:adjustRightInd w:val="0"/>
        <w:spacing w:before="120" w:after="120"/>
        <w:ind w:left="709"/>
        <w:rPr>
          <w:rFonts w:ascii="Bookman Old Style" w:hAnsi="Bookman Old Style" w:cs="Bookman Old Style"/>
          <w:sz w:val="20"/>
          <w:szCs w:val="20"/>
        </w:rPr>
      </w:pPr>
      <w:r>
        <w:rPr>
          <w:rFonts w:ascii="Bookman Old Style" w:hAnsi="Bookman Old Style" w:cs="Bookman Old Style"/>
          <w:sz w:val="20"/>
          <w:szCs w:val="20"/>
        </w:rPr>
        <w:t>Последовательность применения методов:</w:t>
      </w:r>
    </w:p>
    <w:p w:rsidR="00F74994" w:rsidRPr="00C329C9" w:rsidRDefault="00F74994" w:rsidP="005F04AC">
      <w:pPr>
        <w:pStyle w:val="aff2"/>
        <w:numPr>
          <w:ilvl w:val="0"/>
          <w:numId w:val="26"/>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C329C9">
        <w:rPr>
          <w:rFonts w:ascii="Bookman Old Style" w:hAnsi="Bookman Old Style" w:cs="Bookman Old Style"/>
          <w:sz w:val="20"/>
          <w:szCs w:val="20"/>
        </w:rPr>
        <w:t>При применении качественных методов оценка недвижимости выполняется путем изучения взаимосвязей, выявляемых на основе анализа цен сделок и (или) предложений с объектами-аналогами или соответствующей информации, полученной от экспертов, и использования этих взаимосвязей для проведения оценки в соответствии с технологией выбранного для оценки метода.</w:t>
      </w:r>
    </w:p>
    <w:p w:rsidR="00F74994" w:rsidRPr="00C329C9" w:rsidRDefault="00F74994" w:rsidP="005F04AC">
      <w:pPr>
        <w:pStyle w:val="aff2"/>
        <w:numPr>
          <w:ilvl w:val="0"/>
          <w:numId w:val="26"/>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C329C9">
        <w:rPr>
          <w:rFonts w:ascii="Bookman Old Style" w:hAnsi="Bookman Old Style" w:cs="Bookman Old Style"/>
          <w:sz w:val="20"/>
          <w:szCs w:val="20"/>
        </w:rPr>
        <w:t xml:space="preserve">При применении метода корректировок каждый объект-аналог сравнивается с объектом оценки по ценообразующим факторам (элементам сравнения), выявляются различия </w:t>
      </w:r>
      <w:r w:rsidRPr="00C329C9">
        <w:rPr>
          <w:rFonts w:ascii="Bookman Old Style" w:hAnsi="Bookman Old Style" w:cs="Bookman Old Style"/>
          <w:sz w:val="20"/>
          <w:szCs w:val="20"/>
        </w:rPr>
        <w:lastRenderedPageBreak/>
        <w:t>объектов по этим факторам и цена объекта-аналога или ее удельный показатель корректируется по выявленным различиям с целью дальнейшего определения стоимости объекта оценки. При этом корректировка по каждому элементу сравнения основывается на принципе вклада этого элемента в стоимость объекта.</w:t>
      </w:r>
    </w:p>
    <w:p w:rsidR="00F74994" w:rsidRPr="005D726A" w:rsidRDefault="00F74994" w:rsidP="00DA065B">
      <w:pPr>
        <w:pStyle w:val="aff2"/>
        <w:autoSpaceDE w:val="0"/>
        <w:autoSpaceDN w:val="0"/>
        <w:adjustRightInd w:val="0"/>
        <w:spacing w:before="120" w:after="120"/>
        <w:contextualSpacing w:val="0"/>
        <w:jc w:val="both"/>
        <w:rPr>
          <w:rFonts w:ascii="Bookman Old Style" w:hAnsi="Bookman Old Style" w:cs="Bookman Old Style"/>
          <w:sz w:val="20"/>
          <w:szCs w:val="20"/>
        </w:rPr>
      </w:pPr>
      <w:r>
        <w:rPr>
          <w:rFonts w:ascii="Bookman Old Style" w:hAnsi="Bookman Old Style" w:cs="Bookman Old Style"/>
          <w:sz w:val="20"/>
          <w:szCs w:val="20"/>
        </w:rPr>
        <w:t>Д</w:t>
      </w:r>
      <w:r w:rsidRPr="005D726A">
        <w:rPr>
          <w:rFonts w:ascii="Bookman Old Style" w:hAnsi="Bookman Old Style" w:cs="Bookman Old Style"/>
          <w:sz w:val="20"/>
          <w:szCs w:val="20"/>
        </w:rPr>
        <w:t>ля сравнения объекта оценки с другими объектами недвижимости, с которыми были совершены сделки или которые представлены на рынке для их совершения, использ</w:t>
      </w:r>
      <w:r>
        <w:rPr>
          <w:rFonts w:ascii="Bookman Old Style" w:hAnsi="Bookman Old Style" w:cs="Bookman Old Style"/>
          <w:sz w:val="20"/>
          <w:szCs w:val="20"/>
        </w:rPr>
        <w:t>ованы</w:t>
      </w:r>
      <w:r w:rsidRPr="005D726A">
        <w:rPr>
          <w:rFonts w:ascii="Bookman Old Style" w:hAnsi="Bookman Old Style" w:cs="Bookman Old Style"/>
          <w:sz w:val="20"/>
          <w:szCs w:val="20"/>
        </w:rPr>
        <w:t xml:space="preserve"> следующие элементы сравнения:</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передаваемые имущественные права, ограничения (обременения) этих прав;</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финансирования состоявшейся или предполагаемой сделки (вид оплаты, условия кредитования, иные условия);</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продажи (нетипичные для рынка условия, сделка между аффилированными лицами, иные условия);</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рынка (изменения цен за период между датами сделки и оценки, скидки к ценам предложений, иные условия);</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вид использования и (или) зонирование;</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местоположение объекта;</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физические характеристики объекта, в том числе, состояние объектов капитального строительства, соотношение площади земельного участка и площади его застройки, иные характеристики;</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экономические характеристики (уровень операционных расходов, условия аренды, состав арендаторов, иные характеристики);</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наличие движимого имущества, не связанного с недвижимостью;</w:t>
      </w:r>
    </w:p>
    <w:p w:rsidR="00F74994" w:rsidRPr="002C5BF2" w:rsidRDefault="00F74994"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другие характеристики (элементы), влияющие на стоимость;</w:t>
      </w:r>
    </w:p>
    <w:p w:rsidR="00F53AE8" w:rsidRDefault="00F53AE8" w:rsidP="00DA065B">
      <w:pPr>
        <w:spacing w:before="120" w:after="120"/>
        <w:ind w:firstLine="709"/>
        <w:jc w:val="both"/>
        <w:rPr>
          <w:rFonts w:ascii="Bookman Old Style" w:hAnsi="Bookman Old Style"/>
          <w:sz w:val="20"/>
          <w:szCs w:val="20"/>
        </w:rPr>
      </w:pPr>
      <w:r w:rsidRPr="009914D9">
        <w:rPr>
          <w:rFonts w:ascii="Bookman Old Style" w:hAnsi="Bookman Old Style"/>
          <w:sz w:val="20"/>
          <w:szCs w:val="20"/>
        </w:rPr>
        <w:t>Выбор метод</w:t>
      </w:r>
      <w:r w:rsidR="009914D9" w:rsidRPr="009914D9">
        <w:rPr>
          <w:rFonts w:ascii="Bookman Old Style" w:hAnsi="Bookman Old Style"/>
          <w:sz w:val="20"/>
          <w:szCs w:val="20"/>
        </w:rPr>
        <w:t>ов</w:t>
      </w:r>
      <w:r w:rsidRPr="009914D9">
        <w:rPr>
          <w:rFonts w:ascii="Bookman Old Style" w:hAnsi="Bookman Old Style"/>
          <w:sz w:val="20"/>
          <w:szCs w:val="20"/>
        </w:rPr>
        <w:t xml:space="preserve"> </w:t>
      </w:r>
      <w:r w:rsidR="00442D18" w:rsidRPr="009914D9">
        <w:rPr>
          <w:rFonts w:ascii="Bookman Old Style" w:hAnsi="Bookman Old Style"/>
          <w:sz w:val="20"/>
          <w:szCs w:val="20"/>
        </w:rPr>
        <w:t>сравнительного подхода</w:t>
      </w:r>
      <w:r w:rsidRPr="009914D9">
        <w:rPr>
          <w:rFonts w:ascii="Bookman Old Style" w:hAnsi="Bookman Old Style"/>
          <w:sz w:val="20"/>
          <w:szCs w:val="20"/>
        </w:rPr>
        <w:t xml:space="preserve"> обусловлен наличием достаточной и достоверной информации для их реализации в рамках </w:t>
      </w:r>
      <w:r w:rsidR="00442D18" w:rsidRPr="009914D9">
        <w:rPr>
          <w:rFonts w:ascii="Bookman Old Style" w:hAnsi="Bookman Old Style"/>
          <w:sz w:val="20"/>
          <w:szCs w:val="20"/>
        </w:rPr>
        <w:t>сравнительного</w:t>
      </w:r>
      <w:r w:rsidRPr="009914D9">
        <w:rPr>
          <w:rFonts w:ascii="Bookman Old Style" w:hAnsi="Bookman Old Style"/>
          <w:sz w:val="20"/>
          <w:szCs w:val="20"/>
        </w:rPr>
        <w:t xml:space="preserve"> подхода.</w:t>
      </w:r>
    </w:p>
    <w:p w:rsidR="00442D18" w:rsidRPr="00B76506" w:rsidRDefault="00442D18" w:rsidP="000877E7">
      <w:pPr>
        <w:pStyle w:val="3"/>
        <w:rPr>
          <w:rFonts w:ascii="Bookman Old Style" w:hAnsi="Bookman Old Style"/>
          <w:sz w:val="20"/>
          <w:szCs w:val="20"/>
        </w:rPr>
      </w:pPr>
      <w:bookmarkStart w:id="245" w:name="_Toc461375593"/>
      <w:r w:rsidRPr="00B76506">
        <w:rPr>
          <w:rFonts w:ascii="Bookman Old Style" w:hAnsi="Bookman Old Style"/>
          <w:sz w:val="20"/>
          <w:szCs w:val="20"/>
        </w:rPr>
        <w:t>5.2.3. Обоснование выбора подхода и методов доходного подхода</w:t>
      </w:r>
      <w:bookmarkEnd w:id="245"/>
    </w:p>
    <w:p w:rsidR="00442D18" w:rsidRPr="00B76506" w:rsidRDefault="00442D18" w:rsidP="000877E7">
      <w:pPr>
        <w:pStyle w:val="3"/>
        <w:rPr>
          <w:rFonts w:ascii="Bookman Old Style" w:hAnsi="Bookman Old Style"/>
          <w:sz w:val="20"/>
          <w:szCs w:val="20"/>
        </w:rPr>
      </w:pPr>
      <w:bookmarkStart w:id="246" w:name="_Toc461375594"/>
      <w:r w:rsidRPr="00B76506">
        <w:rPr>
          <w:rFonts w:ascii="Bookman Old Style" w:hAnsi="Bookman Old Style"/>
          <w:sz w:val="20"/>
          <w:szCs w:val="20"/>
        </w:rPr>
        <w:t>5.2.3.1. Обоснование применения, отказа от применения подхода</w:t>
      </w:r>
      <w:bookmarkEnd w:id="246"/>
      <w:r w:rsidRPr="00B76506">
        <w:rPr>
          <w:rFonts w:ascii="Bookman Old Style" w:hAnsi="Bookman Old Style"/>
          <w:sz w:val="20"/>
          <w:szCs w:val="20"/>
        </w:rPr>
        <w:t xml:space="preserve"> </w:t>
      </w:r>
    </w:p>
    <w:bookmarkEnd w:id="240"/>
    <w:bookmarkEnd w:id="241"/>
    <w:bookmarkEnd w:id="242"/>
    <w:bookmarkEnd w:id="243"/>
    <w:p w:rsidR="005E6C84" w:rsidRPr="00B76506" w:rsidRDefault="005E6C84" w:rsidP="00CC60F4">
      <w:pPr>
        <w:autoSpaceDE w:val="0"/>
        <w:autoSpaceDN w:val="0"/>
        <w:adjustRightInd w:val="0"/>
        <w:spacing w:before="120" w:after="120"/>
        <w:ind w:firstLine="720"/>
        <w:jc w:val="both"/>
        <w:rPr>
          <w:rFonts w:ascii="Bookman Old Style" w:hAnsi="Bookman Old Style" w:cs="Arial"/>
          <w:bCs/>
          <w:sz w:val="20"/>
          <w:szCs w:val="20"/>
        </w:rPr>
      </w:pPr>
      <w:r w:rsidRPr="00B76506">
        <w:rPr>
          <w:rFonts w:ascii="Bookman Old Style" w:hAnsi="Bookman Old Style" w:cs="Arial"/>
          <w:bCs/>
          <w:sz w:val="20"/>
          <w:szCs w:val="20"/>
        </w:rPr>
        <w:t>Согласно ст. 21 ФСО № 1:</w:t>
      </w:r>
    </w:p>
    <w:p w:rsidR="005E6C84" w:rsidRPr="00B76506" w:rsidRDefault="005E6C84" w:rsidP="00CC60F4">
      <w:pPr>
        <w:autoSpaceDE w:val="0"/>
        <w:autoSpaceDN w:val="0"/>
        <w:adjustRightInd w:val="0"/>
        <w:spacing w:before="120" w:after="120"/>
        <w:ind w:firstLine="720"/>
        <w:jc w:val="both"/>
        <w:rPr>
          <w:rFonts w:ascii="Bookman Old Style" w:hAnsi="Bookman Old Style" w:cs="Arial"/>
          <w:bCs/>
          <w:i/>
          <w:sz w:val="20"/>
          <w:szCs w:val="20"/>
        </w:rPr>
      </w:pPr>
      <w:r w:rsidRPr="00B76506">
        <w:rPr>
          <w:rFonts w:ascii="Bookman Old Style" w:hAnsi="Bookman Old Style" w:cs="Arial"/>
          <w:bCs/>
          <w:i/>
          <w:sz w:val="20"/>
          <w:szCs w:val="20"/>
        </w:rPr>
        <w:t>«Доходный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w:t>
      </w:r>
    </w:p>
    <w:p w:rsidR="0021784F" w:rsidRPr="003641F2" w:rsidRDefault="0021784F" w:rsidP="00CC60F4">
      <w:pPr>
        <w:autoSpaceDE w:val="0"/>
        <w:autoSpaceDN w:val="0"/>
        <w:adjustRightInd w:val="0"/>
        <w:spacing w:before="120" w:after="120"/>
        <w:ind w:firstLine="709"/>
        <w:jc w:val="both"/>
        <w:rPr>
          <w:rFonts w:ascii="Bookman Old Style" w:hAnsi="Bookman Old Style" w:cs="Arial"/>
          <w:color w:val="000000"/>
          <w:sz w:val="20"/>
          <w:szCs w:val="20"/>
        </w:rPr>
      </w:pPr>
      <w:r w:rsidRPr="00B76506">
        <w:rPr>
          <w:rFonts w:ascii="Bookman Old Style" w:hAnsi="Bookman Old Style" w:cs="Arial"/>
          <w:color w:val="000000"/>
          <w:sz w:val="20"/>
          <w:szCs w:val="20"/>
        </w:rPr>
        <w:t>В соответствии с ФСО № 7:</w:t>
      </w:r>
    </w:p>
    <w:p w:rsidR="0021784F" w:rsidRPr="003641F2" w:rsidRDefault="0021784F" w:rsidP="00CC60F4">
      <w:pPr>
        <w:autoSpaceDE w:val="0"/>
        <w:autoSpaceDN w:val="0"/>
        <w:adjustRightInd w:val="0"/>
        <w:spacing w:before="120" w:after="120"/>
        <w:ind w:firstLine="720"/>
        <w:jc w:val="both"/>
        <w:rPr>
          <w:rFonts w:ascii="Bookman Old Style" w:hAnsi="Bookman Old Style" w:cs="Arial"/>
          <w:bCs/>
          <w:i/>
          <w:sz w:val="20"/>
          <w:szCs w:val="20"/>
        </w:rPr>
      </w:pPr>
      <w:r w:rsidRPr="003641F2">
        <w:rPr>
          <w:rFonts w:ascii="Bookman Old Style" w:hAnsi="Bookman Old Style" w:cs="Bookman Old Style"/>
          <w:i/>
          <w:sz w:val="20"/>
          <w:szCs w:val="20"/>
        </w:rPr>
        <w:t>«Доходный подход применяется для оценки недвижимости, генерирующей или способной генерировать потоки доходов»</w:t>
      </w:r>
    </w:p>
    <w:p w:rsidR="005E6C84" w:rsidRPr="003641F2" w:rsidRDefault="0021784F" w:rsidP="00CC60F4">
      <w:pPr>
        <w:autoSpaceDE w:val="0"/>
        <w:autoSpaceDN w:val="0"/>
        <w:adjustRightInd w:val="0"/>
        <w:spacing w:before="120" w:after="120"/>
        <w:ind w:firstLine="720"/>
        <w:jc w:val="both"/>
        <w:rPr>
          <w:rFonts w:ascii="Bookman Old Style" w:hAnsi="Bookman Old Style" w:cs="Arial"/>
          <w:bCs/>
          <w:sz w:val="20"/>
          <w:szCs w:val="20"/>
        </w:rPr>
      </w:pPr>
      <w:r w:rsidRPr="003641F2">
        <w:rPr>
          <w:rFonts w:ascii="Bookman Old Style" w:hAnsi="Bookman Old Style" w:cs="Arial"/>
          <w:bCs/>
          <w:sz w:val="20"/>
          <w:szCs w:val="20"/>
        </w:rPr>
        <w:t>Изучив количественные и качественные характеристики элементов Объекта оценки, материалы анализа рынка и наиболее эффективного использования, оценщик сделал следующие выводы:</w:t>
      </w:r>
    </w:p>
    <w:p w:rsidR="006A199E" w:rsidRPr="006A199E" w:rsidRDefault="006A199E" w:rsidP="00AB1FB9">
      <w:pPr>
        <w:numPr>
          <w:ilvl w:val="0"/>
          <w:numId w:val="12"/>
        </w:numPr>
        <w:autoSpaceDE w:val="0"/>
        <w:autoSpaceDN w:val="0"/>
        <w:adjustRightInd w:val="0"/>
        <w:spacing w:before="120" w:after="120"/>
        <w:jc w:val="both"/>
        <w:rPr>
          <w:rFonts w:ascii="Bookman Old Style" w:hAnsi="Bookman Old Style" w:cs="Arial"/>
          <w:bCs/>
          <w:sz w:val="20"/>
          <w:szCs w:val="20"/>
        </w:rPr>
      </w:pPr>
      <w:r w:rsidRPr="006A199E">
        <w:rPr>
          <w:rFonts w:ascii="Bookman Old Style" w:hAnsi="Bookman Old Style" w:cs="Arial"/>
          <w:bCs/>
          <w:sz w:val="20"/>
          <w:szCs w:val="20"/>
        </w:rPr>
        <w:t>В рамках доходного подхода стоимость недвижимости определяется методами прямой капитализации, методами дисконтирования денежных потоков или методом капитализации по расчетным моделям</w:t>
      </w:r>
    </w:p>
    <w:p w:rsidR="00177A72" w:rsidRDefault="006A199E" w:rsidP="00AB1FB9">
      <w:pPr>
        <w:numPr>
          <w:ilvl w:val="0"/>
          <w:numId w:val="12"/>
        </w:numPr>
        <w:autoSpaceDE w:val="0"/>
        <w:autoSpaceDN w:val="0"/>
        <w:adjustRightInd w:val="0"/>
        <w:spacing w:before="120" w:after="120"/>
        <w:jc w:val="both"/>
        <w:rPr>
          <w:rFonts w:ascii="Bookman Old Style" w:hAnsi="Bookman Old Style" w:cs="Arial"/>
          <w:bCs/>
          <w:sz w:val="20"/>
          <w:szCs w:val="20"/>
        </w:rPr>
      </w:pPr>
      <w:r w:rsidRPr="006A199E">
        <w:rPr>
          <w:rFonts w:ascii="Bookman Old Style" w:hAnsi="Bookman Old Style" w:cs="Arial"/>
          <w:bCs/>
          <w:sz w:val="20"/>
          <w:szCs w:val="20"/>
        </w:rPr>
        <w:t>Проведенный анализ количественных и качественных характеристик Объекта оценки, определил возможность спрогнозировать доходы от эксплуатации оцениваемых объектов, а также связанные с этой эксплуатацией расходы</w:t>
      </w:r>
      <w:r w:rsidR="00177A72" w:rsidRPr="00177A72">
        <w:rPr>
          <w:rFonts w:ascii="Bookman Old Style" w:hAnsi="Bookman Old Style" w:cs="Arial"/>
          <w:bCs/>
          <w:sz w:val="20"/>
          <w:szCs w:val="20"/>
        </w:rPr>
        <w:t>.</w:t>
      </w:r>
      <w:r>
        <w:rPr>
          <w:rFonts w:ascii="Bookman Old Style" w:hAnsi="Bookman Old Style" w:cs="Arial"/>
          <w:bCs/>
          <w:sz w:val="20"/>
          <w:szCs w:val="20"/>
        </w:rPr>
        <w:t xml:space="preserve"> </w:t>
      </w:r>
    </w:p>
    <w:p w:rsidR="005F6A69" w:rsidRPr="005F6A69" w:rsidRDefault="005F6A69" w:rsidP="005F6A69">
      <w:pPr>
        <w:numPr>
          <w:ilvl w:val="0"/>
          <w:numId w:val="12"/>
        </w:numPr>
        <w:autoSpaceDE w:val="0"/>
        <w:autoSpaceDN w:val="0"/>
        <w:adjustRightInd w:val="0"/>
        <w:spacing w:before="120" w:after="120"/>
        <w:jc w:val="both"/>
        <w:rPr>
          <w:rFonts w:ascii="Bookman Old Style" w:hAnsi="Bookman Old Style" w:cs="Arial"/>
          <w:bCs/>
          <w:sz w:val="20"/>
          <w:szCs w:val="20"/>
        </w:rPr>
      </w:pPr>
      <w:r w:rsidRPr="005F6A69">
        <w:rPr>
          <w:rFonts w:ascii="Bookman Old Style" w:hAnsi="Bookman Old Style" w:cs="Arial"/>
          <w:bCs/>
          <w:sz w:val="20"/>
          <w:szCs w:val="20"/>
        </w:rPr>
        <w:t>При расчете стоимости оборудования доходный подход не применим в силу того что, понятие дохода связывается с конкретным производством или оказанием услуг, то доходный подход малоэффективен при оценке отдельных видов сре</w:t>
      </w:r>
      <w:proofErr w:type="gramStart"/>
      <w:r w:rsidRPr="005F6A69">
        <w:rPr>
          <w:rFonts w:ascii="Bookman Old Style" w:hAnsi="Bookman Old Style" w:cs="Arial"/>
          <w:bCs/>
          <w:sz w:val="20"/>
          <w:szCs w:val="20"/>
        </w:rPr>
        <w:t>дств тр</w:t>
      </w:r>
      <w:proofErr w:type="gramEnd"/>
      <w:r w:rsidRPr="005F6A69">
        <w:rPr>
          <w:rFonts w:ascii="Bookman Old Style" w:hAnsi="Bookman Old Style" w:cs="Arial"/>
          <w:bCs/>
          <w:sz w:val="20"/>
          <w:szCs w:val="20"/>
        </w:rPr>
        <w:t>уда, включая машины и оборудование, которые, как правило, являются элементами системы, приносящей доход. Ставки арендной платы, позволяющие сопоставить уровень доходов от эксплуатации объектов аналогов, на данный вид имущества – отсутствуют</w:t>
      </w:r>
    </w:p>
    <w:p w:rsidR="005E6C84" w:rsidRPr="003641F2" w:rsidRDefault="005E6C84" w:rsidP="00442D18">
      <w:pPr>
        <w:autoSpaceDE w:val="0"/>
        <w:autoSpaceDN w:val="0"/>
        <w:adjustRightInd w:val="0"/>
        <w:spacing w:before="120" w:after="120"/>
        <w:ind w:firstLine="720"/>
        <w:jc w:val="both"/>
        <w:rPr>
          <w:rFonts w:ascii="Bookman Old Style" w:hAnsi="Bookman Old Style" w:cs="Arial"/>
          <w:bCs/>
          <w:sz w:val="20"/>
          <w:szCs w:val="20"/>
        </w:rPr>
      </w:pPr>
      <w:r w:rsidRPr="003641F2">
        <w:rPr>
          <w:rFonts w:ascii="Bookman Old Style" w:hAnsi="Bookman Old Style" w:cs="Arial"/>
          <w:bCs/>
          <w:sz w:val="20"/>
          <w:szCs w:val="20"/>
        </w:rPr>
        <w:t>Исходя из представленных фактов, доходный подход</w:t>
      </w:r>
      <w:r w:rsidR="00F3110C" w:rsidRPr="003641F2">
        <w:rPr>
          <w:rFonts w:ascii="Bookman Old Style" w:hAnsi="Bookman Old Style" w:cs="Arial"/>
          <w:bCs/>
          <w:sz w:val="20"/>
          <w:szCs w:val="20"/>
        </w:rPr>
        <w:t xml:space="preserve"> </w:t>
      </w:r>
      <w:r w:rsidRPr="003641F2">
        <w:rPr>
          <w:rFonts w:ascii="Bookman Old Style" w:hAnsi="Bookman Old Style" w:cs="Arial"/>
          <w:bCs/>
          <w:sz w:val="20"/>
          <w:szCs w:val="20"/>
        </w:rPr>
        <w:t xml:space="preserve">будет использован для оценки </w:t>
      </w:r>
      <w:r w:rsidR="005F6A69">
        <w:rPr>
          <w:rFonts w:ascii="Bookman Old Style" w:hAnsi="Bookman Old Style" w:cs="Arial"/>
          <w:bCs/>
          <w:sz w:val="20"/>
          <w:szCs w:val="20"/>
        </w:rPr>
        <w:t xml:space="preserve">части элементов </w:t>
      </w:r>
      <w:r w:rsidRPr="003641F2">
        <w:rPr>
          <w:rFonts w:ascii="Bookman Old Style" w:hAnsi="Bookman Old Style" w:cs="Arial"/>
          <w:bCs/>
          <w:sz w:val="20"/>
          <w:szCs w:val="20"/>
        </w:rPr>
        <w:t>Объекта оценки, так как</w:t>
      </w:r>
      <w:r w:rsidR="003641F2" w:rsidRPr="003641F2">
        <w:rPr>
          <w:rFonts w:ascii="Bookman Old Style" w:hAnsi="Bookman Old Style" w:cs="Arial"/>
          <w:bCs/>
          <w:sz w:val="20"/>
          <w:szCs w:val="20"/>
        </w:rPr>
        <w:t xml:space="preserve"> </w:t>
      </w:r>
      <w:r w:rsidRPr="003641F2">
        <w:rPr>
          <w:rFonts w:ascii="Bookman Old Style" w:hAnsi="Bookman Old Style" w:cs="Arial"/>
          <w:bCs/>
          <w:sz w:val="20"/>
          <w:szCs w:val="20"/>
        </w:rPr>
        <w:t>выполняется условие применения данного</w:t>
      </w:r>
      <w:r w:rsidR="00F3110C" w:rsidRPr="003641F2">
        <w:rPr>
          <w:rFonts w:ascii="Bookman Old Style" w:hAnsi="Bookman Old Style" w:cs="Arial"/>
          <w:bCs/>
          <w:sz w:val="20"/>
          <w:szCs w:val="20"/>
        </w:rPr>
        <w:t xml:space="preserve"> подхода согласно ст. 21 ФСО №</w:t>
      </w:r>
      <w:r w:rsidR="002C5BF2" w:rsidRPr="003641F2">
        <w:rPr>
          <w:rFonts w:ascii="Bookman Old Style" w:hAnsi="Bookman Old Style" w:cs="Arial"/>
          <w:bCs/>
          <w:sz w:val="20"/>
          <w:szCs w:val="20"/>
        </w:rPr>
        <w:t xml:space="preserve"> </w:t>
      </w:r>
      <w:r w:rsidR="00F3110C" w:rsidRPr="003641F2">
        <w:rPr>
          <w:rFonts w:ascii="Bookman Old Style" w:hAnsi="Bookman Old Style" w:cs="Arial"/>
          <w:bCs/>
          <w:sz w:val="20"/>
          <w:szCs w:val="20"/>
        </w:rPr>
        <w:t>1 и ст. 23 ФСО № 7.</w:t>
      </w:r>
    </w:p>
    <w:p w:rsidR="00442D18" w:rsidRPr="008474E1" w:rsidRDefault="00442D18" w:rsidP="00DA065B">
      <w:pPr>
        <w:pStyle w:val="3"/>
        <w:spacing w:after="120"/>
        <w:rPr>
          <w:rFonts w:ascii="Bookman Old Style" w:hAnsi="Bookman Old Style"/>
          <w:sz w:val="20"/>
          <w:szCs w:val="20"/>
        </w:rPr>
      </w:pPr>
      <w:bookmarkStart w:id="247" w:name="_Toc461375595"/>
      <w:r w:rsidRPr="008474E1">
        <w:rPr>
          <w:rFonts w:ascii="Bookman Old Style" w:hAnsi="Bookman Old Style"/>
          <w:sz w:val="20"/>
          <w:szCs w:val="20"/>
        </w:rPr>
        <w:lastRenderedPageBreak/>
        <w:t>5.2.3.2. Обоснование выбора методов доходного подхода</w:t>
      </w:r>
      <w:bookmarkEnd w:id="247"/>
    </w:p>
    <w:p w:rsidR="006A199E" w:rsidRPr="006A199E" w:rsidRDefault="006A199E" w:rsidP="006A199E">
      <w:pPr>
        <w:spacing w:before="120" w:after="120"/>
        <w:ind w:firstLine="709"/>
        <w:jc w:val="both"/>
        <w:rPr>
          <w:rFonts w:ascii="Bookman Old Style" w:hAnsi="Bookman Old Style"/>
          <w:sz w:val="20"/>
          <w:szCs w:val="20"/>
        </w:rPr>
      </w:pPr>
      <w:bookmarkStart w:id="248" w:name="_Toc365041373"/>
      <w:bookmarkStart w:id="249" w:name="_Toc170273673"/>
      <w:bookmarkStart w:id="250" w:name="_Toc200193974"/>
      <w:bookmarkEnd w:id="144"/>
      <w:bookmarkEnd w:id="145"/>
      <w:bookmarkEnd w:id="146"/>
      <w:bookmarkEnd w:id="156"/>
      <w:bookmarkEnd w:id="157"/>
      <w:bookmarkEnd w:id="158"/>
      <w:r w:rsidRPr="006A199E">
        <w:rPr>
          <w:rFonts w:ascii="Bookman Old Style" w:hAnsi="Bookman Old Style"/>
          <w:sz w:val="20"/>
          <w:szCs w:val="20"/>
        </w:rPr>
        <w:t>При расчете стоимости Объекта оценки доходным подходом использован метод  оценки</w:t>
      </w:r>
      <w:r w:rsidRPr="006A199E">
        <w:rPr>
          <w:rFonts w:ascii="Bookman Old Style" w:hAnsi="Bookman Old Style"/>
          <w:sz w:val="20"/>
          <w:szCs w:val="20"/>
          <w:vertAlign w:val="superscript"/>
        </w:rPr>
        <w:footnoteReference w:id="39"/>
      </w:r>
      <w:r w:rsidRPr="006A199E">
        <w:rPr>
          <w:rFonts w:ascii="Bookman Old Style" w:hAnsi="Bookman Old Style"/>
          <w:sz w:val="20"/>
          <w:szCs w:val="20"/>
        </w:rPr>
        <w:t>:</w:t>
      </w:r>
    </w:p>
    <w:p w:rsidR="006A199E" w:rsidRPr="006A199E" w:rsidRDefault="006A199E" w:rsidP="005F04AC">
      <w:pPr>
        <w:numPr>
          <w:ilvl w:val="0"/>
          <w:numId w:val="44"/>
        </w:numPr>
        <w:spacing w:before="120" w:after="120"/>
        <w:jc w:val="both"/>
        <w:rPr>
          <w:rFonts w:ascii="Bookman Old Style" w:hAnsi="Bookman Old Style"/>
          <w:sz w:val="20"/>
          <w:szCs w:val="20"/>
        </w:rPr>
      </w:pPr>
      <w:r w:rsidRPr="006A199E">
        <w:rPr>
          <w:rFonts w:ascii="Bookman Old Style" w:hAnsi="Bookman Old Style"/>
          <w:sz w:val="20"/>
          <w:szCs w:val="20"/>
        </w:rPr>
        <w:t>Метод капитализации по расчетной модели.</w:t>
      </w:r>
    </w:p>
    <w:p w:rsidR="006A199E" w:rsidRPr="006A199E" w:rsidRDefault="006A199E" w:rsidP="006A199E">
      <w:pPr>
        <w:spacing w:before="120" w:after="120"/>
        <w:ind w:left="720"/>
        <w:jc w:val="both"/>
        <w:rPr>
          <w:rFonts w:ascii="Bookman Old Style" w:hAnsi="Bookman Old Style"/>
          <w:sz w:val="20"/>
          <w:szCs w:val="20"/>
        </w:rPr>
      </w:pPr>
      <w:r w:rsidRPr="006A199E">
        <w:rPr>
          <w:rFonts w:ascii="Bookman Old Style" w:hAnsi="Bookman Old Style"/>
          <w:sz w:val="20"/>
          <w:szCs w:val="20"/>
        </w:rPr>
        <w:t>Метод используется для недвижимости генерирующей регулярные потоки доходов с ожидаемой динамикой их изменения. Капитализация таких доходов проводится по общей ставке капитализации, конструируемой на основе ставки дисконтирования, применяемой в расчет модели возврата капитала, способов и условия финансирования, а также изменений доходов и стоимости недвижимости в будущем.</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Допущения </w:t>
      </w:r>
      <w:proofErr w:type="gramStart"/>
      <w:r w:rsidRPr="006A199E">
        <w:rPr>
          <w:rFonts w:ascii="Bookman Old Style" w:hAnsi="Bookman Old Style"/>
          <w:sz w:val="20"/>
          <w:szCs w:val="20"/>
        </w:rPr>
        <w:t>о</w:t>
      </w:r>
      <w:proofErr w:type="gramEnd"/>
      <w:r w:rsidRPr="006A199E">
        <w:rPr>
          <w:rFonts w:ascii="Bookman Old Style" w:hAnsi="Bookman Old Style"/>
          <w:sz w:val="20"/>
          <w:szCs w:val="20"/>
        </w:rPr>
        <w:t xml:space="preserve"> ограничения использования метода: </w:t>
      </w:r>
    </w:p>
    <w:p w:rsidR="006A199E" w:rsidRPr="006A199E" w:rsidRDefault="006A199E" w:rsidP="005F04AC">
      <w:pPr>
        <w:numPr>
          <w:ilvl w:val="0"/>
          <w:numId w:val="43"/>
        </w:numPr>
        <w:spacing w:before="120" w:after="120"/>
        <w:rPr>
          <w:rFonts w:ascii="Bookman Old Style" w:hAnsi="Bookman Old Style"/>
          <w:sz w:val="20"/>
          <w:szCs w:val="20"/>
        </w:rPr>
      </w:pPr>
      <w:r w:rsidRPr="006A199E">
        <w:rPr>
          <w:rFonts w:ascii="Bookman Old Style" w:hAnsi="Bookman Old Style"/>
          <w:sz w:val="20"/>
          <w:szCs w:val="20"/>
        </w:rPr>
        <w:t xml:space="preserve">Применяемая в расчете модель </w:t>
      </w:r>
      <w:proofErr w:type="spellStart"/>
      <w:r w:rsidRPr="006A199E">
        <w:rPr>
          <w:rFonts w:ascii="Bookman Old Style" w:hAnsi="Bookman Old Style"/>
          <w:sz w:val="20"/>
          <w:szCs w:val="20"/>
        </w:rPr>
        <w:t>Инвуда</w:t>
      </w:r>
      <w:proofErr w:type="spellEnd"/>
      <w:r w:rsidRPr="006A199E">
        <w:rPr>
          <w:rFonts w:ascii="Bookman Old Style" w:hAnsi="Bookman Old Style"/>
          <w:sz w:val="20"/>
          <w:szCs w:val="20"/>
        </w:rPr>
        <w:t xml:space="preserve"> получена из традиционной формулы дисконтирования денежного потока и при одинаковых допущениях приводит к одним и тем же результатам. </w:t>
      </w:r>
    </w:p>
    <w:p w:rsidR="006A199E" w:rsidRPr="006A199E" w:rsidRDefault="006A199E" w:rsidP="005F04AC">
      <w:pPr>
        <w:numPr>
          <w:ilvl w:val="0"/>
          <w:numId w:val="43"/>
        </w:numPr>
        <w:spacing w:before="120" w:after="120"/>
        <w:jc w:val="both"/>
        <w:rPr>
          <w:rFonts w:ascii="Bookman Old Style" w:hAnsi="Bookman Old Style"/>
          <w:sz w:val="20"/>
          <w:szCs w:val="20"/>
        </w:rPr>
      </w:pPr>
      <w:r w:rsidRPr="006A199E">
        <w:rPr>
          <w:rFonts w:ascii="Bookman Old Style" w:hAnsi="Bookman Old Style"/>
          <w:sz w:val="20"/>
          <w:szCs w:val="20"/>
        </w:rPr>
        <w:t>В качестве прогнозного периода принимается ожидаемый срок эксплуатации объекта.</w:t>
      </w:r>
    </w:p>
    <w:p w:rsidR="006A199E" w:rsidRPr="006A199E" w:rsidRDefault="006A199E" w:rsidP="005F04AC">
      <w:pPr>
        <w:numPr>
          <w:ilvl w:val="0"/>
          <w:numId w:val="43"/>
        </w:numPr>
        <w:spacing w:before="120" w:after="120"/>
        <w:jc w:val="both"/>
        <w:rPr>
          <w:rFonts w:ascii="Bookman Old Style" w:hAnsi="Bookman Old Style"/>
          <w:sz w:val="20"/>
          <w:szCs w:val="20"/>
        </w:rPr>
      </w:pPr>
      <w:r w:rsidRPr="006A199E">
        <w:rPr>
          <w:rFonts w:ascii="Bookman Old Style" w:hAnsi="Bookman Old Style"/>
          <w:sz w:val="20"/>
          <w:szCs w:val="20"/>
        </w:rPr>
        <w:t>В течени</w:t>
      </w:r>
      <w:proofErr w:type="gramStart"/>
      <w:r w:rsidRPr="006A199E">
        <w:rPr>
          <w:rFonts w:ascii="Bookman Old Style" w:hAnsi="Bookman Old Style"/>
          <w:sz w:val="20"/>
          <w:szCs w:val="20"/>
        </w:rPr>
        <w:t>и</w:t>
      </w:r>
      <w:proofErr w:type="gramEnd"/>
      <w:r w:rsidRPr="006A199E">
        <w:rPr>
          <w:rFonts w:ascii="Bookman Old Style" w:hAnsi="Bookman Old Style"/>
          <w:sz w:val="20"/>
          <w:szCs w:val="20"/>
        </w:rPr>
        <w:t xml:space="preserve"> всего срока эксплуатации объект приносит постоянный доход.</w:t>
      </w:r>
    </w:p>
    <w:p w:rsidR="006A199E" w:rsidRPr="006A199E" w:rsidRDefault="006A199E" w:rsidP="005F04AC">
      <w:pPr>
        <w:numPr>
          <w:ilvl w:val="0"/>
          <w:numId w:val="43"/>
        </w:numPr>
        <w:spacing w:before="120" w:after="120"/>
        <w:jc w:val="both"/>
        <w:rPr>
          <w:rFonts w:ascii="Bookman Old Style" w:hAnsi="Bookman Old Style"/>
          <w:sz w:val="20"/>
          <w:szCs w:val="20"/>
        </w:rPr>
      </w:pPr>
      <w:r w:rsidRPr="006A199E">
        <w:rPr>
          <w:rFonts w:ascii="Bookman Old Style" w:hAnsi="Bookman Old Style"/>
          <w:sz w:val="20"/>
          <w:szCs w:val="20"/>
        </w:rPr>
        <w:t>Ежегодные платежи образованные чистым операционным доходом поступают в конце каждого периода.</w:t>
      </w:r>
    </w:p>
    <w:p w:rsidR="006A199E" w:rsidRPr="006A199E" w:rsidRDefault="006A199E" w:rsidP="005F04AC">
      <w:pPr>
        <w:numPr>
          <w:ilvl w:val="0"/>
          <w:numId w:val="43"/>
        </w:numPr>
        <w:spacing w:before="120" w:after="120"/>
        <w:jc w:val="both"/>
        <w:rPr>
          <w:rFonts w:ascii="Bookman Old Style" w:hAnsi="Bookman Old Style"/>
          <w:sz w:val="20"/>
          <w:szCs w:val="20"/>
        </w:rPr>
      </w:pPr>
      <w:r w:rsidRPr="006A199E">
        <w:rPr>
          <w:rFonts w:ascii="Bookman Old Style" w:hAnsi="Bookman Old Style"/>
          <w:sz w:val="20"/>
          <w:szCs w:val="20"/>
        </w:rPr>
        <w:t>По окончании срока эксплуатации объект полностью утрачивает свою стоимость.</w:t>
      </w:r>
    </w:p>
    <w:p w:rsidR="00DC434B" w:rsidRPr="00DC434B"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Выбор метода доходного подхода обусловлен наличием достаточной и достоверной информации для их реализации в рамках доходного подхода</w:t>
      </w:r>
      <w:r w:rsidR="00DC434B" w:rsidRPr="00DC434B">
        <w:rPr>
          <w:rFonts w:ascii="Bookman Old Style" w:hAnsi="Bookman Old Style"/>
          <w:sz w:val="20"/>
          <w:szCs w:val="20"/>
        </w:rPr>
        <w:t>.</w:t>
      </w:r>
    </w:p>
    <w:p w:rsidR="00413F32" w:rsidRPr="000877E7" w:rsidRDefault="00413F32" w:rsidP="000877E7">
      <w:pPr>
        <w:pStyle w:val="2"/>
        <w:rPr>
          <w:rFonts w:ascii="Bookman Old Style" w:hAnsi="Bookman Old Style"/>
          <w:b/>
          <w:sz w:val="20"/>
          <w:szCs w:val="20"/>
        </w:rPr>
      </w:pPr>
      <w:bookmarkStart w:id="251" w:name="_Toc461375596"/>
      <w:r w:rsidRPr="000877E7">
        <w:rPr>
          <w:rFonts w:ascii="Bookman Old Style" w:hAnsi="Bookman Old Style"/>
          <w:b/>
          <w:sz w:val="20"/>
          <w:szCs w:val="20"/>
        </w:rPr>
        <w:t>5.3. АНАЛИЗ НАИБОЛЕЕ ЭФФЕКТИВНОГО ИСПОЛЬЗОВАНИЯ</w:t>
      </w:r>
      <w:bookmarkEnd w:id="248"/>
      <w:bookmarkEnd w:id="251"/>
    </w:p>
    <w:p w:rsidR="00413F32" w:rsidRDefault="00413F32" w:rsidP="00434B45">
      <w:pPr>
        <w:spacing w:before="120" w:after="120"/>
        <w:jc w:val="both"/>
        <w:rPr>
          <w:rFonts w:ascii="Bookman Old Style" w:hAnsi="Bookman Old Style"/>
          <w:i/>
          <w:sz w:val="20"/>
          <w:szCs w:val="20"/>
        </w:rPr>
      </w:pPr>
      <w:r w:rsidRPr="00CF084F">
        <w:rPr>
          <w:rFonts w:ascii="Bookman Old Style" w:hAnsi="Bookman Old Style"/>
          <w:sz w:val="20"/>
          <w:szCs w:val="20"/>
        </w:rPr>
        <w:tab/>
        <w:t xml:space="preserve">ФСО № 1, статья 2, пункт 10: </w:t>
      </w:r>
      <w:r w:rsidRPr="002B2FED">
        <w:rPr>
          <w:rFonts w:ascii="Bookman Old Style" w:hAnsi="Bookman Old Style"/>
          <w:i/>
          <w:sz w:val="20"/>
          <w:szCs w:val="20"/>
        </w:rPr>
        <w:t xml:space="preserve">«При определении наиболее эффективного использования объекта оценки определяется использование объекта оценки, при котором его стоимость будет наибольшей». </w:t>
      </w:r>
    </w:p>
    <w:p w:rsidR="002B2FED" w:rsidRDefault="002B2FED" w:rsidP="00434B45">
      <w:pPr>
        <w:spacing w:before="120" w:after="120"/>
        <w:ind w:firstLine="709"/>
        <w:jc w:val="both"/>
        <w:rPr>
          <w:rFonts w:ascii="Bookman Old Style" w:hAnsi="Bookman Old Style"/>
          <w:sz w:val="20"/>
          <w:szCs w:val="20"/>
        </w:rPr>
      </w:pPr>
      <w:r>
        <w:rPr>
          <w:rFonts w:ascii="Bookman Old Style" w:hAnsi="Bookman Old Style"/>
          <w:sz w:val="20"/>
          <w:szCs w:val="20"/>
        </w:rPr>
        <w:t xml:space="preserve">ФСО № 7 Раздел  5: </w:t>
      </w:r>
    </w:p>
    <w:p w:rsidR="008F3634" w:rsidRPr="003A2BF2" w:rsidRDefault="00B557C0" w:rsidP="005F04AC">
      <w:pPr>
        <w:pStyle w:val="aff2"/>
        <w:numPr>
          <w:ilvl w:val="0"/>
          <w:numId w:val="37"/>
        </w:numPr>
        <w:spacing w:before="120" w:after="120"/>
        <w:jc w:val="both"/>
        <w:rPr>
          <w:rFonts w:ascii="Bookman Old Style" w:hAnsi="Bookman Old Style"/>
          <w:i/>
          <w:sz w:val="20"/>
          <w:szCs w:val="20"/>
        </w:rPr>
      </w:pPr>
      <w:r w:rsidRPr="003A2BF2">
        <w:rPr>
          <w:rFonts w:ascii="Bookman Old Style" w:hAnsi="Bookman Old Style"/>
          <w:sz w:val="20"/>
          <w:szCs w:val="20"/>
        </w:rPr>
        <w:t>Статья 12:</w:t>
      </w:r>
      <w:r w:rsidR="001C65EC" w:rsidRPr="003A2BF2">
        <w:rPr>
          <w:rFonts w:ascii="Bookman Old Style" w:hAnsi="Bookman Old Style"/>
          <w:i/>
          <w:sz w:val="20"/>
          <w:szCs w:val="20"/>
        </w:rPr>
        <w:t xml:space="preserve"> </w:t>
      </w:r>
      <w:r w:rsidR="002B2FED" w:rsidRPr="003A2BF2">
        <w:rPr>
          <w:rFonts w:ascii="Bookman Old Style" w:hAnsi="Bookman Old Style"/>
          <w:i/>
          <w:sz w:val="20"/>
          <w:szCs w:val="20"/>
        </w:rPr>
        <w:t>«Анализ наиболее эффективного использования лежит в основе оценок рыночной стоимости недвижимости».</w:t>
      </w:r>
    </w:p>
    <w:p w:rsidR="002B2FED" w:rsidRPr="003A2BF2" w:rsidRDefault="00B557C0" w:rsidP="005F04AC">
      <w:pPr>
        <w:pStyle w:val="aff2"/>
        <w:numPr>
          <w:ilvl w:val="0"/>
          <w:numId w:val="37"/>
        </w:numPr>
        <w:spacing w:before="120" w:after="120"/>
        <w:jc w:val="both"/>
        <w:rPr>
          <w:rFonts w:ascii="Bookman Old Style" w:hAnsi="Bookman Old Style"/>
          <w:i/>
          <w:sz w:val="20"/>
          <w:szCs w:val="20"/>
        </w:rPr>
      </w:pPr>
      <w:r w:rsidRPr="003A2BF2">
        <w:rPr>
          <w:rFonts w:ascii="Bookman Old Style" w:hAnsi="Bookman Old Style"/>
          <w:sz w:val="20"/>
          <w:szCs w:val="20"/>
        </w:rPr>
        <w:t>Статья 13:</w:t>
      </w:r>
      <w:r w:rsidRPr="003A2BF2">
        <w:rPr>
          <w:rFonts w:ascii="Bookman Old Style" w:hAnsi="Bookman Old Style"/>
          <w:i/>
          <w:sz w:val="20"/>
          <w:szCs w:val="20"/>
        </w:rPr>
        <w:t xml:space="preserve"> </w:t>
      </w:r>
      <w:r w:rsidR="002B2FED" w:rsidRPr="003A2BF2">
        <w:rPr>
          <w:rFonts w:ascii="Bookman Old Style" w:hAnsi="Bookman Old Style"/>
          <w:sz w:val="20"/>
          <w:szCs w:val="20"/>
        </w:rPr>
        <w:t>«</w:t>
      </w:r>
      <w:r w:rsidR="002B2FED" w:rsidRPr="003A2BF2">
        <w:rPr>
          <w:rFonts w:ascii="Bookman Old Style" w:hAnsi="Bookman Old Style"/>
          <w:i/>
          <w:sz w:val="20"/>
          <w:szCs w:val="20"/>
        </w:rPr>
        <w:t>Наиболее эффективное использование представляет собой такое использование недвижимости, которое максимизирует ее продуктивность (соответствует ее наибольшей стоимости) и которое физически возможно, юридически разрешено (на дату определения стоимости объекта оценки) и финансово оправдано».</w:t>
      </w:r>
    </w:p>
    <w:p w:rsidR="002B2FED" w:rsidRPr="003A2BF2" w:rsidRDefault="00B557C0" w:rsidP="005F04AC">
      <w:pPr>
        <w:pStyle w:val="aff2"/>
        <w:numPr>
          <w:ilvl w:val="0"/>
          <w:numId w:val="37"/>
        </w:numPr>
        <w:spacing w:before="120" w:after="120"/>
        <w:jc w:val="both"/>
        <w:rPr>
          <w:rFonts w:ascii="Bookman Old Style" w:hAnsi="Bookman Old Style" w:cs="Bookman Old Style"/>
          <w:i/>
          <w:sz w:val="20"/>
          <w:szCs w:val="20"/>
        </w:rPr>
      </w:pPr>
      <w:r w:rsidRPr="003A2BF2">
        <w:rPr>
          <w:rFonts w:ascii="Bookman Old Style" w:hAnsi="Bookman Old Style" w:cs="Bookman Old Style"/>
          <w:sz w:val="20"/>
          <w:szCs w:val="20"/>
        </w:rPr>
        <w:t>Статья 14:</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«Наиболее эффективное использование представляет собой такое использование недвижимости, которое максимизирует ее продуктивность (соответствует ее наибольшей стоимости) и которое физически возможно, юридически разрешено (на дату определения стоимости объекта оценки) и финансово оправдано».</w:t>
      </w:r>
    </w:p>
    <w:p w:rsidR="002B2FED" w:rsidRPr="003A2BF2" w:rsidRDefault="00B557C0" w:rsidP="005F04AC">
      <w:pPr>
        <w:pStyle w:val="aff2"/>
        <w:numPr>
          <w:ilvl w:val="0"/>
          <w:numId w:val="37"/>
        </w:numPr>
        <w:spacing w:before="120" w:after="120"/>
        <w:jc w:val="both"/>
        <w:rPr>
          <w:rFonts w:ascii="Bookman Old Style" w:hAnsi="Bookman Old Style" w:cs="Bookman Old Style"/>
          <w:i/>
          <w:sz w:val="20"/>
          <w:szCs w:val="20"/>
        </w:rPr>
      </w:pPr>
      <w:r w:rsidRPr="003A2BF2">
        <w:rPr>
          <w:rFonts w:ascii="Bookman Old Style" w:hAnsi="Bookman Old Style" w:cs="Bookman Old Style"/>
          <w:sz w:val="20"/>
          <w:szCs w:val="20"/>
        </w:rPr>
        <w:t>Статья 15:</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«Наиболее эффективное использование объекта недвижимости может соответствовать его фактическому использованию или предполагать иное использование, например ремонт (или реконструкцию) имеющихся на земельном участке объектов капитального строительства».</w:t>
      </w:r>
    </w:p>
    <w:p w:rsidR="002B2FED" w:rsidRPr="003A2BF2" w:rsidRDefault="00B557C0" w:rsidP="005F04AC">
      <w:pPr>
        <w:pStyle w:val="aff2"/>
        <w:numPr>
          <w:ilvl w:val="0"/>
          <w:numId w:val="37"/>
        </w:numPr>
        <w:spacing w:before="120" w:after="120"/>
        <w:jc w:val="both"/>
        <w:rPr>
          <w:rFonts w:ascii="Bookman Old Style" w:hAnsi="Bookman Old Style" w:cs="Bookman Old Style"/>
          <w:sz w:val="20"/>
          <w:szCs w:val="20"/>
        </w:rPr>
      </w:pPr>
      <w:r w:rsidRPr="003A2BF2">
        <w:rPr>
          <w:rFonts w:ascii="Bookman Old Style" w:hAnsi="Bookman Old Style" w:cs="Bookman Old Style"/>
          <w:sz w:val="20"/>
          <w:szCs w:val="20"/>
        </w:rPr>
        <w:t>Статья 16:</w:t>
      </w:r>
      <w:r w:rsidR="002B2FED" w:rsidRPr="003A2BF2">
        <w:rPr>
          <w:rFonts w:ascii="Bookman Old Style" w:hAnsi="Bookman Old Style" w:cs="Bookman Old Style"/>
          <w:i/>
          <w:sz w:val="20"/>
          <w:szCs w:val="20"/>
        </w:rPr>
        <w:t>«Анализ наиболее эффективного использования позволяет выявить наиболее прибыльное использование объекта недвижимости, на который ориентируются участники рынка (покупатели и продавцы) при формировании цены сделки. При определении рыночной стоимости оценщик руководствуется результатами этого анализа для выбора подходов и методов оценки объекта оценки и выбора сопоставимых объектов недвижимости при применении каждого подхода».</w:t>
      </w:r>
    </w:p>
    <w:p w:rsidR="002B2FED" w:rsidRPr="003A2BF2" w:rsidRDefault="00B557C0" w:rsidP="005F04AC">
      <w:pPr>
        <w:pStyle w:val="aff2"/>
        <w:numPr>
          <w:ilvl w:val="0"/>
          <w:numId w:val="37"/>
        </w:numPr>
        <w:spacing w:before="120" w:after="120"/>
        <w:jc w:val="both"/>
        <w:rPr>
          <w:rFonts w:ascii="Bookman Old Style" w:hAnsi="Bookman Old Style" w:cs="Bookman Old Style"/>
          <w:i/>
          <w:sz w:val="20"/>
          <w:szCs w:val="20"/>
        </w:rPr>
      </w:pPr>
      <w:r w:rsidRPr="003A2BF2">
        <w:rPr>
          <w:rFonts w:ascii="Bookman Old Style" w:hAnsi="Bookman Old Style" w:cs="Bookman Old Style"/>
          <w:sz w:val="20"/>
          <w:szCs w:val="20"/>
        </w:rPr>
        <w:t>Статья 17:</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«Анализ наиболее эффективного использования объекта оценки проводится, как правило, по объемно-планировочным и конструктивным решениям. Для объектов оценки, включающих в себя земельный участок и объекты капитального строительства, наиболее эффективное использование определяется с учетом имеющихся объектов капитального строительства. При этом такой анализ выполняется путем проведения необходимых для этого вычислений либо без них, если представлены обоснования, не требующие расчетов».</w:t>
      </w:r>
    </w:p>
    <w:p w:rsidR="002B2FED" w:rsidRPr="003A2BF2" w:rsidRDefault="00B557C0" w:rsidP="005F04AC">
      <w:pPr>
        <w:pStyle w:val="aff2"/>
        <w:numPr>
          <w:ilvl w:val="0"/>
          <w:numId w:val="37"/>
        </w:numPr>
        <w:tabs>
          <w:tab w:val="left" w:pos="2279"/>
        </w:tabs>
        <w:spacing w:before="120" w:after="120"/>
        <w:rPr>
          <w:rFonts w:ascii="Bookman Old Style" w:hAnsi="Bookman Old Style" w:cs="Bookman Old Style"/>
          <w:i/>
          <w:sz w:val="20"/>
          <w:szCs w:val="20"/>
        </w:rPr>
      </w:pPr>
      <w:r w:rsidRPr="003A2BF2">
        <w:rPr>
          <w:rFonts w:ascii="Bookman Old Style" w:hAnsi="Bookman Old Style" w:cs="Bookman Old Style"/>
          <w:sz w:val="20"/>
          <w:szCs w:val="20"/>
        </w:rPr>
        <w:lastRenderedPageBreak/>
        <w:t>Статья 18:</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«Анализ наиболее эффективного использования частей объекта недвижимости, например встроенных жилых и нежилых помещений, проводится с учетом фактического использования других частей этого объекта».</w:t>
      </w:r>
    </w:p>
    <w:p w:rsidR="002B2FED" w:rsidRPr="003A2BF2" w:rsidRDefault="00B557C0" w:rsidP="005F04AC">
      <w:pPr>
        <w:pStyle w:val="aff2"/>
        <w:numPr>
          <w:ilvl w:val="0"/>
          <w:numId w:val="37"/>
        </w:numPr>
        <w:spacing w:before="120" w:after="120"/>
        <w:rPr>
          <w:rFonts w:ascii="Bookman Old Style" w:hAnsi="Bookman Old Style" w:cs="Bookman Old Style"/>
          <w:i/>
          <w:sz w:val="20"/>
          <w:szCs w:val="20"/>
        </w:rPr>
      </w:pPr>
      <w:r w:rsidRPr="003A2BF2">
        <w:rPr>
          <w:rFonts w:ascii="Bookman Old Style" w:hAnsi="Bookman Old Style" w:cs="Bookman Old Style"/>
          <w:sz w:val="20"/>
          <w:szCs w:val="20"/>
        </w:rPr>
        <w:t>Статья 19:</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«Анализ наиболее эффективного использования части реконструируемого или подлежащего реконструкции объекта недвижимости проводится с учетом наиболее эффективного использования всего реконструируемого объекта недвижимости».</w:t>
      </w:r>
    </w:p>
    <w:p w:rsidR="002B2FED" w:rsidRPr="003A2BF2" w:rsidRDefault="00B557C0" w:rsidP="005F04AC">
      <w:pPr>
        <w:pStyle w:val="aff2"/>
        <w:numPr>
          <w:ilvl w:val="0"/>
          <w:numId w:val="37"/>
        </w:numPr>
        <w:spacing w:before="120" w:after="120"/>
        <w:rPr>
          <w:rFonts w:ascii="Bookman Old Style" w:hAnsi="Bookman Old Style" w:cs="Bookman Old Style"/>
          <w:i/>
          <w:sz w:val="20"/>
          <w:szCs w:val="20"/>
        </w:rPr>
      </w:pPr>
      <w:r w:rsidRPr="003A2BF2">
        <w:rPr>
          <w:rFonts w:ascii="Bookman Old Style" w:hAnsi="Bookman Old Style" w:cs="Bookman Old Style"/>
          <w:sz w:val="20"/>
          <w:szCs w:val="20"/>
        </w:rPr>
        <w:t>Статья 20:</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«Наиболее эффективное использование объекта недвижимости, оцениваемого в отдельности, может отличаться от его наиболее эффективного использования в составе оцениваемого комплекса объектов недвижимости».</w:t>
      </w:r>
    </w:p>
    <w:p w:rsidR="00413F32" w:rsidRDefault="002B2FED" w:rsidP="00434B45">
      <w:pPr>
        <w:spacing w:before="120" w:after="120"/>
        <w:ind w:firstLine="709"/>
        <w:jc w:val="both"/>
        <w:rPr>
          <w:rFonts w:ascii="Bookman Old Style" w:hAnsi="Bookman Old Style"/>
          <w:sz w:val="20"/>
          <w:szCs w:val="20"/>
        </w:rPr>
      </w:pPr>
      <w:r>
        <w:rPr>
          <w:rFonts w:ascii="Bookman Old Style" w:hAnsi="Bookman Old Style"/>
          <w:sz w:val="20"/>
          <w:szCs w:val="20"/>
        </w:rPr>
        <w:t>Исходя из изложенных п</w:t>
      </w:r>
      <w:r w:rsidR="00413F32" w:rsidRPr="00CF084F">
        <w:rPr>
          <w:rFonts w:ascii="Bookman Old Style" w:hAnsi="Bookman Old Style"/>
          <w:sz w:val="20"/>
          <w:szCs w:val="20"/>
        </w:rPr>
        <w:t>оняти</w:t>
      </w:r>
      <w:r>
        <w:rPr>
          <w:rFonts w:ascii="Bookman Old Style" w:hAnsi="Bookman Old Style"/>
          <w:sz w:val="20"/>
          <w:szCs w:val="20"/>
        </w:rPr>
        <w:t>й и определений</w:t>
      </w:r>
      <w:r w:rsidR="00E4209D">
        <w:rPr>
          <w:rFonts w:ascii="Bookman Old Style" w:hAnsi="Bookman Old Style"/>
          <w:sz w:val="20"/>
          <w:szCs w:val="20"/>
        </w:rPr>
        <w:t>, утвержденных законодательством РФ регулирующих оценочную деятельность,</w:t>
      </w:r>
      <w:r w:rsidR="00413F32" w:rsidRPr="00CF084F">
        <w:rPr>
          <w:rFonts w:ascii="Bookman Old Style" w:hAnsi="Bookman Old Style"/>
          <w:sz w:val="20"/>
          <w:szCs w:val="20"/>
        </w:rPr>
        <w:t xml:space="preserve"> </w:t>
      </w:r>
      <w:r>
        <w:rPr>
          <w:rFonts w:ascii="Bookman Old Style" w:hAnsi="Bookman Old Style"/>
          <w:sz w:val="20"/>
          <w:szCs w:val="20"/>
        </w:rPr>
        <w:t>анализ наиболее эффективного использования является</w:t>
      </w:r>
      <w:r w:rsidR="00413F32" w:rsidRPr="00CF084F">
        <w:rPr>
          <w:rFonts w:ascii="Bookman Old Style" w:hAnsi="Bookman Old Style"/>
          <w:sz w:val="20"/>
          <w:szCs w:val="20"/>
        </w:rPr>
        <w:t xml:space="preserve"> основополагающим, а также является неотъемлемой частью расчетов рыночной стоимости.</w:t>
      </w:r>
    </w:p>
    <w:p w:rsidR="00413F32" w:rsidRPr="000877E7" w:rsidRDefault="00413F32" w:rsidP="000877E7">
      <w:pPr>
        <w:pStyle w:val="3"/>
        <w:rPr>
          <w:rFonts w:ascii="Bookman Old Style" w:hAnsi="Bookman Old Style"/>
          <w:sz w:val="20"/>
          <w:szCs w:val="20"/>
        </w:rPr>
      </w:pPr>
      <w:bookmarkStart w:id="252" w:name="_Toc365041374"/>
      <w:bookmarkStart w:id="253" w:name="_Toc461375597"/>
      <w:r w:rsidRPr="000877E7">
        <w:rPr>
          <w:rFonts w:ascii="Bookman Old Style" w:hAnsi="Bookman Old Style"/>
          <w:sz w:val="20"/>
          <w:szCs w:val="20"/>
        </w:rPr>
        <w:t xml:space="preserve">5.3.1. </w:t>
      </w:r>
      <w:r w:rsidR="003F6B03" w:rsidRPr="000877E7">
        <w:rPr>
          <w:rFonts w:ascii="Bookman Old Style" w:hAnsi="Bookman Old Style"/>
          <w:sz w:val="20"/>
          <w:szCs w:val="20"/>
        </w:rPr>
        <w:t xml:space="preserve">Анализ </w:t>
      </w:r>
      <w:r w:rsidRPr="000877E7">
        <w:rPr>
          <w:rFonts w:ascii="Bookman Old Style" w:hAnsi="Bookman Old Style"/>
          <w:sz w:val="20"/>
          <w:szCs w:val="20"/>
        </w:rPr>
        <w:t>НЭИ</w:t>
      </w:r>
      <w:bookmarkEnd w:id="252"/>
      <w:bookmarkEnd w:id="253"/>
    </w:p>
    <w:p w:rsidR="003F6B03" w:rsidRDefault="003F6B03" w:rsidP="003F6B03">
      <w:pPr>
        <w:spacing w:before="120" w:after="120"/>
        <w:ind w:firstLine="709"/>
        <w:jc w:val="both"/>
        <w:rPr>
          <w:rFonts w:ascii="Bookman Old Style" w:hAnsi="Bookman Old Style"/>
          <w:sz w:val="20"/>
          <w:szCs w:val="20"/>
        </w:rPr>
      </w:pPr>
      <w:r>
        <w:rPr>
          <w:rFonts w:ascii="Bookman Old Style" w:hAnsi="Bookman Old Style"/>
          <w:sz w:val="20"/>
          <w:szCs w:val="20"/>
        </w:rPr>
        <w:t>В связи с тем, что методика проведения анализа НЭИ в Федеральных стандартах оценки не представлена, проведен анализ</w:t>
      </w:r>
      <w:r w:rsidR="00771BB5">
        <w:rPr>
          <w:rFonts w:ascii="Bookman Old Style" w:hAnsi="Bookman Old Style"/>
          <w:sz w:val="20"/>
          <w:szCs w:val="20"/>
        </w:rPr>
        <w:t xml:space="preserve"> Объекта оценки в соответствии </w:t>
      </w:r>
      <w:proofErr w:type="gramStart"/>
      <w:r w:rsidR="00771BB5">
        <w:rPr>
          <w:rFonts w:ascii="Bookman Old Style" w:hAnsi="Bookman Old Style"/>
          <w:sz w:val="20"/>
          <w:szCs w:val="20"/>
        </w:rPr>
        <w:t>пунктами</w:t>
      </w:r>
      <w:proofErr w:type="gramEnd"/>
      <w:r>
        <w:rPr>
          <w:rFonts w:ascii="Bookman Old Style" w:hAnsi="Bookman Old Style"/>
          <w:sz w:val="20"/>
          <w:szCs w:val="20"/>
        </w:rPr>
        <w:t xml:space="preserve"> установленны</w:t>
      </w:r>
      <w:r w:rsidR="00771BB5">
        <w:rPr>
          <w:rFonts w:ascii="Bookman Old Style" w:hAnsi="Bookman Old Style"/>
          <w:sz w:val="20"/>
          <w:szCs w:val="20"/>
        </w:rPr>
        <w:t>ми</w:t>
      </w:r>
      <w:r>
        <w:rPr>
          <w:rFonts w:ascii="Bookman Old Style" w:hAnsi="Bookman Old Style"/>
          <w:sz w:val="20"/>
          <w:szCs w:val="20"/>
        </w:rPr>
        <w:t xml:space="preserve"> ФСО № 7 раздел 5.</w:t>
      </w:r>
    </w:p>
    <w:p w:rsidR="009E0D79" w:rsidRPr="009E0D79" w:rsidRDefault="009E0D79" w:rsidP="009E0D79">
      <w:pPr>
        <w:spacing w:before="120" w:after="120"/>
        <w:ind w:firstLine="709"/>
        <w:jc w:val="both"/>
        <w:rPr>
          <w:rFonts w:ascii="Bookman Old Style" w:hAnsi="Bookman Old Style"/>
          <w:i/>
          <w:sz w:val="20"/>
          <w:szCs w:val="20"/>
        </w:rPr>
      </w:pPr>
      <w:r w:rsidRPr="009E0D79">
        <w:rPr>
          <w:rFonts w:ascii="Bookman Old Style" w:hAnsi="Bookman Old Style"/>
          <w:sz w:val="20"/>
          <w:szCs w:val="20"/>
        </w:rPr>
        <w:t>Анализ НЭИ в соответствии со статьями ФСО № 7:</w:t>
      </w:r>
      <w:r w:rsidRPr="009E0D79">
        <w:rPr>
          <w:rFonts w:ascii="Bookman Old Style" w:hAnsi="Bookman Old Style"/>
          <w:i/>
          <w:sz w:val="20"/>
          <w:szCs w:val="20"/>
        </w:rPr>
        <w:t xml:space="preserve"> </w:t>
      </w:r>
    </w:p>
    <w:p w:rsidR="009E0D79" w:rsidRPr="009E0D79" w:rsidRDefault="009E0D79" w:rsidP="009E0D79">
      <w:pPr>
        <w:spacing w:before="120" w:after="120"/>
        <w:ind w:firstLine="709"/>
        <w:jc w:val="both"/>
        <w:rPr>
          <w:rFonts w:ascii="Bookman Old Style" w:hAnsi="Bookman Old Style"/>
          <w:i/>
          <w:sz w:val="20"/>
          <w:szCs w:val="20"/>
        </w:rPr>
      </w:pPr>
      <w:r w:rsidRPr="009E0D79">
        <w:rPr>
          <w:rFonts w:ascii="Bookman Old Style" w:hAnsi="Bookman Old Style"/>
          <w:sz w:val="20"/>
          <w:szCs w:val="20"/>
        </w:rPr>
        <w:t>«</w:t>
      </w:r>
      <w:r w:rsidRPr="009E0D79">
        <w:rPr>
          <w:rFonts w:ascii="Bookman Old Style" w:hAnsi="Bookman Old Style"/>
          <w:i/>
          <w:sz w:val="20"/>
          <w:szCs w:val="20"/>
        </w:rPr>
        <w:t>Наиболее эффективное использование представляет собой такое использование недвижимости, которое максимизирует ее продуктивность (соответствует ее наибольшей стоимости) и которое физически возможно, юридически разрешено (на дату определения стоимости объекта оценки) и финансово оправдано»</w:t>
      </w:r>
    </w:p>
    <w:p w:rsidR="009E0D79" w:rsidRPr="009E0D79" w:rsidRDefault="009E0D79" w:rsidP="009E0D79">
      <w:pPr>
        <w:spacing w:before="120" w:after="120"/>
        <w:ind w:firstLine="709"/>
        <w:jc w:val="both"/>
        <w:rPr>
          <w:rFonts w:ascii="Bookman Old Style" w:hAnsi="Bookman Old Style"/>
          <w:i/>
          <w:sz w:val="20"/>
          <w:szCs w:val="20"/>
        </w:rPr>
      </w:pPr>
      <w:r w:rsidRPr="009E0D79">
        <w:rPr>
          <w:rFonts w:ascii="Bookman Old Style" w:hAnsi="Bookman Old Style"/>
          <w:i/>
          <w:sz w:val="20"/>
          <w:szCs w:val="20"/>
        </w:rPr>
        <w:t>«Анализ наиболее эффективного использования позволяет выявить наиболее прибыльное использование объекта недвижимости, на который ориентируются участники рынка (покупатели и продавцы) при формировании цены сделки. При определении рыночной стоимости оценщик руководствуется результатами этого анализа для выбора подходов и методов оценки объекта оценки и выбора сопоставимых объектов недвижимости при применении каждого подхода»</w:t>
      </w:r>
    </w:p>
    <w:p w:rsidR="009E0D79" w:rsidRDefault="009E0D79" w:rsidP="009E0D79">
      <w:pPr>
        <w:suppressAutoHyphens/>
        <w:spacing w:before="120" w:after="120"/>
        <w:ind w:firstLine="567"/>
        <w:jc w:val="both"/>
        <w:rPr>
          <w:rFonts w:ascii="Bookman Old Style" w:hAnsi="Bookman Old Style"/>
          <w:color w:val="000000"/>
          <w:sz w:val="20"/>
          <w:szCs w:val="20"/>
        </w:rPr>
      </w:pPr>
      <w:bookmarkStart w:id="254" w:name="_Toc213831276"/>
      <w:bookmarkStart w:id="255" w:name="_Toc216160141"/>
      <w:bookmarkStart w:id="256" w:name="_Toc238617589"/>
      <w:bookmarkStart w:id="257" w:name="_Toc330465459"/>
      <w:bookmarkStart w:id="258" w:name="_Toc365041375"/>
      <w:r w:rsidRPr="00275286">
        <w:rPr>
          <w:rFonts w:ascii="Bookman Old Style" w:hAnsi="Bookman Old Style"/>
          <w:color w:val="000000"/>
          <w:sz w:val="20"/>
          <w:szCs w:val="20"/>
        </w:rPr>
        <w:t>Для определения наиболее эффективного использования необходимо провести анализ в соответствии с четырьмя нижеперечисленными критериями:</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1) Юридическая правомочность;</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При анализе данного критерия необходимо принимать во внимание различные юридические ограничения, которые включают</w:t>
      </w:r>
      <w:r>
        <w:rPr>
          <w:rFonts w:ascii="Bookman Old Style" w:hAnsi="Bookman Old Style"/>
          <w:color w:val="000000"/>
          <w:sz w:val="20"/>
          <w:szCs w:val="20"/>
        </w:rPr>
        <w:t xml:space="preserve"> в себя, например: права на Объект оценки,</w:t>
      </w:r>
      <w:r w:rsidRPr="00275286">
        <w:rPr>
          <w:rFonts w:ascii="Bookman Old Style" w:hAnsi="Bookman Old Style"/>
          <w:color w:val="000000"/>
          <w:sz w:val="20"/>
          <w:szCs w:val="20"/>
        </w:rPr>
        <w:t xml:space="preserve"> правила зонирования, строительные кодексы, законодательство в области окружающей среды и другие действующие законодательные акты</w:t>
      </w:r>
      <w:r>
        <w:rPr>
          <w:rFonts w:ascii="Bookman Old Style" w:hAnsi="Bookman Old Style"/>
          <w:color w:val="000000"/>
          <w:sz w:val="20"/>
          <w:szCs w:val="20"/>
        </w:rPr>
        <w:t xml:space="preserve"> в сфере функционирования Объекта оценки.</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2) Физическая осуществимость;</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Данный критерий предполагает анализ физических характеристик</w:t>
      </w:r>
      <w:r>
        <w:rPr>
          <w:rFonts w:ascii="Bookman Old Style" w:hAnsi="Bookman Old Style"/>
          <w:color w:val="000000"/>
          <w:sz w:val="20"/>
          <w:szCs w:val="20"/>
        </w:rPr>
        <w:t xml:space="preserve">, основным из которых является состояние оцениваемого объекта, </w:t>
      </w:r>
      <w:proofErr w:type="gramStart"/>
      <w:r>
        <w:rPr>
          <w:rFonts w:ascii="Bookman Old Style" w:hAnsi="Bookman Old Style"/>
          <w:color w:val="000000"/>
          <w:sz w:val="20"/>
          <w:szCs w:val="20"/>
        </w:rPr>
        <w:t>например</w:t>
      </w:r>
      <w:proofErr w:type="gramEnd"/>
      <w:r>
        <w:rPr>
          <w:rFonts w:ascii="Bookman Old Style" w:hAnsi="Bookman Old Style"/>
          <w:color w:val="000000"/>
          <w:sz w:val="20"/>
          <w:szCs w:val="20"/>
        </w:rPr>
        <w:t xml:space="preserve"> объект может быть использован по фактическому использованию либо предполагать ремонт или реконструкцию.</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3) Финансовая оправданность;</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Из всех физически возможных и законодательно разрешенных вариантов использования земельного участка выбираются такие, которые обеспечивают отдачу, превышающую величину необходимых инвестиций и эксплу</w:t>
      </w:r>
      <w:r>
        <w:rPr>
          <w:rFonts w:ascii="Bookman Old Style" w:hAnsi="Bookman Old Style"/>
          <w:color w:val="000000"/>
          <w:sz w:val="20"/>
          <w:szCs w:val="20"/>
        </w:rPr>
        <w:t>а</w:t>
      </w:r>
      <w:r w:rsidRPr="00275286">
        <w:rPr>
          <w:rFonts w:ascii="Bookman Old Style" w:hAnsi="Bookman Old Style"/>
          <w:color w:val="000000"/>
          <w:sz w:val="20"/>
          <w:szCs w:val="20"/>
        </w:rPr>
        <w:t>тационных расходов.</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4) Максимально экономически эффективное использование.</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 xml:space="preserve">Использование, которое соответствует максимальной отдаче среди всех рассмотренных финансово состоятельных вариантов. </w:t>
      </w:r>
    </w:p>
    <w:p w:rsidR="009E0D79" w:rsidRPr="00275286" w:rsidRDefault="009E0D79" w:rsidP="009E0D79">
      <w:pPr>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Первоначально недвижимость рассматривается с позиций двух вышеперечисленных критериев: юридическая правомочность и физическая осуществимость. Далее из всех физически возможных и законодательно разрешенных вариантов использования недвижимости выбираются такие, которые являются экономически целесообразными и при этом обеспечивают максимальный доход.</w:t>
      </w:r>
    </w:p>
    <w:p w:rsidR="009E0D79" w:rsidRPr="00B21788" w:rsidRDefault="009E0D79" w:rsidP="005F04AC">
      <w:pPr>
        <w:pStyle w:val="aff2"/>
        <w:numPr>
          <w:ilvl w:val="0"/>
          <w:numId w:val="41"/>
        </w:numPr>
        <w:spacing w:before="120" w:after="120"/>
        <w:jc w:val="both"/>
        <w:rPr>
          <w:rFonts w:ascii="Bookman Old Style" w:hAnsi="Bookman Old Style"/>
          <w:sz w:val="20"/>
          <w:szCs w:val="20"/>
        </w:rPr>
      </w:pPr>
      <w:r w:rsidRPr="00B21788">
        <w:rPr>
          <w:rFonts w:ascii="Bookman Old Style" w:hAnsi="Bookman Old Style"/>
          <w:sz w:val="20"/>
          <w:szCs w:val="20"/>
        </w:rPr>
        <w:t>Юридическая правомочность. ООО «</w:t>
      </w:r>
      <w:r w:rsidR="005F6A69">
        <w:rPr>
          <w:rFonts w:ascii="Bookman Old Style" w:hAnsi="Bookman Old Style"/>
          <w:sz w:val="20"/>
          <w:szCs w:val="20"/>
        </w:rPr>
        <w:t>Окно</w:t>
      </w:r>
      <w:r w:rsidRPr="00B21788">
        <w:rPr>
          <w:rFonts w:ascii="Bookman Old Style" w:hAnsi="Bookman Old Style"/>
          <w:sz w:val="20"/>
          <w:szCs w:val="20"/>
        </w:rPr>
        <w:t xml:space="preserve">» признано банкротом в соответствии с законодательством РФ. Все имущество предприятия подлежит реализации </w:t>
      </w:r>
      <w:proofErr w:type="gramStart"/>
      <w:r w:rsidRPr="00B21788">
        <w:rPr>
          <w:rFonts w:ascii="Bookman Old Style" w:hAnsi="Bookman Old Style"/>
          <w:sz w:val="20"/>
          <w:szCs w:val="20"/>
        </w:rPr>
        <w:t>согласно положений</w:t>
      </w:r>
      <w:proofErr w:type="gramEnd"/>
      <w:r w:rsidRPr="00B21788">
        <w:rPr>
          <w:rFonts w:ascii="Bookman Old Style" w:hAnsi="Bookman Old Style"/>
          <w:sz w:val="20"/>
          <w:szCs w:val="20"/>
        </w:rPr>
        <w:t xml:space="preserve"> Федерального закона о несостоятельности (банкротстве).</w:t>
      </w:r>
    </w:p>
    <w:p w:rsidR="009E0D79" w:rsidRPr="00B21788" w:rsidRDefault="009E0D79" w:rsidP="009E0D79">
      <w:pPr>
        <w:spacing w:before="120" w:after="120"/>
        <w:ind w:left="709"/>
        <w:jc w:val="both"/>
        <w:rPr>
          <w:rFonts w:ascii="Bookman Old Style" w:hAnsi="Bookman Old Style"/>
          <w:sz w:val="20"/>
          <w:szCs w:val="20"/>
        </w:rPr>
      </w:pPr>
      <w:r w:rsidRPr="00B21788">
        <w:rPr>
          <w:rFonts w:ascii="Bookman Old Style" w:hAnsi="Bookman Old Style"/>
          <w:sz w:val="20"/>
          <w:szCs w:val="20"/>
        </w:rPr>
        <w:lastRenderedPageBreak/>
        <w:t xml:space="preserve">Таким образом, реализация </w:t>
      </w:r>
      <w:r w:rsidR="006A199E">
        <w:rPr>
          <w:rFonts w:ascii="Bookman Old Style" w:hAnsi="Bookman Old Style"/>
          <w:sz w:val="20"/>
          <w:szCs w:val="20"/>
        </w:rPr>
        <w:t xml:space="preserve">элементов </w:t>
      </w:r>
      <w:r w:rsidRPr="00B21788">
        <w:rPr>
          <w:rFonts w:ascii="Bookman Old Style" w:hAnsi="Bookman Old Style"/>
          <w:sz w:val="20"/>
          <w:szCs w:val="20"/>
        </w:rPr>
        <w:t xml:space="preserve">Объекта оценки юридически возможна, согласно статей закона о банкротстве и согласно статей ФСО №7, обеспечивает максимальную продуктивность с целью </w:t>
      </w:r>
      <w:proofErr w:type="gramStart"/>
      <w:r w:rsidRPr="00B21788">
        <w:rPr>
          <w:rFonts w:ascii="Bookman Old Style" w:hAnsi="Bookman Old Style"/>
          <w:sz w:val="20"/>
          <w:szCs w:val="20"/>
        </w:rPr>
        <w:t>удовлетворения реестра требований кредиторов предприятия</w:t>
      </w:r>
      <w:proofErr w:type="gramEnd"/>
      <w:r w:rsidRPr="00B21788">
        <w:rPr>
          <w:rFonts w:ascii="Bookman Old Style" w:hAnsi="Bookman Old Style"/>
          <w:sz w:val="20"/>
          <w:szCs w:val="20"/>
        </w:rPr>
        <w:t>.</w:t>
      </w:r>
    </w:p>
    <w:p w:rsidR="009E0D79" w:rsidRPr="00B21788" w:rsidRDefault="009E0D79" w:rsidP="005F04AC">
      <w:pPr>
        <w:pStyle w:val="aff2"/>
        <w:numPr>
          <w:ilvl w:val="0"/>
          <w:numId w:val="41"/>
        </w:numPr>
        <w:spacing w:before="120" w:after="120"/>
        <w:contextualSpacing w:val="0"/>
        <w:jc w:val="both"/>
        <w:rPr>
          <w:rFonts w:ascii="Bookman Old Style" w:hAnsi="Bookman Old Style"/>
          <w:sz w:val="20"/>
          <w:szCs w:val="20"/>
        </w:rPr>
      </w:pPr>
      <w:r w:rsidRPr="00B21788">
        <w:rPr>
          <w:rFonts w:ascii="Bookman Old Style" w:hAnsi="Bookman Old Style"/>
          <w:sz w:val="20"/>
          <w:szCs w:val="20"/>
        </w:rPr>
        <w:t xml:space="preserve">Физическая осуществимость. Физическое состояние недвижимого имущества позволяет производить их дальнейшую эксплуатацию после проведения </w:t>
      </w:r>
      <w:r w:rsidR="005F6A69">
        <w:rPr>
          <w:rFonts w:ascii="Bookman Old Style" w:hAnsi="Bookman Old Style"/>
          <w:sz w:val="20"/>
          <w:szCs w:val="20"/>
        </w:rPr>
        <w:t xml:space="preserve">косметических </w:t>
      </w:r>
      <w:r w:rsidRPr="00B21788">
        <w:rPr>
          <w:rFonts w:ascii="Bookman Old Style" w:hAnsi="Bookman Old Style"/>
          <w:sz w:val="20"/>
          <w:szCs w:val="20"/>
        </w:rPr>
        <w:t xml:space="preserve">работ по </w:t>
      </w:r>
      <w:r w:rsidR="006A199E">
        <w:rPr>
          <w:rFonts w:ascii="Bookman Old Style" w:hAnsi="Bookman Old Style"/>
          <w:sz w:val="20"/>
          <w:szCs w:val="20"/>
        </w:rPr>
        <w:t>ремонту</w:t>
      </w:r>
      <w:r w:rsidR="00177A72">
        <w:rPr>
          <w:rFonts w:ascii="Bookman Old Style" w:hAnsi="Bookman Old Style"/>
          <w:sz w:val="20"/>
          <w:szCs w:val="20"/>
        </w:rPr>
        <w:t xml:space="preserve"> </w:t>
      </w:r>
      <w:r w:rsidRPr="00B21788">
        <w:rPr>
          <w:rFonts w:ascii="Bookman Old Style" w:hAnsi="Bookman Old Style"/>
          <w:sz w:val="20"/>
          <w:szCs w:val="20"/>
        </w:rPr>
        <w:t>некоторых к</w:t>
      </w:r>
      <w:r w:rsidR="00177A72">
        <w:rPr>
          <w:rFonts w:ascii="Bookman Old Style" w:hAnsi="Bookman Old Style"/>
          <w:sz w:val="20"/>
          <w:szCs w:val="20"/>
        </w:rPr>
        <w:t>онструктивных элементов объекта.</w:t>
      </w:r>
    </w:p>
    <w:p w:rsidR="009E0D79" w:rsidRPr="00B21788" w:rsidRDefault="009E0D79" w:rsidP="005F04AC">
      <w:pPr>
        <w:pStyle w:val="aff2"/>
        <w:numPr>
          <w:ilvl w:val="0"/>
          <w:numId w:val="41"/>
        </w:numPr>
        <w:spacing w:before="120" w:after="120"/>
        <w:jc w:val="both"/>
        <w:rPr>
          <w:rFonts w:ascii="Bookman Old Style" w:hAnsi="Bookman Old Style"/>
          <w:sz w:val="20"/>
          <w:szCs w:val="20"/>
        </w:rPr>
      </w:pPr>
      <w:r w:rsidRPr="00B21788">
        <w:rPr>
          <w:rFonts w:ascii="Bookman Old Style" w:hAnsi="Bookman Old Style"/>
          <w:sz w:val="20"/>
          <w:szCs w:val="20"/>
        </w:rPr>
        <w:t>Максимально эффективное использование. Максимальная рыночная стоимость оцениваемого Объекта оценки соответствует рассмотренным вариантам. Для Объекта оценки существует финансовая оправданность устранения последствий физического износа. При использовании Объекта оценки по прямому функциональному назначению, достигается максимальная величина стоимости Объекта оценки.</w:t>
      </w:r>
    </w:p>
    <w:p w:rsidR="00CF084F" w:rsidRPr="00B21788" w:rsidRDefault="00413F32" w:rsidP="000877E7">
      <w:pPr>
        <w:pStyle w:val="3"/>
        <w:rPr>
          <w:rFonts w:ascii="Bookman Old Style" w:hAnsi="Bookman Old Style"/>
          <w:sz w:val="20"/>
          <w:szCs w:val="20"/>
        </w:rPr>
      </w:pPr>
      <w:bookmarkStart w:id="259" w:name="_Toc461375598"/>
      <w:r w:rsidRPr="00B21788">
        <w:rPr>
          <w:rFonts w:ascii="Bookman Old Style" w:hAnsi="Bookman Old Style"/>
          <w:sz w:val="20"/>
          <w:szCs w:val="20"/>
        </w:rPr>
        <w:t>5.3.2. Выводы по анализу НЭИ</w:t>
      </w:r>
      <w:bookmarkStart w:id="260" w:name="_Toc379539512"/>
      <w:bookmarkStart w:id="261" w:name="_Toc379550531"/>
      <w:bookmarkStart w:id="262" w:name="_Toc380579837"/>
      <w:bookmarkEnd w:id="254"/>
      <w:bookmarkEnd w:id="255"/>
      <w:bookmarkEnd w:id="256"/>
      <w:bookmarkEnd w:id="257"/>
      <w:bookmarkEnd w:id="258"/>
      <w:bookmarkEnd w:id="259"/>
    </w:p>
    <w:p w:rsidR="00CA18B6" w:rsidRPr="00744589" w:rsidRDefault="009E0D79" w:rsidP="00744589">
      <w:pPr>
        <w:spacing w:before="120" w:after="120"/>
        <w:ind w:firstLine="709"/>
        <w:jc w:val="both"/>
        <w:rPr>
          <w:rFonts w:ascii="Bookman Old Style" w:hAnsi="Bookman Old Style"/>
          <w:sz w:val="20"/>
          <w:szCs w:val="20"/>
        </w:rPr>
      </w:pPr>
      <w:r w:rsidRPr="00B21788">
        <w:rPr>
          <w:rFonts w:ascii="Bookman Old Style" w:hAnsi="Bookman Old Style"/>
          <w:sz w:val="20"/>
          <w:szCs w:val="20"/>
        </w:rPr>
        <w:t xml:space="preserve">Исходя из проведенного анализа, можно сделать вывод, что реализация Объекта оценки физически возможна, юридически и финансово оправдана, </w:t>
      </w:r>
      <w:proofErr w:type="gramStart"/>
      <w:r w:rsidRPr="00B21788">
        <w:rPr>
          <w:rFonts w:ascii="Bookman Old Style" w:hAnsi="Bookman Old Style"/>
          <w:sz w:val="20"/>
          <w:szCs w:val="20"/>
        </w:rPr>
        <w:t>согласно статей</w:t>
      </w:r>
      <w:proofErr w:type="gramEnd"/>
      <w:r w:rsidRPr="00B21788">
        <w:rPr>
          <w:rFonts w:ascii="Bookman Old Style" w:hAnsi="Bookman Old Style"/>
          <w:sz w:val="20"/>
          <w:szCs w:val="20"/>
        </w:rPr>
        <w:t xml:space="preserve"> закона о банкротстве и согласно статей ФСО №7 и в соответствии с выбранными методами расчета, достигается</w:t>
      </w:r>
      <w:r w:rsidRPr="009E0D79">
        <w:rPr>
          <w:rFonts w:ascii="Bookman Old Style" w:hAnsi="Bookman Old Style"/>
          <w:sz w:val="20"/>
          <w:szCs w:val="20"/>
        </w:rPr>
        <w:t xml:space="preserve"> максимальная продуктивность (наибольшая стоимость) Объекта оценки</w:t>
      </w:r>
      <w:r w:rsidR="0097141F" w:rsidRPr="00F80AB0">
        <w:rPr>
          <w:rFonts w:ascii="Bookman Old Style" w:hAnsi="Bookman Old Style"/>
          <w:sz w:val="20"/>
          <w:szCs w:val="20"/>
        </w:rPr>
        <w:t>.</w:t>
      </w:r>
    </w:p>
    <w:p w:rsidR="00F45425" w:rsidRPr="000877E7" w:rsidRDefault="00F45425" w:rsidP="00F45425">
      <w:pPr>
        <w:pStyle w:val="2"/>
        <w:rPr>
          <w:rFonts w:ascii="Bookman Old Style" w:hAnsi="Bookman Old Style"/>
          <w:b/>
          <w:sz w:val="20"/>
          <w:szCs w:val="20"/>
        </w:rPr>
      </w:pPr>
      <w:bookmarkStart w:id="263" w:name="_Toc365041377"/>
      <w:bookmarkStart w:id="264" w:name="_Toc196937198"/>
      <w:bookmarkStart w:id="265" w:name="_Toc327961193"/>
      <w:bookmarkStart w:id="266" w:name="_Toc330465468"/>
      <w:bookmarkStart w:id="267" w:name="_Toc461375599"/>
      <w:bookmarkEnd w:id="260"/>
      <w:bookmarkEnd w:id="261"/>
      <w:bookmarkEnd w:id="262"/>
      <w:r>
        <w:rPr>
          <w:rFonts w:ascii="Bookman Old Style" w:hAnsi="Bookman Old Style"/>
          <w:b/>
          <w:sz w:val="20"/>
          <w:szCs w:val="20"/>
        </w:rPr>
        <w:t>5.4</w:t>
      </w:r>
      <w:r w:rsidRPr="000877E7">
        <w:rPr>
          <w:rFonts w:ascii="Bookman Old Style" w:hAnsi="Bookman Old Style"/>
          <w:b/>
          <w:sz w:val="20"/>
          <w:szCs w:val="20"/>
        </w:rPr>
        <w:t xml:space="preserve">. </w:t>
      </w:r>
      <w:r>
        <w:rPr>
          <w:rFonts w:ascii="Bookman Old Style" w:hAnsi="Bookman Old Style"/>
          <w:b/>
          <w:sz w:val="20"/>
          <w:szCs w:val="20"/>
        </w:rPr>
        <w:t>РАСЧЕТ РЫНОЧНОЙ СТОИМОСТИ СРАВНИТЕЛЬНЫМ ПОДХОДОМ</w:t>
      </w:r>
      <w:bookmarkEnd w:id="267"/>
    </w:p>
    <w:p w:rsidR="00F45425" w:rsidRPr="000877E7" w:rsidRDefault="00F45425" w:rsidP="00F45425">
      <w:pPr>
        <w:pStyle w:val="3"/>
        <w:rPr>
          <w:rFonts w:ascii="Bookman Old Style" w:hAnsi="Bookman Old Style"/>
          <w:sz w:val="20"/>
          <w:szCs w:val="20"/>
        </w:rPr>
      </w:pPr>
      <w:bookmarkStart w:id="268" w:name="_Toc461375600"/>
      <w:r w:rsidRPr="00B625F0">
        <w:rPr>
          <w:rFonts w:ascii="Bookman Old Style" w:hAnsi="Bookman Old Style"/>
          <w:sz w:val="20"/>
          <w:szCs w:val="20"/>
        </w:rPr>
        <w:t>5.4.1. Последовательность определения стоимости</w:t>
      </w:r>
      <w:bookmarkEnd w:id="268"/>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После проведенного анализа представленной документации по Объекту оценки, анализа рынка и внешних факторов, влияющих на стоимость объектов и определения варианта НЭИ, был сделан вывод о возможности применения сравнительного подхода.</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Согласно, ФСО № 1 пункт 14</w:t>
      </w:r>
      <w:r w:rsidRPr="00431CC5">
        <w:rPr>
          <w:rFonts w:ascii="Bookman Old Style" w:hAnsi="Bookman Old Style"/>
          <w:sz w:val="20"/>
          <w:szCs w:val="20"/>
          <w:vertAlign w:val="superscript"/>
        </w:rPr>
        <w:footnoteReference w:id="40"/>
      </w:r>
      <w:r w:rsidRPr="00431CC5">
        <w:rPr>
          <w:rFonts w:ascii="Bookman Old Style" w:hAnsi="Bookman Old Style"/>
          <w:sz w:val="20"/>
          <w:szCs w:val="20"/>
        </w:rPr>
        <w:t>:</w:t>
      </w:r>
    </w:p>
    <w:p w:rsidR="00F45425" w:rsidRPr="00431CC5" w:rsidRDefault="00F45425" w:rsidP="00F45425">
      <w:pPr>
        <w:spacing w:before="120" w:after="120"/>
        <w:ind w:firstLine="708"/>
        <w:jc w:val="both"/>
        <w:rPr>
          <w:rFonts w:ascii="Bookman Old Style" w:hAnsi="Bookman Old Style" w:cs="Bookman Old Style"/>
          <w:sz w:val="20"/>
          <w:szCs w:val="20"/>
        </w:rPr>
      </w:pPr>
      <w:bookmarkStart w:id="269" w:name="_Toc285494276"/>
      <w:bookmarkStart w:id="270" w:name="_Toc288743396"/>
      <w:bookmarkStart w:id="271" w:name="_Toc289034994"/>
      <w:r w:rsidRPr="00431CC5">
        <w:rPr>
          <w:rFonts w:ascii="Bookman Old Style" w:hAnsi="Bookman Old Style" w:cs="Bookman Old Style"/>
          <w:sz w:val="20"/>
          <w:szCs w:val="20"/>
        </w:rPr>
        <w:t>«Сравнительный подход - совокупность методов оценки стоимости объекта оценки, основанных на сравнении объекта оценки с объектами - аналогами объекта оценки, в отношении которых имеется информация о ценах. Объектом - аналогом объекта оценки для целей оценки признается объект, сходный объекту оценки по основным экономическим, материальным, техническим и другим характеристикам, определяющим его стоимость».</w:t>
      </w:r>
      <w:bookmarkEnd w:id="269"/>
      <w:bookmarkEnd w:id="270"/>
      <w:bookmarkEnd w:id="271"/>
    </w:p>
    <w:p w:rsidR="00F45425" w:rsidRDefault="00F45425" w:rsidP="00F45425">
      <w:pPr>
        <w:autoSpaceDE w:val="0"/>
        <w:autoSpaceDN w:val="0"/>
        <w:adjustRightInd w:val="0"/>
        <w:spacing w:before="120" w:after="120"/>
        <w:ind w:firstLine="720"/>
        <w:jc w:val="both"/>
        <w:rPr>
          <w:rFonts w:ascii="Bookman Old Style" w:hAnsi="Bookman Old Style" w:cs="Arial"/>
          <w:bCs/>
          <w:sz w:val="20"/>
          <w:szCs w:val="20"/>
        </w:rPr>
      </w:pPr>
      <w:r>
        <w:rPr>
          <w:rFonts w:ascii="Bookman Old Style" w:hAnsi="Bookman Old Style" w:cs="Arial"/>
          <w:bCs/>
          <w:sz w:val="20"/>
          <w:szCs w:val="20"/>
        </w:rPr>
        <w:t xml:space="preserve">При применении сравнительного подхода оценщик руководствовался ст. 21 </w:t>
      </w:r>
      <w:r w:rsidRPr="0067070B">
        <w:rPr>
          <w:rFonts w:ascii="Bookman Old Style" w:hAnsi="Bookman Old Style" w:cs="Arial"/>
          <w:bCs/>
          <w:sz w:val="20"/>
          <w:szCs w:val="20"/>
        </w:rPr>
        <w:t>ФСО №</w:t>
      </w:r>
      <w:r>
        <w:rPr>
          <w:rFonts w:ascii="Bookman Old Style" w:hAnsi="Bookman Old Style" w:cs="Arial"/>
          <w:bCs/>
          <w:sz w:val="20"/>
          <w:szCs w:val="20"/>
        </w:rPr>
        <w:t xml:space="preserve"> </w:t>
      </w:r>
      <w:r w:rsidRPr="0067070B">
        <w:rPr>
          <w:rFonts w:ascii="Bookman Old Style" w:hAnsi="Bookman Old Style" w:cs="Arial"/>
          <w:bCs/>
          <w:sz w:val="20"/>
          <w:szCs w:val="20"/>
        </w:rPr>
        <w:t>1 и ст. 23 ФСО № 7.</w:t>
      </w:r>
    </w:p>
    <w:p w:rsidR="00F45425" w:rsidRDefault="00F45425" w:rsidP="00F45425">
      <w:pPr>
        <w:spacing w:before="120" w:after="120"/>
        <w:ind w:firstLine="708"/>
        <w:jc w:val="both"/>
        <w:rPr>
          <w:rFonts w:ascii="Bookman Old Style" w:hAnsi="Bookman Old Style" w:cs="Bookman Old Style"/>
          <w:sz w:val="20"/>
          <w:szCs w:val="20"/>
        </w:rPr>
      </w:pPr>
      <w:proofErr w:type="gramStart"/>
      <w:r w:rsidRPr="00431CC5">
        <w:rPr>
          <w:rFonts w:ascii="Bookman Old Style" w:hAnsi="Bookman Old Style"/>
          <w:sz w:val="20"/>
          <w:szCs w:val="20"/>
        </w:rPr>
        <w:t>Для реализации методов сравнител</w:t>
      </w:r>
      <w:r>
        <w:rPr>
          <w:rFonts w:ascii="Bookman Old Style" w:hAnsi="Bookman Old Style"/>
          <w:sz w:val="20"/>
          <w:szCs w:val="20"/>
        </w:rPr>
        <w:t xml:space="preserve">ьного подхода, оценщик использовал </w:t>
      </w:r>
      <w:r w:rsidRPr="00D52A61">
        <w:rPr>
          <w:rFonts w:ascii="Bookman Old Style" w:hAnsi="Bookman Old Style"/>
          <w:sz w:val="20"/>
          <w:szCs w:val="20"/>
        </w:rPr>
        <w:t>метод корректировок, а также его сочетания с качественными методами оценки</w:t>
      </w:r>
      <w:r>
        <w:rPr>
          <w:rFonts w:ascii="Bookman Old Style" w:hAnsi="Bookman Old Style"/>
          <w:sz w:val="20"/>
          <w:szCs w:val="20"/>
        </w:rPr>
        <w:t xml:space="preserve">, при этом </w:t>
      </w:r>
      <w:r w:rsidRPr="002A0856">
        <w:rPr>
          <w:rFonts w:ascii="Bookman Old Style" w:hAnsi="Bookman Old Style"/>
          <w:sz w:val="20"/>
          <w:szCs w:val="20"/>
        </w:rPr>
        <w:t xml:space="preserve">каждый объект-аналог </w:t>
      </w:r>
      <w:r w:rsidRPr="00C329C9">
        <w:rPr>
          <w:rFonts w:ascii="Bookman Old Style" w:hAnsi="Bookman Old Style" w:cs="Bookman Old Style"/>
          <w:sz w:val="20"/>
          <w:szCs w:val="20"/>
        </w:rPr>
        <w:t>сравнивается с объектом оценки по ценообразующим факторам (элементам сравнения), выявляются различия объектов по этим факторам и цена объекта-аналога или ее удельный показатель корректируется по выявленным различиям с целью дальнейшего определения стоимости объекта оценки.</w:t>
      </w:r>
      <w:proofErr w:type="gramEnd"/>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Метод</w:t>
      </w:r>
      <w:r>
        <w:rPr>
          <w:rFonts w:ascii="Bookman Old Style" w:hAnsi="Bookman Old Style"/>
          <w:sz w:val="20"/>
          <w:szCs w:val="20"/>
        </w:rPr>
        <w:t xml:space="preserve"> корректировок</w:t>
      </w:r>
      <w:r w:rsidRPr="00431CC5">
        <w:rPr>
          <w:rFonts w:ascii="Bookman Old Style" w:hAnsi="Bookman Old Style"/>
          <w:sz w:val="20"/>
          <w:szCs w:val="20"/>
        </w:rPr>
        <w:t xml:space="preserve"> предполагает следующую последовательность действий:</w:t>
      </w:r>
    </w:p>
    <w:p w:rsidR="00F45425" w:rsidRPr="002A0856" w:rsidRDefault="00F45425" w:rsidP="005F04AC">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определение элементов, по которым осуществляется сравнение объекта оценки с объектами-аналогами;</w:t>
      </w:r>
    </w:p>
    <w:p w:rsidR="00F45425" w:rsidRPr="002A0856" w:rsidRDefault="00F45425" w:rsidP="005F04AC">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определение по каждому из элементов сравнения характера и степени отличий каждого аналога от оцениваемого объекта;</w:t>
      </w:r>
    </w:p>
    <w:p w:rsidR="00F45425" w:rsidRPr="002A0856" w:rsidRDefault="00F45425" w:rsidP="005F04AC">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определение по каждому из элементов сравнения корректировок цен аналогов, соответствующих характеру и степени отличий каждого аналога от оцениваемого объекта;</w:t>
      </w:r>
    </w:p>
    <w:p w:rsidR="00F45425" w:rsidRPr="002A0856" w:rsidRDefault="00F45425" w:rsidP="005F04AC">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корректировка по каждому из элементов сравнения цен каждого аналога, сглаживающая их отличия от оцениваемого объекта;</w:t>
      </w:r>
    </w:p>
    <w:p w:rsidR="00F45425" w:rsidRPr="002A0856" w:rsidRDefault="00F45425" w:rsidP="005F04AC">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расчет рыночной стоимости объекта путем обоснованного обобщения скорректированных цен аналогов.</w:t>
      </w:r>
    </w:p>
    <w:p w:rsidR="00F45425" w:rsidRDefault="00F45425" w:rsidP="00F45425">
      <w:pPr>
        <w:spacing w:before="120" w:after="120"/>
        <w:ind w:firstLine="708"/>
        <w:jc w:val="both"/>
        <w:rPr>
          <w:rFonts w:ascii="Bookman Old Style" w:hAnsi="Bookman Old Style"/>
          <w:sz w:val="20"/>
          <w:szCs w:val="20"/>
        </w:rPr>
      </w:pPr>
      <w:r w:rsidRPr="002A0856">
        <w:rPr>
          <w:rFonts w:ascii="Bookman Old Style" w:hAnsi="Bookman Old Style"/>
          <w:sz w:val="20"/>
          <w:szCs w:val="20"/>
        </w:rPr>
        <w:t xml:space="preserve">При применении качественных методов оценка недвижимости выполняется путем изучения взаимосвязей, выявляемых на основе анализа цен сделок и (или) предложений с объектами-аналогами или соответствующей информации, полученной от экспертов, и </w:t>
      </w:r>
      <w:r w:rsidRPr="002A0856">
        <w:rPr>
          <w:rFonts w:ascii="Bookman Old Style" w:hAnsi="Bookman Old Style"/>
          <w:sz w:val="20"/>
          <w:szCs w:val="20"/>
        </w:rPr>
        <w:lastRenderedPageBreak/>
        <w:t>использования этих взаимосвязей для проведения оценки в соответствии с технологие</w:t>
      </w:r>
      <w:r>
        <w:rPr>
          <w:rFonts w:ascii="Bookman Old Style" w:hAnsi="Bookman Old Style"/>
          <w:sz w:val="20"/>
          <w:szCs w:val="20"/>
        </w:rPr>
        <w:t>й выбранного для оценки метода.</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 xml:space="preserve">Расчет рыночной стоимости объекта в рамках метода </w:t>
      </w:r>
      <w:r>
        <w:rPr>
          <w:rFonts w:ascii="Bookman Old Style" w:hAnsi="Bookman Old Style"/>
          <w:sz w:val="20"/>
          <w:szCs w:val="20"/>
        </w:rPr>
        <w:t>корректировок</w:t>
      </w:r>
      <w:r w:rsidRPr="00431CC5">
        <w:rPr>
          <w:rFonts w:ascii="Bookman Old Style" w:hAnsi="Bookman Old Style"/>
          <w:sz w:val="20"/>
          <w:szCs w:val="20"/>
        </w:rPr>
        <w:t xml:space="preserve"> выполняется по следующей формуле:</w:t>
      </w:r>
    </w:p>
    <w:p w:rsidR="00F45425" w:rsidRPr="00431CC5" w:rsidRDefault="009A3373" w:rsidP="00F45425">
      <w:pPr>
        <w:spacing w:before="120" w:after="120"/>
        <w:ind w:firstLine="708"/>
        <w:jc w:val="both"/>
        <w:rPr>
          <w:rFonts w:ascii="Bookman Old Style" w:hAnsi="Bookman Old Style"/>
          <w:sz w:val="20"/>
          <w:szCs w:val="20"/>
        </w:rPr>
      </w:pPr>
      <m:oMathPara>
        <m:oMath>
          <m:sSub>
            <m:sSubPr>
              <m:ctrlPr>
                <w:rPr>
                  <w:rFonts w:ascii="Cambria Math" w:hAnsi="Cambria Math"/>
                  <w:i/>
                  <w:sz w:val="20"/>
                  <w:szCs w:val="20"/>
                </w:rPr>
              </m:ctrlPr>
            </m:sSubPr>
            <m:e>
              <m:r>
                <w:rPr>
                  <w:rFonts w:ascii="Cambria Math" w:hAnsi="Cambria Math"/>
                  <w:sz w:val="20"/>
                  <w:szCs w:val="20"/>
                  <w:lang w:val="en-US"/>
                </w:rPr>
                <m:t>V</m:t>
              </m:r>
            </m:e>
            <m:sub>
              <m:r>
                <w:rPr>
                  <w:rFonts w:ascii="Cambria Math" w:hAnsi="Cambria Math"/>
                  <w:sz w:val="20"/>
                  <w:szCs w:val="20"/>
                </w:rPr>
                <m:t>l</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li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ADJ</m:t>
              </m:r>
            </m:e>
            <m:sub>
              <m:r>
                <w:rPr>
                  <w:rFonts w:ascii="Cambria Math" w:hAnsi="Cambria Math"/>
                  <w:sz w:val="20"/>
                  <w:szCs w:val="20"/>
                </w:rPr>
                <m:t>li</m:t>
              </m:r>
            </m:sub>
          </m:sSub>
        </m:oMath>
      </m:oMathPara>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где</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i/>
          <w:iCs/>
          <w:sz w:val="20"/>
          <w:szCs w:val="20"/>
          <w:lang w:val="en-US"/>
        </w:rPr>
        <w:t>VL</w:t>
      </w:r>
      <w:r w:rsidRPr="00431CC5">
        <w:rPr>
          <w:rFonts w:ascii="Bookman Old Style" w:hAnsi="Bookman Old Style"/>
          <w:sz w:val="20"/>
          <w:szCs w:val="20"/>
        </w:rPr>
        <w:t xml:space="preserve"> - стоимость объекта оценки;</w:t>
      </w:r>
    </w:p>
    <w:p w:rsidR="00F45425" w:rsidRPr="00431CC5" w:rsidRDefault="00F45425" w:rsidP="00F45425">
      <w:pPr>
        <w:spacing w:before="120" w:after="120"/>
        <w:ind w:firstLine="708"/>
        <w:jc w:val="both"/>
        <w:rPr>
          <w:rFonts w:ascii="Bookman Old Style" w:hAnsi="Bookman Old Style"/>
          <w:sz w:val="20"/>
          <w:szCs w:val="20"/>
        </w:rPr>
      </w:pPr>
      <w:proofErr w:type="spellStart"/>
      <w:r w:rsidRPr="00431CC5">
        <w:rPr>
          <w:rFonts w:ascii="Bookman Old Style" w:hAnsi="Bookman Old Style"/>
          <w:i/>
          <w:iCs/>
          <w:sz w:val="20"/>
          <w:szCs w:val="20"/>
          <w:lang w:val="en-US"/>
        </w:rPr>
        <w:t>Pli</w:t>
      </w:r>
      <w:proofErr w:type="spellEnd"/>
      <w:r w:rsidRPr="00431CC5">
        <w:rPr>
          <w:rFonts w:ascii="Bookman Old Style" w:hAnsi="Bookman Old Style"/>
          <w:sz w:val="20"/>
          <w:szCs w:val="20"/>
        </w:rPr>
        <w:t xml:space="preserve"> – цена продажи объекта-аналога;</w:t>
      </w:r>
    </w:p>
    <w:p w:rsidR="00F45425" w:rsidRDefault="00F45425" w:rsidP="00F45425">
      <w:pPr>
        <w:spacing w:before="120" w:after="120"/>
        <w:ind w:firstLine="708"/>
        <w:jc w:val="both"/>
        <w:rPr>
          <w:rFonts w:ascii="Bookman Old Style" w:hAnsi="Bookman Old Style"/>
          <w:sz w:val="20"/>
          <w:szCs w:val="20"/>
        </w:rPr>
      </w:pPr>
      <w:proofErr w:type="spellStart"/>
      <w:proofErr w:type="gramStart"/>
      <w:r w:rsidRPr="00431CC5">
        <w:rPr>
          <w:rFonts w:ascii="Bookman Old Style" w:hAnsi="Bookman Old Style"/>
          <w:i/>
          <w:iCs/>
          <w:sz w:val="20"/>
          <w:szCs w:val="20"/>
          <w:lang w:val="en-US"/>
        </w:rPr>
        <w:t>ADJli</w:t>
      </w:r>
      <w:proofErr w:type="spellEnd"/>
      <w:r w:rsidRPr="00431CC5">
        <w:rPr>
          <w:rFonts w:ascii="Bookman Old Style" w:hAnsi="Bookman Old Style"/>
          <w:sz w:val="20"/>
          <w:szCs w:val="20"/>
        </w:rPr>
        <w:t xml:space="preserve"> – совокупная поправка к цене продажи объекта-аналога по каждому из элементов сравнения.</w:t>
      </w:r>
      <w:proofErr w:type="gramEnd"/>
    </w:p>
    <w:p w:rsidR="00F4542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К элементам сравнения относятся факторы стоимости объекта оценки и сложившиеся на рынке характеристики сделок с недвижимым имущес</w:t>
      </w:r>
      <w:r>
        <w:rPr>
          <w:rFonts w:ascii="Bookman Old Style" w:hAnsi="Bookman Old Style"/>
          <w:sz w:val="20"/>
          <w:szCs w:val="20"/>
        </w:rPr>
        <w:t>твом, такие как:</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передаваемые имущественные права, ограничения (обременения) этих прав;</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финансирования состоявшейся или предполагаемой сделки (вид оплаты, условия кредитования, иные условия);</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продажи (нетипичные для рынка условия, сделка между аффилированными лицами, иные условия);</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рынка (изменения цен за период между датами сделки и оценки, скидки к ценам предложений, иные условия);</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вид использования и (или) зонирование;</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местоположение объекта;</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физические характеристики объекта, в том числе свойства земельного участка, состояние объектов капитального строительства, соотношение площади земельного участка и площади его застройки, иные характеристики;</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экономические характеристики (уровень операционных расходов, условия аренды, состав арендаторов, иные характеристики);</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наличие движимого имущества, не связанного с недвижимостью;</w:t>
      </w:r>
    </w:p>
    <w:p w:rsidR="00F45425" w:rsidRPr="002C5BF2" w:rsidRDefault="00F45425" w:rsidP="005F04AC">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другие характеристики (элементы), влияющие на стоимость;</w:t>
      </w:r>
    </w:p>
    <w:p w:rsidR="00F45425" w:rsidRPr="00431CC5" w:rsidRDefault="00F45425" w:rsidP="00F45425">
      <w:pPr>
        <w:spacing w:before="120" w:after="120"/>
        <w:ind w:firstLine="708"/>
        <w:jc w:val="both"/>
        <w:rPr>
          <w:rFonts w:ascii="Bookman Old Style" w:hAnsi="Bookman Old Style"/>
          <w:sz w:val="20"/>
          <w:szCs w:val="20"/>
        </w:rPr>
      </w:pPr>
      <w:r>
        <w:rPr>
          <w:rFonts w:ascii="Bookman Old Style" w:hAnsi="Bookman Old Style"/>
          <w:sz w:val="20"/>
          <w:szCs w:val="20"/>
        </w:rPr>
        <w:t xml:space="preserve">Для </w:t>
      </w:r>
      <w:r w:rsidRPr="00FC029A">
        <w:rPr>
          <w:rFonts w:ascii="Bookman Old Style" w:hAnsi="Bookman Old Style"/>
          <w:sz w:val="20"/>
          <w:szCs w:val="20"/>
        </w:rPr>
        <w:t>выполнения расчетов использ</w:t>
      </w:r>
      <w:r>
        <w:rPr>
          <w:rFonts w:ascii="Bookman Old Style" w:hAnsi="Bookman Old Style"/>
          <w:sz w:val="20"/>
          <w:szCs w:val="20"/>
        </w:rPr>
        <w:t>ованы</w:t>
      </w:r>
      <w:r w:rsidRPr="00FC029A">
        <w:rPr>
          <w:rFonts w:ascii="Bookman Old Style" w:hAnsi="Bookman Old Style"/>
          <w:sz w:val="20"/>
          <w:szCs w:val="20"/>
        </w:rPr>
        <w:t xml:space="preserve"> типичные для аналогичного объекта сложившиеся на рынке оцениваемого объекта удельные показатели стоимости (единицы сравнения), в частности цена за единицу площади</w:t>
      </w:r>
      <w:r w:rsidRPr="00431CC5">
        <w:rPr>
          <w:rFonts w:ascii="Bookman Old Style" w:hAnsi="Bookman Old Style"/>
          <w:sz w:val="20"/>
          <w:szCs w:val="20"/>
        </w:rPr>
        <w:t>. Корректировки цен могут рассчитываться в денежном или процентном выражении.</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Величины корректировок цен, как правило, определяются следующими способами</w:t>
      </w:r>
      <w:r w:rsidRPr="00431CC5">
        <w:rPr>
          <w:rFonts w:ascii="Bookman Old Style" w:hAnsi="Bookman Old Style"/>
          <w:sz w:val="20"/>
          <w:szCs w:val="20"/>
          <w:vertAlign w:val="superscript"/>
        </w:rPr>
        <w:footnoteReference w:id="41"/>
      </w:r>
      <w:r w:rsidRPr="00431CC5">
        <w:rPr>
          <w:rFonts w:ascii="Bookman Old Style" w:hAnsi="Bookman Old Style"/>
          <w:sz w:val="20"/>
          <w:szCs w:val="20"/>
        </w:rPr>
        <w:t>:</w:t>
      </w:r>
    </w:p>
    <w:p w:rsidR="00F45425" w:rsidRPr="00FC029A" w:rsidRDefault="00F45425" w:rsidP="005F04AC">
      <w:pPr>
        <w:pStyle w:val="aff2"/>
        <w:numPr>
          <w:ilvl w:val="0"/>
          <w:numId w:val="33"/>
        </w:numPr>
        <w:spacing w:before="120" w:after="120"/>
        <w:ind w:left="714" w:hanging="357"/>
        <w:contextualSpacing w:val="0"/>
        <w:jc w:val="both"/>
        <w:rPr>
          <w:rFonts w:ascii="Bookman Old Style" w:hAnsi="Bookman Old Style"/>
          <w:sz w:val="20"/>
          <w:szCs w:val="20"/>
        </w:rPr>
      </w:pPr>
      <w:r w:rsidRPr="00FC029A">
        <w:rPr>
          <w:rFonts w:ascii="Bookman Old Style" w:hAnsi="Bookman Old Style"/>
          <w:sz w:val="20"/>
          <w:szCs w:val="20"/>
        </w:rPr>
        <w:t>прямым попарным сопоставлением цен аналогов (метод анализа пар данных), отличающихся друг от друга только по одному элементу сравнения, и определением на базе полученной таким образом информации корректировки по данному элементу сравнения;</w:t>
      </w:r>
    </w:p>
    <w:p w:rsidR="00F45425" w:rsidRPr="00FC029A" w:rsidRDefault="00F45425" w:rsidP="005F04AC">
      <w:pPr>
        <w:pStyle w:val="aff2"/>
        <w:numPr>
          <w:ilvl w:val="0"/>
          <w:numId w:val="33"/>
        </w:numPr>
        <w:spacing w:before="120" w:after="120"/>
        <w:ind w:left="714" w:hanging="357"/>
        <w:contextualSpacing w:val="0"/>
        <w:jc w:val="both"/>
        <w:rPr>
          <w:rFonts w:ascii="Bookman Old Style" w:hAnsi="Bookman Old Style"/>
          <w:sz w:val="20"/>
          <w:szCs w:val="20"/>
        </w:rPr>
      </w:pPr>
      <w:r w:rsidRPr="00FC029A">
        <w:rPr>
          <w:rFonts w:ascii="Bookman Old Style" w:hAnsi="Bookman Old Style"/>
          <w:sz w:val="20"/>
          <w:szCs w:val="20"/>
        </w:rPr>
        <w:t>корреляционно-регрессионным анализом связи между изменением элемента сравнения и изменением цен аналогов (цен единиц измерения аналогов) и определением уравнения связи между значением элемента сравнения и величиной рыночной стоимости объекта;</w:t>
      </w:r>
    </w:p>
    <w:p w:rsidR="00F45425" w:rsidRPr="00FC029A" w:rsidRDefault="00F45425" w:rsidP="005F04AC">
      <w:pPr>
        <w:pStyle w:val="aff2"/>
        <w:numPr>
          <w:ilvl w:val="0"/>
          <w:numId w:val="33"/>
        </w:numPr>
        <w:spacing w:before="120" w:after="120"/>
        <w:ind w:left="714" w:hanging="357"/>
        <w:contextualSpacing w:val="0"/>
        <w:jc w:val="both"/>
        <w:rPr>
          <w:rFonts w:ascii="Bookman Old Style" w:hAnsi="Bookman Old Style"/>
          <w:sz w:val="20"/>
          <w:szCs w:val="20"/>
        </w:rPr>
      </w:pPr>
      <w:r w:rsidRPr="00FC029A">
        <w:rPr>
          <w:rFonts w:ascii="Bookman Old Style" w:hAnsi="Bookman Old Style"/>
          <w:sz w:val="20"/>
          <w:szCs w:val="20"/>
        </w:rPr>
        <w:t>определением затрат, связанных с изменением характеристики элемента сравнения, по которому аналог отличается от объекта оценки;</w:t>
      </w:r>
    </w:p>
    <w:p w:rsidR="00F45425" w:rsidRPr="00FC029A" w:rsidRDefault="00F45425" w:rsidP="005F04AC">
      <w:pPr>
        <w:pStyle w:val="aff2"/>
        <w:numPr>
          <w:ilvl w:val="0"/>
          <w:numId w:val="33"/>
        </w:numPr>
        <w:spacing w:before="120" w:after="120"/>
        <w:ind w:left="714" w:hanging="357"/>
        <w:contextualSpacing w:val="0"/>
        <w:jc w:val="both"/>
        <w:rPr>
          <w:rFonts w:ascii="Bookman Old Style" w:hAnsi="Bookman Old Style"/>
          <w:sz w:val="20"/>
          <w:szCs w:val="20"/>
        </w:rPr>
      </w:pPr>
      <w:r w:rsidRPr="00FC029A">
        <w:rPr>
          <w:rFonts w:ascii="Bookman Old Style" w:hAnsi="Bookman Old Style"/>
          <w:sz w:val="20"/>
          <w:szCs w:val="20"/>
        </w:rPr>
        <w:t>экспертным обоснованием корректировок цен аналогов.</w:t>
      </w:r>
    </w:p>
    <w:p w:rsidR="00F4542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 xml:space="preserve">В результате определения и внесения корректировок, цены аналогов (единицы измерения аналогов), как правило, должны быть близки друг к другу. </w:t>
      </w:r>
    </w:p>
    <w:p w:rsidR="00F45425" w:rsidRPr="000877E7" w:rsidRDefault="00F45425" w:rsidP="00F45425">
      <w:pPr>
        <w:pStyle w:val="3"/>
        <w:rPr>
          <w:rFonts w:ascii="Bookman Old Style" w:hAnsi="Bookman Old Style"/>
          <w:sz w:val="20"/>
          <w:szCs w:val="20"/>
        </w:rPr>
      </w:pPr>
      <w:bookmarkStart w:id="272" w:name="_Toc461375601"/>
      <w:r>
        <w:rPr>
          <w:rFonts w:ascii="Bookman Old Style" w:hAnsi="Bookman Old Style"/>
          <w:sz w:val="20"/>
          <w:szCs w:val="20"/>
        </w:rPr>
        <w:t>5.4</w:t>
      </w:r>
      <w:r w:rsidRPr="000877E7">
        <w:rPr>
          <w:rFonts w:ascii="Bookman Old Style" w:hAnsi="Bookman Old Style"/>
          <w:sz w:val="20"/>
          <w:szCs w:val="20"/>
        </w:rPr>
        <w:t>.</w:t>
      </w:r>
      <w:r w:rsidR="009E0D79">
        <w:rPr>
          <w:rFonts w:ascii="Bookman Old Style" w:hAnsi="Bookman Old Style"/>
          <w:sz w:val="20"/>
          <w:szCs w:val="20"/>
        </w:rPr>
        <w:t>2</w:t>
      </w:r>
      <w:r w:rsidRPr="000877E7">
        <w:rPr>
          <w:rFonts w:ascii="Bookman Old Style" w:hAnsi="Bookman Old Style"/>
          <w:sz w:val="20"/>
          <w:szCs w:val="20"/>
        </w:rPr>
        <w:t>. Выбор единиц сравнения</w:t>
      </w:r>
      <w:bookmarkEnd w:id="272"/>
    </w:p>
    <w:p w:rsidR="00F45425" w:rsidRDefault="00F45425" w:rsidP="00F45425">
      <w:pPr>
        <w:overflowPunct w:val="0"/>
        <w:autoSpaceDE w:val="0"/>
        <w:autoSpaceDN w:val="0"/>
        <w:adjustRightInd w:val="0"/>
        <w:spacing w:before="120" w:after="120"/>
        <w:ind w:firstLine="708"/>
        <w:jc w:val="both"/>
        <w:rPr>
          <w:rFonts w:ascii="Bookman Old Style" w:hAnsi="Bookman Old Style"/>
          <w:sz w:val="20"/>
          <w:szCs w:val="20"/>
        </w:rPr>
      </w:pPr>
      <w:r>
        <w:rPr>
          <w:rFonts w:ascii="Bookman Old Style" w:hAnsi="Bookman Old Style"/>
          <w:sz w:val="20"/>
          <w:szCs w:val="20"/>
        </w:rPr>
        <w:t>При расчете рыночной стоимости Объекта оценки в качестве единицы сравнения выбрана стоимость 1 кв.м. общей площади.</w:t>
      </w:r>
    </w:p>
    <w:p w:rsidR="00F45425" w:rsidRPr="00806707" w:rsidRDefault="00F45425" w:rsidP="00F45425">
      <w:pPr>
        <w:overflowPunct w:val="0"/>
        <w:autoSpaceDE w:val="0"/>
        <w:autoSpaceDN w:val="0"/>
        <w:adjustRightInd w:val="0"/>
        <w:spacing w:before="120" w:after="120"/>
        <w:ind w:firstLine="644"/>
        <w:rPr>
          <w:rFonts w:ascii="Bookman Old Style" w:hAnsi="Bookman Old Style"/>
          <w:sz w:val="20"/>
          <w:szCs w:val="20"/>
        </w:rPr>
      </w:pPr>
      <w:r w:rsidRPr="00806707">
        <w:rPr>
          <w:rFonts w:ascii="Bookman Old Style" w:hAnsi="Bookman Old Style"/>
          <w:sz w:val="20"/>
          <w:szCs w:val="20"/>
        </w:rPr>
        <w:t>Можно выделить три основных критерия выбора единицы сравнения:</w:t>
      </w:r>
    </w:p>
    <w:p w:rsidR="00F45425" w:rsidRPr="00806707" w:rsidRDefault="00F45425" w:rsidP="005F04AC">
      <w:pPr>
        <w:numPr>
          <w:ilvl w:val="0"/>
          <w:numId w:val="34"/>
        </w:numPr>
        <w:overflowPunct w:val="0"/>
        <w:autoSpaceDE w:val="0"/>
        <w:autoSpaceDN w:val="0"/>
        <w:adjustRightInd w:val="0"/>
        <w:spacing w:before="120" w:after="120"/>
        <w:jc w:val="both"/>
        <w:rPr>
          <w:rFonts w:ascii="Bookman Old Style" w:hAnsi="Bookman Old Style" w:cs="Arial"/>
          <w:sz w:val="20"/>
          <w:szCs w:val="20"/>
        </w:rPr>
      </w:pPr>
      <w:r w:rsidRPr="00806707">
        <w:rPr>
          <w:rFonts w:ascii="Bookman Old Style" w:hAnsi="Bookman Old Style" w:cs="Arial"/>
          <w:sz w:val="20"/>
          <w:szCs w:val="20"/>
        </w:rPr>
        <w:lastRenderedPageBreak/>
        <w:t>Данная единица сравнения используется покупателями и продавцами, а также другими специалистам</w:t>
      </w:r>
      <w:r>
        <w:rPr>
          <w:rFonts w:ascii="Bookman Old Style" w:hAnsi="Bookman Old Style" w:cs="Arial"/>
          <w:sz w:val="20"/>
          <w:szCs w:val="20"/>
        </w:rPr>
        <w:t>и на конкретном сегменте рынка, т.е. является типичной единицей сравнения на рынке оцениваемого Объекта.</w:t>
      </w:r>
    </w:p>
    <w:p w:rsidR="00F45425" w:rsidRPr="00806707" w:rsidRDefault="00F45425" w:rsidP="005F04AC">
      <w:pPr>
        <w:numPr>
          <w:ilvl w:val="0"/>
          <w:numId w:val="34"/>
        </w:numPr>
        <w:overflowPunct w:val="0"/>
        <w:autoSpaceDE w:val="0"/>
        <w:autoSpaceDN w:val="0"/>
        <w:adjustRightInd w:val="0"/>
        <w:spacing w:before="120" w:after="120"/>
        <w:jc w:val="both"/>
        <w:rPr>
          <w:rFonts w:ascii="Bookman Old Style" w:hAnsi="Bookman Old Style" w:cs="Arial"/>
          <w:sz w:val="20"/>
          <w:szCs w:val="20"/>
        </w:rPr>
      </w:pPr>
      <w:r w:rsidRPr="00806707">
        <w:rPr>
          <w:rFonts w:ascii="Bookman Old Style" w:hAnsi="Bookman Old Style" w:cs="Arial"/>
          <w:sz w:val="20"/>
          <w:szCs w:val="20"/>
        </w:rPr>
        <w:t>Данная единиц</w:t>
      </w:r>
      <w:r>
        <w:rPr>
          <w:rFonts w:ascii="Bookman Old Style" w:hAnsi="Bookman Old Style" w:cs="Arial"/>
          <w:sz w:val="20"/>
          <w:szCs w:val="20"/>
        </w:rPr>
        <w:t>а сравнения является общей для О</w:t>
      </w:r>
      <w:r w:rsidRPr="00806707">
        <w:rPr>
          <w:rFonts w:ascii="Bookman Old Style" w:hAnsi="Bookman Old Style" w:cs="Arial"/>
          <w:sz w:val="20"/>
          <w:szCs w:val="20"/>
        </w:rPr>
        <w:t>бъекта оценки и объектов-аналогов («общий знаменатель»).</w:t>
      </w:r>
    </w:p>
    <w:p w:rsidR="00F45425" w:rsidRPr="00806707" w:rsidRDefault="00F45425" w:rsidP="005F04AC">
      <w:pPr>
        <w:numPr>
          <w:ilvl w:val="0"/>
          <w:numId w:val="34"/>
        </w:numPr>
        <w:overflowPunct w:val="0"/>
        <w:autoSpaceDE w:val="0"/>
        <w:autoSpaceDN w:val="0"/>
        <w:adjustRightInd w:val="0"/>
        <w:spacing w:before="120" w:after="120"/>
        <w:jc w:val="both"/>
        <w:rPr>
          <w:rFonts w:ascii="Bookman Old Style" w:hAnsi="Bookman Old Style" w:cs="Arial"/>
          <w:sz w:val="20"/>
          <w:szCs w:val="20"/>
        </w:rPr>
      </w:pPr>
      <w:r w:rsidRPr="00806707">
        <w:rPr>
          <w:rFonts w:ascii="Bookman Old Style" w:hAnsi="Bookman Old Style" w:cs="Arial"/>
          <w:sz w:val="20"/>
          <w:szCs w:val="20"/>
        </w:rPr>
        <w:t>Данная единица сравнения является удельной характеристикой (удельной ценой), что существенно ослабляет зависимость этой характеристики от общего количества ценообразующ</w:t>
      </w:r>
      <w:r>
        <w:rPr>
          <w:rFonts w:ascii="Bookman Old Style" w:hAnsi="Bookman Old Style" w:cs="Arial"/>
          <w:sz w:val="20"/>
          <w:szCs w:val="20"/>
        </w:rPr>
        <w:t>их</w:t>
      </w:r>
      <w:r w:rsidRPr="00806707">
        <w:rPr>
          <w:rFonts w:ascii="Bookman Old Style" w:hAnsi="Bookman Old Style" w:cs="Arial"/>
          <w:sz w:val="20"/>
          <w:szCs w:val="20"/>
        </w:rPr>
        <w:t xml:space="preserve"> фактор</w:t>
      </w:r>
      <w:r>
        <w:rPr>
          <w:rFonts w:ascii="Bookman Old Style" w:hAnsi="Bookman Old Style" w:cs="Arial"/>
          <w:sz w:val="20"/>
          <w:szCs w:val="20"/>
        </w:rPr>
        <w:t>ов</w:t>
      </w:r>
      <w:r w:rsidRPr="00806707">
        <w:rPr>
          <w:rFonts w:ascii="Bookman Old Style" w:hAnsi="Bookman Old Style" w:cs="Arial"/>
          <w:sz w:val="20"/>
          <w:szCs w:val="20"/>
        </w:rPr>
        <w:t>.</w:t>
      </w:r>
    </w:p>
    <w:p w:rsidR="00F45425" w:rsidRDefault="00F45425" w:rsidP="00F45425">
      <w:pPr>
        <w:overflowPunct w:val="0"/>
        <w:autoSpaceDE w:val="0"/>
        <w:autoSpaceDN w:val="0"/>
        <w:adjustRightInd w:val="0"/>
        <w:spacing w:before="120" w:after="120"/>
        <w:ind w:firstLine="708"/>
        <w:jc w:val="both"/>
        <w:rPr>
          <w:rFonts w:ascii="Bookman Old Style" w:hAnsi="Bookman Old Style" w:cs="Arial"/>
          <w:sz w:val="20"/>
          <w:szCs w:val="20"/>
        </w:rPr>
      </w:pPr>
      <w:r w:rsidRPr="00806707">
        <w:rPr>
          <w:rFonts w:ascii="Bookman Old Style" w:hAnsi="Bookman Old Style" w:cs="Arial"/>
          <w:sz w:val="20"/>
          <w:szCs w:val="20"/>
        </w:rPr>
        <w:t>Этим же объясняется отказ от использования других единиц сравнения.</w:t>
      </w:r>
    </w:p>
    <w:p w:rsidR="00F45425" w:rsidRPr="000877E7" w:rsidRDefault="00F45425" w:rsidP="00F45425">
      <w:pPr>
        <w:pStyle w:val="3"/>
        <w:rPr>
          <w:rFonts w:ascii="Bookman Old Style" w:hAnsi="Bookman Old Style"/>
          <w:sz w:val="20"/>
          <w:szCs w:val="20"/>
        </w:rPr>
      </w:pPr>
      <w:bookmarkStart w:id="273" w:name="_Toc461375602"/>
      <w:r>
        <w:rPr>
          <w:rFonts w:ascii="Bookman Old Style" w:hAnsi="Bookman Old Style"/>
          <w:sz w:val="20"/>
          <w:szCs w:val="20"/>
        </w:rPr>
        <w:t>5.4</w:t>
      </w:r>
      <w:r w:rsidRPr="000877E7">
        <w:rPr>
          <w:rFonts w:ascii="Bookman Old Style" w:hAnsi="Bookman Old Style"/>
          <w:sz w:val="20"/>
          <w:szCs w:val="20"/>
        </w:rPr>
        <w:t>.</w:t>
      </w:r>
      <w:r w:rsidR="009E0D79">
        <w:rPr>
          <w:rFonts w:ascii="Bookman Old Style" w:hAnsi="Bookman Old Style"/>
          <w:sz w:val="20"/>
          <w:szCs w:val="20"/>
        </w:rPr>
        <w:t>3</w:t>
      </w:r>
      <w:r w:rsidRPr="000877E7">
        <w:rPr>
          <w:rFonts w:ascii="Bookman Old Style" w:hAnsi="Bookman Old Style"/>
          <w:sz w:val="20"/>
          <w:szCs w:val="20"/>
        </w:rPr>
        <w:t>. Правило отбора аналогов</w:t>
      </w:r>
      <w:r>
        <w:rPr>
          <w:rStyle w:val="aff0"/>
          <w:rFonts w:ascii="Bookman Old Style" w:hAnsi="Bookman Old Style"/>
          <w:sz w:val="20"/>
          <w:szCs w:val="20"/>
        </w:rPr>
        <w:footnoteReference w:id="42"/>
      </w:r>
      <w:bookmarkEnd w:id="273"/>
    </w:p>
    <w:p w:rsidR="009E0D79" w:rsidRPr="00110867" w:rsidRDefault="009E0D79" w:rsidP="009E0D79">
      <w:pPr>
        <w:spacing w:before="120" w:after="120"/>
        <w:ind w:firstLine="709"/>
        <w:jc w:val="both"/>
        <w:rPr>
          <w:rFonts w:ascii="Bookman Old Style" w:hAnsi="Bookman Old Style" w:cs="Arial"/>
          <w:sz w:val="20"/>
          <w:szCs w:val="20"/>
        </w:rPr>
      </w:pPr>
      <w:r w:rsidRPr="00110867">
        <w:rPr>
          <w:rFonts w:ascii="Bookman Old Style" w:hAnsi="Bookman Old Style" w:cs="Arial"/>
          <w:sz w:val="20"/>
          <w:szCs w:val="20"/>
        </w:rPr>
        <w:t>Объем доступных оценщику рыночных данных приведен в соответствующих разделах анализа рынка коммерческой недвижимости.</w:t>
      </w:r>
    </w:p>
    <w:p w:rsidR="009E0D79" w:rsidRPr="00110867" w:rsidRDefault="009E0D79" w:rsidP="009E0D79">
      <w:pPr>
        <w:spacing w:before="120" w:after="120"/>
        <w:ind w:firstLine="709"/>
        <w:jc w:val="both"/>
        <w:rPr>
          <w:rFonts w:ascii="Bookman Old Style" w:hAnsi="Bookman Old Style" w:cs="Arial"/>
          <w:sz w:val="20"/>
          <w:szCs w:val="20"/>
        </w:rPr>
      </w:pPr>
      <w:r w:rsidRPr="00110867">
        <w:rPr>
          <w:rFonts w:ascii="Bookman Old Style" w:hAnsi="Bookman Old Style" w:cs="Arial"/>
          <w:sz w:val="20"/>
          <w:szCs w:val="20"/>
        </w:rPr>
        <w:t xml:space="preserve">На рынке коммерческой недвижимости </w:t>
      </w:r>
      <w:r w:rsidR="005F6A69">
        <w:rPr>
          <w:rFonts w:ascii="Bookman Old Style" w:hAnsi="Bookman Old Style" w:cs="Arial"/>
          <w:sz w:val="20"/>
          <w:szCs w:val="20"/>
        </w:rPr>
        <w:t>Ленинского</w:t>
      </w:r>
      <w:r w:rsidRPr="00110867">
        <w:rPr>
          <w:rFonts w:ascii="Bookman Old Style" w:hAnsi="Bookman Old Style" w:cs="Arial"/>
          <w:sz w:val="20"/>
          <w:szCs w:val="20"/>
        </w:rPr>
        <w:t xml:space="preserve"> </w:t>
      </w:r>
      <w:r w:rsidR="006A199E">
        <w:rPr>
          <w:rFonts w:ascii="Bookman Old Style" w:hAnsi="Bookman Old Style" w:cs="Arial"/>
          <w:sz w:val="20"/>
          <w:szCs w:val="20"/>
        </w:rPr>
        <w:t xml:space="preserve">района </w:t>
      </w:r>
      <w:r w:rsidRPr="00110867">
        <w:rPr>
          <w:rFonts w:ascii="Bookman Old Style" w:hAnsi="Bookman Old Style" w:cs="Arial"/>
          <w:sz w:val="20"/>
          <w:szCs w:val="20"/>
        </w:rPr>
        <w:t xml:space="preserve">г. Красноярска существует возможность выбора </w:t>
      </w:r>
      <w:proofErr w:type="gramStart"/>
      <w:r w:rsidRPr="00110867">
        <w:rPr>
          <w:rFonts w:ascii="Bookman Old Style" w:hAnsi="Bookman Old Style" w:cs="Arial"/>
          <w:sz w:val="20"/>
          <w:szCs w:val="20"/>
        </w:rPr>
        <w:t>объектов-аналогов</w:t>
      </w:r>
      <w:proofErr w:type="gramEnd"/>
      <w:r w:rsidRPr="00110867">
        <w:rPr>
          <w:rFonts w:ascii="Bookman Old Style" w:hAnsi="Bookman Old Style" w:cs="Arial"/>
          <w:sz w:val="20"/>
          <w:szCs w:val="20"/>
        </w:rPr>
        <w:t xml:space="preserve"> которые относятся к одному с элементами Объекта оценки сегменту рынка и сопоставимы с ним по ценообразующим факторам, а полученные результаты расчета можно считать надежными и достоверными, так как база оценки, мотивации сторон, характер гипотетической сделки, цель и задача оценки, а также степень экспозиции объектов на рынке при планируемой сделке совпадают, что обеспечивает адекватное определение рыночной стоимости Объекта оценки.</w:t>
      </w:r>
    </w:p>
    <w:p w:rsidR="009E0D79" w:rsidRPr="00110867" w:rsidRDefault="009E0D79" w:rsidP="009E0D79">
      <w:pPr>
        <w:spacing w:before="120" w:after="120"/>
        <w:ind w:firstLine="709"/>
        <w:jc w:val="both"/>
        <w:rPr>
          <w:rFonts w:ascii="Bookman Old Style" w:hAnsi="Bookman Old Style" w:cs="Arial"/>
          <w:sz w:val="20"/>
          <w:szCs w:val="20"/>
        </w:rPr>
      </w:pPr>
      <w:r w:rsidRPr="00110867">
        <w:rPr>
          <w:rFonts w:ascii="Bookman Old Style" w:hAnsi="Bookman Old Style" w:cs="Arial"/>
          <w:sz w:val="20"/>
          <w:szCs w:val="20"/>
        </w:rPr>
        <w:t>Необходимо отметить, что выбранные при расчете стоимости объекты-аналоги соответствуют элементам Объекта оценки по основному ценообразующему фактору определяющему стоимость недвижимого имущества – местоположению.</w:t>
      </w:r>
    </w:p>
    <w:p w:rsidR="00F45425" w:rsidRDefault="009E0D79" w:rsidP="009E0D79">
      <w:pPr>
        <w:spacing w:before="120" w:after="120"/>
        <w:ind w:firstLine="709"/>
        <w:jc w:val="both"/>
        <w:rPr>
          <w:rFonts w:ascii="Bookman Old Style" w:hAnsi="Bookman Old Style"/>
          <w:sz w:val="20"/>
          <w:szCs w:val="20"/>
        </w:rPr>
      </w:pPr>
      <w:r w:rsidRPr="00110867">
        <w:rPr>
          <w:rFonts w:ascii="Bookman Old Style" w:hAnsi="Bookman Old Style" w:cs="Arial"/>
          <w:sz w:val="20"/>
          <w:szCs w:val="20"/>
        </w:rPr>
        <w:t>Таким образом, при выборе объектов-аналогов оценщик руководствовался этим правилом</w:t>
      </w:r>
      <w:r w:rsidR="00284ACB" w:rsidRPr="00110867">
        <w:rPr>
          <w:rFonts w:ascii="Bookman Old Style" w:hAnsi="Bookman Old Style" w:cs="Arial"/>
          <w:sz w:val="20"/>
          <w:szCs w:val="20"/>
        </w:rPr>
        <w:t>.</w:t>
      </w:r>
    </w:p>
    <w:p w:rsidR="00F45425" w:rsidRPr="000877E7" w:rsidRDefault="00F45425" w:rsidP="00F45425">
      <w:pPr>
        <w:pStyle w:val="3"/>
        <w:rPr>
          <w:rFonts w:ascii="Bookman Old Style" w:hAnsi="Bookman Old Style"/>
          <w:sz w:val="20"/>
          <w:szCs w:val="20"/>
        </w:rPr>
      </w:pPr>
      <w:bookmarkStart w:id="274" w:name="_Toc461375603"/>
      <w:r>
        <w:rPr>
          <w:rFonts w:ascii="Bookman Old Style" w:hAnsi="Bookman Old Style"/>
          <w:sz w:val="20"/>
          <w:szCs w:val="20"/>
        </w:rPr>
        <w:t>5.4</w:t>
      </w:r>
      <w:r w:rsidRPr="000877E7">
        <w:rPr>
          <w:rFonts w:ascii="Bookman Old Style" w:hAnsi="Bookman Old Style"/>
          <w:sz w:val="20"/>
          <w:szCs w:val="20"/>
        </w:rPr>
        <w:t>.</w:t>
      </w:r>
      <w:r w:rsidR="00A21E6E">
        <w:rPr>
          <w:rFonts w:ascii="Bookman Old Style" w:hAnsi="Bookman Old Style"/>
          <w:sz w:val="20"/>
          <w:szCs w:val="20"/>
        </w:rPr>
        <w:t>4</w:t>
      </w:r>
      <w:r w:rsidRPr="000877E7">
        <w:rPr>
          <w:rFonts w:ascii="Bookman Old Style" w:hAnsi="Bookman Old Style"/>
          <w:sz w:val="20"/>
          <w:szCs w:val="20"/>
        </w:rPr>
        <w:t>. Корректировка по элементам сравнения. Согласование скорректированных результатов расчетов.</w:t>
      </w:r>
      <w:bookmarkEnd w:id="274"/>
    </w:p>
    <w:p w:rsidR="00F45425" w:rsidRDefault="00F45425" w:rsidP="00F45425">
      <w:pPr>
        <w:spacing w:before="120" w:after="120"/>
        <w:ind w:firstLine="709"/>
        <w:jc w:val="both"/>
        <w:rPr>
          <w:rFonts w:ascii="Bookman Old Style" w:hAnsi="Bookman Old Style"/>
          <w:sz w:val="20"/>
          <w:szCs w:val="20"/>
        </w:rPr>
      </w:pPr>
      <w:r w:rsidRPr="00231E9E">
        <w:rPr>
          <w:rFonts w:ascii="Bookman Old Style" w:hAnsi="Bookman Old Style"/>
          <w:sz w:val="20"/>
          <w:szCs w:val="20"/>
        </w:rPr>
        <w:t xml:space="preserve">Используя методику </w:t>
      </w:r>
      <w:proofErr w:type="gramStart"/>
      <w:r w:rsidRPr="00231E9E">
        <w:rPr>
          <w:rFonts w:ascii="Bookman Old Style" w:hAnsi="Bookman Old Style"/>
          <w:sz w:val="20"/>
          <w:szCs w:val="20"/>
        </w:rPr>
        <w:t>расчетов</w:t>
      </w:r>
      <w:proofErr w:type="gramEnd"/>
      <w:r w:rsidRPr="00231E9E">
        <w:rPr>
          <w:rFonts w:ascii="Bookman Old Style" w:hAnsi="Bookman Old Style"/>
          <w:sz w:val="20"/>
          <w:szCs w:val="20"/>
        </w:rPr>
        <w:t xml:space="preserve"> приведенную в </w:t>
      </w:r>
      <w:r w:rsidRPr="00071BBA">
        <w:rPr>
          <w:rFonts w:ascii="Bookman Old Style" w:hAnsi="Bookman Old Style"/>
          <w:sz w:val="20"/>
          <w:szCs w:val="20"/>
        </w:rPr>
        <w:t>пункте 5.4.1.</w:t>
      </w:r>
      <w:r w:rsidRPr="00231E9E">
        <w:rPr>
          <w:rFonts w:ascii="Bookman Old Style" w:hAnsi="Bookman Old Style"/>
          <w:sz w:val="20"/>
          <w:szCs w:val="20"/>
        </w:rPr>
        <w:t xml:space="preserve"> проведен расчет стоимости 1 кв.м. элементов Объекта оценки.</w:t>
      </w:r>
      <w:r w:rsidR="00CB5263" w:rsidRPr="00CB5263">
        <w:rPr>
          <w:rFonts w:ascii="Bookman Old Style" w:hAnsi="Bookman Old Style"/>
          <w:sz w:val="20"/>
          <w:szCs w:val="20"/>
        </w:rPr>
        <w:t xml:space="preserve"> </w:t>
      </w:r>
    </w:p>
    <w:p w:rsidR="00F45425" w:rsidRDefault="00F45425" w:rsidP="00F45425">
      <w:pPr>
        <w:spacing w:before="120" w:after="120"/>
        <w:ind w:firstLine="709"/>
        <w:jc w:val="both"/>
        <w:rPr>
          <w:rFonts w:ascii="Bookman Old Style" w:hAnsi="Bookman Old Style"/>
          <w:sz w:val="20"/>
          <w:szCs w:val="20"/>
        </w:rPr>
      </w:pPr>
      <w:r w:rsidRPr="00231E9E">
        <w:rPr>
          <w:rFonts w:ascii="Bookman Old Style" w:hAnsi="Bookman Old Style"/>
          <w:sz w:val="20"/>
          <w:szCs w:val="20"/>
        </w:rPr>
        <w:t>Необходимо отметить, что выбранные при расчете ценообразующие факторы, являются основными при определении стоимости элементов Объекта оценки. Ценообразующие факторы, не связанные с факторами спроса и предложения на рынке недвижимого имущества в рассматриваемых сегментах рынка, при проведении расчета не использовались.</w:t>
      </w:r>
    </w:p>
    <w:p w:rsidR="00490A76" w:rsidRDefault="00F45425" w:rsidP="00F45425">
      <w:pPr>
        <w:pStyle w:val="3"/>
        <w:rPr>
          <w:rFonts w:ascii="Bookman Old Style" w:hAnsi="Bookman Old Style"/>
          <w:sz w:val="20"/>
          <w:szCs w:val="20"/>
        </w:rPr>
      </w:pPr>
      <w:bookmarkStart w:id="275" w:name="_Toc461375604"/>
      <w:r>
        <w:rPr>
          <w:rFonts w:ascii="Bookman Old Style" w:hAnsi="Bookman Old Style"/>
          <w:sz w:val="20"/>
          <w:szCs w:val="20"/>
        </w:rPr>
        <w:t>5.4</w:t>
      </w:r>
      <w:r w:rsidRPr="00B32FC8">
        <w:rPr>
          <w:rFonts w:ascii="Bookman Old Style" w:hAnsi="Bookman Old Style"/>
          <w:sz w:val="20"/>
          <w:szCs w:val="20"/>
        </w:rPr>
        <w:t>.</w:t>
      </w:r>
      <w:r w:rsidR="00A21E6E">
        <w:rPr>
          <w:rFonts w:ascii="Bookman Old Style" w:hAnsi="Bookman Old Style"/>
          <w:sz w:val="20"/>
          <w:szCs w:val="20"/>
        </w:rPr>
        <w:t>4</w:t>
      </w:r>
      <w:r w:rsidRPr="00B32FC8">
        <w:rPr>
          <w:rFonts w:ascii="Bookman Old Style" w:hAnsi="Bookman Old Style"/>
          <w:sz w:val="20"/>
          <w:szCs w:val="20"/>
        </w:rPr>
        <w:t xml:space="preserve">.1. Расчет стоимости 1 кв.м. </w:t>
      </w:r>
      <w:r w:rsidR="00490A76">
        <w:rPr>
          <w:rFonts w:ascii="Bookman Old Style" w:hAnsi="Bookman Old Style"/>
          <w:sz w:val="20"/>
          <w:szCs w:val="20"/>
        </w:rPr>
        <w:t xml:space="preserve">нежилого помещения производственно-складского назначения площадью </w:t>
      </w:r>
      <w:r w:rsidR="009B795D">
        <w:rPr>
          <w:rFonts w:ascii="Bookman Old Style" w:hAnsi="Bookman Old Style"/>
          <w:sz w:val="20"/>
          <w:szCs w:val="20"/>
        </w:rPr>
        <w:t>300-</w:t>
      </w:r>
      <w:r w:rsidR="00CE17F5">
        <w:rPr>
          <w:rFonts w:ascii="Bookman Old Style" w:hAnsi="Bookman Old Style"/>
          <w:sz w:val="20"/>
          <w:szCs w:val="20"/>
          <w:lang w:val="en-US"/>
        </w:rPr>
        <w:t>1000</w:t>
      </w:r>
      <w:r w:rsidR="00490A76">
        <w:rPr>
          <w:rFonts w:ascii="Bookman Old Style" w:hAnsi="Bookman Old Style"/>
          <w:sz w:val="20"/>
          <w:szCs w:val="20"/>
        </w:rPr>
        <w:t xml:space="preserve"> кв.м.</w:t>
      </w:r>
      <w:bookmarkEnd w:id="275"/>
      <w:r w:rsidR="00490A76">
        <w:rPr>
          <w:rFonts w:ascii="Bookman Old Style" w:hAnsi="Bookman Old Style"/>
          <w:sz w:val="20"/>
          <w:szCs w:val="20"/>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1502"/>
        <w:gridCol w:w="1809"/>
        <w:gridCol w:w="1916"/>
        <w:gridCol w:w="2026"/>
        <w:gridCol w:w="1704"/>
      </w:tblGrid>
      <w:tr w:rsidR="009B795D" w:rsidRPr="00490A76" w:rsidTr="00044B6C">
        <w:trPr>
          <w:cantSplit/>
          <w:trHeight w:val="170"/>
        </w:trPr>
        <w:tc>
          <w:tcPr>
            <w:tcW w:w="831"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Показатель</w:t>
            </w:r>
          </w:p>
        </w:tc>
        <w:tc>
          <w:tcPr>
            <w:tcW w:w="699"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Объект оценки</w:t>
            </w:r>
          </w:p>
        </w:tc>
        <w:tc>
          <w:tcPr>
            <w:tcW w:w="842"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Аналог 1</w:t>
            </w:r>
          </w:p>
        </w:tc>
        <w:tc>
          <w:tcPr>
            <w:tcW w:w="892"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Аналог 2</w:t>
            </w:r>
          </w:p>
        </w:tc>
        <w:tc>
          <w:tcPr>
            <w:tcW w:w="943"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Аналог 3</w:t>
            </w:r>
          </w:p>
        </w:tc>
        <w:tc>
          <w:tcPr>
            <w:tcW w:w="793"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Аналог 4</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Источник информации</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9B795D" w:rsidRPr="00490A76" w:rsidRDefault="009A3373" w:rsidP="00044B6C">
            <w:pPr>
              <w:jc w:val="center"/>
              <w:rPr>
                <w:rFonts w:ascii="Cambria" w:hAnsi="Cambria"/>
                <w:sz w:val="16"/>
                <w:szCs w:val="16"/>
                <w:u w:val="single"/>
              </w:rPr>
            </w:pPr>
            <w:hyperlink r:id="rId26" w:history="1">
              <w:r w:rsidR="009B795D" w:rsidRPr="00490A76">
                <w:rPr>
                  <w:rFonts w:ascii="Cambria" w:hAnsi="Cambria"/>
                  <w:sz w:val="16"/>
                  <w:szCs w:val="16"/>
                  <w:u w:val="single"/>
                </w:rPr>
                <w:t>https://www.avito.ru</w:t>
              </w:r>
            </w:hyperlink>
          </w:p>
        </w:tc>
        <w:tc>
          <w:tcPr>
            <w:tcW w:w="892" w:type="pct"/>
            <w:shd w:val="clear" w:color="auto" w:fill="auto"/>
            <w:vAlign w:val="center"/>
            <w:hideMark/>
          </w:tcPr>
          <w:p w:rsidR="009B795D" w:rsidRPr="00490A76" w:rsidRDefault="009A3373" w:rsidP="00044B6C">
            <w:pPr>
              <w:jc w:val="center"/>
              <w:rPr>
                <w:rFonts w:ascii="Cambria" w:hAnsi="Cambria"/>
                <w:sz w:val="16"/>
                <w:szCs w:val="16"/>
                <w:u w:val="single"/>
              </w:rPr>
            </w:pPr>
            <w:hyperlink r:id="rId27" w:history="1">
              <w:r w:rsidR="009B795D" w:rsidRPr="00490A76">
                <w:rPr>
                  <w:rFonts w:ascii="Cambria" w:hAnsi="Cambria"/>
                  <w:sz w:val="16"/>
                  <w:szCs w:val="16"/>
                  <w:u w:val="single"/>
                </w:rPr>
                <w:t>http://kn.gilcom.ru</w:t>
              </w:r>
            </w:hyperlink>
          </w:p>
        </w:tc>
        <w:tc>
          <w:tcPr>
            <w:tcW w:w="943" w:type="pct"/>
            <w:shd w:val="clear" w:color="auto" w:fill="auto"/>
            <w:vAlign w:val="center"/>
            <w:hideMark/>
          </w:tcPr>
          <w:p w:rsidR="009B795D" w:rsidRPr="00490A76" w:rsidRDefault="009A3373" w:rsidP="00044B6C">
            <w:pPr>
              <w:jc w:val="center"/>
              <w:rPr>
                <w:rFonts w:ascii="Cambria" w:hAnsi="Cambria"/>
                <w:sz w:val="16"/>
                <w:szCs w:val="16"/>
                <w:u w:val="single"/>
              </w:rPr>
            </w:pPr>
            <w:hyperlink r:id="rId28" w:history="1">
              <w:r w:rsidR="009B795D" w:rsidRPr="00490A76">
                <w:rPr>
                  <w:rFonts w:ascii="Cambria" w:hAnsi="Cambria"/>
                  <w:sz w:val="16"/>
                  <w:szCs w:val="16"/>
                  <w:u w:val="single"/>
                </w:rPr>
                <w:t>https://www.avito.ru</w:t>
              </w:r>
            </w:hyperlink>
          </w:p>
        </w:tc>
        <w:tc>
          <w:tcPr>
            <w:tcW w:w="793" w:type="pct"/>
            <w:shd w:val="clear" w:color="auto" w:fill="auto"/>
            <w:vAlign w:val="center"/>
            <w:hideMark/>
          </w:tcPr>
          <w:p w:rsidR="009B795D" w:rsidRPr="00490A76" w:rsidRDefault="009A3373" w:rsidP="00044B6C">
            <w:pPr>
              <w:jc w:val="center"/>
              <w:rPr>
                <w:rFonts w:ascii="Cambria" w:hAnsi="Cambria"/>
                <w:sz w:val="16"/>
                <w:szCs w:val="16"/>
                <w:u w:val="single"/>
              </w:rPr>
            </w:pPr>
            <w:hyperlink r:id="rId29" w:history="1">
              <w:r w:rsidR="009B795D" w:rsidRPr="00490A76">
                <w:rPr>
                  <w:rFonts w:ascii="Cambria" w:hAnsi="Cambria"/>
                  <w:sz w:val="16"/>
                  <w:szCs w:val="16"/>
                  <w:u w:val="single"/>
                </w:rPr>
                <w:t>https://www.avito.ru</w:t>
              </w:r>
            </w:hyperlink>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Сегмент рынка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ПСН</w:t>
            </w:r>
          </w:p>
        </w:tc>
        <w:tc>
          <w:tcPr>
            <w:tcW w:w="842"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ПСН</w:t>
            </w:r>
          </w:p>
        </w:tc>
        <w:tc>
          <w:tcPr>
            <w:tcW w:w="892"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ПСН</w:t>
            </w:r>
          </w:p>
        </w:tc>
        <w:tc>
          <w:tcPr>
            <w:tcW w:w="943"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ПСН</w:t>
            </w:r>
          </w:p>
        </w:tc>
        <w:tc>
          <w:tcPr>
            <w:tcW w:w="793"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ПСН</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Местоположение</w:t>
            </w:r>
          </w:p>
        </w:tc>
        <w:tc>
          <w:tcPr>
            <w:tcW w:w="699"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4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 xml:space="preserve">г. Красноярск, Ленинский район, </w:t>
            </w:r>
            <w:proofErr w:type="spellStart"/>
            <w:proofErr w:type="gramStart"/>
            <w:r>
              <w:rPr>
                <w:rFonts w:ascii="Cambria" w:hAnsi="Cambria"/>
                <w:sz w:val="16"/>
                <w:szCs w:val="16"/>
              </w:rPr>
              <w:t>ул</w:t>
            </w:r>
            <w:proofErr w:type="spellEnd"/>
            <w:proofErr w:type="gramEnd"/>
            <w:r>
              <w:rPr>
                <w:rFonts w:ascii="Cambria" w:hAnsi="Cambria"/>
                <w:sz w:val="16"/>
                <w:szCs w:val="16"/>
              </w:rPr>
              <w:t xml:space="preserve"> Семена Давыдова, 60с2</w:t>
            </w:r>
          </w:p>
        </w:tc>
        <w:tc>
          <w:tcPr>
            <w:tcW w:w="89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г. Красноярск, Ленинский район, ул. Энергетиков</w:t>
            </w:r>
          </w:p>
        </w:tc>
        <w:tc>
          <w:tcPr>
            <w:tcW w:w="94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г. Красноярск, Ленинский район, ул. Айвазовского,16</w:t>
            </w:r>
          </w:p>
        </w:tc>
        <w:tc>
          <w:tcPr>
            <w:tcW w:w="79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г. Красноярск, Ленинский район, ул. Айвазовского</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Стоимость, руб.</w:t>
            </w:r>
          </w:p>
        </w:tc>
        <w:tc>
          <w:tcPr>
            <w:tcW w:w="699"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w:t>
            </w:r>
          </w:p>
        </w:tc>
        <w:tc>
          <w:tcPr>
            <w:tcW w:w="842"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17 495 660</w:t>
            </w:r>
          </w:p>
        </w:tc>
        <w:tc>
          <w:tcPr>
            <w:tcW w:w="892"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41 000 000</w:t>
            </w:r>
          </w:p>
        </w:tc>
        <w:tc>
          <w:tcPr>
            <w:tcW w:w="943"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12 300 000</w:t>
            </w:r>
          </w:p>
        </w:tc>
        <w:tc>
          <w:tcPr>
            <w:tcW w:w="793"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21 000 000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Площадь здания, кв.м.</w:t>
            </w:r>
          </w:p>
        </w:tc>
        <w:tc>
          <w:tcPr>
            <w:tcW w:w="699" w:type="pct"/>
            <w:shd w:val="clear" w:color="auto" w:fill="auto"/>
            <w:vAlign w:val="center"/>
            <w:hideMark/>
          </w:tcPr>
          <w:p w:rsidR="009B795D" w:rsidRDefault="009B795D" w:rsidP="00044B6C">
            <w:pPr>
              <w:jc w:val="center"/>
              <w:rPr>
                <w:rFonts w:ascii="Cambria" w:hAnsi="Cambria"/>
                <w:b/>
                <w:bCs/>
                <w:sz w:val="16"/>
                <w:szCs w:val="16"/>
              </w:rPr>
            </w:pPr>
            <w:r w:rsidRPr="00DB0AEE">
              <w:rPr>
                <w:rFonts w:ascii="Cambria" w:hAnsi="Cambria"/>
                <w:b/>
                <w:bCs/>
                <w:sz w:val="16"/>
                <w:szCs w:val="16"/>
              </w:rPr>
              <w:t>3 771,30</w:t>
            </w:r>
          </w:p>
        </w:tc>
        <w:tc>
          <w:tcPr>
            <w:tcW w:w="842" w:type="pct"/>
            <w:shd w:val="clear" w:color="auto" w:fill="auto"/>
            <w:noWrap/>
            <w:vAlign w:val="center"/>
            <w:hideMark/>
          </w:tcPr>
          <w:p w:rsidR="009B795D" w:rsidRDefault="009B795D" w:rsidP="00044B6C">
            <w:pPr>
              <w:jc w:val="center"/>
              <w:rPr>
                <w:rFonts w:ascii="Cambria" w:hAnsi="Cambria"/>
                <w:b/>
                <w:bCs/>
                <w:color w:val="000000"/>
                <w:sz w:val="16"/>
                <w:szCs w:val="16"/>
              </w:rPr>
            </w:pPr>
            <w:r>
              <w:rPr>
                <w:rFonts w:ascii="Cambria" w:hAnsi="Cambria"/>
                <w:b/>
                <w:bCs/>
                <w:color w:val="000000"/>
                <w:sz w:val="16"/>
                <w:szCs w:val="16"/>
              </w:rPr>
              <w:t>961,3</w:t>
            </w:r>
          </w:p>
        </w:tc>
        <w:tc>
          <w:tcPr>
            <w:tcW w:w="892" w:type="pct"/>
            <w:shd w:val="clear" w:color="auto" w:fill="auto"/>
            <w:noWrap/>
            <w:vAlign w:val="center"/>
            <w:hideMark/>
          </w:tcPr>
          <w:p w:rsidR="009B795D" w:rsidRDefault="009B795D" w:rsidP="00044B6C">
            <w:pPr>
              <w:jc w:val="center"/>
              <w:rPr>
                <w:rFonts w:ascii="Cambria" w:hAnsi="Cambria"/>
                <w:b/>
                <w:bCs/>
                <w:color w:val="000000"/>
                <w:sz w:val="16"/>
                <w:szCs w:val="16"/>
              </w:rPr>
            </w:pPr>
            <w:r>
              <w:rPr>
                <w:rFonts w:ascii="Cambria" w:hAnsi="Cambria"/>
                <w:b/>
                <w:bCs/>
                <w:color w:val="000000"/>
                <w:sz w:val="16"/>
                <w:szCs w:val="16"/>
              </w:rPr>
              <w:t>1 583,0</w:t>
            </w:r>
          </w:p>
        </w:tc>
        <w:tc>
          <w:tcPr>
            <w:tcW w:w="943"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620,00</w:t>
            </w:r>
          </w:p>
        </w:tc>
        <w:tc>
          <w:tcPr>
            <w:tcW w:w="793"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878,80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Площадь ЗУ, кв.м.</w:t>
            </w:r>
          </w:p>
        </w:tc>
        <w:tc>
          <w:tcPr>
            <w:tcW w:w="699"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 </w:t>
            </w:r>
          </w:p>
        </w:tc>
        <w:tc>
          <w:tcPr>
            <w:tcW w:w="842"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2 763,0</w:t>
            </w:r>
          </w:p>
        </w:tc>
        <w:tc>
          <w:tcPr>
            <w:tcW w:w="892"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6 700,0</w:t>
            </w:r>
          </w:p>
        </w:tc>
        <w:tc>
          <w:tcPr>
            <w:tcW w:w="943"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2 700,00</w:t>
            </w:r>
          </w:p>
        </w:tc>
        <w:tc>
          <w:tcPr>
            <w:tcW w:w="793" w:type="pct"/>
            <w:shd w:val="clear" w:color="auto" w:fill="auto"/>
            <w:noWrap/>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2 300,0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Стоимость ЗУ</w:t>
            </w:r>
          </w:p>
        </w:tc>
        <w:tc>
          <w:tcPr>
            <w:tcW w:w="699"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 </w:t>
            </w:r>
          </w:p>
        </w:tc>
        <w:tc>
          <w:tcPr>
            <w:tcW w:w="842" w:type="pct"/>
            <w:shd w:val="clear" w:color="auto" w:fill="auto"/>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446 529,88</w:t>
            </w:r>
          </w:p>
        </w:tc>
        <w:tc>
          <w:tcPr>
            <w:tcW w:w="892" w:type="pct"/>
            <w:shd w:val="clear" w:color="auto" w:fill="auto"/>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1 082 790,53</w:t>
            </w:r>
          </w:p>
        </w:tc>
        <w:tc>
          <w:tcPr>
            <w:tcW w:w="94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436 348,42</w:t>
            </w:r>
          </w:p>
        </w:tc>
        <w:tc>
          <w:tcPr>
            <w:tcW w:w="79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371 704,21</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 xml:space="preserve">Стоимость здания без ЗУ, руб. </w:t>
            </w:r>
          </w:p>
        </w:tc>
        <w:tc>
          <w:tcPr>
            <w:tcW w:w="699"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w:t>
            </w:r>
          </w:p>
        </w:tc>
        <w:tc>
          <w:tcPr>
            <w:tcW w:w="842"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17 049 130,12</w:t>
            </w:r>
          </w:p>
        </w:tc>
        <w:tc>
          <w:tcPr>
            <w:tcW w:w="892"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39 917 209,47</w:t>
            </w:r>
          </w:p>
        </w:tc>
        <w:tc>
          <w:tcPr>
            <w:tcW w:w="943"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11 863 651,58</w:t>
            </w:r>
          </w:p>
        </w:tc>
        <w:tc>
          <w:tcPr>
            <w:tcW w:w="793"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20 628 295,79</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Стоимость здания, руб. кв.м.</w:t>
            </w:r>
          </w:p>
        </w:tc>
        <w:tc>
          <w:tcPr>
            <w:tcW w:w="699"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 </w:t>
            </w:r>
          </w:p>
        </w:tc>
        <w:tc>
          <w:tcPr>
            <w:tcW w:w="842"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17 749,51</w:t>
            </w:r>
          </w:p>
        </w:tc>
        <w:tc>
          <w:tcPr>
            <w:tcW w:w="892"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25 216,18</w:t>
            </w:r>
          </w:p>
        </w:tc>
        <w:tc>
          <w:tcPr>
            <w:tcW w:w="943"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19 134,92</w:t>
            </w:r>
          </w:p>
        </w:tc>
        <w:tc>
          <w:tcPr>
            <w:tcW w:w="793"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23 473,25</w:t>
            </w:r>
          </w:p>
        </w:tc>
      </w:tr>
      <w:tr w:rsidR="009B795D" w:rsidRPr="00490A76" w:rsidTr="00044B6C">
        <w:trPr>
          <w:cantSplit/>
          <w:trHeight w:val="170"/>
        </w:trPr>
        <w:tc>
          <w:tcPr>
            <w:tcW w:w="5000" w:type="pct"/>
            <w:gridSpan w:val="6"/>
            <w:shd w:val="clear" w:color="auto" w:fill="auto"/>
            <w:vAlign w:val="center"/>
            <w:hideMark/>
          </w:tcPr>
          <w:p w:rsidR="009B795D" w:rsidRPr="00490A76" w:rsidRDefault="009B795D" w:rsidP="00044B6C">
            <w:pPr>
              <w:jc w:val="center"/>
              <w:rPr>
                <w:rFonts w:ascii="Cambria" w:hAnsi="Cambria"/>
                <w:b/>
                <w:bCs/>
                <w:i/>
                <w:iCs/>
                <w:sz w:val="16"/>
                <w:szCs w:val="16"/>
              </w:rPr>
            </w:pPr>
            <w:r w:rsidRPr="00490A76">
              <w:rPr>
                <w:rFonts w:ascii="Cambria" w:hAnsi="Cambria"/>
                <w:b/>
                <w:bCs/>
                <w:i/>
                <w:iCs/>
                <w:sz w:val="16"/>
                <w:szCs w:val="16"/>
              </w:rPr>
              <w:t>Корректировка стоимости</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i/>
                <w:iCs/>
                <w:sz w:val="16"/>
                <w:szCs w:val="16"/>
              </w:rPr>
            </w:pPr>
            <w:r w:rsidRPr="00490A76">
              <w:rPr>
                <w:rFonts w:ascii="Cambria" w:hAnsi="Cambria"/>
                <w:i/>
                <w:iCs/>
                <w:sz w:val="16"/>
                <w:szCs w:val="16"/>
              </w:rPr>
              <w:t>Передаваемые права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Право собственности</w:t>
            </w:r>
          </w:p>
        </w:tc>
        <w:tc>
          <w:tcPr>
            <w:tcW w:w="89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Право собственности</w:t>
            </w:r>
          </w:p>
        </w:tc>
        <w:tc>
          <w:tcPr>
            <w:tcW w:w="94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Право собственности</w:t>
            </w:r>
          </w:p>
        </w:tc>
        <w:tc>
          <w:tcPr>
            <w:tcW w:w="79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Право собственности</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17 749,51</w:t>
            </w:r>
          </w:p>
        </w:tc>
        <w:tc>
          <w:tcPr>
            <w:tcW w:w="892"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25 216,18</w:t>
            </w:r>
          </w:p>
        </w:tc>
        <w:tc>
          <w:tcPr>
            <w:tcW w:w="943"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19 134,92</w:t>
            </w:r>
          </w:p>
        </w:tc>
        <w:tc>
          <w:tcPr>
            <w:tcW w:w="793"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23 473,25</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i/>
                <w:iCs/>
                <w:sz w:val="16"/>
                <w:szCs w:val="16"/>
              </w:rPr>
            </w:pPr>
            <w:r w:rsidRPr="00490A76">
              <w:rPr>
                <w:rFonts w:ascii="Cambria" w:hAnsi="Cambria"/>
                <w:i/>
                <w:iCs/>
                <w:sz w:val="16"/>
                <w:szCs w:val="16"/>
              </w:rPr>
              <w:lastRenderedPageBreak/>
              <w:t>Условия рынка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По состоянию август 2016</w:t>
            </w:r>
          </w:p>
        </w:tc>
        <w:tc>
          <w:tcPr>
            <w:tcW w:w="84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По состоянию август 2016</w:t>
            </w:r>
          </w:p>
        </w:tc>
        <w:tc>
          <w:tcPr>
            <w:tcW w:w="89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По состоянию август 2016</w:t>
            </w:r>
          </w:p>
        </w:tc>
        <w:tc>
          <w:tcPr>
            <w:tcW w:w="94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По состоянию август 2016</w:t>
            </w:r>
          </w:p>
        </w:tc>
        <w:tc>
          <w:tcPr>
            <w:tcW w:w="79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По состоянию август 2016</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17 749,51</w:t>
            </w:r>
          </w:p>
        </w:tc>
        <w:tc>
          <w:tcPr>
            <w:tcW w:w="892"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25 216,18</w:t>
            </w:r>
          </w:p>
        </w:tc>
        <w:tc>
          <w:tcPr>
            <w:tcW w:w="943"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19 134,92</w:t>
            </w:r>
          </w:p>
        </w:tc>
        <w:tc>
          <w:tcPr>
            <w:tcW w:w="793"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23 473,25</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i/>
                <w:iCs/>
                <w:sz w:val="16"/>
                <w:szCs w:val="16"/>
              </w:rPr>
            </w:pPr>
            <w:r w:rsidRPr="00490A76">
              <w:rPr>
                <w:rFonts w:ascii="Cambria" w:hAnsi="Cambria"/>
                <w:i/>
                <w:iCs/>
                <w:sz w:val="16"/>
                <w:szCs w:val="16"/>
              </w:rPr>
              <w:t>Условия продажи</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Цена сделки</w:t>
            </w:r>
          </w:p>
        </w:tc>
        <w:tc>
          <w:tcPr>
            <w:tcW w:w="84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Торг возможен</w:t>
            </w:r>
          </w:p>
        </w:tc>
        <w:tc>
          <w:tcPr>
            <w:tcW w:w="89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Торг возможен</w:t>
            </w:r>
          </w:p>
        </w:tc>
        <w:tc>
          <w:tcPr>
            <w:tcW w:w="94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Торг возможен</w:t>
            </w:r>
          </w:p>
        </w:tc>
        <w:tc>
          <w:tcPr>
            <w:tcW w:w="79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Торг возможен</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-10,00%</w:t>
            </w:r>
          </w:p>
        </w:tc>
        <w:tc>
          <w:tcPr>
            <w:tcW w:w="892"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-10,00%</w:t>
            </w:r>
          </w:p>
        </w:tc>
        <w:tc>
          <w:tcPr>
            <w:tcW w:w="943"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-10,00%</w:t>
            </w:r>
          </w:p>
        </w:tc>
        <w:tc>
          <w:tcPr>
            <w:tcW w:w="793" w:type="pct"/>
            <w:shd w:val="clear" w:color="auto" w:fill="auto"/>
            <w:noWrap/>
            <w:vAlign w:val="center"/>
            <w:hideMark/>
          </w:tcPr>
          <w:p w:rsidR="009B795D" w:rsidRDefault="009B795D" w:rsidP="00044B6C">
            <w:pPr>
              <w:jc w:val="center"/>
              <w:rPr>
                <w:rFonts w:ascii="Cambria" w:hAnsi="Cambria"/>
                <w:sz w:val="16"/>
                <w:szCs w:val="16"/>
              </w:rPr>
            </w:pPr>
            <w:r>
              <w:rPr>
                <w:rFonts w:ascii="Cambria" w:hAnsi="Cambria"/>
                <w:sz w:val="16"/>
                <w:szCs w:val="16"/>
              </w:rPr>
              <w:t>-10,00%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15 974,56</w:t>
            </w:r>
          </w:p>
        </w:tc>
        <w:tc>
          <w:tcPr>
            <w:tcW w:w="892"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22 694,56</w:t>
            </w:r>
          </w:p>
        </w:tc>
        <w:tc>
          <w:tcPr>
            <w:tcW w:w="943"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17 221,43</w:t>
            </w:r>
          </w:p>
        </w:tc>
        <w:tc>
          <w:tcPr>
            <w:tcW w:w="793"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21 125,93</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i/>
                <w:iCs/>
                <w:color w:val="000000"/>
                <w:sz w:val="16"/>
                <w:szCs w:val="16"/>
              </w:rPr>
            </w:pPr>
            <w:r w:rsidRPr="00490A76">
              <w:rPr>
                <w:rFonts w:ascii="Cambria" w:hAnsi="Cambria"/>
                <w:i/>
                <w:iCs/>
                <w:color w:val="000000"/>
                <w:sz w:val="16"/>
                <w:szCs w:val="16"/>
              </w:rPr>
              <w:t>Вид использования</w:t>
            </w:r>
          </w:p>
        </w:tc>
        <w:tc>
          <w:tcPr>
            <w:tcW w:w="699" w:type="pct"/>
            <w:shd w:val="clear" w:color="auto" w:fill="auto"/>
            <w:vAlign w:val="center"/>
            <w:hideMark/>
          </w:tcPr>
          <w:p w:rsidR="009B795D" w:rsidRPr="00490A76" w:rsidRDefault="009B795D" w:rsidP="00044B6C">
            <w:pPr>
              <w:jc w:val="center"/>
              <w:rPr>
                <w:rFonts w:ascii="Cambria" w:hAnsi="Cambria"/>
                <w:color w:val="000000"/>
                <w:sz w:val="16"/>
                <w:szCs w:val="16"/>
              </w:rPr>
            </w:pPr>
            <w:r w:rsidRPr="00490A76">
              <w:rPr>
                <w:rFonts w:ascii="Cambria" w:hAnsi="Cambria"/>
                <w:color w:val="000000"/>
                <w:sz w:val="16"/>
                <w:szCs w:val="16"/>
              </w:rPr>
              <w:t>ПСН</w:t>
            </w:r>
          </w:p>
        </w:tc>
        <w:tc>
          <w:tcPr>
            <w:tcW w:w="842" w:type="pct"/>
            <w:shd w:val="clear" w:color="auto" w:fill="auto"/>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ПСН</w:t>
            </w:r>
          </w:p>
        </w:tc>
        <w:tc>
          <w:tcPr>
            <w:tcW w:w="892" w:type="pct"/>
            <w:shd w:val="clear" w:color="auto" w:fill="auto"/>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ПСН</w:t>
            </w:r>
          </w:p>
        </w:tc>
        <w:tc>
          <w:tcPr>
            <w:tcW w:w="943" w:type="pct"/>
            <w:shd w:val="clear" w:color="auto" w:fill="auto"/>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ПСН</w:t>
            </w:r>
          </w:p>
        </w:tc>
        <w:tc>
          <w:tcPr>
            <w:tcW w:w="793" w:type="pct"/>
            <w:shd w:val="clear" w:color="auto" w:fill="auto"/>
            <w:vAlign w:val="center"/>
            <w:hideMark/>
          </w:tcPr>
          <w:p w:rsidR="009B795D" w:rsidRDefault="009B795D" w:rsidP="00044B6C">
            <w:pPr>
              <w:jc w:val="center"/>
              <w:rPr>
                <w:rFonts w:ascii="Cambria" w:hAnsi="Cambria"/>
                <w:color w:val="000000"/>
                <w:sz w:val="16"/>
                <w:szCs w:val="16"/>
              </w:rPr>
            </w:pPr>
            <w:r>
              <w:rPr>
                <w:rFonts w:ascii="Cambria" w:hAnsi="Cambria"/>
                <w:color w:val="000000"/>
                <w:sz w:val="16"/>
                <w:szCs w:val="16"/>
              </w:rPr>
              <w:t>ПСН</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89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79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15 974,56</w:t>
            </w:r>
          </w:p>
        </w:tc>
        <w:tc>
          <w:tcPr>
            <w:tcW w:w="892"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22 694,56</w:t>
            </w:r>
          </w:p>
        </w:tc>
        <w:tc>
          <w:tcPr>
            <w:tcW w:w="943"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17 221,43</w:t>
            </w:r>
          </w:p>
        </w:tc>
        <w:tc>
          <w:tcPr>
            <w:tcW w:w="793" w:type="pct"/>
            <w:shd w:val="clear" w:color="auto" w:fill="auto"/>
            <w:noWrap/>
            <w:vAlign w:val="center"/>
            <w:hideMark/>
          </w:tcPr>
          <w:p w:rsidR="009B795D" w:rsidRDefault="009B795D" w:rsidP="00044B6C">
            <w:pPr>
              <w:jc w:val="center"/>
              <w:rPr>
                <w:rFonts w:ascii="Cambria" w:hAnsi="Cambria"/>
                <w:b/>
                <w:bCs/>
                <w:sz w:val="16"/>
                <w:szCs w:val="16"/>
              </w:rPr>
            </w:pPr>
            <w:r>
              <w:rPr>
                <w:rFonts w:ascii="Cambria" w:hAnsi="Cambria"/>
                <w:b/>
                <w:bCs/>
                <w:sz w:val="16"/>
                <w:szCs w:val="16"/>
              </w:rPr>
              <w:t>21 125,93</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i/>
                <w:iCs/>
                <w:sz w:val="16"/>
                <w:szCs w:val="16"/>
              </w:rPr>
            </w:pPr>
            <w:r w:rsidRPr="00490A76">
              <w:rPr>
                <w:rFonts w:ascii="Cambria" w:hAnsi="Cambria"/>
                <w:i/>
                <w:iCs/>
                <w:sz w:val="16"/>
                <w:szCs w:val="16"/>
              </w:rPr>
              <w:t>Местоположение</w:t>
            </w:r>
          </w:p>
        </w:tc>
        <w:tc>
          <w:tcPr>
            <w:tcW w:w="699"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4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 xml:space="preserve">г. Красноярск, Ленинский район, </w:t>
            </w:r>
            <w:proofErr w:type="spellStart"/>
            <w:proofErr w:type="gramStart"/>
            <w:r>
              <w:rPr>
                <w:rFonts w:ascii="Cambria" w:hAnsi="Cambria"/>
                <w:sz w:val="16"/>
                <w:szCs w:val="16"/>
              </w:rPr>
              <w:t>ул</w:t>
            </w:r>
            <w:proofErr w:type="spellEnd"/>
            <w:proofErr w:type="gramEnd"/>
            <w:r>
              <w:rPr>
                <w:rFonts w:ascii="Cambria" w:hAnsi="Cambria"/>
                <w:sz w:val="16"/>
                <w:szCs w:val="16"/>
              </w:rPr>
              <w:t xml:space="preserve"> Семена Давыдова, 60с2</w:t>
            </w:r>
          </w:p>
        </w:tc>
        <w:tc>
          <w:tcPr>
            <w:tcW w:w="89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г. Красноярск, Ленинский район, ул. Энергетиков</w:t>
            </w:r>
          </w:p>
        </w:tc>
        <w:tc>
          <w:tcPr>
            <w:tcW w:w="94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г. Красноярск, Ленинский район, ул. Айвазовского,16</w:t>
            </w:r>
          </w:p>
        </w:tc>
        <w:tc>
          <w:tcPr>
            <w:tcW w:w="79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г. Красноярск, Ленинский район, ул. Айвазовского</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892"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0,00%</w:t>
            </w:r>
          </w:p>
        </w:tc>
        <w:tc>
          <w:tcPr>
            <w:tcW w:w="793" w:type="pct"/>
            <w:shd w:val="clear" w:color="auto" w:fill="auto"/>
            <w:vAlign w:val="center"/>
            <w:hideMark/>
          </w:tcPr>
          <w:p w:rsidR="009B795D" w:rsidRDefault="009B795D" w:rsidP="00044B6C">
            <w:pPr>
              <w:jc w:val="center"/>
              <w:rPr>
                <w:rFonts w:ascii="Cambria" w:hAnsi="Cambria"/>
                <w:sz w:val="16"/>
                <w:szCs w:val="16"/>
              </w:rPr>
            </w:pPr>
            <w:r>
              <w:rPr>
                <w:rFonts w:ascii="Cambria" w:hAnsi="Cambria"/>
                <w:sz w:val="16"/>
                <w:szCs w:val="16"/>
              </w:rPr>
              <w:t>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 </w:t>
            </w:r>
          </w:p>
        </w:tc>
        <w:tc>
          <w:tcPr>
            <w:tcW w:w="842"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15 974,56</w:t>
            </w:r>
          </w:p>
        </w:tc>
        <w:tc>
          <w:tcPr>
            <w:tcW w:w="892"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22 694,56</w:t>
            </w:r>
          </w:p>
        </w:tc>
        <w:tc>
          <w:tcPr>
            <w:tcW w:w="943"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17 221,43</w:t>
            </w:r>
          </w:p>
        </w:tc>
        <w:tc>
          <w:tcPr>
            <w:tcW w:w="793" w:type="pct"/>
            <w:shd w:val="clear" w:color="auto" w:fill="auto"/>
            <w:vAlign w:val="center"/>
            <w:hideMark/>
          </w:tcPr>
          <w:p w:rsidR="009B795D" w:rsidRDefault="009B795D" w:rsidP="00044B6C">
            <w:pPr>
              <w:jc w:val="center"/>
              <w:rPr>
                <w:rFonts w:ascii="Cambria" w:hAnsi="Cambria"/>
                <w:b/>
                <w:bCs/>
                <w:sz w:val="16"/>
                <w:szCs w:val="16"/>
              </w:rPr>
            </w:pPr>
            <w:r>
              <w:rPr>
                <w:rFonts w:ascii="Cambria" w:hAnsi="Cambria"/>
                <w:b/>
                <w:bCs/>
                <w:sz w:val="16"/>
                <w:szCs w:val="16"/>
              </w:rPr>
              <w:t>21 125,93</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Значение сегмента рынка (по площади)</w:t>
            </w:r>
          </w:p>
        </w:tc>
        <w:tc>
          <w:tcPr>
            <w:tcW w:w="699" w:type="pct"/>
            <w:shd w:val="clear" w:color="auto" w:fill="auto"/>
            <w:noWrap/>
            <w:vAlign w:val="center"/>
            <w:hideMark/>
          </w:tcPr>
          <w:p w:rsidR="009B795D" w:rsidRPr="00490A76" w:rsidRDefault="009B795D" w:rsidP="00044B6C">
            <w:pPr>
              <w:jc w:val="center"/>
              <w:rPr>
                <w:rFonts w:ascii="Cambria" w:hAnsi="Cambria"/>
                <w:sz w:val="16"/>
                <w:szCs w:val="16"/>
              </w:rPr>
            </w:pPr>
            <w:r>
              <w:rPr>
                <w:rFonts w:ascii="Cambria" w:hAnsi="Cambria"/>
                <w:sz w:val="16"/>
                <w:szCs w:val="16"/>
              </w:rPr>
              <w:t>300-1000</w:t>
            </w:r>
            <w:r w:rsidRPr="00490A76">
              <w:rPr>
                <w:rFonts w:ascii="Cambria" w:hAnsi="Cambria"/>
                <w:sz w:val="16"/>
                <w:szCs w:val="16"/>
              </w:rPr>
              <w:t xml:space="preserve"> кв.м</w:t>
            </w:r>
          </w:p>
        </w:tc>
        <w:tc>
          <w:tcPr>
            <w:tcW w:w="84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300-1000 кв.м.</w:t>
            </w:r>
          </w:p>
        </w:tc>
        <w:tc>
          <w:tcPr>
            <w:tcW w:w="89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&gt;1000 кв.м</w:t>
            </w:r>
          </w:p>
        </w:tc>
        <w:tc>
          <w:tcPr>
            <w:tcW w:w="94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300-1000 кв.м</w:t>
            </w:r>
          </w:p>
        </w:tc>
        <w:tc>
          <w:tcPr>
            <w:tcW w:w="79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300-1000 кв.м</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noWrap/>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 </w:t>
            </w:r>
          </w:p>
        </w:tc>
        <w:tc>
          <w:tcPr>
            <w:tcW w:w="84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10,00%</w:t>
            </w:r>
          </w:p>
        </w:tc>
        <w:tc>
          <w:tcPr>
            <w:tcW w:w="94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noWrap/>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 </w:t>
            </w:r>
          </w:p>
        </w:tc>
        <w:tc>
          <w:tcPr>
            <w:tcW w:w="84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15 974,56</w:t>
            </w:r>
          </w:p>
        </w:tc>
        <w:tc>
          <w:tcPr>
            <w:tcW w:w="89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24 943,94</w:t>
            </w:r>
          </w:p>
        </w:tc>
        <w:tc>
          <w:tcPr>
            <w:tcW w:w="94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17 202,65</w:t>
            </w:r>
          </w:p>
        </w:tc>
        <w:tc>
          <w:tcPr>
            <w:tcW w:w="79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21 114,64</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color w:val="000000"/>
                <w:sz w:val="16"/>
                <w:szCs w:val="16"/>
              </w:rPr>
            </w:pPr>
            <w:r w:rsidRPr="00490A76">
              <w:rPr>
                <w:rFonts w:ascii="Cambria" w:hAnsi="Cambria"/>
                <w:color w:val="000000"/>
                <w:sz w:val="16"/>
                <w:szCs w:val="16"/>
              </w:rPr>
              <w:t>Отопление</w:t>
            </w:r>
          </w:p>
        </w:tc>
        <w:tc>
          <w:tcPr>
            <w:tcW w:w="699" w:type="pct"/>
            <w:shd w:val="clear" w:color="auto" w:fill="auto"/>
            <w:vAlign w:val="center"/>
            <w:hideMark/>
          </w:tcPr>
          <w:p w:rsidR="009B795D" w:rsidRPr="00490A76" w:rsidRDefault="009B795D" w:rsidP="00044B6C">
            <w:pPr>
              <w:jc w:val="center"/>
              <w:rPr>
                <w:rFonts w:ascii="Cambria" w:hAnsi="Cambria"/>
                <w:color w:val="000000"/>
                <w:sz w:val="16"/>
                <w:szCs w:val="16"/>
              </w:rPr>
            </w:pPr>
            <w:r w:rsidRPr="00490A76">
              <w:rPr>
                <w:rFonts w:ascii="Cambria" w:hAnsi="Cambria"/>
                <w:color w:val="000000"/>
                <w:sz w:val="16"/>
                <w:szCs w:val="16"/>
              </w:rPr>
              <w:t>Имеется</w:t>
            </w:r>
          </w:p>
        </w:tc>
        <w:tc>
          <w:tcPr>
            <w:tcW w:w="842" w:type="pct"/>
            <w:shd w:val="clear" w:color="auto" w:fill="auto"/>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Имеется</w:t>
            </w:r>
          </w:p>
        </w:tc>
        <w:tc>
          <w:tcPr>
            <w:tcW w:w="892" w:type="pct"/>
            <w:shd w:val="clear" w:color="auto" w:fill="auto"/>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Имеется</w:t>
            </w:r>
          </w:p>
        </w:tc>
        <w:tc>
          <w:tcPr>
            <w:tcW w:w="943" w:type="pct"/>
            <w:shd w:val="clear" w:color="auto" w:fill="auto"/>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Имеется</w:t>
            </w:r>
          </w:p>
        </w:tc>
        <w:tc>
          <w:tcPr>
            <w:tcW w:w="793" w:type="pct"/>
            <w:shd w:val="clear" w:color="auto" w:fill="auto"/>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Имеется</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color w:val="000000"/>
                <w:sz w:val="16"/>
                <w:szCs w:val="16"/>
              </w:rPr>
            </w:pPr>
            <w:r w:rsidRPr="00490A76">
              <w:rPr>
                <w:rFonts w:ascii="Cambria" w:hAnsi="Cambria"/>
                <w:color w:val="000000"/>
                <w:sz w:val="16"/>
                <w:szCs w:val="16"/>
              </w:rPr>
              <w:t>Корректировка</w:t>
            </w:r>
          </w:p>
        </w:tc>
        <w:tc>
          <w:tcPr>
            <w:tcW w:w="699" w:type="pct"/>
            <w:shd w:val="clear" w:color="auto" w:fill="auto"/>
            <w:noWrap/>
            <w:vAlign w:val="center"/>
            <w:hideMark/>
          </w:tcPr>
          <w:p w:rsidR="009B795D" w:rsidRPr="00490A76" w:rsidRDefault="009B795D" w:rsidP="00044B6C">
            <w:pPr>
              <w:rPr>
                <w:rFonts w:ascii="Cambria" w:hAnsi="Cambria"/>
                <w:color w:val="000000"/>
                <w:sz w:val="16"/>
                <w:szCs w:val="16"/>
              </w:rPr>
            </w:pPr>
            <w:r w:rsidRPr="00490A76">
              <w:rPr>
                <w:rFonts w:ascii="Cambria" w:hAnsi="Cambria"/>
                <w:color w:val="000000"/>
                <w:sz w:val="16"/>
                <w:szCs w:val="16"/>
              </w:rPr>
              <w:t> </w:t>
            </w:r>
          </w:p>
        </w:tc>
        <w:tc>
          <w:tcPr>
            <w:tcW w:w="842"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0,00%</w:t>
            </w:r>
          </w:p>
        </w:tc>
        <w:tc>
          <w:tcPr>
            <w:tcW w:w="892"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0,00%</w:t>
            </w:r>
          </w:p>
        </w:tc>
        <w:tc>
          <w:tcPr>
            <w:tcW w:w="943"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color w:val="000000"/>
                <w:sz w:val="16"/>
                <w:szCs w:val="16"/>
              </w:rPr>
            </w:pPr>
            <w:r w:rsidRPr="00490A76">
              <w:rPr>
                <w:rFonts w:ascii="Cambria" w:hAnsi="Cambria"/>
                <w:color w:val="000000"/>
                <w:sz w:val="16"/>
                <w:szCs w:val="16"/>
              </w:rPr>
              <w:t xml:space="preserve">Скорректированная цена, </w:t>
            </w:r>
            <w:proofErr w:type="spellStart"/>
            <w:r w:rsidRPr="00490A76">
              <w:rPr>
                <w:rFonts w:ascii="Cambria" w:hAnsi="Cambria"/>
                <w:color w:val="000000"/>
                <w:sz w:val="16"/>
                <w:szCs w:val="16"/>
              </w:rPr>
              <w:t>руб</w:t>
            </w:r>
            <w:proofErr w:type="spellEnd"/>
            <w:r w:rsidRPr="00490A76">
              <w:rPr>
                <w:rFonts w:ascii="Cambria" w:hAnsi="Cambria"/>
                <w:color w:val="000000"/>
                <w:sz w:val="16"/>
                <w:szCs w:val="16"/>
              </w:rPr>
              <w:t>/кв. м</w:t>
            </w:r>
          </w:p>
        </w:tc>
        <w:tc>
          <w:tcPr>
            <w:tcW w:w="699" w:type="pct"/>
            <w:shd w:val="clear" w:color="auto" w:fill="auto"/>
            <w:noWrap/>
            <w:vAlign w:val="center"/>
            <w:hideMark/>
          </w:tcPr>
          <w:p w:rsidR="009B795D" w:rsidRPr="00490A76" w:rsidRDefault="009B795D" w:rsidP="00044B6C">
            <w:pPr>
              <w:rPr>
                <w:rFonts w:ascii="Cambria" w:hAnsi="Cambria"/>
                <w:color w:val="000000"/>
                <w:sz w:val="16"/>
                <w:szCs w:val="16"/>
              </w:rPr>
            </w:pPr>
            <w:r w:rsidRPr="00490A76">
              <w:rPr>
                <w:rFonts w:ascii="Cambria" w:hAnsi="Cambria"/>
                <w:color w:val="000000"/>
                <w:sz w:val="16"/>
                <w:szCs w:val="16"/>
              </w:rPr>
              <w:t> </w:t>
            </w:r>
          </w:p>
        </w:tc>
        <w:tc>
          <w:tcPr>
            <w:tcW w:w="842" w:type="pct"/>
            <w:shd w:val="clear" w:color="auto" w:fill="auto"/>
            <w:noWrap/>
            <w:vAlign w:val="center"/>
            <w:hideMark/>
          </w:tcPr>
          <w:p w:rsidR="009B795D" w:rsidRDefault="009B795D">
            <w:pPr>
              <w:jc w:val="center"/>
              <w:rPr>
                <w:rFonts w:ascii="Cambria" w:hAnsi="Cambria"/>
                <w:b/>
                <w:bCs/>
                <w:color w:val="000000"/>
                <w:sz w:val="16"/>
                <w:szCs w:val="16"/>
              </w:rPr>
            </w:pPr>
            <w:r>
              <w:rPr>
                <w:rFonts w:ascii="Cambria" w:hAnsi="Cambria"/>
                <w:b/>
                <w:bCs/>
                <w:color w:val="000000"/>
                <w:sz w:val="16"/>
                <w:szCs w:val="16"/>
              </w:rPr>
              <w:t>15974,56</w:t>
            </w:r>
          </w:p>
        </w:tc>
        <w:tc>
          <w:tcPr>
            <w:tcW w:w="892" w:type="pct"/>
            <w:shd w:val="clear" w:color="auto" w:fill="auto"/>
            <w:noWrap/>
            <w:vAlign w:val="center"/>
            <w:hideMark/>
          </w:tcPr>
          <w:p w:rsidR="009B795D" w:rsidRDefault="009B795D">
            <w:pPr>
              <w:jc w:val="center"/>
              <w:rPr>
                <w:rFonts w:ascii="Cambria" w:hAnsi="Cambria"/>
                <w:b/>
                <w:bCs/>
                <w:color w:val="000000"/>
                <w:sz w:val="16"/>
                <w:szCs w:val="16"/>
              </w:rPr>
            </w:pPr>
            <w:r>
              <w:rPr>
                <w:rFonts w:ascii="Cambria" w:hAnsi="Cambria"/>
                <w:b/>
                <w:bCs/>
                <w:color w:val="000000"/>
                <w:sz w:val="16"/>
                <w:szCs w:val="16"/>
              </w:rPr>
              <w:t>24943,94</w:t>
            </w:r>
          </w:p>
        </w:tc>
        <w:tc>
          <w:tcPr>
            <w:tcW w:w="943" w:type="pct"/>
            <w:shd w:val="clear" w:color="auto" w:fill="auto"/>
            <w:noWrap/>
            <w:vAlign w:val="center"/>
            <w:hideMark/>
          </w:tcPr>
          <w:p w:rsidR="009B795D" w:rsidRDefault="009B795D">
            <w:pPr>
              <w:jc w:val="center"/>
              <w:rPr>
                <w:rFonts w:ascii="Cambria" w:hAnsi="Cambria"/>
                <w:b/>
                <w:bCs/>
                <w:color w:val="000000"/>
                <w:sz w:val="16"/>
                <w:szCs w:val="16"/>
              </w:rPr>
            </w:pPr>
            <w:r>
              <w:rPr>
                <w:rFonts w:ascii="Cambria" w:hAnsi="Cambria"/>
                <w:b/>
                <w:bCs/>
                <w:color w:val="000000"/>
                <w:sz w:val="16"/>
                <w:szCs w:val="16"/>
              </w:rPr>
              <w:t>17202,65</w:t>
            </w:r>
          </w:p>
        </w:tc>
        <w:tc>
          <w:tcPr>
            <w:tcW w:w="793" w:type="pct"/>
            <w:shd w:val="clear" w:color="auto" w:fill="auto"/>
            <w:noWrap/>
            <w:vAlign w:val="center"/>
            <w:hideMark/>
          </w:tcPr>
          <w:p w:rsidR="009B795D" w:rsidRDefault="009B795D">
            <w:pPr>
              <w:jc w:val="center"/>
              <w:rPr>
                <w:rFonts w:ascii="Cambria" w:hAnsi="Cambria"/>
                <w:b/>
                <w:bCs/>
                <w:color w:val="000000"/>
                <w:sz w:val="16"/>
                <w:szCs w:val="16"/>
              </w:rPr>
            </w:pPr>
            <w:r>
              <w:rPr>
                <w:rFonts w:ascii="Cambria" w:hAnsi="Cambria"/>
                <w:b/>
                <w:bCs/>
                <w:color w:val="000000"/>
                <w:sz w:val="16"/>
                <w:szCs w:val="16"/>
              </w:rPr>
              <w:t>21114,64</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i/>
                <w:iCs/>
                <w:color w:val="000000"/>
                <w:sz w:val="16"/>
                <w:szCs w:val="16"/>
              </w:rPr>
            </w:pPr>
            <w:r w:rsidRPr="00490A76">
              <w:rPr>
                <w:rFonts w:ascii="Cambria" w:hAnsi="Cambria"/>
                <w:i/>
                <w:iCs/>
                <w:color w:val="000000"/>
                <w:sz w:val="16"/>
                <w:szCs w:val="16"/>
              </w:rPr>
              <w:t>Состояние объекта капитального строительства</w:t>
            </w:r>
          </w:p>
        </w:tc>
        <w:tc>
          <w:tcPr>
            <w:tcW w:w="699" w:type="pct"/>
            <w:shd w:val="clear" w:color="auto" w:fill="auto"/>
            <w:vAlign w:val="center"/>
            <w:hideMark/>
          </w:tcPr>
          <w:p w:rsidR="009B795D" w:rsidRPr="00490A76" w:rsidRDefault="009B795D" w:rsidP="00044B6C">
            <w:pPr>
              <w:jc w:val="center"/>
              <w:rPr>
                <w:rFonts w:ascii="Cambria" w:hAnsi="Cambria"/>
                <w:color w:val="000000"/>
                <w:sz w:val="16"/>
                <w:szCs w:val="16"/>
              </w:rPr>
            </w:pPr>
            <w:r w:rsidRPr="00490A76">
              <w:rPr>
                <w:rFonts w:ascii="Cambria" w:hAnsi="Cambria"/>
                <w:color w:val="000000"/>
                <w:sz w:val="16"/>
                <w:szCs w:val="16"/>
              </w:rPr>
              <w:t>Удовл</w:t>
            </w:r>
          </w:p>
        </w:tc>
        <w:tc>
          <w:tcPr>
            <w:tcW w:w="842" w:type="pct"/>
            <w:shd w:val="clear" w:color="auto" w:fill="auto"/>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Неудовл</w:t>
            </w:r>
          </w:p>
        </w:tc>
        <w:tc>
          <w:tcPr>
            <w:tcW w:w="892" w:type="pct"/>
            <w:shd w:val="clear" w:color="auto" w:fill="auto"/>
            <w:vAlign w:val="center"/>
            <w:hideMark/>
          </w:tcPr>
          <w:p w:rsidR="009B795D" w:rsidRDefault="009B795D">
            <w:pPr>
              <w:jc w:val="center"/>
              <w:rPr>
                <w:rFonts w:ascii="Cambria" w:hAnsi="Cambria"/>
                <w:color w:val="000000"/>
                <w:sz w:val="16"/>
                <w:szCs w:val="16"/>
              </w:rPr>
            </w:pPr>
            <w:r w:rsidRPr="009B795D">
              <w:rPr>
                <w:rFonts w:ascii="Cambria" w:hAnsi="Cambria"/>
                <w:color w:val="000000"/>
                <w:sz w:val="16"/>
                <w:szCs w:val="16"/>
              </w:rPr>
              <w:t>Удовл</w:t>
            </w:r>
          </w:p>
        </w:tc>
        <w:tc>
          <w:tcPr>
            <w:tcW w:w="943" w:type="pct"/>
            <w:shd w:val="clear" w:color="auto" w:fill="auto"/>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Неудовл</w:t>
            </w:r>
          </w:p>
        </w:tc>
        <w:tc>
          <w:tcPr>
            <w:tcW w:w="793" w:type="pct"/>
            <w:shd w:val="clear" w:color="auto" w:fill="auto"/>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Удовл</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9B795D" w:rsidRDefault="009B795D">
            <w:pPr>
              <w:jc w:val="center"/>
              <w:rPr>
                <w:rFonts w:ascii="Cambria" w:hAnsi="Cambria"/>
                <w:sz w:val="16"/>
                <w:szCs w:val="16"/>
              </w:rPr>
            </w:pPr>
            <w:r>
              <w:rPr>
                <w:rFonts w:ascii="Cambria" w:hAnsi="Cambria"/>
                <w:sz w:val="16"/>
                <w:szCs w:val="16"/>
              </w:rPr>
              <w:t>26,00%</w:t>
            </w:r>
          </w:p>
        </w:tc>
        <w:tc>
          <w:tcPr>
            <w:tcW w:w="892" w:type="pct"/>
            <w:shd w:val="clear" w:color="auto" w:fill="auto"/>
            <w:vAlign w:val="center"/>
            <w:hideMark/>
          </w:tcPr>
          <w:p w:rsidR="009B795D" w:rsidRDefault="009B795D">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9B795D" w:rsidRDefault="009B795D">
            <w:pPr>
              <w:jc w:val="center"/>
              <w:rPr>
                <w:rFonts w:ascii="Cambria" w:hAnsi="Cambria"/>
                <w:sz w:val="16"/>
                <w:szCs w:val="16"/>
              </w:rPr>
            </w:pPr>
            <w:r>
              <w:rPr>
                <w:rFonts w:ascii="Cambria" w:hAnsi="Cambria"/>
                <w:sz w:val="16"/>
                <w:szCs w:val="16"/>
              </w:rPr>
              <w:t>26,00%</w:t>
            </w:r>
          </w:p>
        </w:tc>
        <w:tc>
          <w:tcPr>
            <w:tcW w:w="793" w:type="pct"/>
            <w:shd w:val="clear" w:color="auto" w:fill="auto"/>
            <w:vAlign w:val="center"/>
            <w:hideMark/>
          </w:tcPr>
          <w:p w:rsidR="009B795D" w:rsidRDefault="009B795D">
            <w:pPr>
              <w:jc w:val="center"/>
              <w:rPr>
                <w:rFonts w:ascii="Cambria" w:hAnsi="Cambria"/>
                <w:sz w:val="16"/>
                <w:szCs w:val="16"/>
              </w:rPr>
            </w:pPr>
            <w:r>
              <w:rPr>
                <w:rFonts w:ascii="Cambria" w:hAnsi="Cambria"/>
                <w:sz w:val="16"/>
                <w:szCs w:val="16"/>
              </w:rPr>
              <w:t>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20 127,94</w:t>
            </w:r>
          </w:p>
        </w:tc>
        <w:tc>
          <w:tcPr>
            <w:tcW w:w="89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24 943,94</w:t>
            </w:r>
          </w:p>
        </w:tc>
        <w:tc>
          <w:tcPr>
            <w:tcW w:w="94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21 675,34</w:t>
            </w:r>
          </w:p>
        </w:tc>
        <w:tc>
          <w:tcPr>
            <w:tcW w:w="79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21 114,64</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i/>
                <w:iCs/>
                <w:sz w:val="16"/>
                <w:szCs w:val="16"/>
              </w:rPr>
            </w:pPr>
            <w:r w:rsidRPr="00490A76">
              <w:rPr>
                <w:rFonts w:ascii="Cambria" w:hAnsi="Cambria"/>
                <w:i/>
                <w:iCs/>
                <w:sz w:val="16"/>
                <w:szCs w:val="16"/>
              </w:rPr>
              <w:t>Материал стен</w:t>
            </w:r>
          </w:p>
        </w:tc>
        <w:tc>
          <w:tcPr>
            <w:tcW w:w="699" w:type="pct"/>
            <w:shd w:val="clear" w:color="auto" w:fill="auto"/>
            <w:noWrap/>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Каменные</w:t>
            </w:r>
          </w:p>
        </w:tc>
        <w:tc>
          <w:tcPr>
            <w:tcW w:w="84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Каменные</w:t>
            </w:r>
          </w:p>
        </w:tc>
        <w:tc>
          <w:tcPr>
            <w:tcW w:w="89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Каменные</w:t>
            </w:r>
          </w:p>
        </w:tc>
        <w:tc>
          <w:tcPr>
            <w:tcW w:w="94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Каменные</w:t>
            </w:r>
          </w:p>
        </w:tc>
        <w:tc>
          <w:tcPr>
            <w:tcW w:w="79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Каменные</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 </w:t>
            </w:r>
          </w:p>
        </w:tc>
        <w:tc>
          <w:tcPr>
            <w:tcW w:w="84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0,0%</w:t>
            </w:r>
          </w:p>
        </w:tc>
        <w:tc>
          <w:tcPr>
            <w:tcW w:w="89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0,0%</w:t>
            </w:r>
          </w:p>
        </w:tc>
        <w:tc>
          <w:tcPr>
            <w:tcW w:w="94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0,0%</w:t>
            </w:r>
          </w:p>
        </w:tc>
        <w:tc>
          <w:tcPr>
            <w:tcW w:w="79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9B795D" w:rsidRPr="00490A76" w:rsidRDefault="009B795D" w:rsidP="00044B6C">
            <w:pPr>
              <w:jc w:val="center"/>
              <w:rPr>
                <w:rFonts w:ascii="Cambria" w:hAnsi="Cambria"/>
                <w:b/>
                <w:bCs/>
                <w:sz w:val="16"/>
                <w:szCs w:val="16"/>
              </w:rPr>
            </w:pPr>
            <w:r w:rsidRPr="00490A76">
              <w:rPr>
                <w:rFonts w:ascii="Cambria" w:hAnsi="Cambria"/>
                <w:b/>
                <w:bCs/>
                <w:sz w:val="16"/>
                <w:szCs w:val="16"/>
              </w:rPr>
              <w:t> </w:t>
            </w:r>
          </w:p>
        </w:tc>
        <w:tc>
          <w:tcPr>
            <w:tcW w:w="84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20 127,94</w:t>
            </w:r>
          </w:p>
        </w:tc>
        <w:tc>
          <w:tcPr>
            <w:tcW w:w="89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24 943,94</w:t>
            </w:r>
          </w:p>
        </w:tc>
        <w:tc>
          <w:tcPr>
            <w:tcW w:w="94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21 675,34</w:t>
            </w:r>
          </w:p>
        </w:tc>
        <w:tc>
          <w:tcPr>
            <w:tcW w:w="79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21 114,64</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i/>
                <w:iCs/>
                <w:color w:val="000000"/>
                <w:sz w:val="16"/>
                <w:szCs w:val="16"/>
              </w:rPr>
            </w:pPr>
            <w:r w:rsidRPr="00490A76">
              <w:rPr>
                <w:rFonts w:ascii="Cambria" w:hAnsi="Cambria"/>
                <w:i/>
                <w:iCs/>
                <w:color w:val="000000"/>
                <w:sz w:val="16"/>
                <w:szCs w:val="16"/>
              </w:rPr>
              <w:t xml:space="preserve">Наличие </w:t>
            </w:r>
            <w:proofErr w:type="spellStart"/>
            <w:r w:rsidRPr="00490A76">
              <w:rPr>
                <w:rFonts w:ascii="Cambria" w:hAnsi="Cambria"/>
                <w:i/>
                <w:iCs/>
                <w:color w:val="000000"/>
                <w:sz w:val="16"/>
                <w:szCs w:val="16"/>
              </w:rPr>
              <w:t>жд</w:t>
            </w:r>
            <w:proofErr w:type="spellEnd"/>
            <w:r w:rsidRPr="00490A76">
              <w:rPr>
                <w:rFonts w:ascii="Cambria" w:hAnsi="Cambria"/>
                <w:i/>
                <w:iCs/>
                <w:color w:val="000000"/>
                <w:sz w:val="16"/>
                <w:szCs w:val="16"/>
              </w:rPr>
              <w:t xml:space="preserve"> путей</w:t>
            </w:r>
          </w:p>
        </w:tc>
        <w:tc>
          <w:tcPr>
            <w:tcW w:w="699" w:type="pct"/>
            <w:shd w:val="clear" w:color="auto" w:fill="auto"/>
            <w:noWrap/>
            <w:vAlign w:val="center"/>
            <w:hideMark/>
          </w:tcPr>
          <w:p w:rsidR="009B795D" w:rsidRPr="00490A76" w:rsidRDefault="009B795D" w:rsidP="00044B6C">
            <w:pPr>
              <w:jc w:val="center"/>
              <w:rPr>
                <w:rFonts w:ascii="Cambria" w:hAnsi="Cambria"/>
                <w:color w:val="000000"/>
                <w:sz w:val="16"/>
                <w:szCs w:val="16"/>
              </w:rPr>
            </w:pPr>
            <w:r w:rsidRPr="00490A76">
              <w:rPr>
                <w:rFonts w:ascii="Cambria" w:hAnsi="Cambria"/>
                <w:color w:val="000000"/>
                <w:sz w:val="16"/>
                <w:szCs w:val="16"/>
              </w:rPr>
              <w:t>Отсутствуют</w:t>
            </w:r>
          </w:p>
        </w:tc>
        <w:tc>
          <w:tcPr>
            <w:tcW w:w="842"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Отсутствуют</w:t>
            </w:r>
          </w:p>
        </w:tc>
        <w:tc>
          <w:tcPr>
            <w:tcW w:w="892"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Отсутствуют</w:t>
            </w:r>
          </w:p>
        </w:tc>
        <w:tc>
          <w:tcPr>
            <w:tcW w:w="943"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Имеются</w:t>
            </w:r>
          </w:p>
        </w:tc>
        <w:tc>
          <w:tcPr>
            <w:tcW w:w="793"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Отсутствуют</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Корректировка</w:t>
            </w:r>
          </w:p>
        </w:tc>
        <w:tc>
          <w:tcPr>
            <w:tcW w:w="699" w:type="pct"/>
            <w:shd w:val="clear" w:color="auto" w:fill="auto"/>
            <w:noWrap/>
            <w:vAlign w:val="center"/>
            <w:hideMark/>
          </w:tcPr>
          <w:p w:rsidR="009B795D" w:rsidRPr="00490A76" w:rsidRDefault="009B795D" w:rsidP="00044B6C">
            <w:pPr>
              <w:jc w:val="center"/>
              <w:rPr>
                <w:rFonts w:ascii="Cambria" w:hAnsi="Cambria"/>
                <w:color w:val="000000"/>
                <w:sz w:val="16"/>
                <w:szCs w:val="16"/>
              </w:rPr>
            </w:pPr>
            <w:r w:rsidRPr="00490A76">
              <w:rPr>
                <w:rFonts w:ascii="Cambria" w:hAnsi="Cambria"/>
                <w:color w:val="000000"/>
                <w:sz w:val="16"/>
                <w:szCs w:val="16"/>
              </w:rPr>
              <w:t> </w:t>
            </w:r>
          </w:p>
        </w:tc>
        <w:tc>
          <w:tcPr>
            <w:tcW w:w="842" w:type="pct"/>
            <w:shd w:val="clear" w:color="auto" w:fill="auto"/>
            <w:noWrap/>
            <w:vAlign w:val="center"/>
            <w:hideMark/>
          </w:tcPr>
          <w:p w:rsidR="009B795D" w:rsidRDefault="009B795D">
            <w:pPr>
              <w:jc w:val="center"/>
              <w:rPr>
                <w:rFonts w:ascii="Cambria" w:hAnsi="Cambria"/>
                <w:color w:val="000000"/>
                <w:sz w:val="16"/>
                <w:szCs w:val="16"/>
              </w:rPr>
            </w:pPr>
            <w:r>
              <w:rPr>
                <w:rFonts w:ascii="Cambria" w:hAnsi="Cambria"/>
                <w:color w:val="000000"/>
                <w:sz w:val="16"/>
                <w:szCs w:val="16"/>
              </w:rPr>
              <w:t>0,00%</w:t>
            </w:r>
          </w:p>
        </w:tc>
        <w:tc>
          <w:tcPr>
            <w:tcW w:w="892" w:type="pct"/>
            <w:shd w:val="clear" w:color="auto" w:fill="auto"/>
            <w:vAlign w:val="center"/>
            <w:hideMark/>
          </w:tcPr>
          <w:p w:rsidR="009B795D" w:rsidRDefault="009B795D">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9B795D" w:rsidRDefault="009B795D">
            <w:pPr>
              <w:jc w:val="center"/>
              <w:rPr>
                <w:rFonts w:ascii="Cambria" w:hAnsi="Cambria"/>
                <w:sz w:val="16"/>
                <w:szCs w:val="16"/>
              </w:rPr>
            </w:pPr>
            <w:r>
              <w:rPr>
                <w:rFonts w:ascii="Cambria" w:hAnsi="Cambria"/>
                <w:sz w:val="16"/>
                <w:szCs w:val="16"/>
              </w:rPr>
              <w:t>-14,00%</w:t>
            </w:r>
          </w:p>
        </w:tc>
        <w:tc>
          <w:tcPr>
            <w:tcW w:w="793" w:type="pct"/>
            <w:shd w:val="clear" w:color="auto" w:fill="auto"/>
            <w:vAlign w:val="center"/>
            <w:hideMark/>
          </w:tcPr>
          <w:p w:rsidR="009B795D" w:rsidRDefault="009B795D">
            <w:pPr>
              <w:jc w:val="center"/>
              <w:rPr>
                <w:rFonts w:ascii="Cambria" w:hAnsi="Cambria"/>
                <w:sz w:val="16"/>
                <w:szCs w:val="16"/>
              </w:rPr>
            </w:pPr>
            <w:r>
              <w:rPr>
                <w:rFonts w:ascii="Cambria" w:hAnsi="Cambria"/>
                <w:sz w:val="16"/>
                <w:szCs w:val="16"/>
              </w:rPr>
              <w:t>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noWrap/>
            <w:vAlign w:val="center"/>
            <w:hideMark/>
          </w:tcPr>
          <w:p w:rsidR="009B795D" w:rsidRPr="00490A76" w:rsidRDefault="009B795D" w:rsidP="00044B6C">
            <w:pPr>
              <w:jc w:val="center"/>
              <w:rPr>
                <w:rFonts w:ascii="Cambria" w:hAnsi="Cambria"/>
                <w:color w:val="000000"/>
                <w:sz w:val="16"/>
                <w:szCs w:val="16"/>
              </w:rPr>
            </w:pPr>
            <w:r w:rsidRPr="00490A76">
              <w:rPr>
                <w:rFonts w:ascii="Cambria" w:hAnsi="Cambria"/>
                <w:color w:val="000000"/>
                <w:sz w:val="16"/>
                <w:szCs w:val="16"/>
              </w:rPr>
              <w:t> </w:t>
            </w:r>
          </w:p>
        </w:tc>
        <w:tc>
          <w:tcPr>
            <w:tcW w:w="84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20 127,94</w:t>
            </w:r>
          </w:p>
        </w:tc>
        <w:tc>
          <w:tcPr>
            <w:tcW w:w="892"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24 943,94</w:t>
            </w:r>
          </w:p>
        </w:tc>
        <w:tc>
          <w:tcPr>
            <w:tcW w:w="94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18 640,80</w:t>
            </w:r>
          </w:p>
        </w:tc>
        <w:tc>
          <w:tcPr>
            <w:tcW w:w="793" w:type="pct"/>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21 114,64</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Валовая корректировка</w:t>
            </w:r>
          </w:p>
        </w:tc>
        <w:tc>
          <w:tcPr>
            <w:tcW w:w="699" w:type="pct"/>
            <w:shd w:val="clear" w:color="auto" w:fill="auto"/>
            <w:noWrap/>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36,00%</w:t>
            </w:r>
          </w:p>
        </w:tc>
        <w:tc>
          <w:tcPr>
            <w:tcW w:w="89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20,00%</w:t>
            </w:r>
          </w:p>
        </w:tc>
        <w:tc>
          <w:tcPr>
            <w:tcW w:w="94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50,00%</w:t>
            </w:r>
          </w:p>
        </w:tc>
        <w:tc>
          <w:tcPr>
            <w:tcW w:w="79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10,00%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Вес аналога</w:t>
            </w:r>
          </w:p>
        </w:tc>
        <w:tc>
          <w:tcPr>
            <w:tcW w:w="699" w:type="pct"/>
            <w:shd w:val="clear" w:color="auto" w:fill="auto"/>
            <w:noWrap/>
            <w:vAlign w:val="center"/>
            <w:hideMark/>
          </w:tcPr>
          <w:p w:rsidR="009B795D" w:rsidRPr="00490A76" w:rsidRDefault="009B795D" w:rsidP="00044B6C">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23,0%</w:t>
            </w:r>
          </w:p>
        </w:tc>
        <w:tc>
          <w:tcPr>
            <w:tcW w:w="892"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27,6%</w:t>
            </w:r>
          </w:p>
        </w:tc>
        <w:tc>
          <w:tcPr>
            <w:tcW w:w="94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19,0%</w:t>
            </w:r>
          </w:p>
        </w:tc>
        <w:tc>
          <w:tcPr>
            <w:tcW w:w="793" w:type="pct"/>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30,5%</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Величина коэффициента вариации</w:t>
            </w:r>
          </w:p>
        </w:tc>
        <w:tc>
          <w:tcPr>
            <w:tcW w:w="4169" w:type="pct"/>
            <w:gridSpan w:val="5"/>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12,7%</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Стандартное отклонение</w:t>
            </w:r>
          </w:p>
        </w:tc>
        <w:tc>
          <w:tcPr>
            <w:tcW w:w="4169" w:type="pct"/>
            <w:gridSpan w:val="5"/>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2 690,91</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Стандартная ошибка</w:t>
            </w:r>
          </w:p>
        </w:tc>
        <w:tc>
          <w:tcPr>
            <w:tcW w:w="4169" w:type="pct"/>
            <w:gridSpan w:val="5"/>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1 345,46</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Доверительная вероятность</w:t>
            </w:r>
          </w:p>
        </w:tc>
        <w:tc>
          <w:tcPr>
            <w:tcW w:w="4169" w:type="pct"/>
            <w:gridSpan w:val="5"/>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90,00%</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Критерий Стьюдента для выборки 3 объекта и заданной доверительной вероятностью</w:t>
            </w:r>
          </w:p>
        </w:tc>
        <w:tc>
          <w:tcPr>
            <w:tcW w:w="4169" w:type="pct"/>
            <w:gridSpan w:val="5"/>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2,13</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sz w:val="16"/>
                <w:szCs w:val="16"/>
              </w:rPr>
            </w:pPr>
            <w:r w:rsidRPr="00490A76">
              <w:rPr>
                <w:rFonts w:ascii="Cambria" w:hAnsi="Cambria"/>
                <w:sz w:val="16"/>
                <w:szCs w:val="16"/>
              </w:rPr>
              <w:t>Предельная ошибка</w:t>
            </w:r>
          </w:p>
        </w:tc>
        <w:tc>
          <w:tcPr>
            <w:tcW w:w="4169" w:type="pct"/>
            <w:gridSpan w:val="5"/>
            <w:shd w:val="clear" w:color="auto" w:fill="auto"/>
            <w:noWrap/>
            <w:vAlign w:val="center"/>
            <w:hideMark/>
          </w:tcPr>
          <w:p w:rsidR="009B795D" w:rsidRDefault="009B795D">
            <w:pPr>
              <w:jc w:val="center"/>
              <w:rPr>
                <w:rFonts w:ascii="Cambria" w:hAnsi="Cambria"/>
                <w:sz w:val="16"/>
                <w:szCs w:val="16"/>
              </w:rPr>
            </w:pPr>
            <w:r>
              <w:rPr>
                <w:rFonts w:ascii="Cambria" w:hAnsi="Cambria"/>
                <w:sz w:val="16"/>
                <w:szCs w:val="16"/>
              </w:rPr>
              <w:t>19,05%</w:t>
            </w:r>
          </w:p>
        </w:tc>
      </w:tr>
      <w:tr w:rsidR="009B795D" w:rsidRPr="00490A76" w:rsidTr="00044B6C">
        <w:trPr>
          <w:cantSplit/>
          <w:trHeight w:val="170"/>
        </w:trPr>
        <w:tc>
          <w:tcPr>
            <w:tcW w:w="831" w:type="pct"/>
            <w:shd w:val="clear" w:color="auto" w:fill="auto"/>
            <w:vAlign w:val="center"/>
            <w:hideMark/>
          </w:tcPr>
          <w:p w:rsidR="009B795D" w:rsidRPr="00490A76" w:rsidRDefault="009B795D" w:rsidP="00044B6C">
            <w:pPr>
              <w:rPr>
                <w:rFonts w:ascii="Cambria" w:hAnsi="Cambria"/>
                <w:b/>
                <w:bCs/>
                <w:sz w:val="16"/>
                <w:szCs w:val="16"/>
              </w:rPr>
            </w:pPr>
            <w:r w:rsidRPr="00490A76">
              <w:rPr>
                <w:rFonts w:ascii="Cambria" w:hAnsi="Cambria"/>
                <w:b/>
                <w:bCs/>
                <w:sz w:val="16"/>
                <w:szCs w:val="16"/>
              </w:rPr>
              <w:t xml:space="preserve">Средневзвешенное значение, руб./кв. м </w:t>
            </w:r>
          </w:p>
        </w:tc>
        <w:tc>
          <w:tcPr>
            <w:tcW w:w="4169" w:type="pct"/>
            <w:gridSpan w:val="5"/>
            <w:shd w:val="clear" w:color="auto" w:fill="auto"/>
            <w:noWrap/>
            <w:vAlign w:val="center"/>
            <w:hideMark/>
          </w:tcPr>
          <w:p w:rsidR="009B795D" w:rsidRDefault="009B795D">
            <w:pPr>
              <w:jc w:val="center"/>
              <w:rPr>
                <w:rFonts w:ascii="Cambria" w:hAnsi="Cambria"/>
                <w:b/>
                <w:bCs/>
                <w:sz w:val="16"/>
                <w:szCs w:val="16"/>
              </w:rPr>
            </w:pPr>
            <w:r>
              <w:rPr>
                <w:rFonts w:ascii="Cambria" w:hAnsi="Cambria"/>
                <w:b/>
                <w:bCs/>
                <w:sz w:val="16"/>
                <w:szCs w:val="16"/>
              </w:rPr>
              <w:t>15 044</w:t>
            </w:r>
          </w:p>
        </w:tc>
      </w:tr>
    </w:tbl>
    <w:p w:rsidR="009477DB" w:rsidRPr="009477DB" w:rsidRDefault="009477DB" w:rsidP="009477DB">
      <w:pPr>
        <w:spacing w:before="100" w:after="100"/>
        <w:jc w:val="both"/>
        <w:rPr>
          <w:rFonts w:ascii="Bookman Old Style" w:hAnsi="Bookman Old Style"/>
          <w:color w:val="000000"/>
          <w:sz w:val="20"/>
          <w:szCs w:val="20"/>
        </w:rPr>
      </w:pPr>
      <w:r w:rsidRPr="009477DB">
        <w:rPr>
          <w:rFonts w:ascii="Bookman Old Style" w:hAnsi="Bookman Old Style"/>
          <w:color w:val="000000"/>
          <w:sz w:val="20"/>
          <w:szCs w:val="20"/>
        </w:rPr>
        <w:t>Обоснование выбора элементов сравнения, расчет корректировок:</w:t>
      </w:r>
    </w:p>
    <w:p w:rsidR="00F45425" w:rsidRPr="00431CC5" w:rsidRDefault="00F45425" w:rsidP="00F45425">
      <w:pPr>
        <w:spacing w:before="120" w:after="120"/>
        <w:jc w:val="both"/>
        <w:rPr>
          <w:rFonts w:ascii="Bookman Old Style" w:hAnsi="Bookman Old Style"/>
          <w:color w:val="000000"/>
          <w:sz w:val="20"/>
          <w:szCs w:val="20"/>
        </w:rPr>
      </w:pPr>
      <w:r w:rsidRPr="007517CA">
        <w:rPr>
          <w:rFonts w:ascii="Bookman Old Style" w:hAnsi="Bookman Old Style"/>
          <w:color w:val="000000"/>
          <w:sz w:val="20"/>
          <w:szCs w:val="20"/>
        </w:rPr>
        <w:tab/>
        <w:t xml:space="preserve">При проведении </w:t>
      </w:r>
      <w:proofErr w:type="gramStart"/>
      <w:r w:rsidRPr="007517CA">
        <w:rPr>
          <w:rFonts w:ascii="Bookman Old Style" w:hAnsi="Bookman Old Style"/>
          <w:color w:val="000000"/>
          <w:sz w:val="20"/>
          <w:szCs w:val="20"/>
        </w:rPr>
        <w:t>расчета рыночной стоимости</w:t>
      </w:r>
      <w:r>
        <w:rPr>
          <w:rFonts w:ascii="Bookman Old Style" w:hAnsi="Bookman Old Style"/>
          <w:color w:val="000000"/>
          <w:sz w:val="20"/>
          <w:szCs w:val="20"/>
        </w:rPr>
        <w:t xml:space="preserve"> элементов Объекта оценки каждой группы</w:t>
      </w:r>
      <w:proofErr w:type="gramEnd"/>
      <w:r>
        <w:rPr>
          <w:rFonts w:ascii="Bookman Old Style" w:hAnsi="Bookman Old Style"/>
          <w:color w:val="000000"/>
          <w:sz w:val="20"/>
          <w:szCs w:val="20"/>
        </w:rPr>
        <w:t xml:space="preserve"> объектов,</w:t>
      </w:r>
      <w:r w:rsidRPr="007517CA">
        <w:rPr>
          <w:rFonts w:ascii="Bookman Old Style" w:hAnsi="Bookman Old Style"/>
          <w:color w:val="000000"/>
          <w:sz w:val="20"/>
          <w:szCs w:val="20"/>
        </w:rPr>
        <w:t xml:space="preserve"> использован</w:t>
      </w:r>
      <w:r>
        <w:rPr>
          <w:rFonts w:ascii="Bookman Old Style" w:hAnsi="Bookman Old Style"/>
          <w:color w:val="000000"/>
          <w:sz w:val="20"/>
          <w:szCs w:val="20"/>
        </w:rPr>
        <w:t>а следующая логика процесса оценки и расчет корректировок:</w:t>
      </w:r>
    </w:p>
    <w:p w:rsidR="009B795D" w:rsidRDefault="009B795D" w:rsidP="009B795D">
      <w:pPr>
        <w:pStyle w:val="aff2"/>
        <w:numPr>
          <w:ilvl w:val="0"/>
          <w:numId w:val="35"/>
        </w:numPr>
        <w:spacing w:before="120" w:after="120"/>
        <w:contextualSpacing w:val="0"/>
        <w:jc w:val="both"/>
        <w:rPr>
          <w:rFonts w:ascii="Bookman Old Style" w:hAnsi="Bookman Old Style"/>
          <w:sz w:val="20"/>
          <w:szCs w:val="20"/>
        </w:rPr>
      </w:pPr>
      <w:bookmarkStart w:id="276" w:name="_Toc382487177"/>
      <w:bookmarkStart w:id="277" w:name="_Toc429664331"/>
      <w:r>
        <w:rPr>
          <w:rFonts w:ascii="Bookman Old Style" w:hAnsi="Bookman Old Style"/>
          <w:sz w:val="20"/>
          <w:szCs w:val="20"/>
        </w:rPr>
        <w:t>Определение стоимости земельного участка объектов-аналогов.</w:t>
      </w:r>
      <w:r w:rsidRPr="006568BA">
        <w:rPr>
          <w:rFonts w:ascii="Bookman Old Style" w:hAnsi="Bookman Old Style"/>
          <w:sz w:val="20"/>
          <w:szCs w:val="20"/>
        </w:rPr>
        <w:t xml:space="preserve"> Стоимость земельного участка производственно-складского назначения</w:t>
      </w:r>
      <w:r>
        <w:rPr>
          <w:rFonts w:ascii="Bookman Old Style" w:hAnsi="Bookman Old Style"/>
          <w:sz w:val="20"/>
          <w:szCs w:val="20"/>
        </w:rPr>
        <w:t xml:space="preserve"> площадью </w:t>
      </w:r>
      <w:r w:rsidRPr="006568BA">
        <w:rPr>
          <w:rFonts w:ascii="Bookman Old Style" w:hAnsi="Bookman Old Style"/>
          <w:sz w:val="20"/>
          <w:szCs w:val="20"/>
        </w:rPr>
        <w:t>&lt;1</w:t>
      </w:r>
      <w:r>
        <w:rPr>
          <w:rFonts w:ascii="Bookman Old Style" w:hAnsi="Bookman Old Style"/>
          <w:sz w:val="20"/>
          <w:szCs w:val="20"/>
        </w:rPr>
        <w:t>га</w:t>
      </w:r>
      <w:r w:rsidRPr="006568BA">
        <w:rPr>
          <w:rFonts w:ascii="Bookman Old Style" w:hAnsi="Bookman Old Style"/>
          <w:sz w:val="20"/>
          <w:szCs w:val="20"/>
        </w:rPr>
        <w:t xml:space="preserve"> рассчитывалась методом «сравнения продаж».  Была проведена выборка объектов аналогов, предлагающихся к продаже на рынке продаж земельных участков для застройки ПСН в </w:t>
      </w:r>
      <w:r>
        <w:rPr>
          <w:rFonts w:ascii="Bookman Old Style" w:hAnsi="Bookman Old Style"/>
          <w:sz w:val="20"/>
          <w:szCs w:val="20"/>
        </w:rPr>
        <w:t>Ленинском</w:t>
      </w:r>
      <w:r w:rsidRPr="006568BA">
        <w:rPr>
          <w:rFonts w:ascii="Bookman Old Style" w:hAnsi="Bookman Old Style"/>
          <w:sz w:val="20"/>
          <w:szCs w:val="20"/>
        </w:rPr>
        <w:t xml:space="preserve"> районе г. Красноярска.</w:t>
      </w:r>
      <w:r>
        <w:rPr>
          <w:rFonts w:ascii="Bookman Old Style" w:hAnsi="Bookman Old Style"/>
          <w:sz w:val="20"/>
          <w:szCs w:val="20"/>
        </w:rPr>
        <w:t xml:space="preserve"> Расчет представлен в п. 5.4.5.</w:t>
      </w:r>
    </w:p>
    <w:p w:rsidR="009B795D" w:rsidRPr="00EE516A" w:rsidRDefault="009B795D" w:rsidP="009B795D">
      <w:pPr>
        <w:pStyle w:val="aff2"/>
        <w:numPr>
          <w:ilvl w:val="0"/>
          <w:numId w:val="35"/>
        </w:numPr>
        <w:spacing w:before="120" w:after="120"/>
        <w:jc w:val="both"/>
        <w:rPr>
          <w:rFonts w:ascii="Bookman Old Style" w:hAnsi="Bookman Old Style"/>
          <w:sz w:val="20"/>
          <w:szCs w:val="20"/>
        </w:rPr>
      </w:pPr>
      <w:r w:rsidRPr="00254BED">
        <w:rPr>
          <w:rFonts w:ascii="Bookman Old Style" w:hAnsi="Bookman Old Style"/>
          <w:sz w:val="20"/>
          <w:szCs w:val="20"/>
        </w:rPr>
        <w:lastRenderedPageBreak/>
        <w:t>Передаваемые</w:t>
      </w:r>
      <w:r>
        <w:rPr>
          <w:rFonts w:ascii="Bookman Old Style" w:hAnsi="Bookman Old Style"/>
          <w:sz w:val="20"/>
          <w:szCs w:val="20"/>
        </w:rPr>
        <w:t xml:space="preserve"> имущественные</w:t>
      </w:r>
      <w:r w:rsidRPr="00254BED">
        <w:rPr>
          <w:rFonts w:ascii="Bookman Old Style" w:hAnsi="Bookman Old Style"/>
          <w:sz w:val="20"/>
          <w:szCs w:val="20"/>
        </w:rPr>
        <w:t xml:space="preserve"> права. Существенное значение имеет идентификация передаваемых прав на недвижимость в каждой сопоставимой сделке выбранной для анализа, поскольку цена сделки всегда основывается на передаваемом интересе в имуществе. </w:t>
      </w:r>
      <w:r w:rsidRPr="00EE516A">
        <w:rPr>
          <w:rFonts w:ascii="Bookman Old Style" w:hAnsi="Bookman Old Style"/>
          <w:sz w:val="20"/>
          <w:szCs w:val="20"/>
        </w:rPr>
        <w:t>Результат оценки используется для</w:t>
      </w:r>
      <w:r w:rsidRPr="00EE516A">
        <w:rPr>
          <w:rFonts w:ascii="Bookman Old Style" w:hAnsi="Bookman Old Style"/>
          <w:iCs/>
          <w:color w:val="000000"/>
          <w:sz w:val="20"/>
          <w:szCs w:val="20"/>
        </w:rPr>
        <w:t xml:space="preserve"> определения начальной стоимости Объекта оценки при организации торгов по продаже, в рамках процедуры конкурсного производства.</w:t>
      </w:r>
      <w:r w:rsidRPr="00EE516A">
        <w:rPr>
          <w:rFonts w:ascii="Bookman Old Style" w:hAnsi="Bookman Old Style"/>
          <w:sz w:val="20"/>
          <w:szCs w:val="20"/>
        </w:rPr>
        <w:t xml:space="preserve"> Оцениваемые объекты соответствуют объектам аналогом по данному элементу сравнения. Корректировка аналогов не требуется.</w:t>
      </w:r>
    </w:p>
    <w:p w:rsidR="009B795D" w:rsidRPr="00577735" w:rsidRDefault="009B795D" w:rsidP="009B795D">
      <w:pPr>
        <w:numPr>
          <w:ilvl w:val="0"/>
          <w:numId w:val="35"/>
        </w:numPr>
        <w:spacing w:before="120" w:after="120"/>
        <w:jc w:val="both"/>
        <w:rPr>
          <w:rFonts w:ascii="Bookman Old Style" w:hAnsi="Bookman Old Style"/>
          <w:sz w:val="20"/>
          <w:szCs w:val="20"/>
        </w:rPr>
      </w:pPr>
      <w:r w:rsidRPr="00577735">
        <w:rPr>
          <w:rFonts w:ascii="Bookman Old Style" w:hAnsi="Bookman Old Style"/>
          <w:sz w:val="20"/>
          <w:szCs w:val="20"/>
        </w:rPr>
        <w:t xml:space="preserve">Условия рынка. Условия сделки, во время сделки по продаже сопоставимого имущества могут отличаться от условий на дату оцениваемого имущества. Факторы, влияющие на условия рынка, включают повышение или понижение стоимости имущества, изменения в законах, ограничения и мораторий на строительство, колебания спроса и предложения, либо любое сочетание сил, согласованно действующих в сторону изменения условий рынка в промежутке между двумя датами. </w:t>
      </w:r>
    </w:p>
    <w:p w:rsidR="009B795D" w:rsidRPr="00EE516A" w:rsidRDefault="009B795D" w:rsidP="009B795D">
      <w:pPr>
        <w:spacing w:before="120" w:after="120"/>
        <w:ind w:left="720"/>
        <w:jc w:val="both"/>
        <w:rPr>
          <w:rFonts w:ascii="Bookman Old Style" w:hAnsi="Bookman Old Style"/>
          <w:sz w:val="20"/>
          <w:szCs w:val="20"/>
        </w:rPr>
      </w:pPr>
      <w:r w:rsidRPr="00577735">
        <w:rPr>
          <w:rFonts w:ascii="Bookman Old Style" w:hAnsi="Bookman Old Style"/>
          <w:sz w:val="20"/>
          <w:szCs w:val="20"/>
        </w:rPr>
        <w:t>Дата сделки с аналогами и дата оценки совпадают. Расчет корректирующего значения по данному элементу сравнения не требуется</w:t>
      </w:r>
    </w:p>
    <w:p w:rsidR="009B795D" w:rsidRDefault="009B795D" w:rsidP="009B795D">
      <w:pPr>
        <w:pStyle w:val="aff2"/>
        <w:numPr>
          <w:ilvl w:val="0"/>
          <w:numId w:val="35"/>
        </w:numPr>
        <w:spacing w:before="120" w:after="120"/>
        <w:contextualSpacing w:val="0"/>
        <w:jc w:val="both"/>
        <w:rPr>
          <w:rFonts w:ascii="Bookman Old Style" w:hAnsi="Bookman Old Style"/>
          <w:sz w:val="20"/>
          <w:szCs w:val="20"/>
        </w:rPr>
      </w:pPr>
      <w:r w:rsidRPr="00577735">
        <w:rPr>
          <w:rFonts w:ascii="Bookman Old Style" w:hAnsi="Bookman Old Style"/>
          <w:sz w:val="20"/>
          <w:szCs w:val="20"/>
        </w:rPr>
        <w:t>Условия продажи. При проведении расчета использованы цены предложения продаж земельных участков. С учетом сложившейся практики, чтобы устранить систематическую составляющую погрешности, используется понижающая процентная поправка. Так как фактическая цена сделки может быть скорректирована в ходе предварительных переговоров между покупателем и продавцом – требуется расчет корректировки</w:t>
      </w:r>
      <w:r>
        <w:rPr>
          <w:rFonts w:ascii="Bookman Old Style" w:hAnsi="Bookman Old Style"/>
          <w:sz w:val="20"/>
          <w:szCs w:val="20"/>
        </w:rPr>
        <w:t>.</w:t>
      </w:r>
    </w:p>
    <w:p w:rsidR="009B795D" w:rsidRDefault="009B795D" w:rsidP="009B795D">
      <w:pPr>
        <w:pStyle w:val="aff2"/>
        <w:spacing w:before="120" w:after="120"/>
        <w:contextualSpacing w:val="0"/>
        <w:jc w:val="both"/>
        <w:rPr>
          <w:rFonts w:ascii="Bookman Old Style" w:hAnsi="Bookman Old Style"/>
          <w:sz w:val="20"/>
          <w:szCs w:val="20"/>
        </w:rPr>
      </w:pPr>
      <w:r w:rsidRPr="00EE24D6">
        <w:rPr>
          <w:rFonts w:ascii="Bookman Old Style" w:hAnsi="Bookman Old Style"/>
          <w:sz w:val="20"/>
          <w:szCs w:val="20"/>
        </w:rPr>
        <w:t>Расчет корректировки проведен экспертным методом</w:t>
      </w:r>
      <w:r w:rsidRPr="00EE24D6">
        <w:rPr>
          <w:rFonts w:ascii="Bookman Old Style" w:hAnsi="Bookman Old Style"/>
          <w:sz w:val="20"/>
          <w:szCs w:val="20"/>
          <w:vertAlign w:val="superscript"/>
        </w:rPr>
        <w:footnoteReference w:id="43"/>
      </w:r>
      <w:r w:rsidRPr="00EE24D6">
        <w:rPr>
          <w:rFonts w:ascii="Bookman Old Style" w:hAnsi="Bookman Old Style"/>
          <w:sz w:val="20"/>
          <w:szCs w:val="20"/>
        </w:rPr>
        <w:t xml:space="preserve">. </w:t>
      </w:r>
      <w:r w:rsidRPr="00F02D87">
        <w:rPr>
          <w:rFonts w:ascii="Bookman Old Style" w:hAnsi="Bookman Old Style"/>
          <w:sz w:val="20"/>
          <w:szCs w:val="20"/>
        </w:rPr>
        <w:t>Среднее значение диапазона скидок к цене предложения цен продаж производственно-скл</w:t>
      </w:r>
      <w:r>
        <w:rPr>
          <w:rFonts w:ascii="Bookman Old Style" w:hAnsi="Bookman Old Style"/>
          <w:sz w:val="20"/>
          <w:szCs w:val="20"/>
        </w:rPr>
        <w:t xml:space="preserve">адской недвижимости в условиях </w:t>
      </w:r>
      <w:r w:rsidRPr="00F02D87">
        <w:rPr>
          <w:rFonts w:ascii="Bookman Old Style" w:hAnsi="Bookman Old Style"/>
          <w:sz w:val="20"/>
          <w:szCs w:val="20"/>
        </w:rPr>
        <w:t>активного рынка составляет диапазон от 1</w:t>
      </w:r>
      <w:r>
        <w:rPr>
          <w:rFonts w:ascii="Bookman Old Style" w:hAnsi="Bookman Old Style"/>
          <w:sz w:val="20"/>
          <w:szCs w:val="20"/>
        </w:rPr>
        <w:t>0</w:t>
      </w:r>
      <w:r w:rsidRPr="00F02D87">
        <w:rPr>
          <w:rFonts w:ascii="Bookman Old Style" w:hAnsi="Bookman Old Style"/>
          <w:sz w:val="20"/>
          <w:szCs w:val="20"/>
        </w:rPr>
        <w:t>% до 1</w:t>
      </w:r>
      <w:r>
        <w:rPr>
          <w:rFonts w:ascii="Bookman Old Style" w:hAnsi="Bookman Old Style"/>
          <w:sz w:val="20"/>
          <w:szCs w:val="20"/>
        </w:rPr>
        <w:t>2</w:t>
      </w:r>
      <w:r w:rsidRPr="00F02D87">
        <w:rPr>
          <w:rFonts w:ascii="Bookman Old Style" w:hAnsi="Bookman Old Style"/>
          <w:sz w:val="20"/>
          <w:szCs w:val="20"/>
        </w:rPr>
        <w:t xml:space="preserve">%. При расчете выбрано </w:t>
      </w:r>
      <w:r>
        <w:rPr>
          <w:rFonts w:ascii="Bookman Old Style" w:hAnsi="Bookman Old Style"/>
          <w:sz w:val="20"/>
          <w:szCs w:val="20"/>
        </w:rPr>
        <w:t>значение диапазона равное -10</w:t>
      </w:r>
      <w:r w:rsidRPr="00F02D87">
        <w:rPr>
          <w:rFonts w:ascii="Bookman Old Style" w:hAnsi="Bookman Old Style"/>
          <w:sz w:val="20"/>
          <w:szCs w:val="20"/>
        </w:rPr>
        <w:t>%.</w:t>
      </w:r>
      <w:r>
        <w:rPr>
          <w:rFonts w:ascii="Bookman Old Style" w:hAnsi="Bookman Old Style"/>
          <w:sz w:val="20"/>
          <w:szCs w:val="20"/>
        </w:rPr>
        <w:t xml:space="preserve"> </w:t>
      </w:r>
    </w:p>
    <w:p w:rsidR="009B795D" w:rsidRDefault="009B795D" w:rsidP="009B795D">
      <w:pPr>
        <w:numPr>
          <w:ilvl w:val="0"/>
          <w:numId w:val="35"/>
        </w:numPr>
        <w:spacing w:before="120" w:after="120"/>
        <w:jc w:val="both"/>
        <w:rPr>
          <w:rFonts w:ascii="Bookman Old Style" w:hAnsi="Bookman Old Style"/>
          <w:sz w:val="20"/>
          <w:szCs w:val="20"/>
        </w:rPr>
      </w:pPr>
      <w:r>
        <w:rPr>
          <w:rFonts w:ascii="Bookman Old Style" w:hAnsi="Bookman Old Style"/>
          <w:sz w:val="20"/>
          <w:szCs w:val="20"/>
        </w:rPr>
        <w:t>Вид функционального использования</w:t>
      </w:r>
      <w:r w:rsidRPr="00EE24D6">
        <w:rPr>
          <w:rFonts w:ascii="Bookman Old Style" w:hAnsi="Bookman Old Style"/>
          <w:sz w:val="20"/>
          <w:szCs w:val="20"/>
        </w:rPr>
        <w:t>. На использование имущества влияют зонирование или другие ограничения. Если имеет место отличие в текущем использовании или в НЭИ сопоставимого имущества от рассматриваемого имущества, следует тщательно изучить влияние этого отличия на стоимость.</w:t>
      </w:r>
      <w:r w:rsidRPr="009B795D">
        <w:rPr>
          <w:rFonts w:ascii="Bookman Old Style" w:hAnsi="Bookman Old Style"/>
          <w:sz w:val="20"/>
          <w:szCs w:val="20"/>
        </w:rPr>
        <w:t xml:space="preserve"> Вид функционального использования</w:t>
      </w:r>
      <w:r>
        <w:rPr>
          <w:rFonts w:ascii="Bookman Old Style" w:hAnsi="Bookman Old Style"/>
          <w:sz w:val="20"/>
          <w:szCs w:val="20"/>
        </w:rPr>
        <w:t xml:space="preserve"> объекта оценки и объектов аналогов совпадает. Корректировка не требуется.</w:t>
      </w:r>
    </w:p>
    <w:p w:rsidR="009B795D" w:rsidRPr="0008564B" w:rsidRDefault="009B795D" w:rsidP="009B795D">
      <w:pPr>
        <w:numPr>
          <w:ilvl w:val="0"/>
          <w:numId w:val="35"/>
        </w:numPr>
        <w:spacing w:before="120" w:after="120"/>
        <w:jc w:val="both"/>
        <w:rPr>
          <w:rFonts w:ascii="Bookman Old Style" w:hAnsi="Bookman Old Style"/>
          <w:sz w:val="20"/>
          <w:szCs w:val="20"/>
        </w:rPr>
      </w:pPr>
      <w:r w:rsidRPr="00431CC5">
        <w:rPr>
          <w:rFonts w:ascii="Bookman Old Style" w:hAnsi="Bookman Old Style"/>
          <w:sz w:val="20"/>
          <w:szCs w:val="20"/>
        </w:rPr>
        <w:t>Местоположение.  При расчете корректировки следует сравнить местоположение объектов имущества в сопоставимых продажах и рассматриваемого имущества, чтобы установить влияет ли местоположение и ближайшие окрестности на уплачиваемые цены.</w:t>
      </w:r>
      <w:r>
        <w:rPr>
          <w:rFonts w:ascii="Bookman Old Style" w:hAnsi="Bookman Old Style"/>
          <w:sz w:val="20"/>
          <w:szCs w:val="20"/>
        </w:rPr>
        <w:t xml:space="preserve"> </w:t>
      </w:r>
      <w:r w:rsidRPr="0008564B">
        <w:rPr>
          <w:rFonts w:ascii="Bookman Old Style" w:hAnsi="Bookman Old Style"/>
          <w:sz w:val="20"/>
          <w:szCs w:val="20"/>
        </w:rPr>
        <w:t xml:space="preserve">Анализ элемента сравнения при расчете рыночной стоимости </w:t>
      </w:r>
      <w:r>
        <w:rPr>
          <w:rFonts w:ascii="Bookman Old Style" w:hAnsi="Bookman Old Style"/>
          <w:sz w:val="20"/>
          <w:szCs w:val="20"/>
        </w:rPr>
        <w:t>нежилых помещений не</w:t>
      </w:r>
      <w:r w:rsidRPr="0008564B">
        <w:rPr>
          <w:rFonts w:ascii="Bookman Old Style" w:hAnsi="Bookman Old Style"/>
          <w:sz w:val="20"/>
          <w:szCs w:val="20"/>
        </w:rPr>
        <w:t xml:space="preserve"> определил различия между Объектом оценки и объектом аналогом по местоположению. </w:t>
      </w:r>
      <w:r>
        <w:rPr>
          <w:rFonts w:ascii="Bookman Old Style" w:hAnsi="Bookman Old Style"/>
          <w:sz w:val="20"/>
          <w:szCs w:val="20"/>
        </w:rPr>
        <w:t>Корректировка не требуется</w:t>
      </w:r>
      <w:r w:rsidRPr="0008564B">
        <w:rPr>
          <w:rFonts w:ascii="Bookman Old Style" w:hAnsi="Bookman Old Style"/>
          <w:sz w:val="20"/>
          <w:szCs w:val="20"/>
        </w:rPr>
        <w:t xml:space="preserve">.  </w:t>
      </w:r>
      <w:r>
        <w:rPr>
          <w:rFonts w:ascii="Bookman Old Style" w:hAnsi="Bookman Old Style"/>
          <w:sz w:val="20"/>
          <w:szCs w:val="20"/>
        </w:rPr>
        <w:t xml:space="preserve"> </w:t>
      </w:r>
    </w:p>
    <w:p w:rsidR="009B795D" w:rsidRPr="00431CC5" w:rsidRDefault="009B795D" w:rsidP="009B795D">
      <w:pPr>
        <w:numPr>
          <w:ilvl w:val="0"/>
          <w:numId w:val="35"/>
        </w:numPr>
        <w:spacing w:before="120" w:after="120"/>
        <w:jc w:val="both"/>
        <w:rPr>
          <w:rFonts w:ascii="Bookman Old Style" w:hAnsi="Bookman Old Style"/>
          <w:sz w:val="20"/>
          <w:szCs w:val="20"/>
        </w:rPr>
      </w:pPr>
      <w:r w:rsidRPr="00431CC5">
        <w:rPr>
          <w:rFonts w:ascii="Bookman Old Style" w:hAnsi="Bookman Old Style"/>
          <w:sz w:val="20"/>
          <w:szCs w:val="20"/>
        </w:rPr>
        <w:t xml:space="preserve">Физические характеристики. Данная группа корректировок описывает физическое состояние </w:t>
      </w:r>
      <w:r>
        <w:rPr>
          <w:rFonts w:ascii="Bookman Old Style" w:hAnsi="Bookman Old Style"/>
          <w:sz w:val="20"/>
          <w:szCs w:val="20"/>
        </w:rPr>
        <w:t xml:space="preserve">и количественные характеристики </w:t>
      </w:r>
      <w:r w:rsidRPr="00431CC5">
        <w:rPr>
          <w:rFonts w:ascii="Bookman Old Style" w:hAnsi="Bookman Old Style"/>
          <w:sz w:val="20"/>
          <w:szCs w:val="20"/>
        </w:rPr>
        <w:t xml:space="preserve">рассматриваемого имущества и сопоставимых объектов, если состояние объекта оценки и объектов аналогов отличается, необходимо рассмотреть каждое из отличий с учетом влияния на стоимость. </w:t>
      </w:r>
    </w:p>
    <w:p w:rsidR="009B795D" w:rsidRDefault="009B795D" w:rsidP="009B795D">
      <w:pPr>
        <w:spacing w:before="120" w:after="120"/>
        <w:ind w:left="720"/>
        <w:jc w:val="both"/>
        <w:rPr>
          <w:rFonts w:ascii="Bookman Old Style" w:hAnsi="Bookman Old Style"/>
          <w:sz w:val="20"/>
          <w:szCs w:val="20"/>
        </w:rPr>
      </w:pPr>
      <w:r w:rsidRPr="00DE3F19">
        <w:rPr>
          <w:rFonts w:ascii="Bookman Old Style" w:hAnsi="Bookman Old Style"/>
          <w:sz w:val="20"/>
          <w:szCs w:val="20"/>
        </w:rPr>
        <w:t>А. Значение сегмента рынка по площади.</w:t>
      </w:r>
      <w:r w:rsidRPr="00DE3F19">
        <w:t xml:space="preserve"> </w:t>
      </w:r>
      <w:r w:rsidRPr="00DE3F19">
        <w:rPr>
          <w:rFonts w:ascii="Bookman Old Style" w:hAnsi="Bookman Old Style"/>
          <w:sz w:val="20"/>
          <w:szCs w:val="20"/>
        </w:rPr>
        <w:t>По данному элементу сравнения выявлено отличие Объекта оценки и объектов аналогов</w:t>
      </w:r>
      <w:r>
        <w:rPr>
          <w:rFonts w:ascii="Bookman Old Style" w:hAnsi="Bookman Old Style"/>
          <w:sz w:val="20"/>
          <w:szCs w:val="20"/>
        </w:rPr>
        <w:t xml:space="preserve">. </w:t>
      </w:r>
      <w:r w:rsidRPr="006E29E9">
        <w:rPr>
          <w:rFonts w:ascii="Bookman Old Style" w:hAnsi="Bookman Old Style"/>
          <w:sz w:val="20"/>
          <w:szCs w:val="20"/>
        </w:rPr>
        <w:t>Как правило, большие по размеру помещения стоят несколько дешевле в расчете на единицу площади, чем меньшие по размеру, поэтому в цены аналогов необходимо внести корректировки.</w:t>
      </w:r>
    </w:p>
    <w:p w:rsidR="009B795D" w:rsidRDefault="009B795D" w:rsidP="009B795D">
      <w:pPr>
        <w:spacing w:before="120" w:after="120"/>
        <w:ind w:left="720"/>
        <w:jc w:val="both"/>
        <w:rPr>
          <w:rFonts w:ascii="Bookman Old Style" w:hAnsi="Bookman Old Style"/>
          <w:sz w:val="20"/>
          <w:szCs w:val="20"/>
        </w:rPr>
      </w:pPr>
      <w:r w:rsidRPr="00EE24D6">
        <w:rPr>
          <w:rFonts w:ascii="Bookman Old Style" w:hAnsi="Bookman Old Style"/>
          <w:sz w:val="20"/>
          <w:szCs w:val="20"/>
        </w:rPr>
        <w:t>Расчет корректировки проведен экспертным методом</w:t>
      </w:r>
      <w:r w:rsidRPr="00EE24D6">
        <w:rPr>
          <w:rFonts w:ascii="Bookman Old Style" w:hAnsi="Bookman Old Style"/>
          <w:sz w:val="20"/>
          <w:szCs w:val="20"/>
          <w:vertAlign w:val="superscript"/>
        </w:rPr>
        <w:footnoteReference w:id="44"/>
      </w:r>
      <w:r w:rsidRPr="00EE24D6">
        <w:rPr>
          <w:rFonts w:ascii="Bookman Old Style" w:hAnsi="Bookman Old Style"/>
          <w:sz w:val="20"/>
          <w:szCs w:val="20"/>
        </w:rPr>
        <w:t xml:space="preserve">. </w:t>
      </w:r>
      <w:r w:rsidRPr="004A1E09">
        <w:rPr>
          <w:rFonts w:ascii="Bookman Old Style" w:hAnsi="Bookman Old Style"/>
          <w:sz w:val="20"/>
          <w:szCs w:val="20"/>
        </w:rPr>
        <w:t xml:space="preserve">При расчете рыночной стоимости </w:t>
      </w:r>
      <w:r>
        <w:rPr>
          <w:rFonts w:ascii="Bookman Old Style" w:hAnsi="Bookman Old Style"/>
          <w:sz w:val="20"/>
          <w:szCs w:val="20"/>
        </w:rPr>
        <w:t>нежилого помещения</w:t>
      </w:r>
      <w:r w:rsidRPr="004A1E09">
        <w:rPr>
          <w:rFonts w:ascii="Bookman Old Style" w:hAnsi="Bookman Old Style"/>
          <w:sz w:val="20"/>
          <w:szCs w:val="20"/>
        </w:rPr>
        <w:t xml:space="preserve"> </w:t>
      </w:r>
      <w:r w:rsidRPr="00CE17F5">
        <w:rPr>
          <w:rFonts w:ascii="Bookman Old Style" w:hAnsi="Bookman Old Style"/>
          <w:sz w:val="20"/>
          <w:szCs w:val="20"/>
        </w:rPr>
        <w:t xml:space="preserve">производственно-складского </w:t>
      </w:r>
      <w:r>
        <w:rPr>
          <w:rFonts w:ascii="Bookman Old Style" w:hAnsi="Bookman Old Style"/>
          <w:sz w:val="20"/>
          <w:szCs w:val="20"/>
        </w:rPr>
        <w:t xml:space="preserve">назначения </w:t>
      </w:r>
      <w:r w:rsidRPr="004A1E09">
        <w:rPr>
          <w:rFonts w:ascii="Bookman Old Style" w:hAnsi="Bookman Old Style"/>
          <w:sz w:val="20"/>
          <w:szCs w:val="20"/>
        </w:rPr>
        <w:t xml:space="preserve">площадью </w:t>
      </w:r>
      <w:r>
        <w:rPr>
          <w:rFonts w:ascii="Bookman Old Style" w:hAnsi="Bookman Old Style"/>
          <w:sz w:val="20"/>
          <w:szCs w:val="20"/>
        </w:rPr>
        <w:t>300-</w:t>
      </w:r>
      <w:r w:rsidRPr="00CE17F5">
        <w:rPr>
          <w:rFonts w:ascii="Bookman Old Style" w:hAnsi="Bookman Old Style"/>
          <w:sz w:val="20"/>
          <w:szCs w:val="20"/>
        </w:rPr>
        <w:t>1000</w:t>
      </w:r>
      <w:r>
        <w:rPr>
          <w:rFonts w:ascii="Bookman Old Style" w:hAnsi="Bookman Old Style"/>
          <w:sz w:val="20"/>
          <w:szCs w:val="20"/>
        </w:rPr>
        <w:t>кв.м.</w:t>
      </w:r>
      <w:r w:rsidRPr="004A1E09">
        <w:rPr>
          <w:rFonts w:ascii="Bookman Old Style" w:hAnsi="Bookman Old Style"/>
          <w:sz w:val="20"/>
          <w:szCs w:val="20"/>
        </w:rPr>
        <w:t xml:space="preserve">, </w:t>
      </w:r>
      <w:r w:rsidRPr="009B795D">
        <w:rPr>
          <w:rFonts w:ascii="Bookman Old Style" w:hAnsi="Bookman Old Style"/>
          <w:sz w:val="20"/>
          <w:szCs w:val="20"/>
        </w:rPr>
        <w:t xml:space="preserve">повышающий </w:t>
      </w:r>
      <w:r w:rsidRPr="004A1E09">
        <w:rPr>
          <w:rFonts w:ascii="Bookman Old Style" w:hAnsi="Bookman Old Style"/>
          <w:sz w:val="20"/>
          <w:szCs w:val="20"/>
        </w:rPr>
        <w:t>корректирующий коэффициент по цене предложений для Аналог</w:t>
      </w:r>
      <w:r>
        <w:rPr>
          <w:rFonts w:ascii="Bookman Old Style" w:hAnsi="Bookman Old Style"/>
          <w:sz w:val="20"/>
          <w:szCs w:val="20"/>
        </w:rPr>
        <w:t>а</w:t>
      </w:r>
      <w:r w:rsidRPr="004A1E09">
        <w:rPr>
          <w:rFonts w:ascii="Bookman Old Style" w:hAnsi="Bookman Old Style"/>
          <w:sz w:val="20"/>
          <w:szCs w:val="20"/>
        </w:rPr>
        <w:t xml:space="preserve"> № </w:t>
      </w:r>
      <w:r>
        <w:rPr>
          <w:rFonts w:ascii="Bookman Old Style" w:hAnsi="Bookman Old Style"/>
          <w:sz w:val="20"/>
          <w:szCs w:val="20"/>
        </w:rPr>
        <w:t xml:space="preserve">2 </w:t>
      </w:r>
      <w:r w:rsidRPr="004A1E09">
        <w:rPr>
          <w:rFonts w:ascii="Bookman Old Style" w:hAnsi="Bookman Old Style"/>
          <w:sz w:val="20"/>
          <w:szCs w:val="20"/>
        </w:rPr>
        <w:t xml:space="preserve">составляет </w:t>
      </w:r>
      <w:r>
        <w:rPr>
          <w:rFonts w:ascii="Bookman Old Style" w:hAnsi="Bookman Old Style"/>
          <w:sz w:val="20"/>
          <w:szCs w:val="20"/>
        </w:rPr>
        <w:t>+10%.</w:t>
      </w:r>
    </w:p>
    <w:p w:rsidR="009B795D" w:rsidRPr="00431CC5" w:rsidRDefault="009B795D" w:rsidP="009B795D">
      <w:pPr>
        <w:spacing w:before="120" w:after="120"/>
        <w:ind w:left="720"/>
        <w:jc w:val="both"/>
        <w:rPr>
          <w:rFonts w:ascii="Bookman Old Style" w:hAnsi="Bookman Old Style"/>
          <w:sz w:val="20"/>
          <w:szCs w:val="20"/>
        </w:rPr>
      </w:pPr>
      <w:r>
        <w:rPr>
          <w:rFonts w:ascii="Bookman Old Style" w:hAnsi="Bookman Old Style"/>
          <w:sz w:val="20"/>
          <w:szCs w:val="20"/>
        </w:rPr>
        <w:t>Б</w:t>
      </w:r>
      <w:r w:rsidRPr="00431CC5">
        <w:rPr>
          <w:rFonts w:ascii="Bookman Old Style" w:hAnsi="Bookman Old Style"/>
          <w:sz w:val="20"/>
          <w:szCs w:val="20"/>
        </w:rPr>
        <w:t xml:space="preserve">. Состояние </w:t>
      </w:r>
      <w:r>
        <w:rPr>
          <w:rFonts w:ascii="Bookman Old Style" w:hAnsi="Bookman Old Style"/>
          <w:sz w:val="20"/>
          <w:szCs w:val="20"/>
        </w:rPr>
        <w:t>объекта капитального строительства</w:t>
      </w:r>
      <w:r w:rsidRPr="00431CC5">
        <w:rPr>
          <w:rFonts w:ascii="Bookman Old Style" w:hAnsi="Bookman Old Style"/>
          <w:sz w:val="20"/>
          <w:szCs w:val="20"/>
        </w:rPr>
        <w:t xml:space="preserve">. При проведении оценки </w:t>
      </w:r>
      <w:r>
        <w:rPr>
          <w:rFonts w:ascii="Bookman Old Style" w:hAnsi="Bookman Old Style"/>
          <w:sz w:val="20"/>
          <w:szCs w:val="20"/>
        </w:rPr>
        <w:t>установлено, что</w:t>
      </w:r>
      <w:r w:rsidRPr="00431CC5">
        <w:rPr>
          <w:rFonts w:ascii="Bookman Old Style" w:hAnsi="Bookman Old Style"/>
          <w:sz w:val="20"/>
          <w:szCs w:val="20"/>
        </w:rPr>
        <w:t xml:space="preserve"> </w:t>
      </w:r>
      <w:r>
        <w:rPr>
          <w:rFonts w:ascii="Bookman Old Style" w:hAnsi="Bookman Old Style"/>
          <w:sz w:val="20"/>
          <w:szCs w:val="20"/>
        </w:rPr>
        <w:t>качественное</w:t>
      </w:r>
      <w:r w:rsidRPr="00431CC5">
        <w:rPr>
          <w:rFonts w:ascii="Bookman Old Style" w:hAnsi="Bookman Old Style"/>
          <w:sz w:val="20"/>
          <w:szCs w:val="20"/>
        </w:rPr>
        <w:t xml:space="preserve"> </w:t>
      </w:r>
      <w:r>
        <w:rPr>
          <w:rFonts w:ascii="Bookman Old Style" w:hAnsi="Bookman Old Style"/>
          <w:sz w:val="20"/>
          <w:szCs w:val="20"/>
        </w:rPr>
        <w:t>состояние элементов Объекта оценки и состояние объектов-аналогов отличаются</w:t>
      </w:r>
      <w:r w:rsidRPr="00431CC5">
        <w:rPr>
          <w:rFonts w:ascii="Bookman Old Style" w:hAnsi="Bookman Old Style"/>
          <w:sz w:val="20"/>
          <w:szCs w:val="20"/>
        </w:rPr>
        <w:t>. При расчете, необходим учет данного фактора.</w:t>
      </w:r>
    </w:p>
    <w:p w:rsidR="009B795D" w:rsidRDefault="009B795D" w:rsidP="009B795D">
      <w:pPr>
        <w:spacing w:before="120" w:after="120"/>
        <w:ind w:left="720"/>
        <w:jc w:val="both"/>
        <w:rPr>
          <w:rFonts w:ascii="Bookman Old Style" w:hAnsi="Bookman Old Style"/>
          <w:sz w:val="20"/>
          <w:szCs w:val="20"/>
        </w:rPr>
      </w:pPr>
      <w:r w:rsidRPr="00431CC5">
        <w:rPr>
          <w:rFonts w:ascii="Bookman Old Style" w:hAnsi="Bookman Old Style"/>
          <w:sz w:val="20"/>
          <w:szCs w:val="20"/>
        </w:rPr>
        <w:lastRenderedPageBreak/>
        <w:t>Расчет корректировки проведен экспертным методом</w:t>
      </w:r>
      <w:r w:rsidRPr="00431CC5">
        <w:rPr>
          <w:rFonts w:ascii="Bookman Old Style" w:hAnsi="Bookman Old Style"/>
          <w:sz w:val="20"/>
          <w:szCs w:val="20"/>
          <w:vertAlign w:val="superscript"/>
        </w:rPr>
        <w:footnoteReference w:id="45"/>
      </w:r>
      <w:r w:rsidRPr="00431CC5">
        <w:rPr>
          <w:rFonts w:ascii="Bookman Old Style" w:hAnsi="Bookman Old Style"/>
          <w:sz w:val="20"/>
          <w:szCs w:val="20"/>
        </w:rPr>
        <w:t xml:space="preserve">. </w:t>
      </w:r>
      <w:r w:rsidRPr="00CE17F5">
        <w:rPr>
          <w:rFonts w:ascii="Bookman Old Style" w:hAnsi="Bookman Old Style"/>
          <w:sz w:val="20"/>
          <w:szCs w:val="20"/>
        </w:rPr>
        <w:t>Экспертное значение диапазона отношения удельной стоимости объектов производственно-складского назначения находящихся в удовлетворительном состоянии к удельной цене такого же объекта, находящегося в неудовлетворительном состоянии составляет диапазон 0,7</w:t>
      </w:r>
      <w:r>
        <w:rPr>
          <w:rFonts w:ascii="Bookman Old Style" w:hAnsi="Bookman Old Style"/>
          <w:sz w:val="20"/>
          <w:szCs w:val="20"/>
        </w:rPr>
        <w:t>3</w:t>
      </w:r>
      <w:r w:rsidRPr="00CE17F5">
        <w:rPr>
          <w:rFonts w:ascii="Bookman Old Style" w:hAnsi="Bookman Old Style"/>
          <w:sz w:val="20"/>
          <w:szCs w:val="20"/>
        </w:rPr>
        <w:t>-0,7</w:t>
      </w:r>
      <w:r>
        <w:rPr>
          <w:rFonts w:ascii="Bookman Old Style" w:hAnsi="Bookman Old Style"/>
          <w:sz w:val="20"/>
          <w:szCs w:val="20"/>
        </w:rPr>
        <w:t>5</w:t>
      </w:r>
      <w:r w:rsidRPr="00CE17F5">
        <w:rPr>
          <w:rFonts w:ascii="Bookman Old Style" w:hAnsi="Bookman Old Style"/>
          <w:sz w:val="20"/>
          <w:szCs w:val="20"/>
        </w:rPr>
        <w:t>. При расчете выбрано рекомендованное среднее значение 0,74, повышающая корректировка составит величину +26,0%</w:t>
      </w:r>
      <w:r>
        <w:rPr>
          <w:rFonts w:ascii="Bookman Old Style" w:hAnsi="Bookman Old Style"/>
          <w:sz w:val="20"/>
          <w:szCs w:val="20"/>
        </w:rPr>
        <w:t>.</w:t>
      </w:r>
    </w:p>
    <w:p w:rsidR="009B795D" w:rsidRDefault="009B795D" w:rsidP="009B795D">
      <w:pPr>
        <w:spacing w:before="120" w:after="120"/>
        <w:ind w:left="720"/>
        <w:jc w:val="both"/>
        <w:rPr>
          <w:rFonts w:ascii="Bookman Old Style" w:hAnsi="Bookman Old Style"/>
          <w:iCs/>
          <w:sz w:val="20"/>
          <w:szCs w:val="20"/>
        </w:rPr>
      </w:pPr>
      <w:r>
        <w:rPr>
          <w:rFonts w:ascii="Bookman Old Style" w:hAnsi="Bookman Old Style"/>
          <w:sz w:val="20"/>
          <w:szCs w:val="20"/>
        </w:rPr>
        <w:t>В</w:t>
      </w:r>
      <w:r w:rsidRPr="00431CC5">
        <w:rPr>
          <w:rFonts w:ascii="Bookman Old Style" w:hAnsi="Bookman Old Style"/>
          <w:sz w:val="20"/>
          <w:szCs w:val="20"/>
        </w:rPr>
        <w:t xml:space="preserve">. </w:t>
      </w:r>
      <w:r>
        <w:rPr>
          <w:rFonts w:ascii="Bookman Old Style" w:hAnsi="Bookman Old Style"/>
          <w:iCs/>
          <w:sz w:val="20"/>
          <w:szCs w:val="20"/>
        </w:rPr>
        <w:t>Наличие железнодорожных путей</w:t>
      </w:r>
      <w:r w:rsidRPr="00431CC5">
        <w:rPr>
          <w:rFonts w:ascii="Bookman Old Style" w:hAnsi="Bookman Old Style"/>
          <w:iCs/>
          <w:sz w:val="20"/>
          <w:szCs w:val="20"/>
        </w:rPr>
        <w:t xml:space="preserve">. </w:t>
      </w:r>
      <w:r w:rsidRPr="00CE17F5">
        <w:rPr>
          <w:rFonts w:ascii="Bookman Old Style" w:hAnsi="Bookman Old Style"/>
          <w:sz w:val="20"/>
          <w:szCs w:val="20"/>
        </w:rPr>
        <w:t xml:space="preserve">По данному элементу сравнения выявлено отличие Объекта оценки и объектов аналогов. Как правило, </w:t>
      </w:r>
      <w:proofErr w:type="gramStart"/>
      <w:r>
        <w:rPr>
          <w:rFonts w:ascii="Bookman Old Style" w:hAnsi="Bookman Old Style"/>
          <w:sz w:val="20"/>
          <w:szCs w:val="20"/>
        </w:rPr>
        <w:t>объекты</w:t>
      </w:r>
      <w:proofErr w:type="gramEnd"/>
      <w:r>
        <w:rPr>
          <w:rFonts w:ascii="Bookman Old Style" w:hAnsi="Bookman Old Style"/>
          <w:sz w:val="20"/>
          <w:szCs w:val="20"/>
        </w:rPr>
        <w:t xml:space="preserve"> имеющие на территории железнодорожные пути с</w:t>
      </w:r>
      <w:r w:rsidRPr="00CE17F5">
        <w:rPr>
          <w:rFonts w:ascii="Bookman Old Style" w:hAnsi="Bookman Old Style"/>
          <w:sz w:val="20"/>
          <w:szCs w:val="20"/>
        </w:rPr>
        <w:t xml:space="preserve">тоят несколько </w:t>
      </w:r>
      <w:r>
        <w:rPr>
          <w:rFonts w:ascii="Bookman Old Style" w:hAnsi="Bookman Old Style"/>
          <w:sz w:val="20"/>
          <w:szCs w:val="20"/>
        </w:rPr>
        <w:t>дороже</w:t>
      </w:r>
      <w:r w:rsidRPr="00CE17F5">
        <w:rPr>
          <w:rFonts w:ascii="Bookman Old Style" w:hAnsi="Bookman Old Style"/>
          <w:sz w:val="20"/>
          <w:szCs w:val="20"/>
        </w:rPr>
        <w:t xml:space="preserve"> в расчете на единицу площади, чем </w:t>
      </w:r>
      <w:r>
        <w:rPr>
          <w:rFonts w:ascii="Bookman Old Style" w:hAnsi="Bookman Old Style"/>
          <w:sz w:val="20"/>
          <w:szCs w:val="20"/>
        </w:rPr>
        <w:t>объекты без железнодорожных путей</w:t>
      </w:r>
      <w:r w:rsidRPr="00CE17F5">
        <w:rPr>
          <w:rFonts w:ascii="Bookman Old Style" w:hAnsi="Bookman Old Style"/>
          <w:sz w:val="20"/>
          <w:szCs w:val="20"/>
        </w:rPr>
        <w:t>, поэтому в цены аналогов необходимо внести корректировки</w:t>
      </w:r>
      <w:r w:rsidRPr="00431CC5">
        <w:rPr>
          <w:rFonts w:ascii="Bookman Old Style" w:hAnsi="Bookman Old Style"/>
          <w:iCs/>
          <w:sz w:val="20"/>
          <w:szCs w:val="20"/>
        </w:rPr>
        <w:t>.</w:t>
      </w:r>
      <w:r>
        <w:rPr>
          <w:rFonts w:ascii="Bookman Old Style" w:hAnsi="Bookman Old Style"/>
          <w:iCs/>
          <w:sz w:val="20"/>
          <w:szCs w:val="20"/>
        </w:rPr>
        <w:t xml:space="preserve"> </w:t>
      </w:r>
      <w:r w:rsidRPr="004A1E09">
        <w:rPr>
          <w:rFonts w:ascii="Bookman Old Style" w:hAnsi="Bookman Old Style"/>
          <w:iCs/>
          <w:sz w:val="20"/>
          <w:szCs w:val="20"/>
        </w:rPr>
        <w:t>Расчет корректировки проведен экспертным методом</w:t>
      </w:r>
      <w:r w:rsidRPr="004A1E09">
        <w:rPr>
          <w:rFonts w:ascii="Bookman Old Style" w:hAnsi="Bookman Old Style"/>
          <w:iCs/>
          <w:sz w:val="20"/>
          <w:szCs w:val="20"/>
          <w:vertAlign w:val="superscript"/>
        </w:rPr>
        <w:footnoteReference w:id="46"/>
      </w:r>
      <w:r>
        <w:rPr>
          <w:rFonts w:ascii="Bookman Old Style" w:hAnsi="Bookman Old Style"/>
          <w:iCs/>
          <w:sz w:val="20"/>
          <w:szCs w:val="20"/>
        </w:rPr>
        <w:t xml:space="preserve">. </w:t>
      </w:r>
      <w:r w:rsidRPr="004A1E09">
        <w:rPr>
          <w:rFonts w:ascii="Bookman Old Style" w:hAnsi="Bookman Old Style"/>
          <w:iCs/>
          <w:sz w:val="20"/>
          <w:szCs w:val="20"/>
        </w:rPr>
        <w:t>Экспертное значение диапазона отношения удельной стоимости объектов</w:t>
      </w:r>
      <w:r>
        <w:rPr>
          <w:rFonts w:ascii="Bookman Old Style" w:hAnsi="Bookman Old Style"/>
          <w:iCs/>
          <w:sz w:val="20"/>
          <w:szCs w:val="20"/>
        </w:rPr>
        <w:t xml:space="preserve"> оборудованных </w:t>
      </w:r>
      <w:r w:rsidRPr="00CE17F5">
        <w:rPr>
          <w:rFonts w:ascii="Bookman Old Style" w:hAnsi="Bookman Old Style"/>
          <w:iCs/>
          <w:sz w:val="20"/>
          <w:szCs w:val="20"/>
        </w:rPr>
        <w:t>железнодорожн</w:t>
      </w:r>
      <w:r>
        <w:rPr>
          <w:rFonts w:ascii="Bookman Old Style" w:hAnsi="Bookman Old Style"/>
          <w:iCs/>
          <w:sz w:val="20"/>
          <w:szCs w:val="20"/>
        </w:rPr>
        <w:t>ой</w:t>
      </w:r>
      <w:r w:rsidRPr="00CE17F5">
        <w:rPr>
          <w:rFonts w:ascii="Bookman Old Style" w:hAnsi="Bookman Old Style"/>
          <w:iCs/>
          <w:sz w:val="20"/>
          <w:szCs w:val="20"/>
        </w:rPr>
        <w:t xml:space="preserve"> </w:t>
      </w:r>
      <w:r>
        <w:rPr>
          <w:rFonts w:ascii="Bookman Old Style" w:hAnsi="Bookman Old Style"/>
          <w:iCs/>
          <w:sz w:val="20"/>
          <w:szCs w:val="20"/>
        </w:rPr>
        <w:t>веткой к</w:t>
      </w:r>
      <w:r w:rsidRPr="004A1E09">
        <w:rPr>
          <w:rFonts w:ascii="Bookman Old Style" w:hAnsi="Bookman Old Style"/>
          <w:iCs/>
          <w:sz w:val="20"/>
          <w:szCs w:val="20"/>
        </w:rPr>
        <w:t xml:space="preserve"> удельной цене такого же объекта, </w:t>
      </w:r>
      <w:r>
        <w:rPr>
          <w:rFonts w:ascii="Bookman Old Style" w:hAnsi="Bookman Old Style"/>
          <w:iCs/>
          <w:sz w:val="20"/>
          <w:szCs w:val="20"/>
        </w:rPr>
        <w:t xml:space="preserve">без </w:t>
      </w:r>
      <w:r w:rsidRPr="00CE17F5">
        <w:rPr>
          <w:rFonts w:ascii="Bookman Old Style" w:hAnsi="Bookman Old Style"/>
          <w:iCs/>
          <w:sz w:val="20"/>
          <w:szCs w:val="20"/>
        </w:rPr>
        <w:t>железнодорожн</w:t>
      </w:r>
      <w:r>
        <w:rPr>
          <w:rFonts w:ascii="Bookman Old Style" w:hAnsi="Bookman Old Style"/>
          <w:iCs/>
          <w:sz w:val="20"/>
          <w:szCs w:val="20"/>
        </w:rPr>
        <w:t>ой</w:t>
      </w:r>
      <w:r w:rsidRPr="00CE17F5">
        <w:rPr>
          <w:rFonts w:ascii="Bookman Old Style" w:hAnsi="Bookman Old Style"/>
          <w:iCs/>
          <w:sz w:val="20"/>
          <w:szCs w:val="20"/>
        </w:rPr>
        <w:t xml:space="preserve"> </w:t>
      </w:r>
      <w:r>
        <w:rPr>
          <w:rFonts w:ascii="Bookman Old Style" w:hAnsi="Bookman Old Style"/>
          <w:iCs/>
          <w:sz w:val="20"/>
          <w:szCs w:val="20"/>
        </w:rPr>
        <w:t>ветки</w:t>
      </w:r>
      <w:r w:rsidRPr="004A1E09">
        <w:rPr>
          <w:rFonts w:ascii="Bookman Old Style" w:hAnsi="Bookman Old Style"/>
          <w:iCs/>
          <w:sz w:val="20"/>
          <w:szCs w:val="20"/>
        </w:rPr>
        <w:t xml:space="preserve"> составляет диапазон </w:t>
      </w:r>
      <w:r>
        <w:rPr>
          <w:rFonts w:ascii="Bookman Old Style" w:hAnsi="Bookman Old Style"/>
          <w:iCs/>
          <w:sz w:val="20"/>
          <w:szCs w:val="20"/>
        </w:rPr>
        <w:t>1,13-1,16</w:t>
      </w:r>
      <w:r w:rsidRPr="004A1E09">
        <w:rPr>
          <w:rFonts w:ascii="Bookman Old Style" w:hAnsi="Bookman Old Style"/>
          <w:iCs/>
          <w:sz w:val="20"/>
          <w:szCs w:val="20"/>
        </w:rPr>
        <w:t xml:space="preserve">. При расчете выбрано рекомендованное среднее значение </w:t>
      </w:r>
      <w:r>
        <w:rPr>
          <w:rFonts w:ascii="Bookman Old Style" w:hAnsi="Bookman Old Style"/>
          <w:iCs/>
          <w:sz w:val="20"/>
          <w:szCs w:val="20"/>
        </w:rPr>
        <w:t>1,14</w:t>
      </w:r>
      <w:r w:rsidRPr="004A1E09">
        <w:rPr>
          <w:rFonts w:ascii="Bookman Old Style" w:hAnsi="Bookman Old Style"/>
          <w:iCs/>
          <w:sz w:val="20"/>
          <w:szCs w:val="20"/>
        </w:rPr>
        <w:t>, понижающая к</w:t>
      </w:r>
      <w:r>
        <w:rPr>
          <w:rFonts w:ascii="Bookman Old Style" w:hAnsi="Bookman Old Style"/>
          <w:iCs/>
          <w:sz w:val="20"/>
          <w:szCs w:val="20"/>
        </w:rPr>
        <w:t>орректировка составит величину -14%</w:t>
      </w:r>
    </w:p>
    <w:p w:rsidR="009B795D" w:rsidRPr="00431CC5" w:rsidRDefault="009B795D" w:rsidP="009B795D">
      <w:pPr>
        <w:numPr>
          <w:ilvl w:val="0"/>
          <w:numId w:val="35"/>
        </w:numPr>
        <w:spacing w:before="120" w:after="120"/>
        <w:jc w:val="both"/>
        <w:rPr>
          <w:rFonts w:ascii="Bookman Old Style" w:hAnsi="Bookman Old Style"/>
          <w:sz w:val="20"/>
          <w:szCs w:val="20"/>
        </w:rPr>
      </w:pPr>
      <w:r w:rsidRPr="00431CC5">
        <w:rPr>
          <w:rFonts w:ascii="Bookman Old Style" w:hAnsi="Bookman Old Style"/>
          <w:sz w:val="20"/>
          <w:szCs w:val="20"/>
        </w:rPr>
        <w:t>Экономические характеристики. Такие качества как доход, операционные расходы, условия аренды, используются для анализа объектов приносящих доход.</w:t>
      </w:r>
    </w:p>
    <w:p w:rsidR="009B795D" w:rsidRPr="00431CC5" w:rsidRDefault="009B795D" w:rsidP="009B795D">
      <w:pPr>
        <w:spacing w:before="120" w:after="120"/>
        <w:ind w:left="720"/>
        <w:jc w:val="both"/>
        <w:rPr>
          <w:rFonts w:ascii="Bookman Old Style" w:hAnsi="Bookman Old Style"/>
          <w:sz w:val="20"/>
          <w:szCs w:val="20"/>
        </w:rPr>
      </w:pPr>
      <w:r w:rsidRPr="00431CC5">
        <w:rPr>
          <w:rFonts w:ascii="Bookman Old Style" w:hAnsi="Bookman Old Style"/>
          <w:iCs/>
          <w:sz w:val="20"/>
          <w:szCs w:val="20"/>
        </w:rPr>
        <w:t>По данной группе элементов сравнения не выявлено отличие элементов Объекта оценки и объектов аналогов, корректировка не требуется.</w:t>
      </w:r>
    </w:p>
    <w:p w:rsidR="009B795D" w:rsidRPr="00431CC5" w:rsidRDefault="009B795D" w:rsidP="009B795D">
      <w:pPr>
        <w:numPr>
          <w:ilvl w:val="0"/>
          <w:numId w:val="35"/>
        </w:numPr>
        <w:spacing w:before="120" w:after="120"/>
        <w:jc w:val="both"/>
        <w:rPr>
          <w:rFonts w:ascii="Bookman Old Style" w:hAnsi="Bookman Old Style"/>
          <w:sz w:val="20"/>
          <w:szCs w:val="20"/>
        </w:rPr>
      </w:pPr>
      <w:r w:rsidRPr="00431CC5">
        <w:rPr>
          <w:rFonts w:ascii="Bookman Old Style" w:hAnsi="Bookman Old Style"/>
          <w:sz w:val="20"/>
          <w:szCs w:val="20"/>
        </w:rPr>
        <w:t xml:space="preserve">Обоснование схемы согласования результатов. Расчет средневзвешенного значения рыночной стоимости. Для объектов аналогов сумма внесенных корректировок, по которым, значительна от базовой стоимости предложения, присвоены меньшие весовые значения. Данный факт объясняется снижением относительной ошибки в расчете. При этом необходимо отметить, что валовая корректировка рассчитывается по модулю. </w:t>
      </w:r>
    </w:p>
    <w:p w:rsidR="009B795D" w:rsidRPr="00431CC5" w:rsidRDefault="009B795D" w:rsidP="009B795D">
      <w:pPr>
        <w:spacing w:before="120" w:after="120"/>
        <w:ind w:left="720"/>
        <w:rPr>
          <w:rFonts w:ascii="Bookman Old Style" w:hAnsi="Bookman Old Style"/>
          <w:sz w:val="20"/>
          <w:szCs w:val="20"/>
        </w:rPr>
      </w:pPr>
      <w:r w:rsidRPr="00431CC5">
        <w:rPr>
          <w:rFonts w:ascii="Bookman Old Style" w:hAnsi="Bookman Old Style"/>
          <w:sz w:val="20"/>
          <w:szCs w:val="20"/>
        </w:rPr>
        <w:t>Вес аналога рассчитывается по формуле:</w:t>
      </w:r>
    </w:p>
    <w:p w:rsidR="009B795D" w:rsidRPr="00431CC5" w:rsidRDefault="009B795D" w:rsidP="009B795D">
      <w:pPr>
        <w:spacing w:before="120" w:after="120"/>
        <w:ind w:left="720"/>
        <w:rPr>
          <w:rFonts w:ascii="Bookman Old Style" w:hAnsi="Bookman Old Style"/>
          <w:i/>
          <w:sz w:val="20"/>
          <w:szCs w:val="20"/>
          <w:lang w:val="en-GB"/>
        </w:rPr>
      </w:pPr>
      <m:oMathPara>
        <m:oMath>
          <m:r>
            <w:rPr>
              <w:rFonts w:ascii="Cambria Math" w:hAnsi="Cambria Math"/>
              <w:sz w:val="20"/>
              <w:szCs w:val="20"/>
            </w:rPr>
            <m:t>W=</m:t>
          </m:r>
          <m:d>
            <m:dPr>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num>
                <m:den>
                  <m:nary>
                    <m:naryPr>
                      <m:chr m:val="∑"/>
                      <m:limLoc m:val="undOvr"/>
                      <m:subHide m:val="1"/>
                      <m:supHide m:val="1"/>
                      <m:ctrlPr>
                        <w:rPr>
                          <w:rFonts w:ascii="Cambria Math" w:hAnsi="Cambria Math"/>
                          <w:i/>
                          <w:sz w:val="20"/>
                          <w:szCs w:val="20"/>
                        </w:rPr>
                      </m:ctrlPr>
                    </m:naryPr>
                    <m:sub/>
                    <m:sup/>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e>
                  </m:nary>
                </m:den>
              </m:f>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n-1</m:t>
              </m:r>
            </m:e>
          </m:d>
        </m:oMath>
      </m:oMathPara>
    </w:p>
    <w:p w:rsidR="009B795D" w:rsidRPr="00431CC5" w:rsidRDefault="009B795D" w:rsidP="009B795D">
      <w:pPr>
        <w:spacing w:before="120" w:after="120"/>
        <w:ind w:left="720"/>
        <w:rPr>
          <w:rFonts w:ascii="Bookman Old Style" w:hAnsi="Bookman Old Style"/>
          <w:sz w:val="20"/>
          <w:szCs w:val="20"/>
        </w:rPr>
      </w:pPr>
      <w:r w:rsidRPr="00431CC5">
        <w:rPr>
          <w:rFonts w:ascii="Bookman Old Style" w:hAnsi="Bookman Old Style"/>
          <w:sz w:val="20"/>
          <w:szCs w:val="20"/>
        </w:rPr>
        <w:t>где:</w:t>
      </w:r>
    </w:p>
    <w:p w:rsidR="009B795D" w:rsidRPr="00431CC5" w:rsidRDefault="009B795D" w:rsidP="009B795D">
      <w:pPr>
        <w:spacing w:before="120" w:after="120"/>
        <w:ind w:left="720"/>
        <w:rPr>
          <w:rFonts w:ascii="Bookman Old Style" w:hAnsi="Bookman Old Style"/>
          <w:sz w:val="20"/>
          <w:szCs w:val="20"/>
        </w:rPr>
      </w:pPr>
      <w:r w:rsidRPr="00431CC5">
        <w:rPr>
          <w:rFonts w:ascii="Bookman Old Style" w:hAnsi="Bookman Old Style"/>
          <w:sz w:val="20"/>
          <w:szCs w:val="20"/>
          <w:lang w:val="en-GB"/>
        </w:rPr>
        <w:t>W</w:t>
      </w:r>
      <w:r w:rsidRPr="00431CC5">
        <w:rPr>
          <w:rFonts w:ascii="Bookman Old Style" w:hAnsi="Bookman Old Style"/>
          <w:sz w:val="20"/>
          <w:szCs w:val="20"/>
        </w:rPr>
        <w:t xml:space="preserve"> – </w:t>
      </w:r>
      <w:proofErr w:type="gramStart"/>
      <w:r w:rsidRPr="00431CC5">
        <w:rPr>
          <w:rFonts w:ascii="Bookman Old Style" w:hAnsi="Bookman Old Style"/>
          <w:sz w:val="20"/>
          <w:szCs w:val="20"/>
        </w:rPr>
        <w:t>вес</w:t>
      </w:r>
      <w:proofErr w:type="gramEnd"/>
      <w:r w:rsidRPr="00431CC5">
        <w:rPr>
          <w:rFonts w:ascii="Bookman Old Style" w:hAnsi="Bookman Old Style"/>
          <w:sz w:val="20"/>
          <w:szCs w:val="20"/>
        </w:rPr>
        <w:t xml:space="preserve"> аналога;</w:t>
      </w:r>
    </w:p>
    <w:p w:rsidR="009B795D" w:rsidRPr="00431CC5" w:rsidRDefault="009B795D" w:rsidP="009B795D">
      <w:pPr>
        <w:spacing w:before="120" w:after="120"/>
        <w:ind w:left="720"/>
        <w:rPr>
          <w:rFonts w:ascii="Bookman Old Style" w:hAnsi="Bookman Old Style"/>
          <w:sz w:val="20"/>
          <w:szCs w:val="20"/>
        </w:rPr>
      </w:pPr>
      <w:proofErr w:type="spellStart"/>
      <w:r w:rsidRPr="00431CC5">
        <w:rPr>
          <w:rFonts w:ascii="Bookman Old Style" w:hAnsi="Bookman Old Style"/>
          <w:sz w:val="20"/>
          <w:szCs w:val="20"/>
          <w:lang w:val="en-GB"/>
        </w:rPr>
        <w:t>Vn</w:t>
      </w:r>
      <w:proofErr w:type="spellEnd"/>
      <w:r w:rsidRPr="00431CC5">
        <w:rPr>
          <w:rFonts w:ascii="Bookman Old Style" w:hAnsi="Bookman Old Style"/>
          <w:sz w:val="20"/>
          <w:szCs w:val="20"/>
        </w:rPr>
        <w:t xml:space="preserve"> – валовая корректировка аналога;</w:t>
      </w:r>
    </w:p>
    <w:p w:rsidR="009B795D" w:rsidRPr="00431CC5" w:rsidRDefault="009B795D" w:rsidP="009B795D">
      <w:pPr>
        <w:spacing w:before="120" w:after="120"/>
        <w:ind w:left="720"/>
        <w:rPr>
          <w:rFonts w:ascii="Bookman Old Style" w:hAnsi="Bookman Old Style"/>
          <w:sz w:val="20"/>
          <w:szCs w:val="20"/>
        </w:rPr>
      </w:pPr>
      <w:r w:rsidRPr="00431CC5">
        <w:rPr>
          <w:rFonts w:ascii="Bookman Old Style" w:hAnsi="Bookman Old Style"/>
          <w:sz w:val="20"/>
          <w:szCs w:val="20"/>
        </w:rPr>
        <w:t>∑</w:t>
      </w:r>
      <w:proofErr w:type="spellStart"/>
      <w:r w:rsidRPr="00431CC5">
        <w:rPr>
          <w:rFonts w:ascii="Bookman Old Style" w:hAnsi="Bookman Old Style"/>
          <w:sz w:val="20"/>
          <w:szCs w:val="20"/>
          <w:lang w:val="en-GB"/>
        </w:rPr>
        <w:t>Vn</w:t>
      </w:r>
      <w:proofErr w:type="spellEnd"/>
      <w:r w:rsidRPr="00431CC5">
        <w:rPr>
          <w:rFonts w:ascii="Bookman Old Style" w:hAnsi="Bookman Old Style"/>
          <w:sz w:val="20"/>
          <w:szCs w:val="20"/>
        </w:rPr>
        <w:t xml:space="preserve"> – сумма валовых корректировок используемых аналогов;</w:t>
      </w:r>
    </w:p>
    <w:p w:rsidR="009B795D" w:rsidRPr="00431CC5" w:rsidRDefault="009B795D" w:rsidP="009B795D">
      <w:pPr>
        <w:spacing w:before="120" w:after="120"/>
        <w:ind w:left="720"/>
        <w:rPr>
          <w:rFonts w:ascii="Bookman Old Style" w:hAnsi="Bookman Old Style"/>
          <w:sz w:val="20"/>
          <w:szCs w:val="20"/>
        </w:rPr>
      </w:pPr>
      <w:r w:rsidRPr="00431CC5">
        <w:rPr>
          <w:rFonts w:ascii="Bookman Old Style" w:hAnsi="Bookman Old Style"/>
          <w:sz w:val="20"/>
          <w:szCs w:val="20"/>
        </w:rPr>
        <w:t>(</w:t>
      </w:r>
      <w:r w:rsidRPr="00431CC5">
        <w:rPr>
          <w:rFonts w:ascii="Bookman Old Style" w:hAnsi="Bookman Old Style"/>
          <w:sz w:val="20"/>
          <w:szCs w:val="20"/>
          <w:lang w:val="en-GB"/>
        </w:rPr>
        <w:t>n</w:t>
      </w:r>
      <w:r w:rsidRPr="00431CC5">
        <w:rPr>
          <w:rFonts w:ascii="Bookman Old Style" w:hAnsi="Bookman Old Style"/>
          <w:sz w:val="20"/>
          <w:szCs w:val="20"/>
        </w:rPr>
        <w:t>-1) – количество аналогов уменьшенное на 1.</w:t>
      </w:r>
    </w:p>
    <w:p w:rsidR="009B795D" w:rsidRPr="00431CC5" w:rsidRDefault="009B795D" w:rsidP="009B795D">
      <w:pPr>
        <w:spacing w:before="120" w:after="120"/>
        <w:ind w:left="720"/>
        <w:jc w:val="both"/>
        <w:rPr>
          <w:rFonts w:ascii="Bookman Old Style" w:hAnsi="Bookman Old Style"/>
          <w:sz w:val="20"/>
          <w:szCs w:val="20"/>
        </w:rPr>
      </w:pPr>
      <w:r w:rsidRPr="00431CC5">
        <w:rPr>
          <w:rFonts w:ascii="Bookman Old Style" w:hAnsi="Bookman Old Style"/>
          <w:sz w:val="20"/>
          <w:szCs w:val="20"/>
        </w:rPr>
        <w:t>Выбранные объекты аналоги, соответствуют объекту оценки по своим экономическим, материальным, техническим и другим характеристикам, определяющим их стоимость</w:t>
      </w:r>
      <w:r w:rsidRPr="00431CC5">
        <w:rPr>
          <w:rFonts w:ascii="Bookman Old Style" w:hAnsi="Bookman Old Style"/>
          <w:sz w:val="20"/>
          <w:szCs w:val="20"/>
          <w:vertAlign w:val="superscript"/>
        </w:rPr>
        <w:footnoteReference w:id="47"/>
      </w:r>
      <w:r w:rsidRPr="00431CC5">
        <w:rPr>
          <w:rFonts w:ascii="Bookman Old Style" w:hAnsi="Bookman Old Style"/>
          <w:sz w:val="20"/>
          <w:szCs w:val="20"/>
        </w:rPr>
        <w:t>. ФСО устанавливает обязанность оценщика корректировать объект аналог в зависимости от элементов сравнения, что в данной оценочной работе было проведено исходя из элементов сравнения существенных для итоговой величины стоимости.</w:t>
      </w:r>
    </w:p>
    <w:p w:rsidR="009B795D" w:rsidRDefault="009B795D" w:rsidP="009B795D">
      <w:pPr>
        <w:spacing w:before="120" w:after="120"/>
        <w:ind w:firstLine="709"/>
        <w:jc w:val="both"/>
        <w:rPr>
          <w:rFonts w:ascii="Bookman Old Style" w:hAnsi="Bookman Old Style"/>
          <w:sz w:val="20"/>
          <w:szCs w:val="20"/>
        </w:rPr>
      </w:pPr>
      <w:r w:rsidRPr="00431CC5">
        <w:rPr>
          <w:rFonts w:ascii="Bookman Old Style" w:hAnsi="Bookman Old Style"/>
          <w:sz w:val="20"/>
          <w:szCs w:val="20"/>
        </w:rPr>
        <w:t>В соответствии с проведенным расчетом стоимости в рамках сравнительного подхода, была определена рын</w:t>
      </w:r>
      <w:r>
        <w:rPr>
          <w:rFonts w:ascii="Bookman Old Style" w:hAnsi="Bookman Old Style"/>
          <w:sz w:val="20"/>
          <w:szCs w:val="20"/>
        </w:rPr>
        <w:t>очная стоимость 1 кв.м. элементов</w:t>
      </w:r>
      <w:r w:rsidRPr="00431CC5">
        <w:rPr>
          <w:rFonts w:ascii="Bookman Old Style" w:hAnsi="Bookman Old Style"/>
          <w:sz w:val="20"/>
          <w:szCs w:val="20"/>
        </w:rPr>
        <w:t xml:space="preserve"> Объекта оценки в зависимости от его ценообразующих факторов. </w:t>
      </w:r>
    </w:p>
    <w:p w:rsidR="009B795D" w:rsidRPr="00EE24D6" w:rsidRDefault="009B795D" w:rsidP="009B795D">
      <w:pPr>
        <w:keepNext/>
        <w:spacing w:before="120" w:after="120"/>
        <w:jc w:val="both"/>
        <w:outlineLvl w:val="2"/>
        <w:rPr>
          <w:rFonts w:ascii="Bookman Old Style" w:hAnsi="Bookman Old Style"/>
          <w:b/>
          <w:bCs/>
          <w:sz w:val="20"/>
          <w:szCs w:val="20"/>
        </w:rPr>
      </w:pPr>
      <w:bookmarkStart w:id="278" w:name="_Toc461206409"/>
      <w:bookmarkStart w:id="279" w:name="_Toc461375605"/>
      <w:r>
        <w:rPr>
          <w:rFonts w:ascii="Bookman Old Style" w:hAnsi="Bookman Old Style"/>
          <w:b/>
          <w:bCs/>
          <w:sz w:val="20"/>
          <w:szCs w:val="20"/>
        </w:rPr>
        <w:lastRenderedPageBreak/>
        <w:t>5.4.5</w:t>
      </w:r>
      <w:r w:rsidRPr="00EE24D6">
        <w:rPr>
          <w:rFonts w:ascii="Bookman Old Style" w:hAnsi="Bookman Old Style"/>
          <w:b/>
          <w:bCs/>
          <w:sz w:val="20"/>
          <w:szCs w:val="20"/>
        </w:rPr>
        <w:t>. Определение рыночной стоимости</w:t>
      </w:r>
      <w:r>
        <w:rPr>
          <w:rFonts w:ascii="Bookman Old Style" w:hAnsi="Bookman Old Style"/>
          <w:b/>
          <w:bCs/>
          <w:sz w:val="20"/>
          <w:szCs w:val="20"/>
        </w:rPr>
        <w:t xml:space="preserve"> земельного участка</w:t>
      </w:r>
      <w:r w:rsidRPr="00EE24D6">
        <w:rPr>
          <w:rFonts w:ascii="Bookman Old Style" w:hAnsi="Bookman Old Style"/>
          <w:b/>
          <w:bCs/>
          <w:sz w:val="20"/>
          <w:szCs w:val="20"/>
        </w:rPr>
        <w:t xml:space="preserve"> сравнительным подходом</w:t>
      </w:r>
      <w:bookmarkEnd w:id="278"/>
      <w:bookmarkEnd w:id="279"/>
    </w:p>
    <w:p w:rsidR="009B795D" w:rsidRPr="00EE24D6" w:rsidRDefault="009B795D" w:rsidP="009B795D">
      <w:pPr>
        <w:spacing w:before="120" w:after="120"/>
        <w:ind w:firstLine="708"/>
        <w:jc w:val="both"/>
        <w:rPr>
          <w:rFonts w:ascii="Bookman Old Style" w:hAnsi="Bookman Old Style"/>
          <w:color w:val="000000"/>
          <w:sz w:val="20"/>
          <w:szCs w:val="20"/>
        </w:rPr>
      </w:pPr>
      <w:r w:rsidRPr="00EE24D6">
        <w:rPr>
          <w:rFonts w:ascii="Bookman Old Style" w:hAnsi="Bookman Old Style" w:cs="Arial"/>
          <w:color w:val="000000"/>
          <w:sz w:val="20"/>
          <w:szCs w:val="20"/>
        </w:rPr>
        <w:t>Д</w:t>
      </w:r>
      <w:r w:rsidRPr="00EE24D6">
        <w:rPr>
          <w:rFonts w:ascii="Bookman Old Style" w:hAnsi="Bookman Old Style"/>
          <w:color w:val="000000"/>
          <w:sz w:val="20"/>
          <w:szCs w:val="20"/>
        </w:rPr>
        <w:t xml:space="preserve">ля расчета стоимости </w:t>
      </w:r>
      <w:r>
        <w:rPr>
          <w:rFonts w:ascii="Bookman Old Style" w:hAnsi="Bookman Old Style"/>
          <w:color w:val="000000"/>
          <w:sz w:val="20"/>
          <w:szCs w:val="20"/>
        </w:rPr>
        <w:t xml:space="preserve">земельного участка </w:t>
      </w:r>
      <w:r w:rsidRPr="00EE24D6">
        <w:rPr>
          <w:rFonts w:ascii="Bookman Old Style" w:hAnsi="Bookman Old Style"/>
          <w:color w:val="000000"/>
          <w:sz w:val="20"/>
          <w:szCs w:val="20"/>
        </w:rPr>
        <w:t>Объекта оценки</w:t>
      </w:r>
      <w:r>
        <w:rPr>
          <w:rFonts w:ascii="Bookman Old Style" w:hAnsi="Bookman Old Style"/>
          <w:color w:val="000000"/>
          <w:sz w:val="20"/>
          <w:szCs w:val="20"/>
        </w:rPr>
        <w:t xml:space="preserve"> методом «сравнения продаж» </w:t>
      </w:r>
      <w:r w:rsidRPr="00EE24D6">
        <w:rPr>
          <w:rFonts w:ascii="Bookman Old Style" w:hAnsi="Bookman Old Style"/>
          <w:color w:val="000000"/>
          <w:sz w:val="20"/>
          <w:szCs w:val="20"/>
        </w:rPr>
        <w:t>была проведена выборка объектов аналогов</w:t>
      </w:r>
      <w:r>
        <w:rPr>
          <w:rFonts w:ascii="Bookman Old Style" w:hAnsi="Bookman Old Style"/>
          <w:color w:val="000000"/>
          <w:sz w:val="20"/>
          <w:szCs w:val="20"/>
        </w:rPr>
        <w:t>,</w:t>
      </w:r>
      <w:r w:rsidRPr="00EE24D6">
        <w:rPr>
          <w:rFonts w:ascii="Bookman Old Style" w:hAnsi="Bookman Old Style"/>
          <w:color w:val="000000"/>
          <w:sz w:val="20"/>
          <w:szCs w:val="20"/>
        </w:rPr>
        <w:t xml:space="preserve"> предлагающихся к продаже на рынке </w:t>
      </w:r>
      <w:r>
        <w:rPr>
          <w:rFonts w:ascii="Bookman Old Style" w:hAnsi="Bookman Old Style"/>
          <w:color w:val="000000"/>
          <w:sz w:val="20"/>
          <w:szCs w:val="20"/>
        </w:rPr>
        <w:t>продаж земельных участков коммерческого назначения в Ленинском Районе г. Красноярска</w:t>
      </w:r>
      <w:r w:rsidRPr="00EE24D6">
        <w:rPr>
          <w:rFonts w:ascii="Bookman Old Style" w:hAnsi="Bookman Old Style"/>
          <w:color w:val="000000"/>
          <w:sz w:val="20"/>
          <w:szCs w:val="20"/>
          <w:vertAlign w:val="superscript"/>
        </w:rPr>
        <w:footnoteReference w:id="48"/>
      </w:r>
      <w:r w:rsidRPr="00EE24D6">
        <w:rPr>
          <w:rFonts w:ascii="Bookman Old Style" w:hAnsi="Bookman Old Style"/>
          <w:color w:val="000000"/>
          <w:sz w:val="20"/>
          <w:szCs w:val="20"/>
        </w:rPr>
        <w:t>.</w:t>
      </w:r>
    </w:p>
    <w:p w:rsidR="009B795D" w:rsidRDefault="009B795D" w:rsidP="009B795D">
      <w:pPr>
        <w:spacing w:before="120" w:after="120"/>
        <w:ind w:firstLine="708"/>
        <w:jc w:val="both"/>
        <w:rPr>
          <w:rFonts w:ascii="Bookman Old Style" w:hAnsi="Bookman Old Style"/>
          <w:sz w:val="20"/>
          <w:szCs w:val="20"/>
        </w:rPr>
      </w:pPr>
      <w:r w:rsidRPr="00EE24D6">
        <w:rPr>
          <w:rFonts w:ascii="Bookman Old Style" w:hAnsi="Bookman Old Style"/>
          <w:sz w:val="20"/>
          <w:szCs w:val="20"/>
        </w:rPr>
        <w:t>Необходимо отметить, что выбранные при расчете ценообразующие факторы, являются основными при определении стоимости. Ценообразующие факторы, не связанные с факторами спроса и предложения, на рынке земельных участков рассматриваемого ВРИ, при проведении расчета не использовались.</w:t>
      </w:r>
    </w:p>
    <w:p w:rsidR="009B795D" w:rsidRDefault="009B795D" w:rsidP="009B795D">
      <w:pPr>
        <w:spacing w:before="120"/>
        <w:ind w:firstLine="709"/>
        <w:jc w:val="right"/>
        <w:rPr>
          <w:rFonts w:ascii="Bookman Old Style" w:hAnsi="Bookman Old Style"/>
          <w:b/>
          <w:color w:val="000000"/>
          <w:sz w:val="20"/>
          <w:szCs w:val="20"/>
        </w:rPr>
      </w:pPr>
      <w:r w:rsidRPr="00EE24D6">
        <w:rPr>
          <w:rFonts w:ascii="Bookman Old Style" w:hAnsi="Bookman Old Style"/>
          <w:b/>
          <w:color w:val="000000"/>
          <w:sz w:val="20"/>
          <w:szCs w:val="20"/>
        </w:rPr>
        <w:t>Таблица 5.</w:t>
      </w:r>
      <w:r>
        <w:rPr>
          <w:rFonts w:ascii="Bookman Old Style" w:hAnsi="Bookman Old Style"/>
          <w:b/>
          <w:color w:val="000000"/>
          <w:sz w:val="20"/>
          <w:szCs w:val="20"/>
        </w:rPr>
        <w:t>4</w:t>
      </w:r>
      <w:r w:rsidRPr="00EE24D6">
        <w:rPr>
          <w:rFonts w:ascii="Bookman Old Style" w:hAnsi="Bookman Old Style"/>
          <w:b/>
          <w:color w:val="000000"/>
          <w:sz w:val="20"/>
          <w:szCs w:val="20"/>
        </w:rPr>
        <w:t>.</w:t>
      </w:r>
      <w:r>
        <w:rPr>
          <w:rFonts w:ascii="Bookman Old Style" w:hAnsi="Bookman Old Style"/>
          <w:b/>
          <w:color w:val="000000"/>
          <w:sz w:val="20"/>
          <w:szCs w:val="20"/>
        </w:rPr>
        <w:t>5.2</w:t>
      </w:r>
      <w:r w:rsidRPr="00EE24D6">
        <w:rPr>
          <w:rFonts w:ascii="Bookman Old Style" w:hAnsi="Bookman Old Style"/>
          <w:b/>
          <w:color w:val="000000"/>
          <w:sz w:val="20"/>
          <w:szCs w:val="20"/>
        </w:rPr>
        <w:t>. Расчет рыночной стоимости</w:t>
      </w:r>
      <w:r>
        <w:rPr>
          <w:rFonts w:ascii="Bookman Old Style" w:hAnsi="Bookman Old Style"/>
          <w:b/>
          <w:color w:val="000000"/>
          <w:sz w:val="20"/>
          <w:szCs w:val="20"/>
        </w:rPr>
        <w:t xml:space="preserve"> ЗУ под промышленную застройку площадью </w:t>
      </w:r>
      <w:r>
        <w:rPr>
          <w:rFonts w:ascii="Bookman Old Style" w:hAnsi="Bookman Old Style"/>
          <w:b/>
          <w:color w:val="000000"/>
          <w:sz w:val="20"/>
          <w:szCs w:val="20"/>
          <w:lang w:val="en-US"/>
        </w:rPr>
        <w:t>&lt;1</w:t>
      </w:r>
      <w:r>
        <w:rPr>
          <w:rFonts w:ascii="Bookman Old Style" w:hAnsi="Bookman Old Style"/>
          <w:b/>
          <w:color w:val="000000"/>
          <w:sz w:val="20"/>
          <w:szCs w:val="20"/>
        </w:rPr>
        <w:t>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84"/>
        <w:gridCol w:w="2084"/>
        <w:gridCol w:w="2084"/>
        <w:gridCol w:w="2084"/>
      </w:tblGrid>
      <w:tr w:rsidR="009B795D" w:rsidRPr="006568BA" w:rsidTr="00044B6C">
        <w:trPr>
          <w:cantSplit/>
          <w:trHeight w:val="170"/>
        </w:trPr>
        <w:tc>
          <w:tcPr>
            <w:tcW w:w="1000" w:type="pct"/>
            <w:shd w:val="clear" w:color="000000" w:fill="F2F2F2"/>
            <w:vAlign w:val="bottom"/>
            <w:hideMark/>
          </w:tcPr>
          <w:p w:rsidR="009B795D" w:rsidRPr="006568BA" w:rsidRDefault="009B795D" w:rsidP="00044B6C">
            <w:pPr>
              <w:jc w:val="center"/>
              <w:rPr>
                <w:rFonts w:ascii="Cambria" w:hAnsi="Cambria"/>
                <w:b/>
                <w:bCs/>
                <w:color w:val="000000"/>
                <w:sz w:val="16"/>
                <w:szCs w:val="16"/>
              </w:rPr>
            </w:pPr>
            <w:r w:rsidRPr="006568BA">
              <w:rPr>
                <w:rFonts w:ascii="Cambria" w:hAnsi="Cambria"/>
                <w:b/>
                <w:bCs/>
                <w:color w:val="000000"/>
                <w:sz w:val="16"/>
                <w:szCs w:val="16"/>
              </w:rPr>
              <w:t>Показатель</w:t>
            </w:r>
          </w:p>
        </w:tc>
        <w:tc>
          <w:tcPr>
            <w:tcW w:w="1000" w:type="pct"/>
            <w:shd w:val="clear" w:color="000000" w:fill="F2F2F2"/>
            <w:vAlign w:val="center"/>
            <w:hideMark/>
          </w:tcPr>
          <w:p w:rsidR="009B795D" w:rsidRPr="006568BA" w:rsidRDefault="009B795D" w:rsidP="00044B6C">
            <w:pPr>
              <w:jc w:val="center"/>
              <w:rPr>
                <w:rFonts w:ascii="Cambria" w:hAnsi="Cambria"/>
                <w:b/>
                <w:bCs/>
                <w:color w:val="000000"/>
                <w:sz w:val="16"/>
                <w:szCs w:val="16"/>
              </w:rPr>
            </w:pPr>
            <w:r w:rsidRPr="006568BA">
              <w:rPr>
                <w:rFonts w:ascii="Cambria" w:hAnsi="Cambria"/>
                <w:b/>
                <w:bCs/>
                <w:color w:val="000000"/>
                <w:sz w:val="16"/>
                <w:szCs w:val="16"/>
              </w:rPr>
              <w:t>Объект оценки</w:t>
            </w:r>
          </w:p>
        </w:tc>
        <w:tc>
          <w:tcPr>
            <w:tcW w:w="1000" w:type="pct"/>
            <w:shd w:val="clear" w:color="000000" w:fill="F2F2F2"/>
            <w:vAlign w:val="center"/>
            <w:hideMark/>
          </w:tcPr>
          <w:p w:rsidR="009B795D" w:rsidRPr="006568BA" w:rsidRDefault="009B795D" w:rsidP="00044B6C">
            <w:pPr>
              <w:jc w:val="center"/>
              <w:rPr>
                <w:rFonts w:ascii="Cambria" w:hAnsi="Cambria"/>
                <w:b/>
                <w:bCs/>
                <w:color w:val="000000"/>
                <w:sz w:val="16"/>
                <w:szCs w:val="16"/>
              </w:rPr>
            </w:pPr>
            <w:r w:rsidRPr="006568BA">
              <w:rPr>
                <w:rFonts w:ascii="Cambria" w:hAnsi="Cambria"/>
                <w:b/>
                <w:bCs/>
                <w:color w:val="000000"/>
                <w:sz w:val="16"/>
                <w:szCs w:val="16"/>
              </w:rPr>
              <w:t>Аналог 1</w:t>
            </w:r>
          </w:p>
        </w:tc>
        <w:tc>
          <w:tcPr>
            <w:tcW w:w="1000" w:type="pct"/>
            <w:shd w:val="clear" w:color="000000" w:fill="F2F2F2"/>
            <w:vAlign w:val="center"/>
            <w:hideMark/>
          </w:tcPr>
          <w:p w:rsidR="009B795D" w:rsidRPr="006568BA" w:rsidRDefault="009B795D" w:rsidP="00044B6C">
            <w:pPr>
              <w:jc w:val="center"/>
              <w:rPr>
                <w:rFonts w:ascii="Cambria" w:hAnsi="Cambria"/>
                <w:b/>
                <w:bCs/>
                <w:color w:val="000000"/>
                <w:sz w:val="16"/>
                <w:szCs w:val="16"/>
              </w:rPr>
            </w:pPr>
            <w:r w:rsidRPr="006568BA">
              <w:rPr>
                <w:rFonts w:ascii="Cambria" w:hAnsi="Cambria"/>
                <w:b/>
                <w:bCs/>
                <w:color w:val="000000"/>
                <w:sz w:val="16"/>
                <w:szCs w:val="16"/>
              </w:rPr>
              <w:t>Аналог 2</w:t>
            </w:r>
          </w:p>
        </w:tc>
        <w:tc>
          <w:tcPr>
            <w:tcW w:w="1000" w:type="pct"/>
            <w:shd w:val="clear" w:color="000000" w:fill="F2F2F2"/>
            <w:vAlign w:val="center"/>
            <w:hideMark/>
          </w:tcPr>
          <w:p w:rsidR="009B795D" w:rsidRPr="006568BA" w:rsidRDefault="009B795D" w:rsidP="00044B6C">
            <w:pPr>
              <w:jc w:val="center"/>
              <w:rPr>
                <w:rFonts w:ascii="Cambria" w:hAnsi="Cambria"/>
                <w:b/>
                <w:bCs/>
                <w:color w:val="000000"/>
                <w:sz w:val="16"/>
                <w:szCs w:val="16"/>
              </w:rPr>
            </w:pPr>
            <w:r w:rsidRPr="006568BA">
              <w:rPr>
                <w:rFonts w:ascii="Cambria" w:hAnsi="Cambria"/>
                <w:b/>
                <w:bCs/>
                <w:color w:val="000000"/>
                <w:sz w:val="16"/>
                <w:szCs w:val="16"/>
              </w:rPr>
              <w:t>Аналог 3</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Источник информации</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Сайт бесплатных объявлений Авито</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Сайт бесплатных объявлений Авито</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Сайт бесплатных объявлений Авито</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Ссылка на интернет-сайт, источник информации</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http://www.rosrealt.ru/</w:t>
            </w:r>
          </w:p>
        </w:tc>
        <w:tc>
          <w:tcPr>
            <w:tcW w:w="1000" w:type="pct"/>
            <w:shd w:val="clear" w:color="auto" w:fill="auto"/>
            <w:vAlign w:val="center"/>
            <w:hideMark/>
          </w:tcPr>
          <w:p w:rsidR="009B795D" w:rsidRPr="006568BA" w:rsidRDefault="009A3373" w:rsidP="00044B6C">
            <w:pPr>
              <w:jc w:val="center"/>
              <w:rPr>
                <w:rFonts w:ascii="Cambria" w:hAnsi="Cambria"/>
                <w:sz w:val="16"/>
                <w:szCs w:val="16"/>
              </w:rPr>
            </w:pPr>
            <w:hyperlink r:id="rId30" w:history="1">
              <w:r w:rsidR="009B795D" w:rsidRPr="006568BA">
                <w:rPr>
                  <w:rFonts w:ascii="Cambria" w:hAnsi="Cambria"/>
                  <w:sz w:val="16"/>
                  <w:szCs w:val="16"/>
                </w:rPr>
                <w:t>https://www.avito.ru/</w:t>
              </w:r>
            </w:hyperlink>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http://www.kn24.ru/</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sz w:val="16"/>
                <w:szCs w:val="16"/>
              </w:rPr>
            </w:pPr>
            <w:r w:rsidRPr="006568BA">
              <w:rPr>
                <w:rFonts w:ascii="Cambria" w:hAnsi="Cambria"/>
                <w:sz w:val="16"/>
                <w:szCs w:val="16"/>
              </w:rPr>
              <w:t>Сегмент рынка</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Земельный участок</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Местоположение</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г. Красноярск, Ленинский р-н, ул. Айвазовского,37 «А»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 xml:space="preserve">Красноярск, Ленинский район, </w:t>
            </w:r>
            <w:proofErr w:type="spellStart"/>
            <w:r w:rsidRPr="006568BA">
              <w:rPr>
                <w:rFonts w:ascii="Cambria" w:hAnsi="Cambria"/>
                <w:color w:val="000000"/>
                <w:sz w:val="16"/>
                <w:szCs w:val="16"/>
              </w:rPr>
              <w:t>ул</w:t>
            </w:r>
            <w:proofErr w:type="gramStart"/>
            <w:r w:rsidRPr="006568BA">
              <w:rPr>
                <w:rFonts w:ascii="Cambria" w:hAnsi="Cambria"/>
                <w:color w:val="000000"/>
                <w:sz w:val="16"/>
                <w:szCs w:val="16"/>
              </w:rPr>
              <w:t>.Т</w:t>
            </w:r>
            <w:proofErr w:type="gramEnd"/>
            <w:r w:rsidRPr="006568BA">
              <w:rPr>
                <w:rFonts w:ascii="Cambria" w:hAnsi="Cambria"/>
                <w:color w:val="000000"/>
                <w:sz w:val="16"/>
                <w:szCs w:val="16"/>
              </w:rPr>
              <w:t>рактовая</w:t>
            </w:r>
            <w:proofErr w:type="spellEnd"/>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 xml:space="preserve">Красноярск, Ленинский район, </w:t>
            </w:r>
            <w:proofErr w:type="spellStart"/>
            <w:r w:rsidRPr="006568BA">
              <w:rPr>
                <w:rFonts w:ascii="Cambria" w:hAnsi="Cambria"/>
                <w:color w:val="000000"/>
                <w:sz w:val="16"/>
                <w:szCs w:val="16"/>
              </w:rPr>
              <w:t>ул</w:t>
            </w:r>
            <w:proofErr w:type="gramStart"/>
            <w:r w:rsidRPr="006568BA">
              <w:rPr>
                <w:rFonts w:ascii="Cambria" w:hAnsi="Cambria"/>
                <w:color w:val="000000"/>
                <w:sz w:val="16"/>
                <w:szCs w:val="16"/>
              </w:rPr>
              <w:t>.Б</w:t>
            </w:r>
            <w:proofErr w:type="gramEnd"/>
            <w:r w:rsidRPr="006568BA">
              <w:rPr>
                <w:rFonts w:ascii="Cambria" w:hAnsi="Cambria"/>
                <w:color w:val="000000"/>
                <w:sz w:val="16"/>
                <w:szCs w:val="16"/>
              </w:rPr>
              <w:t>огдана</w:t>
            </w:r>
            <w:proofErr w:type="spellEnd"/>
            <w:r w:rsidRPr="006568BA">
              <w:rPr>
                <w:rFonts w:ascii="Cambria" w:hAnsi="Cambria"/>
                <w:color w:val="000000"/>
                <w:sz w:val="16"/>
                <w:szCs w:val="16"/>
              </w:rPr>
              <w:t xml:space="preserve"> Хмельницкого</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 xml:space="preserve">Красноярск, Ленинский район, </w:t>
            </w:r>
            <w:proofErr w:type="spellStart"/>
            <w:r w:rsidRPr="006568BA">
              <w:rPr>
                <w:rFonts w:ascii="Cambria" w:hAnsi="Cambria"/>
                <w:color w:val="000000"/>
                <w:sz w:val="16"/>
                <w:szCs w:val="16"/>
              </w:rPr>
              <w:t>ул</w:t>
            </w:r>
            <w:proofErr w:type="gramStart"/>
            <w:r w:rsidRPr="006568BA">
              <w:rPr>
                <w:rFonts w:ascii="Cambria" w:hAnsi="Cambria"/>
                <w:color w:val="000000"/>
                <w:sz w:val="16"/>
                <w:szCs w:val="16"/>
              </w:rPr>
              <w:t>.Р</w:t>
            </w:r>
            <w:proofErr w:type="gramEnd"/>
            <w:r w:rsidRPr="006568BA">
              <w:rPr>
                <w:rFonts w:ascii="Cambria" w:hAnsi="Cambria"/>
                <w:color w:val="000000"/>
                <w:sz w:val="16"/>
                <w:szCs w:val="16"/>
              </w:rPr>
              <w:t>язанская</w:t>
            </w:r>
            <w:proofErr w:type="spellEnd"/>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Вид разрешенного использования</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ПСН</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Площадь земельного участка, кв.м.</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1 181</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13 000,00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18 000,00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18 000,00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Общая стоимость земельного участка, руб.</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2 500 000,00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2 300 000,00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3 800 000,00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Стоимость 1 кв.м. земельного участка, руб.</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192,31</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127,78</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211,11</w:t>
            </w:r>
          </w:p>
        </w:tc>
      </w:tr>
      <w:tr w:rsidR="009B795D" w:rsidRPr="006568BA" w:rsidTr="00044B6C">
        <w:trPr>
          <w:cantSplit/>
          <w:trHeight w:val="170"/>
        </w:trPr>
        <w:tc>
          <w:tcPr>
            <w:tcW w:w="5000" w:type="pct"/>
            <w:gridSpan w:val="5"/>
            <w:shd w:val="clear" w:color="000000" w:fill="F2F2F2"/>
            <w:vAlign w:val="center"/>
            <w:hideMark/>
          </w:tcPr>
          <w:p w:rsidR="009B795D" w:rsidRPr="006568BA" w:rsidRDefault="009B795D" w:rsidP="00044B6C">
            <w:pPr>
              <w:jc w:val="center"/>
              <w:rPr>
                <w:rFonts w:ascii="Cambria" w:hAnsi="Cambria"/>
                <w:b/>
                <w:bCs/>
                <w:color w:val="000000"/>
                <w:sz w:val="16"/>
                <w:szCs w:val="16"/>
              </w:rPr>
            </w:pPr>
            <w:r w:rsidRPr="006568BA">
              <w:rPr>
                <w:rFonts w:ascii="Cambria" w:hAnsi="Cambria"/>
                <w:b/>
                <w:bCs/>
                <w:color w:val="000000"/>
                <w:sz w:val="16"/>
                <w:szCs w:val="16"/>
              </w:rPr>
              <w:t>Корректировка стоимости</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i/>
                <w:iCs/>
                <w:color w:val="000000"/>
                <w:sz w:val="16"/>
                <w:szCs w:val="16"/>
              </w:rPr>
            </w:pPr>
            <w:r w:rsidRPr="006568BA">
              <w:rPr>
                <w:rFonts w:ascii="Cambria" w:hAnsi="Cambria"/>
                <w:i/>
                <w:iCs/>
                <w:color w:val="000000"/>
                <w:sz w:val="16"/>
                <w:szCs w:val="16"/>
              </w:rPr>
              <w:t>Передаваемые права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Право собственности</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192,31</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127,78</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211,11</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i/>
                <w:iCs/>
                <w:color w:val="000000"/>
                <w:sz w:val="16"/>
                <w:szCs w:val="16"/>
              </w:rPr>
            </w:pPr>
            <w:r w:rsidRPr="006568BA">
              <w:rPr>
                <w:rFonts w:ascii="Cambria" w:hAnsi="Cambria"/>
                <w:i/>
                <w:iCs/>
                <w:color w:val="000000"/>
                <w:sz w:val="16"/>
                <w:szCs w:val="16"/>
              </w:rPr>
              <w:t>Корректировка на торг</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 </w:t>
            </w:r>
          </w:p>
        </w:tc>
        <w:tc>
          <w:tcPr>
            <w:tcW w:w="1000" w:type="pct"/>
            <w:shd w:val="clear" w:color="auto" w:fill="auto"/>
            <w:noWrap/>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торг возможен</w:t>
            </w:r>
          </w:p>
        </w:tc>
        <w:tc>
          <w:tcPr>
            <w:tcW w:w="1000" w:type="pct"/>
            <w:shd w:val="clear" w:color="auto" w:fill="auto"/>
            <w:noWrap/>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торг возможен</w:t>
            </w:r>
          </w:p>
        </w:tc>
        <w:tc>
          <w:tcPr>
            <w:tcW w:w="1000" w:type="pct"/>
            <w:shd w:val="clear" w:color="auto" w:fill="auto"/>
            <w:noWrap/>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торг возможен</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190,00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i/>
                <w:iCs/>
                <w:color w:val="000000"/>
                <w:sz w:val="16"/>
                <w:szCs w:val="16"/>
              </w:rPr>
            </w:pPr>
            <w:r w:rsidRPr="006568BA">
              <w:rPr>
                <w:rFonts w:ascii="Cambria" w:hAnsi="Cambria"/>
                <w:i/>
                <w:iCs/>
                <w:color w:val="000000"/>
                <w:sz w:val="16"/>
                <w:szCs w:val="16"/>
              </w:rPr>
              <w:t>Местоположение</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г. Красноярск, Ленинский р-н, ул. Айвазовского,37 «А»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 xml:space="preserve">Красноярск, Ленинский район, </w:t>
            </w:r>
            <w:proofErr w:type="spellStart"/>
            <w:r w:rsidRPr="006568BA">
              <w:rPr>
                <w:rFonts w:ascii="Cambria" w:hAnsi="Cambria"/>
                <w:color w:val="000000"/>
                <w:sz w:val="16"/>
                <w:szCs w:val="16"/>
              </w:rPr>
              <w:t>ул</w:t>
            </w:r>
            <w:proofErr w:type="gramStart"/>
            <w:r w:rsidRPr="006568BA">
              <w:rPr>
                <w:rFonts w:ascii="Cambria" w:hAnsi="Cambria"/>
                <w:color w:val="000000"/>
                <w:sz w:val="16"/>
                <w:szCs w:val="16"/>
              </w:rPr>
              <w:t>.Т</w:t>
            </w:r>
            <w:proofErr w:type="gramEnd"/>
            <w:r w:rsidRPr="006568BA">
              <w:rPr>
                <w:rFonts w:ascii="Cambria" w:hAnsi="Cambria"/>
                <w:color w:val="000000"/>
                <w:sz w:val="16"/>
                <w:szCs w:val="16"/>
              </w:rPr>
              <w:t>рактовая</w:t>
            </w:r>
            <w:proofErr w:type="spellEnd"/>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 xml:space="preserve">Красноярск, Ленинский район, </w:t>
            </w:r>
            <w:proofErr w:type="spellStart"/>
            <w:r w:rsidRPr="006568BA">
              <w:rPr>
                <w:rFonts w:ascii="Cambria" w:hAnsi="Cambria"/>
                <w:color w:val="000000"/>
                <w:sz w:val="16"/>
                <w:szCs w:val="16"/>
              </w:rPr>
              <w:t>ул</w:t>
            </w:r>
            <w:proofErr w:type="gramStart"/>
            <w:r w:rsidRPr="006568BA">
              <w:rPr>
                <w:rFonts w:ascii="Cambria" w:hAnsi="Cambria"/>
                <w:color w:val="000000"/>
                <w:sz w:val="16"/>
                <w:szCs w:val="16"/>
              </w:rPr>
              <w:t>.Б</w:t>
            </w:r>
            <w:proofErr w:type="gramEnd"/>
            <w:r w:rsidRPr="006568BA">
              <w:rPr>
                <w:rFonts w:ascii="Cambria" w:hAnsi="Cambria"/>
                <w:color w:val="000000"/>
                <w:sz w:val="16"/>
                <w:szCs w:val="16"/>
              </w:rPr>
              <w:t>огдана</w:t>
            </w:r>
            <w:proofErr w:type="spellEnd"/>
            <w:r w:rsidRPr="006568BA">
              <w:rPr>
                <w:rFonts w:ascii="Cambria" w:hAnsi="Cambria"/>
                <w:color w:val="000000"/>
                <w:sz w:val="16"/>
                <w:szCs w:val="16"/>
              </w:rPr>
              <w:t xml:space="preserve"> Хмельницкого</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 xml:space="preserve">Красноярск, Ленинский район, </w:t>
            </w:r>
            <w:proofErr w:type="spellStart"/>
            <w:r w:rsidRPr="006568BA">
              <w:rPr>
                <w:rFonts w:ascii="Cambria" w:hAnsi="Cambria"/>
                <w:color w:val="000000"/>
                <w:sz w:val="16"/>
                <w:szCs w:val="16"/>
              </w:rPr>
              <w:t>ул</w:t>
            </w:r>
            <w:proofErr w:type="gramStart"/>
            <w:r w:rsidRPr="006568BA">
              <w:rPr>
                <w:rFonts w:ascii="Cambria" w:hAnsi="Cambria"/>
                <w:color w:val="000000"/>
                <w:sz w:val="16"/>
                <w:szCs w:val="16"/>
              </w:rPr>
              <w:t>.Р</w:t>
            </w:r>
            <w:proofErr w:type="gramEnd"/>
            <w:r w:rsidRPr="006568BA">
              <w:rPr>
                <w:rFonts w:ascii="Cambria" w:hAnsi="Cambria"/>
                <w:color w:val="000000"/>
                <w:sz w:val="16"/>
                <w:szCs w:val="16"/>
              </w:rPr>
              <w:t>язанская</w:t>
            </w:r>
            <w:proofErr w:type="spellEnd"/>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190,00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i/>
                <w:iCs/>
                <w:color w:val="000000"/>
                <w:sz w:val="16"/>
                <w:szCs w:val="16"/>
              </w:rPr>
            </w:pPr>
            <w:r w:rsidRPr="006568BA">
              <w:rPr>
                <w:rFonts w:ascii="Cambria" w:hAnsi="Cambria"/>
                <w:i/>
                <w:iCs/>
                <w:color w:val="000000"/>
                <w:sz w:val="16"/>
                <w:szCs w:val="16"/>
              </w:rPr>
              <w:t>Текущее использование</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ПСН</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0,00%</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0,00%</w:t>
            </w:r>
          </w:p>
        </w:tc>
        <w:tc>
          <w:tcPr>
            <w:tcW w:w="1000" w:type="pct"/>
            <w:shd w:val="clear" w:color="auto" w:fill="auto"/>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190,00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Значение сегмента рынка (по площади)</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&lt; 1 га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1-2,5</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&lt;1</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1-2,5</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4,00%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4,00%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180,00</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9B795D" w:rsidRPr="006568BA" w:rsidRDefault="009B795D" w:rsidP="00044B6C">
            <w:pPr>
              <w:jc w:val="center"/>
              <w:rPr>
                <w:rFonts w:ascii="Cambria" w:hAnsi="Cambria"/>
                <w:b/>
                <w:bCs/>
                <w:sz w:val="16"/>
                <w:szCs w:val="16"/>
              </w:rPr>
            </w:pPr>
            <w:r w:rsidRPr="006568BA">
              <w:rPr>
                <w:rFonts w:ascii="Cambria" w:hAnsi="Cambria"/>
                <w:b/>
                <w:bCs/>
                <w:sz w:val="16"/>
                <w:szCs w:val="16"/>
              </w:rPr>
              <w:t>197,60</w:t>
            </w:r>
          </w:p>
        </w:tc>
      </w:tr>
      <w:tr w:rsidR="009B795D" w:rsidRPr="006568BA" w:rsidTr="00044B6C">
        <w:trPr>
          <w:cantSplit/>
          <w:trHeight w:val="170"/>
        </w:trPr>
        <w:tc>
          <w:tcPr>
            <w:tcW w:w="5000" w:type="pct"/>
            <w:gridSpan w:val="5"/>
            <w:shd w:val="clear" w:color="000000" w:fill="F2F2F2"/>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Расчет средневзвешенного значения стоимости</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Валовая корректировка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14,00%</w:t>
            </w:r>
          </w:p>
        </w:tc>
        <w:tc>
          <w:tcPr>
            <w:tcW w:w="1000" w:type="pct"/>
            <w:shd w:val="clear" w:color="auto" w:fill="auto"/>
            <w:noWrap/>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10,00%</w:t>
            </w:r>
          </w:p>
        </w:tc>
        <w:tc>
          <w:tcPr>
            <w:tcW w:w="1000" w:type="pct"/>
            <w:shd w:val="clear" w:color="auto" w:fill="auto"/>
            <w:noWrap/>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14,00%</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color w:val="000000"/>
                <w:sz w:val="16"/>
                <w:szCs w:val="16"/>
              </w:rPr>
            </w:pPr>
            <w:r w:rsidRPr="006568BA">
              <w:rPr>
                <w:rFonts w:ascii="Cambria" w:hAnsi="Cambria"/>
                <w:color w:val="000000"/>
                <w:sz w:val="16"/>
                <w:szCs w:val="16"/>
              </w:rPr>
              <w:t>Вес аналога</w:t>
            </w:r>
          </w:p>
        </w:tc>
        <w:tc>
          <w:tcPr>
            <w:tcW w:w="1000" w:type="pct"/>
            <w:shd w:val="clear" w:color="auto" w:fill="auto"/>
            <w:vAlign w:val="center"/>
            <w:hideMark/>
          </w:tcPr>
          <w:p w:rsidR="009B795D" w:rsidRPr="006568BA" w:rsidRDefault="009B795D" w:rsidP="00044B6C">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31,6%</w:t>
            </w:r>
          </w:p>
        </w:tc>
        <w:tc>
          <w:tcPr>
            <w:tcW w:w="1000" w:type="pct"/>
            <w:shd w:val="clear" w:color="auto" w:fill="auto"/>
            <w:noWrap/>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36,8%</w:t>
            </w:r>
          </w:p>
        </w:tc>
        <w:tc>
          <w:tcPr>
            <w:tcW w:w="1000" w:type="pct"/>
            <w:shd w:val="clear" w:color="auto" w:fill="auto"/>
            <w:noWrap/>
            <w:vAlign w:val="center"/>
            <w:hideMark/>
          </w:tcPr>
          <w:p w:rsidR="009B795D" w:rsidRPr="006568BA" w:rsidRDefault="009B795D" w:rsidP="00044B6C">
            <w:pPr>
              <w:jc w:val="center"/>
              <w:rPr>
                <w:rFonts w:ascii="Cambria" w:hAnsi="Cambria"/>
                <w:sz w:val="16"/>
                <w:szCs w:val="16"/>
              </w:rPr>
            </w:pPr>
            <w:r w:rsidRPr="006568BA">
              <w:rPr>
                <w:rFonts w:ascii="Cambria" w:hAnsi="Cambria"/>
                <w:sz w:val="16"/>
                <w:szCs w:val="16"/>
              </w:rPr>
              <w:t>31,6%</w:t>
            </w:r>
          </w:p>
        </w:tc>
      </w:tr>
      <w:tr w:rsidR="009B795D" w:rsidRPr="006568BA" w:rsidTr="00044B6C">
        <w:trPr>
          <w:cantSplit/>
          <w:trHeight w:val="170"/>
        </w:trPr>
        <w:tc>
          <w:tcPr>
            <w:tcW w:w="1000" w:type="pct"/>
            <w:shd w:val="clear" w:color="auto" w:fill="auto"/>
            <w:vAlign w:val="center"/>
            <w:hideMark/>
          </w:tcPr>
          <w:p w:rsidR="009B795D" w:rsidRPr="006568BA" w:rsidRDefault="009B795D" w:rsidP="00044B6C">
            <w:pPr>
              <w:rPr>
                <w:rFonts w:ascii="Cambria" w:hAnsi="Cambria"/>
                <w:b/>
                <w:bCs/>
                <w:color w:val="000000"/>
                <w:sz w:val="16"/>
                <w:szCs w:val="16"/>
              </w:rPr>
            </w:pPr>
            <w:r w:rsidRPr="006568BA">
              <w:rPr>
                <w:rFonts w:ascii="Cambria" w:hAnsi="Cambria"/>
                <w:b/>
                <w:bCs/>
                <w:color w:val="000000"/>
                <w:sz w:val="16"/>
                <w:szCs w:val="16"/>
              </w:rPr>
              <w:t xml:space="preserve">Средневзвешенное значение, руб./кв. м </w:t>
            </w:r>
          </w:p>
        </w:tc>
        <w:tc>
          <w:tcPr>
            <w:tcW w:w="4000" w:type="pct"/>
            <w:gridSpan w:val="4"/>
            <w:shd w:val="clear" w:color="auto" w:fill="auto"/>
            <w:vAlign w:val="center"/>
            <w:hideMark/>
          </w:tcPr>
          <w:p w:rsidR="009B795D" w:rsidRPr="006568BA" w:rsidRDefault="009B795D" w:rsidP="00044B6C">
            <w:pPr>
              <w:jc w:val="center"/>
              <w:rPr>
                <w:rFonts w:ascii="Cambria" w:hAnsi="Cambria"/>
                <w:b/>
                <w:bCs/>
                <w:color w:val="000000"/>
                <w:sz w:val="16"/>
                <w:szCs w:val="16"/>
              </w:rPr>
            </w:pPr>
            <w:r w:rsidRPr="006568BA">
              <w:rPr>
                <w:rFonts w:ascii="Cambria" w:hAnsi="Cambria"/>
                <w:b/>
                <w:bCs/>
                <w:color w:val="000000"/>
                <w:sz w:val="16"/>
                <w:szCs w:val="16"/>
              </w:rPr>
              <w:t>161,61</w:t>
            </w:r>
          </w:p>
        </w:tc>
      </w:tr>
    </w:tbl>
    <w:p w:rsidR="009B795D" w:rsidRPr="00EE24D6" w:rsidRDefault="009B795D" w:rsidP="009B795D">
      <w:pPr>
        <w:spacing w:before="120" w:after="120"/>
        <w:jc w:val="both"/>
        <w:rPr>
          <w:rFonts w:ascii="Bookman Old Style" w:hAnsi="Bookman Old Style"/>
          <w:color w:val="000000"/>
          <w:sz w:val="20"/>
          <w:szCs w:val="20"/>
        </w:rPr>
      </w:pPr>
      <w:r w:rsidRPr="00EE24D6">
        <w:rPr>
          <w:rFonts w:ascii="Bookman Old Style" w:hAnsi="Bookman Old Style"/>
          <w:color w:val="000000"/>
          <w:sz w:val="20"/>
          <w:szCs w:val="20"/>
        </w:rPr>
        <w:t>Обоснование выбора элементов сравнения, расчет корректировок:</w:t>
      </w:r>
    </w:p>
    <w:p w:rsidR="009B795D" w:rsidRPr="00EE24D6" w:rsidRDefault="009B795D" w:rsidP="009B795D">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Передаваемые права. Существенное значение имеет идентификация передаваемых прав на недвижимость в каждой сопоставимой сделке выбранной для анализа, поскольку цена сделки всегда основывается на передаваемом интересе в имуществе. </w:t>
      </w:r>
    </w:p>
    <w:p w:rsidR="009B795D" w:rsidRPr="00EE24D6" w:rsidRDefault="009B795D" w:rsidP="009B795D">
      <w:pPr>
        <w:spacing w:before="120" w:after="120"/>
        <w:ind w:left="720"/>
        <w:jc w:val="both"/>
        <w:rPr>
          <w:rFonts w:ascii="Bookman Old Style" w:hAnsi="Bookman Old Style"/>
          <w:sz w:val="20"/>
          <w:szCs w:val="20"/>
        </w:rPr>
      </w:pPr>
      <w:r>
        <w:rPr>
          <w:rFonts w:ascii="Bookman Old Style" w:hAnsi="Bookman Old Style"/>
          <w:sz w:val="20"/>
          <w:szCs w:val="20"/>
        </w:rPr>
        <w:t>Результат оценки используется для проведения торгов по продаже Объекта оценки в составе его элементов. При совершении сделки продажи предусмотрен переход права собственности на оцениваемый земельный участок.</w:t>
      </w:r>
      <w:r w:rsidRPr="00EE24D6">
        <w:rPr>
          <w:rFonts w:ascii="Bookman Old Style" w:hAnsi="Bookman Old Style"/>
          <w:sz w:val="20"/>
          <w:szCs w:val="20"/>
        </w:rPr>
        <w:t xml:space="preserve"> Корректировка аналогов по данному элементу сравнения не требуется.</w:t>
      </w:r>
    </w:p>
    <w:p w:rsidR="009B795D" w:rsidRPr="00EE24D6" w:rsidRDefault="009B795D" w:rsidP="009B795D">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lastRenderedPageBreak/>
        <w:t xml:space="preserve">Условия финансирования. Различные условия финансирования сделки могут привести к отличию цены, уплаченной за недвижимое имущество, от цены, уплаченной за другое идентичное имущество. </w:t>
      </w:r>
    </w:p>
    <w:p w:rsidR="009B795D" w:rsidRPr="00EE24D6" w:rsidRDefault="009B795D" w:rsidP="009B795D">
      <w:pPr>
        <w:spacing w:before="120" w:after="120"/>
        <w:ind w:left="720"/>
        <w:jc w:val="both"/>
        <w:rPr>
          <w:rFonts w:ascii="Bookman Old Style" w:hAnsi="Bookman Old Style"/>
          <w:sz w:val="20"/>
          <w:szCs w:val="20"/>
        </w:rPr>
      </w:pPr>
      <w:r w:rsidRPr="00EE24D6">
        <w:rPr>
          <w:rFonts w:ascii="Bookman Old Style" w:hAnsi="Bookman Old Style"/>
          <w:sz w:val="20"/>
          <w:szCs w:val="20"/>
        </w:rPr>
        <w:t>Поведенный анализ трансакции позволил отказаться от необходимости расчета данной корректировки.</w:t>
      </w:r>
    </w:p>
    <w:p w:rsidR="009B795D" w:rsidRPr="00EE24D6" w:rsidRDefault="009B795D" w:rsidP="009B795D">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Условия рынка. Под корректировкой цен на рыночные условия понимается корректировка цен на время от даты сделки (экспозиции) аналога до даты оценки. На рынке коммерческой недвижимости цены с течением времени изменяются. Причиной этого могут быть инфляционные или дефляционные процессы в экономике. Изменение цен может произойти в результате принятия новых законов, налоговых норм, а так же в связи с колебанием спроса и предложения на недвижимость в целом или ее отдельные типы. Корректировка на условия рынка, вносится в том случае, если аналоги выставлялись на продажу раньше даты оценки объекта. </w:t>
      </w:r>
    </w:p>
    <w:p w:rsidR="009B795D" w:rsidRPr="00EE24D6" w:rsidRDefault="009B795D" w:rsidP="009B795D">
      <w:pPr>
        <w:spacing w:before="120" w:after="120"/>
        <w:ind w:left="709"/>
        <w:jc w:val="both"/>
        <w:rPr>
          <w:rFonts w:ascii="Bookman Old Style" w:hAnsi="Bookman Old Style"/>
          <w:sz w:val="20"/>
          <w:szCs w:val="20"/>
        </w:rPr>
      </w:pPr>
      <w:r w:rsidRPr="00EE24D6">
        <w:rPr>
          <w:rFonts w:ascii="Bookman Old Style" w:hAnsi="Bookman Old Style"/>
          <w:sz w:val="20"/>
          <w:szCs w:val="20"/>
        </w:rPr>
        <w:t>Поскольку в расчетах используется актуальная на дату определения стоимости информация, корректировка по данному фактору не проводилась.</w:t>
      </w:r>
    </w:p>
    <w:p w:rsidR="009B795D" w:rsidRPr="00EE24D6" w:rsidRDefault="009B795D" w:rsidP="009B795D">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Условия продажи (Вид сделки). При проведении расчета использованы цены предложения продаж земельных участков. С учетом сложившейся практики, </w:t>
      </w:r>
      <w:r w:rsidRPr="00EE24D6">
        <w:rPr>
          <w:rFonts w:ascii="Bookman Old Style" w:eastAsia="Calibri" w:hAnsi="Bookman Old Style"/>
          <w:color w:val="000000"/>
          <w:sz w:val="20"/>
          <w:szCs w:val="20"/>
        </w:rPr>
        <w:t>чтобы устранить систематическую составляющую погрешности, используется понижающая процентная поправка</w:t>
      </w:r>
      <w:r w:rsidRPr="00EE24D6">
        <w:rPr>
          <w:rFonts w:ascii="Bookman Old Style" w:hAnsi="Bookman Old Style"/>
          <w:sz w:val="20"/>
          <w:szCs w:val="20"/>
        </w:rPr>
        <w:t>.</w:t>
      </w:r>
      <w:r w:rsidRPr="00EE24D6">
        <w:rPr>
          <w:rFonts w:ascii="Bookman Old Style" w:eastAsia="Calibri" w:hAnsi="Bookman Old Style"/>
          <w:color w:val="000000"/>
          <w:sz w:val="20"/>
          <w:szCs w:val="20"/>
        </w:rPr>
        <w:t xml:space="preserve"> Так как фактическая цена сделки может быть скорректирована в ходе предварительных переговоров между покупателем и продавцом – требуется расчет корректировки.</w:t>
      </w:r>
      <w:r w:rsidRPr="00EE24D6">
        <w:rPr>
          <w:rFonts w:ascii="Bookman Old Style" w:hAnsi="Bookman Old Style"/>
          <w:sz w:val="20"/>
          <w:szCs w:val="20"/>
        </w:rPr>
        <w:t xml:space="preserve"> </w:t>
      </w:r>
    </w:p>
    <w:p w:rsidR="009B795D" w:rsidRDefault="009B795D" w:rsidP="009B795D">
      <w:pPr>
        <w:spacing w:before="120" w:after="120"/>
        <w:ind w:left="720"/>
        <w:jc w:val="both"/>
        <w:rPr>
          <w:rFonts w:ascii="Bookman Old Style" w:hAnsi="Bookman Old Style"/>
          <w:sz w:val="20"/>
          <w:szCs w:val="20"/>
        </w:rPr>
      </w:pPr>
      <w:r w:rsidRPr="00EE24D6">
        <w:rPr>
          <w:rFonts w:ascii="Bookman Old Style" w:hAnsi="Bookman Old Style"/>
          <w:sz w:val="20"/>
          <w:szCs w:val="20"/>
        </w:rPr>
        <w:t>Расчет корректировки проведен экспертным методом</w:t>
      </w:r>
      <w:r w:rsidRPr="00EE24D6">
        <w:rPr>
          <w:rFonts w:ascii="Bookman Old Style" w:hAnsi="Bookman Old Style"/>
          <w:sz w:val="20"/>
          <w:szCs w:val="20"/>
          <w:vertAlign w:val="superscript"/>
        </w:rPr>
        <w:footnoteReference w:id="49"/>
      </w:r>
      <w:r w:rsidRPr="00EE24D6">
        <w:rPr>
          <w:rFonts w:ascii="Bookman Old Style" w:hAnsi="Bookman Old Style"/>
          <w:sz w:val="20"/>
          <w:szCs w:val="20"/>
        </w:rPr>
        <w:t xml:space="preserve">. </w:t>
      </w:r>
      <w:r>
        <w:rPr>
          <w:rFonts w:ascii="Bookman Old Style" w:hAnsi="Bookman Old Style"/>
          <w:sz w:val="20"/>
          <w:szCs w:val="20"/>
        </w:rPr>
        <w:t>Значения</w:t>
      </w:r>
      <w:r w:rsidRPr="00EE24D6">
        <w:rPr>
          <w:rFonts w:ascii="Bookman Old Style" w:hAnsi="Bookman Old Style"/>
          <w:sz w:val="20"/>
          <w:szCs w:val="20"/>
        </w:rPr>
        <w:t xml:space="preserve"> диапазона скидок </w:t>
      </w:r>
      <w:r>
        <w:rPr>
          <w:rFonts w:ascii="Bookman Old Style" w:hAnsi="Bookman Old Style"/>
          <w:sz w:val="20"/>
          <w:szCs w:val="20"/>
        </w:rPr>
        <w:t xml:space="preserve">для земельных участков под промышленную застройку </w:t>
      </w:r>
      <w:r w:rsidRPr="00EE24D6">
        <w:rPr>
          <w:rFonts w:ascii="Bookman Old Style" w:hAnsi="Bookman Old Style"/>
          <w:sz w:val="20"/>
          <w:szCs w:val="20"/>
        </w:rPr>
        <w:t xml:space="preserve">составляет </w:t>
      </w:r>
      <w:r>
        <w:rPr>
          <w:rFonts w:ascii="Bookman Old Style" w:hAnsi="Bookman Old Style"/>
          <w:sz w:val="20"/>
          <w:szCs w:val="20"/>
        </w:rPr>
        <w:t>9%-10%.</w:t>
      </w:r>
      <w:r w:rsidRPr="00EE24D6">
        <w:rPr>
          <w:rFonts w:ascii="Bookman Old Style" w:hAnsi="Bookman Old Style"/>
          <w:sz w:val="20"/>
          <w:szCs w:val="20"/>
        </w:rPr>
        <w:t xml:space="preserve"> При расчете выбрано значение диапазона равное -1</w:t>
      </w:r>
      <w:r>
        <w:rPr>
          <w:rFonts w:ascii="Bookman Old Style" w:hAnsi="Bookman Old Style"/>
          <w:sz w:val="20"/>
          <w:szCs w:val="20"/>
        </w:rPr>
        <w:t>0</w:t>
      </w:r>
      <w:r w:rsidRPr="00EE24D6">
        <w:rPr>
          <w:rFonts w:ascii="Bookman Old Style" w:hAnsi="Bookman Old Style"/>
          <w:sz w:val="20"/>
          <w:szCs w:val="20"/>
        </w:rPr>
        <w:t>%.</w:t>
      </w:r>
      <w:r w:rsidRPr="00D460CB">
        <w:rPr>
          <w:rFonts w:ascii="Bookman Old Style" w:hAnsi="Bookman Old Style"/>
          <w:sz w:val="20"/>
          <w:szCs w:val="20"/>
        </w:rPr>
        <w:t xml:space="preserve"> </w:t>
      </w:r>
    </w:p>
    <w:p w:rsidR="009B795D" w:rsidRPr="00EE24D6" w:rsidRDefault="009B795D" w:rsidP="009B795D">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Местоположение.  При расчете корректировки следует сравнить местоположение объектов имущества в сопоставимых продажах и рассматриваемого имущества, чтобы установить влияет ли местоположение и ближайшие окрестности на уплачиваемые цены.</w:t>
      </w:r>
      <w:r>
        <w:rPr>
          <w:rFonts w:ascii="Bookman Old Style" w:hAnsi="Bookman Old Style"/>
          <w:sz w:val="20"/>
          <w:szCs w:val="20"/>
        </w:rPr>
        <w:t xml:space="preserve"> </w:t>
      </w:r>
      <w:r w:rsidRPr="00CE17F5">
        <w:rPr>
          <w:rFonts w:ascii="Bookman Old Style" w:hAnsi="Bookman Old Style"/>
          <w:sz w:val="20"/>
          <w:szCs w:val="20"/>
        </w:rPr>
        <w:t>Корректировка по данному фактору для объектов-аналогов не применялась</w:t>
      </w:r>
    </w:p>
    <w:p w:rsidR="009B795D" w:rsidRPr="00DC37B3" w:rsidRDefault="009B795D" w:rsidP="009B795D">
      <w:pPr>
        <w:numPr>
          <w:ilvl w:val="1"/>
          <w:numId w:val="60"/>
        </w:numPr>
        <w:spacing w:before="120" w:after="120"/>
        <w:ind w:left="709"/>
        <w:jc w:val="both"/>
        <w:rPr>
          <w:rFonts w:ascii="Bookman Old Style" w:hAnsi="Bookman Old Style"/>
          <w:sz w:val="20"/>
          <w:szCs w:val="20"/>
        </w:rPr>
      </w:pPr>
      <w:r w:rsidRPr="00DC37B3">
        <w:rPr>
          <w:rFonts w:ascii="Bookman Old Style" w:hAnsi="Bookman Old Style"/>
          <w:sz w:val="20"/>
          <w:szCs w:val="20"/>
        </w:rPr>
        <w:t>Разрешенное использование. На использование имущества влияют зонирование или другие ограничения. Если имеет место отличие в текущем использовании или в НЭИ сопоставимого имущества от рассматриваемого имущества, следует тщательно изучить влияние этого отличия на стоимость.</w:t>
      </w:r>
      <w:r>
        <w:rPr>
          <w:rFonts w:ascii="Bookman Old Style" w:hAnsi="Bookman Old Style"/>
          <w:sz w:val="20"/>
          <w:szCs w:val="20"/>
        </w:rPr>
        <w:t xml:space="preserve"> </w:t>
      </w:r>
      <w:r w:rsidRPr="00CE17F5">
        <w:rPr>
          <w:rFonts w:ascii="Bookman Old Style" w:hAnsi="Bookman Old Style"/>
          <w:sz w:val="20"/>
          <w:szCs w:val="20"/>
        </w:rPr>
        <w:t>Разрешенное использование</w:t>
      </w:r>
      <w:r>
        <w:rPr>
          <w:rFonts w:ascii="Bookman Old Style" w:hAnsi="Bookman Old Style"/>
          <w:sz w:val="20"/>
          <w:szCs w:val="20"/>
        </w:rPr>
        <w:t xml:space="preserve"> объекта оценки и объектов аналогов совпадает. Корректировка не требуется.</w:t>
      </w:r>
    </w:p>
    <w:p w:rsidR="009B795D" w:rsidRPr="006568BA" w:rsidRDefault="009B795D" w:rsidP="009B795D">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Физические характеристики. Данная корректировка описывает физическое состояние рассматриваемого имущества и сопоставимых объектов, если состояние объекта оценки и объектов аналогов отличается, необходимо рассмотреть каждое из отличий с учетом влияния на стоимость. </w:t>
      </w:r>
      <w:r w:rsidRPr="006568BA">
        <w:rPr>
          <w:rFonts w:ascii="Bookman Old Style" w:hAnsi="Bookman Old Style"/>
          <w:sz w:val="20"/>
          <w:szCs w:val="20"/>
        </w:rPr>
        <w:t>Объект оценки и объекты-аналоги имеют различия по площади. Как правило, большие по размеру земельные участки стоят несколько дешевле в расчете на единицу площади, чем меньшие по размеру, поэтому в цены аналогов необходимо внести корректировки. Расчет корректировки проведен экспертным методом</w:t>
      </w:r>
      <w:r w:rsidRPr="00EE24D6">
        <w:rPr>
          <w:rFonts w:ascii="Bookman Old Style" w:hAnsi="Bookman Old Style"/>
          <w:sz w:val="20"/>
          <w:szCs w:val="20"/>
          <w:vertAlign w:val="superscript"/>
        </w:rPr>
        <w:footnoteReference w:id="50"/>
      </w:r>
      <w:r w:rsidRPr="00EE24D6">
        <w:rPr>
          <w:rFonts w:ascii="Bookman Old Style" w:hAnsi="Bookman Old Style"/>
          <w:sz w:val="20"/>
          <w:szCs w:val="20"/>
        </w:rPr>
        <w:t>.</w:t>
      </w:r>
      <w:r w:rsidRPr="006568BA">
        <w:rPr>
          <w:rFonts w:ascii="Bookman Old Style" w:hAnsi="Bookman Old Style"/>
          <w:sz w:val="20"/>
          <w:szCs w:val="20"/>
        </w:rPr>
        <w:t xml:space="preserve"> При расчете рыночной стоимости земельного участка площадью &lt;1</w:t>
      </w:r>
      <w:r>
        <w:rPr>
          <w:rFonts w:ascii="Bookman Old Style" w:hAnsi="Bookman Old Style"/>
          <w:sz w:val="20"/>
          <w:szCs w:val="20"/>
        </w:rPr>
        <w:t>га повышающий</w:t>
      </w:r>
      <w:r w:rsidRPr="006568BA">
        <w:rPr>
          <w:rFonts w:ascii="Bookman Old Style" w:hAnsi="Bookman Old Style"/>
          <w:sz w:val="20"/>
          <w:szCs w:val="20"/>
        </w:rPr>
        <w:t xml:space="preserve"> корректирующий коэффициент по цене предложений для Аналога № </w:t>
      </w:r>
      <w:r>
        <w:rPr>
          <w:rFonts w:ascii="Bookman Old Style" w:hAnsi="Bookman Old Style"/>
          <w:sz w:val="20"/>
          <w:szCs w:val="20"/>
        </w:rPr>
        <w:t>2 составляет величину +</w:t>
      </w:r>
      <w:r w:rsidRPr="006568BA">
        <w:rPr>
          <w:rFonts w:ascii="Bookman Old Style" w:hAnsi="Bookman Old Style"/>
          <w:sz w:val="20"/>
          <w:szCs w:val="20"/>
        </w:rPr>
        <w:t>4,0%</w:t>
      </w:r>
      <w:r>
        <w:rPr>
          <w:rFonts w:ascii="Bookman Old Style" w:hAnsi="Bookman Old Style"/>
          <w:sz w:val="20"/>
          <w:szCs w:val="20"/>
        </w:rPr>
        <w:t>.</w:t>
      </w:r>
    </w:p>
    <w:p w:rsidR="009B795D" w:rsidRDefault="009B795D" w:rsidP="009B795D">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Обоснование схемы согласования результатов. Расчет средневзвешенного </w:t>
      </w:r>
      <w:proofErr w:type="gramStart"/>
      <w:r w:rsidRPr="00EE24D6">
        <w:rPr>
          <w:rFonts w:ascii="Bookman Old Style" w:hAnsi="Bookman Old Style"/>
          <w:sz w:val="20"/>
          <w:szCs w:val="20"/>
        </w:rPr>
        <w:t>значения рыночной стоимости</w:t>
      </w:r>
      <w:r>
        <w:rPr>
          <w:rFonts w:ascii="Bookman Old Style" w:hAnsi="Bookman Old Style"/>
          <w:sz w:val="20"/>
          <w:szCs w:val="20"/>
        </w:rPr>
        <w:t xml:space="preserve"> земельного участка</w:t>
      </w:r>
      <w:r w:rsidRPr="00EE24D6">
        <w:rPr>
          <w:rFonts w:ascii="Bookman Old Style" w:hAnsi="Bookman Old Style"/>
          <w:sz w:val="20"/>
          <w:szCs w:val="20"/>
        </w:rPr>
        <w:t xml:space="preserve"> Объекта оценки</w:t>
      </w:r>
      <w:proofErr w:type="gramEnd"/>
      <w:r w:rsidRPr="00EE24D6">
        <w:rPr>
          <w:rFonts w:ascii="Bookman Old Style" w:hAnsi="Bookman Old Style"/>
          <w:sz w:val="20"/>
          <w:szCs w:val="20"/>
        </w:rPr>
        <w:t xml:space="preserve">. </w:t>
      </w:r>
    </w:p>
    <w:p w:rsidR="009B795D" w:rsidRPr="00EE24D6" w:rsidRDefault="009B795D" w:rsidP="009B795D">
      <w:p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Для объектов аналогов сумма внесенных корректировок, по которым, значительна от базовой стоимости предложения, присвоены меньшие весовые значения. Данный факт объясняется снижением относительной ошибки в расчете. При этом необходимо отметить, что валовая корректировка рассчитывается по модулю. </w:t>
      </w:r>
    </w:p>
    <w:p w:rsidR="009B795D" w:rsidRPr="00EE24D6" w:rsidRDefault="009B795D" w:rsidP="009B795D">
      <w:pPr>
        <w:spacing w:before="120" w:after="120"/>
        <w:ind w:left="720"/>
        <w:rPr>
          <w:rFonts w:ascii="Bookman Old Style" w:hAnsi="Bookman Old Style"/>
          <w:sz w:val="20"/>
          <w:szCs w:val="20"/>
        </w:rPr>
      </w:pPr>
      <w:r w:rsidRPr="00EE24D6">
        <w:rPr>
          <w:rFonts w:ascii="Bookman Old Style" w:hAnsi="Bookman Old Style"/>
          <w:sz w:val="20"/>
          <w:szCs w:val="20"/>
        </w:rPr>
        <w:t>Вес аналога рассчитывается по формуле:</w:t>
      </w:r>
    </w:p>
    <w:p w:rsidR="009B795D" w:rsidRPr="00EE24D6" w:rsidRDefault="009B795D" w:rsidP="009B795D">
      <w:pPr>
        <w:spacing w:before="120" w:after="120"/>
        <w:ind w:left="720"/>
        <w:rPr>
          <w:rFonts w:ascii="Bookman Old Style" w:hAnsi="Bookman Old Style"/>
          <w:i/>
          <w:sz w:val="20"/>
          <w:szCs w:val="20"/>
          <w:lang w:val="en-GB"/>
        </w:rPr>
      </w:pPr>
      <m:oMathPara>
        <m:oMath>
          <m:r>
            <w:rPr>
              <w:rFonts w:ascii="Cambria Math" w:hAnsi="Cambria Math"/>
              <w:sz w:val="20"/>
              <w:szCs w:val="20"/>
            </w:rPr>
            <m:t>W=</m:t>
          </m:r>
          <m:d>
            <m:dPr>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num>
                <m:den>
                  <m:nary>
                    <m:naryPr>
                      <m:chr m:val="∑"/>
                      <m:limLoc m:val="undOvr"/>
                      <m:subHide m:val="1"/>
                      <m:supHide m:val="1"/>
                      <m:ctrlPr>
                        <w:rPr>
                          <w:rFonts w:ascii="Cambria Math" w:hAnsi="Cambria Math"/>
                          <w:i/>
                          <w:sz w:val="20"/>
                          <w:szCs w:val="20"/>
                        </w:rPr>
                      </m:ctrlPr>
                    </m:naryPr>
                    <m:sub/>
                    <m:sup/>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e>
                  </m:nary>
                </m:den>
              </m:f>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n-1</m:t>
              </m:r>
            </m:e>
          </m:d>
        </m:oMath>
      </m:oMathPara>
    </w:p>
    <w:p w:rsidR="009B795D" w:rsidRPr="00EE24D6" w:rsidRDefault="009B795D" w:rsidP="009B795D">
      <w:pPr>
        <w:spacing w:before="120" w:after="120"/>
        <w:ind w:left="720"/>
        <w:rPr>
          <w:rFonts w:ascii="Bookman Old Style" w:hAnsi="Bookman Old Style"/>
          <w:sz w:val="20"/>
          <w:szCs w:val="20"/>
        </w:rPr>
      </w:pPr>
      <w:r w:rsidRPr="00EE24D6">
        <w:rPr>
          <w:rFonts w:ascii="Bookman Old Style" w:hAnsi="Bookman Old Style"/>
          <w:sz w:val="20"/>
          <w:szCs w:val="20"/>
        </w:rPr>
        <w:lastRenderedPageBreak/>
        <w:t>где:</w:t>
      </w:r>
    </w:p>
    <w:p w:rsidR="009B795D" w:rsidRPr="00EE24D6" w:rsidRDefault="009B795D" w:rsidP="009B795D">
      <w:pPr>
        <w:spacing w:before="120" w:after="120"/>
        <w:ind w:left="720"/>
        <w:rPr>
          <w:rFonts w:ascii="Bookman Old Style" w:hAnsi="Bookman Old Style"/>
          <w:sz w:val="20"/>
          <w:szCs w:val="20"/>
        </w:rPr>
      </w:pPr>
      <w:r w:rsidRPr="00EE24D6">
        <w:rPr>
          <w:rFonts w:ascii="Bookman Old Style" w:hAnsi="Bookman Old Style"/>
          <w:sz w:val="20"/>
          <w:szCs w:val="20"/>
          <w:lang w:val="en-GB"/>
        </w:rPr>
        <w:t>W</w:t>
      </w:r>
      <w:r w:rsidRPr="00EE24D6">
        <w:rPr>
          <w:rFonts w:ascii="Bookman Old Style" w:hAnsi="Bookman Old Style"/>
          <w:sz w:val="20"/>
          <w:szCs w:val="20"/>
        </w:rPr>
        <w:t xml:space="preserve"> – </w:t>
      </w:r>
      <w:proofErr w:type="gramStart"/>
      <w:r w:rsidRPr="00EE24D6">
        <w:rPr>
          <w:rFonts w:ascii="Bookman Old Style" w:hAnsi="Bookman Old Style"/>
          <w:sz w:val="20"/>
          <w:szCs w:val="20"/>
        </w:rPr>
        <w:t>вес</w:t>
      </w:r>
      <w:proofErr w:type="gramEnd"/>
      <w:r w:rsidRPr="00EE24D6">
        <w:rPr>
          <w:rFonts w:ascii="Bookman Old Style" w:hAnsi="Bookman Old Style"/>
          <w:sz w:val="20"/>
          <w:szCs w:val="20"/>
        </w:rPr>
        <w:t xml:space="preserve"> аналога;</w:t>
      </w:r>
    </w:p>
    <w:p w:rsidR="009B795D" w:rsidRPr="00EE24D6" w:rsidRDefault="009B795D" w:rsidP="009B795D">
      <w:pPr>
        <w:spacing w:before="120" w:after="120"/>
        <w:ind w:left="720"/>
        <w:rPr>
          <w:rFonts w:ascii="Bookman Old Style" w:hAnsi="Bookman Old Style"/>
          <w:sz w:val="20"/>
          <w:szCs w:val="20"/>
        </w:rPr>
      </w:pPr>
      <w:proofErr w:type="spellStart"/>
      <w:r w:rsidRPr="00EE24D6">
        <w:rPr>
          <w:rFonts w:ascii="Bookman Old Style" w:hAnsi="Bookman Old Style"/>
          <w:sz w:val="20"/>
          <w:szCs w:val="20"/>
          <w:lang w:val="en-GB"/>
        </w:rPr>
        <w:t>Vn</w:t>
      </w:r>
      <w:proofErr w:type="spellEnd"/>
      <w:r w:rsidRPr="00EE24D6">
        <w:rPr>
          <w:rFonts w:ascii="Bookman Old Style" w:hAnsi="Bookman Old Style"/>
          <w:sz w:val="20"/>
          <w:szCs w:val="20"/>
        </w:rPr>
        <w:t xml:space="preserve"> – валовая корректировка аналога;</w:t>
      </w:r>
    </w:p>
    <w:p w:rsidR="009B795D" w:rsidRPr="00EE24D6" w:rsidRDefault="009B795D" w:rsidP="009B795D">
      <w:pPr>
        <w:spacing w:before="120" w:after="120"/>
        <w:ind w:left="720"/>
        <w:rPr>
          <w:rFonts w:ascii="Bookman Old Style" w:hAnsi="Bookman Old Style"/>
          <w:sz w:val="20"/>
          <w:szCs w:val="20"/>
        </w:rPr>
      </w:pPr>
      <w:r w:rsidRPr="00EE24D6">
        <w:rPr>
          <w:rFonts w:ascii="Bookman Old Style" w:hAnsi="Bookman Old Style"/>
          <w:sz w:val="20"/>
          <w:szCs w:val="20"/>
        </w:rPr>
        <w:t>∑</w:t>
      </w:r>
      <w:proofErr w:type="spellStart"/>
      <w:r w:rsidRPr="00EE24D6">
        <w:rPr>
          <w:rFonts w:ascii="Bookman Old Style" w:hAnsi="Bookman Old Style"/>
          <w:sz w:val="20"/>
          <w:szCs w:val="20"/>
          <w:lang w:val="en-GB"/>
        </w:rPr>
        <w:t>Vn</w:t>
      </w:r>
      <w:proofErr w:type="spellEnd"/>
      <w:r w:rsidRPr="00EE24D6">
        <w:rPr>
          <w:rFonts w:ascii="Bookman Old Style" w:hAnsi="Bookman Old Style"/>
          <w:sz w:val="20"/>
          <w:szCs w:val="20"/>
        </w:rPr>
        <w:t xml:space="preserve"> – сумма валовых корректировок используемых аналогов;</w:t>
      </w:r>
    </w:p>
    <w:p w:rsidR="009B795D" w:rsidRPr="00EE24D6" w:rsidRDefault="009B795D" w:rsidP="009B795D">
      <w:pPr>
        <w:spacing w:before="120" w:after="120"/>
        <w:ind w:left="720"/>
        <w:rPr>
          <w:rFonts w:ascii="Bookman Old Style" w:hAnsi="Bookman Old Style"/>
          <w:sz w:val="20"/>
          <w:szCs w:val="20"/>
        </w:rPr>
      </w:pPr>
      <w:r w:rsidRPr="00EE24D6">
        <w:rPr>
          <w:rFonts w:ascii="Bookman Old Style" w:hAnsi="Bookman Old Style"/>
          <w:sz w:val="20"/>
          <w:szCs w:val="20"/>
        </w:rPr>
        <w:t>(</w:t>
      </w:r>
      <w:r w:rsidRPr="00EE24D6">
        <w:rPr>
          <w:rFonts w:ascii="Bookman Old Style" w:hAnsi="Bookman Old Style"/>
          <w:sz w:val="20"/>
          <w:szCs w:val="20"/>
          <w:lang w:val="en-GB"/>
        </w:rPr>
        <w:t>n</w:t>
      </w:r>
      <w:r w:rsidRPr="00EE24D6">
        <w:rPr>
          <w:rFonts w:ascii="Bookman Old Style" w:hAnsi="Bookman Old Style"/>
          <w:sz w:val="20"/>
          <w:szCs w:val="20"/>
        </w:rPr>
        <w:t>-1) – количество аналогов уменьшенное на 1.</w:t>
      </w:r>
    </w:p>
    <w:p w:rsidR="009B795D" w:rsidRDefault="009B795D" w:rsidP="009B795D">
      <w:pPr>
        <w:spacing w:before="120" w:after="120"/>
        <w:ind w:firstLine="709"/>
        <w:jc w:val="both"/>
        <w:rPr>
          <w:rFonts w:ascii="Bookman Old Style" w:hAnsi="Bookman Old Style"/>
          <w:sz w:val="20"/>
          <w:szCs w:val="20"/>
        </w:rPr>
      </w:pPr>
      <w:r w:rsidRPr="00EE24D6">
        <w:rPr>
          <w:rFonts w:ascii="Bookman Old Style" w:hAnsi="Bookman Old Style"/>
          <w:sz w:val="20"/>
          <w:szCs w:val="20"/>
        </w:rPr>
        <w:t xml:space="preserve">В соответствии с проведенным расчетом стоимости в рамках сравнительного подхода, была определена рыночная стоимость </w:t>
      </w:r>
      <w:r>
        <w:rPr>
          <w:rFonts w:ascii="Bookman Old Style" w:hAnsi="Bookman Old Style"/>
          <w:sz w:val="20"/>
          <w:szCs w:val="20"/>
        </w:rPr>
        <w:t>земельного участка Объекта оценки</w:t>
      </w:r>
      <w:r w:rsidRPr="00EE24D6">
        <w:rPr>
          <w:rFonts w:ascii="Bookman Old Style" w:hAnsi="Bookman Old Style"/>
          <w:sz w:val="20"/>
          <w:szCs w:val="20"/>
        </w:rPr>
        <w:t xml:space="preserve">. </w:t>
      </w:r>
    </w:p>
    <w:p w:rsidR="006A199E" w:rsidRPr="00BF325B" w:rsidRDefault="006A199E" w:rsidP="006A199E">
      <w:pPr>
        <w:keepNext/>
        <w:spacing w:before="120" w:after="120"/>
        <w:jc w:val="both"/>
        <w:outlineLvl w:val="2"/>
        <w:rPr>
          <w:rFonts w:ascii="Bookman Old Style" w:hAnsi="Bookman Old Style"/>
          <w:b/>
          <w:bCs/>
          <w:sz w:val="20"/>
          <w:szCs w:val="20"/>
        </w:rPr>
      </w:pPr>
      <w:bookmarkStart w:id="280" w:name="_Toc417476543"/>
      <w:bookmarkStart w:id="281" w:name="_Toc419473031"/>
      <w:bookmarkStart w:id="282" w:name="_Toc461375606"/>
      <w:bookmarkEnd w:id="276"/>
      <w:bookmarkEnd w:id="277"/>
      <w:r w:rsidRPr="00BF325B">
        <w:rPr>
          <w:rFonts w:ascii="Bookman Old Style" w:hAnsi="Bookman Old Style"/>
          <w:b/>
          <w:bCs/>
          <w:sz w:val="20"/>
          <w:szCs w:val="20"/>
        </w:rPr>
        <w:t>5.4.</w:t>
      </w:r>
      <w:r w:rsidR="00CE17F5" w:rsidRPr="00BF325B">
        <w:rPr>
          <w:rFonts w:ascii="Bookman Old Style" w:hAnsi="Bookman Old Style"/>
          <w:b/>
          <w:bCs/>
          <w:sz w:val="20"/>
          <w:szCs w:val="20"/>
        </w:rPr>
        <w:t>6</w:t>
      </w:r>
      <w:r w:rsidRPr="00BF325B">
        <w:rPr>
          <w:rFonts w:ascii="Bookman Old Style" w:hAnsi="Bookman Old Style"/>
          <w:b/>
          <w:bCs/>
          <w:sz w:val="20"/>
          <w:szCs w:val="20"/>
        </w:rPr>
        <w:t xml:space="preserve">. </w:t>
      </w:r>
      <w:r w:rsidRPr="00BF325B">
        <w:rPr>
          <w:rFonts w:ascii="Bookman Old Style" w:hAnsi="Bookman Old Style"/>
          <w:b/>
          <w:sz w:val="20"/>
          <w:szCs w:val="20"/>
        </w:rPr>
        <w:t>Результаты расчета стоимости недвижимого имущества сравнительным подходом</w:t>
      </w:r>
      <w:bookmarkEnd w:id="280"/>
      <w:bookmarkEnd w:id="281"/>
      <w:bookmarkEnd w:id="282"/>
    </w:p>
    <w:p w:rsidR="006A199E" w:rsidRPr="00BF325B" w:rsidRDefault="006A199E" w:rsidP="006A199E">
      <w:pPr>
        <w:spacing w:before="120" w:after="120"/>
        <w:ind w:firstLine="708"/>
        <w:jc w:val="both"/>
        <w:rPr>
          <w:rFonts w:ascii="Bookman Old Style" w:eastAsia="Calibri" w:hAnsi="Bookman Old Style"/>
          <w:sz w:val="20"/>
          <w:szCs w:val="20"/>
        </w:rPr>
      </w:pPr>
      <w:r w:rsidRPr="00BF325B">
        <w:rPr>
          <w:rFonts w:ascii="Bookman Old Style" w:eastAsia="Calibri" w:hAnsi="Bookman Old Style"/>
          <w:sz w:val="20"/>
          <w:szCs w:val="20"/>
        </w:rPr>
        <w:t>Используя результаты расчета рыночной стоимости 1 кв.м. площади оцениваемых объектов определенной с учетом их количественных и качественных характеристик, а также данные о площади объектов, проведен расчет рыночной стоимости элементов Объекта оценки сравнительным подходом.</w:t>
      </w:r>
    </w:p>
    <w:p w:rsidR="006A199E" w:rsidRPr="00BF325B" w:rsidRDefault="006A199E" w:rsidP="006A199E">
      <w:pPr>
        <w:spacing w:before="120" w:after="120"/>
        <w:ind w:firstLine="709"/>
        <w:jc w:val="both"/>
        <w:rPr>
          <w:rFonts w:ascii="Bookman Old Style" w:hAnsi="Bookman Old Style"/>
          <w:sz w:val="20"/>
          <w:szCs w:val="20"/>
        </w:rPr>
      </w:pPr>
      <w:r w:rsidRPr="00BF325B">
        <w:rPr>
          <w:rFonts w:ascii="Bookman Old Style" w:hAnsi="Bookman Old Style"/>
          <w:sz w:val="20"/>
          <w:szCs w:val="20"/>
        </w:rPr>
        <w:t>Расчет проведен по формуле:</w:t>
      </w:r>
    </w:p>
    <w:p w:rsidR="006A199E" w:rsidRPr="00BF325B" w:rsidRDefault="009A3373" w:rsidP="006A199E">
      <w:pPr>
        <w:spacing w:before="120" w:after="120"/>
        <w:jc w:val="both"/>
        <w:rPr>
          <w:rFonts w:ascii="Bookman Old Style" w:hAnsi="Bookman Old Style"/>
          <w:color w:val="000000"/>
          <w:sz w:val="20"/>
          <w:szCs w:val="20"/>
        </w:rPr>
      </w:pPr>
      <m:oMathPara>
        <m:oMath>
          <m:sSub>
            <m:sSubPr>
              <m:ctrlPr>
                <w:rPr>
                  <w:rFonts w:ascii="Cambria Math" w:hAnsi="Cambria Math"/>
                  <w:i/>
                  <w:color w:val="000000"/>
                  <w:sz w:val="20"/>
                  <w:szCs w:val="20"/>
                </w:rPr>
              </m:ctrlPr>
            </m:sSubPr>
            <m:e>
              <m:r>
                <w:rPr>
                  <w:rFonts w:ascii="Cambria Math" w:hAnsi="Cambria Math"/>
                  <w:color w:val="000000"/>
                  <w:sz w:val="20"/>
                  <w:szCs w:val="20"/>
                </w:rPr>
                <m:t>C</m:t>
              </m:r>
            </m:e>
            <m:sub>
              <m:r>
                <w:rPr>
                  <w:rFonts w:ascii="Cambria Math" w:hAnsi="Cambria Math"/>
                  <w:color w:val="000000"/>
                  <w:sz w:val="20"/>
                  <w:szCs w:val="20"/>
                </w:rPr>
                <m:t>ОО</m:t>
              </m:r>
            </m:sub>
          </m:sSub>
          <m:r>
            <w:rPr>
              <w:rFonts w:ascii="Cambria Math" w:hAnsi="Cambria Math"/>
              <w:color w:val="000000"/>
              <w:sz w:val="20"/>
              <w:szCs w:val="20"/>
            </w:rPr>
            <m:t>=</m:t>
          </m:r>
          <m:nary>
            <m:naryPr>
              <m:chr m:val="∑"/>
              <m:limLoc m:val="undOvr"/>
              <m:subHide m:val="1"/>
              <m:supHide m:val="1"/>
              <m:ctrlPr>
                <w:rPr>
                  <w:rFonts w:ascii="Cambria Math" w:hAnsi="Cambria Math"/>
                  <w:i/>
                  <w:color w:val="000000"/>
                  <w:sz w:val="20"/>
                  <w:szCs w:val="20"/>
                </w:rPr>
              </m:ctrlPr>
            </m:naryPr>
            <m:sub/>
            <m:sup/>
            <m:e>
              <m:d>
                <m:dPr>
                  <m:ctrlPr>
                    <w:rPr>
                      <w:rFonts w:ascii="Cambria Math" w:hAnsi="Cambria Math"/>
                      <w:i/>
                      <w:color w:val="000000"/>
                      <w:sz w:val="20"/>
                      <w:szCs w:val="20"/>
                    </w:rPr>
                  </m:ctrlPr>
                </m:dPr>
                <m:e>
                  <m:sSub>
                    <m:sSubPr>
                      <m:ctrlPr>
                        <w:rPr>
                          <w:rFonts w:ascii="Cambria Math" w:hAnsi="Cambria Math"/>
                          <w:i/>
                          <w:color w:val="000000"/>
                          <w:sz w:val="20"/>
                          <w:szCs w:val="20"/>
                        </w:rPr>
                      </m:ctrlPr>
                    </m:sSubPr>
                    <m:e>
                      <m:r>
                        <w:rPr>
                          <w:rFonts w:ascii="Cambria Math" w:hAnsi="Cambria Math"/>
                          <w:color w:val="000000"/>
                          <w:sz w:val="20"/>
                          <w:szCs w:val="20"/>
                          <w:lang w:val="en-US"/>
                        </w:rPr>
                        <m:t>S</m:t>
                      </m:r>
                    </m:e>
                    <m:sub>
                      <m:r>
                        <w:rPr>
                          <w:rFonts w:ascii="Cambria Math" w:hAnsi="Cambria Math"/>
                          <w:color w:val="000000"/>
                          <w:sz w:val="20"/>
                          <w:szCs w:val="20"/>
                        </w:rPr>
                        <m:t>элемента ОО</m:t>
                      </m:r>
                    </m:sub>
                  </m:sSub>
                  <m:r>
                    <w:rPr>
                      <w:rFonts w:ascii="Cambria Math" w:hAnsi="Cambria Math"/>
                      <w:color w:val="000000"/>
                      <w:sz w:val="20"/>
                      <w:szCs w:val="20"/>
                    </w:rPr>
                    <m:t>×</m:t>
                  </m:r>
                  <m:sSub>
                    <m:sSubPr>
                      <m:ctrlPr>
                        <w:rPr>
                          <w:rFonts w:ascii="Cambria Math" w:hAnsi="Cambria Math"/>
                          <w:i/>
                          <w:color w:val="000000"/>
                          <w:sz w:val="20"/>
                          <w:szCs w:val="20"/>
                        </w:rPr>
                      </m:ctrlPr>
                    </m:sSubPr>
                    <m:e>
                      <m:r>
                        <w:rPr>
                          <w:rFonts w:ascii="Cambria Math" w:hAnsi="Cambria Math"/>
                          <w:color w:val="000000"/>
                          <w:sz w:val="20"/>
                          <w:szCs w:val="20"/>
                          <w:lang w:val="en-US"/>
                        </w:rPr>
                        <m:t>C</m:t>
                      </m:r>
                    </m:e>
                    <m:sub>
                      <m:r>
                        <w:rPr>
                          <w:rFonts w:ascii="Cambria Math" w:hAnsi="Cambria Math"/>
                          <w:color w:val="000000"/>
                          <w:sz w:val="20"/>
                          <w:szCs w:val="20"/>
                        </w:rPr>
                        <m:t>1 кв.м.</m:t>
                      </m:r>
                    </m:sub>
                  </m:sSub>
                </m:e>
              </m:d>
            </m:e>
          </m:nary>
        </m:oMath>
      </m:oMathPara>
    </w:p>
    <w:p w:rsidR="006A199E" w:rsidRPr="00BF325B" w:rsidRDefault="006A199E" w:rsidP="006A199E">
      <w:pPr>
        <w:spacing w:before="120" w:after="120"/>
        <w:ind w:left="709"/>
        <w:jc w:val="both"/>
        <w:rPr>
          <w:rFonts w:ascii="Bookman Old Style" w:hAnsi="Bookman Old Style"/>
          <w:color w:val="000000"/>
          <w:sz w:val="20"/>
          <w:szCs w:val="20"/>
        </w:rPr>
      </w:pPr>
      <w:r w:rsidRPr="00BF325B">
        <w:rPr>
          <w:rFonts w:ascii="Bookman Old Style" w:hAnsi="Bookman Old Style"/>
          <w:color w:val="000000"/>
          <w:sz w:val="20"/>
          <w:szCs w:val="20"/>
        </w:rPr>
        <w:t>Где:</w:t>
      </w:r>
    </w:p>
    <w:p w:rsidR="006A199E" w:rsidRPr="00BF325B" w:rsidRDefault="009A3373" w:rsidP="006A199E">
      <w:pPr>
        <w:spacing w:before="120" w:after="120"/>
        <w:ind w:left="709"/>
        <w:jc w:val="both"/>
        <w:rPr>
          <w:rFonts w:ascii="Bookman Old Style" w:hAnsi="Bookman Old Style"/>
          <w:color w:val="000000"/>
          <w:sz w:val="20"/>
          <w:szCs w:val="20"/>
        </w:rPr>
      </w:pPr>
      <m:oMath>
        <m:sSub>
          <m:sSubPr>
            <m:ctrlPr>
              <w:rPr>
                <w:rFonts w:ascii="Cambria Math" w:hAnsi="Cambria Math"/>
                <w:i/>
                <w:color w:val="000000"/>
                <w:sz w:val="20"/>
                <w:szCs w:val="20"/>
              </w:rPr>
            </m:ctrlPr>
          </m:sSubPr>
          <m:e>
            <m:r>
              <w:rPr>
                <w:rFonts w:ascii="Cambria Math" w:hAnsi="Cambria Math"/>
                <w:color w:val="000000"/>
                <w:sz w:val="20"/>
                <w:szCs w:val="20"/>
              </w:rPr>
              <m:t>C</m:t>
            </m:r>
          </m:e>
          <m:sub>
            <m:r>
              <w:rPr>
                <w:rFonts w:ascii="Cambria Math" w:hAnsi="Cambria Math"/>
                <w:color w:val="000000"/>
                <w:sz w:val="20"/>
                <w:szCs w:val="20"/>
              </w:rPr>
              <m:t>ОО</m:t>
            </m:r>
          </m:sub>
        </m:sSub>
      </m:oMath>
      <w:r w:rsidR="006A199E" w:rsidRPr="00BF325B">
        <w:rPr>
          <w:rFonts w:ascii="Bookman Old Style" w:hAnsi="Bookman Old Style"/>
          <w:color w:val="000000"/>
          <w:sz w:val="20"/>
          <w:szCs w:val="20"/>
        </w:rPr>
        <w:t xml:space="preserve"> – стоимость Объекта оценки;</w:t>
      </w:r>
    </w:p>
    <w:p w:rsidR="006A199E" w:rsidRPr="00BF325B" w:rsidRDefault="009A3373" w:rsidP="006A199E">
      <w:pPr>
        <w:spacing w:before="120" w:after="120"/>
        <w:ind w:left="709"/>
        <w:jc w:val="both"/>
        <w:rPr>
          <w:rFonts w:ascii="Bookman Old Style" w:hAnsi="Bookman Old Style"/>
          <w:color w:val="000000"/>
          <w:sz w:val="20"/>
          <w:szCs w:val="20"/>
        </w:rPr>
      </w:pPr>
      <m:oMath>
        <m:sSub>
          <m:sSubPr>
            <m:ctrlPr>
              <w:rPr>
                <w:rFonts w:ascii="Cambria Math" w:hAnsi="Cambria Math"/>
                <w:i/>
                <w:color w:val="000000"/>
                <w:sz w:val="20"/>
                <w:szCs w:val="20"/>
              </w:rPr>
            </m:ctrlPr>
          </m:sSubPr>
          <m:e>
            <m:r>
              <w:rPr>
                <w:rFonts w:ascii="Cambria Math" w:hAnsi="Cambria Math"/>
                <w:color w:val="000000"/>
                <w:sz w:val="20"/>
                <w:szCs w:val="20"/>
                <w:lang w:val="en-US"/>
              </w:rPr>
              <m:t>S</m:t>
            </m:r>
          </m:e>
          <m:sub>
            <m:r>
              <w:rPr>
                <w:rFonts w:ascii="Cambria Math" w:hAnsi="Cambria Math"/>
                <w:color w:val="000000"/>
                <w:sz w:val="20"/>
                <w:szCs w:val="20"/>
              </w:rPr>
              <m:t>элемента ОО</m:t>
            </m:r>
          </m:sub>
        </m:sSub>
        <m:r>
          <w:rPr>
            <w:rFonts w:ascii="Cambria Math" w:hAnsi="Cambria Math"/>
            <w:color w:val="000000"/>
            <w:sz w:val="20"/>
            <w:szCs w:val="20"/>
          </w:rPr>
          <m:t xml:space="preserve">- </m:t>
        </m:r>
      </m:oMath>
      <w:r w:rsidR="006A199E" w:rsidRPr="00BF325B">
        <w:rPr>
          <w:rFonts w:ascii="Bookman Old Style" w:hAnsi="Bookman Old Style"/>
          <w:color w:val="000000"/>
          <w:sz w:val="20"/>
          <w:szCs w:val="20"/>
        </w:rPr>
        <w:t>площадь каждого элемента Объекта оценки;</w:t>
      </w:r>
    </w:p>
    <w:p w:rsidR="006A199E" w:rsidRPr="00BF325B" w:rsidRDefault="009A3373" w:rsidP="006A199E">
      <w:pPr>
        <w:spacing w:before="120" w:after="120"/>
        <w:ind w:left="709"/>
        <w:jc w:val="both"/>
        <w:rPr>
          <w:rFonts w:ascii="Bookman Old Style" w:hAnsi="Bookman Old Style"/>
          <w:color w:val="000000"/>
          <w:sz w:val="20"/>
          <w:szCs w:val="20"/>
        </w:rPr>
      </w:pPr>
      <m:oMath>
        <m:sSub>
          <m:sSubPr>
            <m:ctrlPr>
              <w:rPr>
                <w:rFonts w:ascii="Cambria Math" w:hAnsi="Cambria Math"/>
                <w:i/>
                <w:color w:val="000000"/>
                <w:sz w:val="20"/>
                <w:szCs w:val="20"/>
              </w:rPr>
            </m:ctrlPr>
          </m:sSubPr>
          <m:e>
            <m:r>
              <w:rPr>
                <w:rFonts w:ascii="Cambria Math" w:hAnsi="Cambria Math"/>
                <w:color w:val="000000"/>
                <w:sz w:val="20"/>
                <w:szCs w:val="20"/>
                <w:lang w:val="en-US"/>
              </w:rPr>
              <m:t>C</m:t>
            </m:r>
          </m:e>
          <m:sub>
            <m:r>
              <w:rPr>
                <w:rFonts w:ascii="Cambria Math" w:hAnsi="Cambria Math"/>
                <w:color w:val="000000"/>
                <w:sz w:val="20"/>
                <w:szCs w:val="20"/>
              </w:rPr>
              <m:t>1 кв.м.</m:t>
            </m:r>
          </m:sub>
        </m:sSub>
      </m:oMath>
      <w:r w:rsidR="006A199E" w:rsidRPr="00BF325B">
        <w:rPr>
          <w:rFonts w:ascii="Bookman Old Style" w:hAnsi="Bookman Old Style"/>
          <w:color w:val="000000"/>
          <w:sz w:val="20"/>
          <w:szCs w:val="20"/>
        </w:rPr>
        <w:t xml:space="preserve"> – стоимость 1 кв.м. элемента Объекта оценки.</w:t>
      </w:r>
    </w:p>
    <w:p w:rsidR="006A199E" w:rsidRPr="00BF325B" w:rsidRDefault="006A199E" w:rsidP="006A199E">
      <w:pPr>
        <w:spacing w:before="120" w:after="120"/>
        <w:jc w:val="both"/>
        <w:rPr>
          <w:rFonts w:ascii="Bookman Old Style" w:hAnsi="Bookman Old Style"/>
          <w:color w:val="000000"/>
          <w:sz w:val="20"/>
          <w:szCs w:val="20"/>
        </w:rPr>
      </w:pPr>
      <w:r w:rsidRPr="00BF325B">
        <w:rPr>
          <w:rFonts w:ascii="Bookman Old Style" w:hAnsi="Bookman Old Style"/>
          <w:color w:val="000000"/>
          <w:sz w:val="20"/>
          <w:szCs w:val="20"/>
        </w:rPr>
        <w:tab/>
        <w:t>В результате расчет получены следующие результаты.</w:t>
      </w:r>
    </w:p>
    <w:p w:rsidR="006A199E" w:rsidRPr="006A199E" w:rsidRDefault="006A199E" w:rsidP="006A199E">
      <w:pPr>
        <w:spacing w:before="120"/>
        <w:jc w:val="right"/>
        <w:rPr>
          <w:rFonts w:ascii="Bookman Old Style" w:hAnsi="Bookman Old Style"/>
          <w:b/>
          <w:color w:val="000000"/>
          <w:sz w:val="20"/>
          <w:szCs w:val="20"/>
        </w:rPr>
      </w:pPr>
      <w:r w:rsidRPr="00BF325B">
        <w:rPr>
          <w:rFonts w:ascii="Bookman Old Style" w:hAnsi="Bookman Old Style"/>
          <w:b/>
          <w:color w:val="000000"/>
          <w:sz w:val="20"/>
          <w:szCs w:val="20"/>
        </w:rPr>
        <w:t>Таблица 5.4.</w:t>
      </w:r>
      <w:r w:rsidR="00BF325B">
        <w:rPr>
          <w:rFonts w:ascii="Bookman Old Style" w:hAnsi="Bookman Old Style"/>
          <w:b/>
          <w:color w:val="000000"/>
          <w:sz w:val="20"/>
          <w:szCs w:val="20"/>
        </w:rPr>
        <w:t>6</w:t>
      </w:r>
      <w:r w:rsidRPr="00BF325B">
        <w:rPr>
          <w:rFonts w:ascii="Bookman Old Style" w:hAnsi="Bookman Old Style"/>
          <w:b/>
          <w:color w:val="000000"/>
          <w:sz w:val="20"/>
          <w:szCs w:val="20"/>
        </w:rPr>
        <w:t>.1. Рыночная стоимость объектов</w:t>
      </w:r>
      <w:r w:rsidRPr="006A199E">
        <w:rPr>
          <w:rFonts w:ascii="Bookman Old Style" w:hAnsi="Bookman Old Style"/>
          <w:b/>
          <w:color w:val="000000"/>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2891"/>
        <w:gridCol w:w="1042"/>
        <w:gridCol w:w="1042"/>
        <w:gridCol w:w="1113"/>
        <w:gridCol w:w="1219"/>
        <w:gridCol w:w="1284"/>
        <w:gridCol w:w="1284"/>
      </w:tblGrid>
      <w:tr w:rsidR="009B795D" w:rsidRPr="006A199E" w:rsidTr="009B795D">
        <w:trPr>
          <w:cantSplit/>
          <w:trHeight w:val="170"/>
        </w:trPr>
        <w:tc>
          <w:tcPr>
            <w:tcW w:w="262" w:type="pct"/>
            <w:shd w:val="clear" w:color="000000" w:fill="F2F2F2"/>
            <w:noWrap/>
            <w:vAlign w:val="center"/>
            <w:hideMark/>
          </w:tcPr>
          <w:p w:rsidR="009B795D" w:rsidRPr="006A199E" w:rsidRDefault="009B795D" w:rsidP="00BF325B">
            <w:pPr>
              <w:jc w:val="center"/>
              <w:rPr>
                <w:rFonts w:ascii="Cambria" w:hAnsi="Cambria"/>
                <w:color w:val="000000"/>
                <w:sz w:val="16"/>
                <w:szCs w:val="16"/>
              </w:rPr>
            </w:pPr>
            <w:r w:rsidRPr="006A199E">
              <w:rPr>
                <w:rFonts w:ascii="Cambria" w:hAnsi="Cambria"/>
                <w:color w:val="000000"/>
                <w:sz w:val="16"/>
                <w:szCs w:val="16"/>
              </w:rPr>
              <w:t xml:space="preserve">№ </w:t>
            </w:r>
            <w:proofErr w:type="gramStart"/>
            <w:r>
              <w:rPr>
                <w:rFonts w:ascii="Cambria" w:hAnsi="Cambria"/>
                <w:color w:val="000000"/>
                <w:sz w:val="16"/>
                <w:szCs w:val="16"/>
              </w:rPr>
              <w:t>п</w:t>
            </w:r>
            <w:proofErr w:type="gramEnd"/>
            <w:r>
              <w:rPr>
                <w:rFonts w:ascii="Cambria" w:hAnsi="Cambria"/>
                <w:color w:val="000000"/>
                <w:sz w:val="16"/>
                <w:szCs w:val="16"/>
              </w:rPr>
              <w:t>/п</w:t>
            </w:r>
            <w:r w:rsidRPr="006A199E">
              <w:rPr>
                <w:rFonts w:ascii="Cambria" w:hAnsi="Cambria"/>
                <w:color w:val="000000"/>
                <w:sz w:val="16"/>
                <w:szCs w:val="16"/>
              </w:rPr>
              <w:t>.</w:t>
            </w:r>
          </w:p>
        </w:tc>
        <w:tc>
          <w:tcPr>
            <w:tcW w:w="1387" w:type="pct"/>
            <w:shd w:val="clear" w:color="000000" w:fill="F2F2F2"/>
            <w:vAlign w:val="center"/>
            <w:hideMark/>
          </w:tcPr>
          <w:p w:rsidR="009B795D" w:rsidRPr="006A199E" w:rsidRDefault="009B795D" w:rsidP="006A199E">
            <w:pPr>
              <w:jc w:val="center"/>
              <w:rPr>
                <w:rFonts w:ascii="Cambria" w:hAnsi="Cambria"/>
                <w:color w:val="000000"/>
                <w:sz w:val="16"/>
                <w:szCs w:val="16"/>
              </w:rPr>
            </w:pPr>
            <w:r w:rsidRPr="006A199E">
              <w:rPr>
                <w:rFonts w:ascii="Cambria" w:hAnsi="Cambria"/>
                <w:color w:val="000000"/>
                <w:sz w:val="16"/>
                <w:szCs w:val="16"/>
              </w:rPr>
              <w:t>Наименование объекта по данным бухгалтерского учета</w:t>
            </w:r>
          </w:p>
        </w:tc>
        <w:tc>
          <w:tcPr>
            <w:tcW w:w="500" w:type="pct"/>
            <w:shd w:val="clear" w:color="000000" w:fill="F2F2F2"/>
            <w:vAlign w:val="center"/>
          </w:tcPr>
          <w:p w:rsidR="009B795D" w:rsidRPr="006A199E" w:rsidRDefault="009B795D" w:rsidP="00BF325B">
            <w:pPr>
              <w:jc w:val="center"/>
              <w:rPr>
                <w:rFonts w:ascii="Cambria" w:hAnsi="Cambria"/>
                <w:color w:val="000000"/>
                <w:sz w:val="16"/>
                <w:szCs w:val="16"/>
              </w:rPr>
            </w:pPr>
            <w:r>
              <w:rPr>
                <w:rFonts w:ascii="Cambria" w:hAnsi="Cambria"/>
                <w:color w:val="000000"/>
                <w:sz w:val="16"/>
                <w:szCs w:val="16"/>
              </w:rPr>
              <w:t>Назначение</w:t>
            </w:r>
          </w:p>
        </w:tc>
        <w:tc>
          <w:tcPr>
            <w:tcW w:w="500" w:type="pct"/>
            <w:shd w:val="clear" w:color="000000" w:fill="F2F2F2"/>
            <w:vAlign w:val="center"/>
            <w:hideMark/>
          </w:tcPr>
          <w:p w:rsidR="009B795D" w:rsidRPr="006A199E" w:rsidRDefault="009B795D" w:rsidP="006A199E">
            <w:pPr>
              <w:jc w:val="center"/>
              <w:rPr>
                <w:rFonts w:ascii="Cambria" w:hAnsi="Cambria"/>
                <w:color w:val="000000"/>
                <w:sz w:val="16"/>
                <w:szCs w:val="16"/>
              </w:rPr>
            </w:pPr>
            <w:r w:rsidRPr="006A199E">
              <w:rPr>
                <w:rFonts w:ascii="Cambria" w:hAnsi="Cambria"/>
                <w:color w:val="000000"/>
                <w:sz w:val="16"/>
                <w:szCs w:val="16"/>
              </w:rPr>
              <w:t>Общая площадь, кв.м.</w:t>
            </w:r>
          </w:p>
        </w:tc>
        <w:tc>
          <w:tcPr>
            <w:tcW w:w="534" w:type="pct"/>
            <w:shd w:val="clear" w:color="000000" w:fill="F2F2F2"/>
            <w:vAlign w:val="center"/>
            <w:hideMark/>
          </w:tcPr>
          <w:p w:rsidR="009B795D" w:rsidRPr="006A199E" w:rsidRDefault="009B795D" w:rsidP="006A199E">
            <w:pPr>
              <w:jc w:val="center"/>
              <w:rPr>
                <w:rFonts w:ascii="Cambria" w:hAnsi="Cambria"/>
                <w:color w:val="000000"/>
                <w:sz w:val="16"/>
                <w:szCs w:val="16"/>
              </w:rPr>
            </w:pPr>
            <w:r w:rsidRPr="006A199E">
              <w:rPr>
                <w:rFonts w:ascii="Cambria" w:hAnsi="Cambria"/>
                <w:color w:val="000000"/>
                <w:sz w:val="16"/>
                <w:szCs w:val="16"/>
              </w:rPr>
              <w:t>Стоимость руб. 1 кв.м.</w:t>
            </w:r>
          </w:p>
        </w:tc>
        <w:tc>
          <w:tcPr>
            <w:tcW w:w="585" w:type="pct"/>
            <w:shd w:val="clear" w:color="000000" w:fill="F2F2F2"/>
            <w:vAlign w:val="center"/>
            <w:hideMark/>
          </w:tcPr>
          <w:p w:rsidR="009B795D" w:rsidRPr="006A199E" w:rsidRDefault="009B795D" w:rsidP="006A199E">
            <w:pPr>
              <w:jc w:val="center"/>
              <w:rPr>
                <w:rFonts w:ascii="Cambria" w:hAnsi="Cambria"/>
                <w:color w:val="000000"/>
                <w:sz w:val="16"/>
                <w:szCs w:val="16"/>
              </w:rPr>
            </w:pPr>
            <w:r w:rsidRPr="006A199E">
              <w:rPr>
                <w:rFonts w:ascii="Cambria" w:hAnsi="Cambria"/>
                <w:color w:val="000000"/>
                <w:sz w:val="16"/>
                <w:szCs w:val="16"/>
              </w:rPr>
              <w:t>Стоимость объекта</w:t>
            </w:r>
            <w:r>
              <w:t xml:space="preserve"> </w:t>
            </w:r>
            <w:r w:rsidRPr="006A199E">
              <w:rPr>
                <w:rFonts w:ascii="Cambria" w:hAnsi="Cambria"/>
                <w:color w:val="000000"/>
                <w:sz w:val="16"/>
                <w:szCs w:val="16"/>
              </w:rPr>
              <w:t xml:space="preserve">НДС не облагается, руб. </w:t>
            </w:r>
          </w:p>
        </w:tc>
        <w:tc>
          <w:tcPr>
            <w:tcW w:w="616" w:type="pct"/>
            <w:shd w:val="clear" w:color="000000" w:fill="F2F2F2"/>
            <w:vAlign w:val="center"/>
            <w:hideMark/>
          </w:tcPr>
          <w:p w:rsidR="009B795D" w:rsidRPr="006A199E" w:rsidRDefault="009B795D" w:rsidP="009B795D">
            <w:pPr>
              <w:jc w:val="center"/>
              <w:rPr>
                <w:rFonts w:ascii="Cambria" w:hAnsi="Cambria"/>
                <w:color w:val="000000"/>
                <w:sz w:val="16"/>
                <w:szCs w:val="16"/>
              </w:rPr>
            </w:pPr>
            <w:r>
              <w:rPr>
                <w:rFonts w:ascii="Cambria" w:hAnsi="Cambria"/>
                <w:color w:val="000000"/>
                <w:sz w:val="16"/>
                <w:szCs w:val="16"/>
              </w:rPr>
              <w:t>Общая долевая собственность</w:t>
            </w:r>
          </w:p>
        </w:tc>
        <w:tc>
          <w:tcPr>
            <w:tcW w:w="616" w:type="pct"/>
            <w:shd w:val="clear" w:color="000000" w:fill="F2F2F2"/>
          </w:tcPr>
          <w:p w:rsidR="009B795D" w:rsidRPr="006A199E" w:rsidRDefault="009B795D" w:rsidP="006A199E">
            <w:pPr>
              <w:jc w:val="center"/>
              <w:rPr>
                <w:rFonts w:ascii="Cambria" w:hAnsi="Cambria"/>
                <w:color w:val="000000"/>
                <w:sz w:val="16"/>
                <w:szCs w:val="16"/>
              </w:rPr>
            </w:pPr>
            <w:r w:rsidRPr="006A199E">
              <w:rPr>
                <w:rFonts w:ascii="Cambria" w:hAnsi="Cambria"/>
                <w:color w:val="000000"/>
                <w:sz w:val="16"/>
                <w:szCs w:val="16"/>
              </w:rPr>
              <w:t>Стоимость объекта  НДС не облагается, руб. (округленно</w:t>
            </w:r>
            <w:r>
              <w:rPr>
                <w:rFonts w:ascii="Cambria" w:hAnsi="Cambria"/>
                <w:color w:val="000000"/>
                <w:sz w:val="16"/>
                <w:szCs w:val="16"/>
              </w:rPr>
              <w:t>)</w:t>
            </w:r>
          </w:p>
        </w:tc>
      </w:tr>
      <w:tr w:rsidR="009B795D" w:rsidRPr="006A199E" w:rsidTr="009B795D">
        <w:trPr>
          <w:cantSplit/>
          <w:trHeight w:val="170"/>
        </w:trPr>
        <w:tc>
          <w:tcPr>
            <w:tcW w:w="262" w:type="pct"/>
            <w:shd w:val="clear" w:color="auto" w:fill="auto"/>
            <w:noWrap/>
            <w:vAlign w:val="center"/>
            <w:hideMark/>
          </w:tcPr>
          <w:p w:rsidR="009B795D" w:rsidRPr="006A199E" w:rsidRDefault="009B795D" w:rsidP="006A199E">
            <w:pPr>
              <w:jc w:val="center"/>
              <w:rPr>
                <w:rFonts w:ascii="Cambria" w:hAnsi="Cambria"/>
                <w:color w:val="000000"/>
                <w:sz w:val="16"/>
                <w:szCs w:val="16"/>
              </w:rPr>
            </w:pPr>
            <w:r>
              <w:rPr>
                <w:rFonts w:ascii="Cambria" w:hAnsi="Cambria"/>
                <w:color w:val="000000"/>
                <w:sz w:val="16"/>
                <w:szCs w:val="16"/>
              </w:rPr>
              <w:t>2</w:t>
            </w:r>
          </w:p>
        </w:tc>
        <w:tc>
          <w:tcPr>
            <w:tcW w:w="1387" w:type="pct"/>
            <w:shd w:val="clear" w:color="auto" w:fill="auto"/>
            <w:vAlign w:val="center"/>
            <w:hideMark/>
          </w:tcPr>
          <w:p w:rsidR="009B795D" w:rsidRDefault="009B795D">
            <w:pPr>
              <w:rPr>
                <w:rFonts w:ascii="Cambria" w:hAnsi="Cambria"/>
                <w:sz w:val="16"/>
                <w:szCs w:val="16"/>
              </w:rPr>
            </w:pPr>
            <w:r w:rsidRPr="009B795D">
              <w:rPr>
                <w:rFonts w:ascii="Cambria" w:hAnsi="Cambria"/>
                <w:sz w:val="16"/>
                <w:szCs w:val="16"/>
              </w:rPr>
              <w:t>Помещение, назначение: нежилое, общая площадь 525,6 кв.м., этаж №1, адрес:  г. Красноярск,  ул. Айвазовского 37 «А», стр. 2, пом. 1, Кадастровый номер: 24:50:0500203:461</w:t>
            </w:r>
          </w:p>
        </w:tc>
        <w:tc>
          <w:tcPr>
            <w:tcW w:w="500" w:type="pct"/>
            <w:vAlign w:val="center"/>
          </w:tcPr>
          <w:p w:rsidR="009B795D" w:rsidRDefault="009B795D" w:rsidP="00BF325B">
            <w:pPr>
              <w:jc w:val="center"/>
              <w:rPr>
                <w:rFonts w:ascii="Cambria" w:hAnsi="Cambria"/>
                <w:color w:val="000000"/>
                <w:sz w:val="16"/>
                <w:szCs w:val="16"/>
              </w:rPr>
            </w:pPr>
            <w:r>
              <w:rPr>
                <w:rFonts w:ascii="Cambria" w:hAnsi="Cambria"/>
                <w:color w:val="000000"/>
                <w:sz w:val="16"/>
                <w:szCs w:val="16"/>
              </w:rPr>
              <w:t>ПСН</w:t>
            </w:r>
          </w:p>
        </w:tc>
        <w:tc>
          <w:tcPr>
            <w:tcW w:w="500" w:type="pct"/>
            <w:shd w:val="clear" w:color="auto" w:fill="auto"/>
            <w:noWrap/>
            <w:vAlign w:val="center"/>
          </w:tcPr>
          <w:p w:rsidR="009B795D" w:rsidRPr="006A199E" w:rsidRDefault="009B795D" w:rsidP="00BF325B">
            <w:pPr>
              <w:jc w:val="center"/>
              <w:rPr>
                <w:rFonts w:ascii="Cambria" w:hAnsi="Cambria"/>
                <w:color w:val="000000"/>
                <w:sz w:val="16"/>
                <w:szCs w:val="16"/>
              </w:rPr>
            </w:pPr>
            <w:r>
              <w:rPr>
                <w:rFonts w:ascii="Cambria" w:hAnsi="Cambria"/>
                <w:color w:val="000000"/>
                <w:sz w:val="16"/>
                <w:szCs w:val="16"/>
              </w:rPr>
              <w:t>525,6</w:t>
            </w:r>
          </w:p>
        </w:tc>
        <w:tc>
          <w:tcPr>
            <w:tcW w:w="534" w:type="pct"/>
            <w:shd w:val="clear" w:color="auto" w:fill="auto"/>
            <w:noWrap/>
            <w:vAlign w:val="center"/>
          </w:tcPr>
          <w:p w:rsidR="009B795D" w:rsidRDefault="009B795D">
            <w:pPr>
              <w:jc w:val="center"/>
              <w:rPr>
                <w:rFonts w:ascii="Cambria" w:hAnsi="Cambria"/>
                <w:sz w:val="16"/>
                <w:szCs w:val="16"/>
              </w:rPr>
            </w:pPr>
            <w:r>
              <w:rPr>
                <w:rFonts w:ascii="Cambria" w:hAnsi="Cambria"/>
                <w:sz w:val="16"/>
                <w:szCs w:val="16"/>
              </w:rPr>
              <w:t>15 044</w:t>
            </w:r>
          </w:p>
        </w:tc>
        <w:tc>
          <w:tcPr>
            <w:tcW w:w="585" w:type="pct"/>
            <w:shd w:val="clear" w:color="auto" w:fill="auto"/>
            <w:noWrap/>
            <w:vAlign w:val="center"/>
          </w:tcPr>
          <w:p w:rsidR="009B795D" w:rsidRDefault="009B795D" w:rsidP="006A199E">
            <w:pPr>
              <w:jc w:val="center"/>
              <w:rPr>
                <w:rFonts w:ascii="Cambria" w:hAnsi="Cambria"/>
                <w:sz w:val="16"/>
                <w:szCs w:val="16"/>
              </w:rPr>
            </w:pPr>
            <w:r w:rsidRPr="009B795D">
              <w:rPr>
                <w:rFonts w:ascii="Cambria" w:hAnsi="Cambria"/>
                <w:sz w:val="16"/>
                <w:szCs w:val="16"/>
              </w:rPr>
              <w:t>7 906 877</w:t>
            </w:r>
          </w:p>
        </w:tc>
        <w:tc>
          <w:tcPr>
            <w:tcW w:w="616" w:type="pct"/>
            <w:shd w:val="clear" w:color="auto" w:fill="auto"/>
            <w:noWrap/>
            <w:vAlign w:val="center"/>
          </w:tcPr>
          <w:p w:rsidR="009B795D" w:rsidRDefault="009B795D">
            <w:pPr>
              <w:jc w:val="center"/>
              <w:rPr>
                <w:rFonts w:ascii="Cambria" w:hAnsi="Cambria"/>
                <w:sz w:val="16"/>
                <w:szCs w:val="16"/>
              </w:rPr>
            </w:pPr>
            <w:r>
              <w:rPr>
                <w:rFonts w:ascii="Cambria" w:hAnsi="Cambria"/>
                <w:sz w:val="16"/>
                <w:szCs w:val="16"/>
              </w:rPr>
              <w:t>1</w:t>
            </w:r>
          </w:p>
        </w:tc>
        <w:tc>
          <w:tcPr>
            <w:tcW w:w="616" w:type="pct"/>
            <w:vAlign w:val="center"/>
          </w:tcPr>
          <w:p w:rsidR="009B795D" w:rsidRDefault="009B795D" w:rsidP="009B795D">
            <w:pPr>
              <w:jc w:val="center"/>
              <w:rPr>
                <w:rFonts w:ascii="Cambria" w:hAnsi="Cambria"/>
                <w:sz w:val="16"/>
                <w:szCs w:val="16"/>
              </w:rPr>
            </w:pPr>
            <w:r w:rsidRPr="009B795D">
              <w:rPr>
                <w:rFonts w:ascii="Cambria" w:hAnsi="Cambria"/>
                <w:sz w:val="16"/>
                <w:szCs w:val="16"/>
              </w:rPr>
              <w:t>7 906 900</w:t>
            </w:r>
          </w:p>
        </w:tc>
      </w:tr>
      <w:tr w:rsidR="009B795D" w:rsidRPr="006A199E" w:rsidTr="009B795D">
        <w:trPr>
          <w:cantSplit/>
          <w:trHeight w:val="170"/>
        </w:trPr>
        <w:tc>
          <w:tcPr>
            <w:tcW w:w="262" w:type="pct"/>
            <w:shd w:val="clear" w:color="auto" w:fill="auto"/>
            <w:noWrap/>
            <w:vAlign w:val="center"/>
          </w:tcPr>
          <w:p w:rsidR="009B795D" w:rsidRDefault="009B795D" w:rsidP="006A199E">
            <w:pPr>
              <w:jc w:val="center"/>
              <w:rPr>
                <w:rFonts w:ascii="Cambria" w:hAnsi="Cambria"/>
                <w:color w:val="000000"/>
                <w:sz w:val="16"/>
                <w:szCs w:val="16"/>
              </w:rPr>
            </w:pPr>
            <w:r>
              <w:rPr>
                <w:rFonts w:ascii="Cambria" w:hAnsi="Cambria"/>
                <w:color w:val="000000"/>
                <w:sz w:val="16"/>
                <w:szCs w:val="16"/>
              </w:rPr>
              <w:t>3</w:t>
            </w:r>
          </w:p>
        </w:tc>
        <w:tc>
          <w:tcPr>
            <w:tcW w:w="1387" w:type="pct"/>
            <w:shd w:val="clear" w:color="auto" w:fill="auto"/>
            <w:vAlign w:val="center"/>
          </w:tcPr>
          <w:p w:rsidR="009B795D" w:rsidRDefault="009B795D">
            <w:pPr>
              <w:rPr>
                <w:rFonts w:ascii="Cambria" w:hAnsi="Cambria"/>
                <w:color w:val="000000"/>
                <w:sz w:val="18"/>
                <w:szCs w:val="18"/>
              </w:rPr>
            </w:pPr>
            <w:r w:rsidRPr="009B795D">
              <w:rPr>
                <w:rFonts w:ascii="Cambria" w:hAnsi="Cambria"/>
                <w:color w:val="000000"/>
                <w:sz w:val="18"/>
                <w:szCs w:val="18"/>
              </w:rPr>
              <w:t>Общая долевая собственность, доля в праве ½</w:t>
            </w:r>
            <w:proofErr w:type="gramStart"/>
            <w:r w:rsidRPr="009B795D">
              <w:rPr>
                <w:rFonts w:ascii="Cambria" w:hAnsi="Cambria"/>
                <w:color w:val="000000"/>
                <w:sz w:val="18"/>
                <w:szCs w:val="18"/>
              </w:rPr>
              <w:t xml:space="preserve"> ,</w:t>
            </w:r>
            <w:proofErr w:type="gramEnd"/>
            <w:r w:rsidRPr="009B795D">
              <w:rPr>
                <w:rFonts w:ascii="Cambria" w:hAnsi="Cambria"/>
                <w:color w:val="000000"/>
                <w:sz w:val="18"/>
                <w:szCs w:val="18"/>
              </w:rPr>
              <w:t xml:space="preserve"> Земельный участок, категория земель: земли населенных пунктов, Общая площадь 1181 кв. м., адрес : г. Красноярск, ул. Айвазовского, 37 «А», кадастровый номер: 24:50:0500203:15;</w:t>
            </w:r>
          </w:p>
        </w:tc>
        <w:tc>
          <w:tcPr>
            <w:tcW w:w="500" w:type="pct"/>
            <w:vAlign w:val="center"/>
          </w:tcPr>
          <w:p w:rsidR="009B795D" w:rsidRDefault="009B795D" w:rsidP="00BF325B">
            <w:pPr>
              <w:jc w:val="center"/>
              <w:rPr>
                <w:rFonts w:ascii="Cambria" w:hAnsi="Cambria"/>
                <w:color w:val="000000"/>
                <w:sz w:val="16"/>
                <w:szCs w:val="16"/>
              </w:rPr>
            </w:pPr>
            <w:r>
              <w:rPr>
                <w:rFonts w:ascii="Cambria" w:hAnsi="Cambria"/>
                <w:color w:val="000000"/>
                <w:sz w:val="16"/>
                <w:szCs w:val="16"/>
              </w:rPr>
              <w:t>ПСН</w:t>
            </w:r>
          </w:p>
        </w:tc>
        <w:tc>
          <w:tcPr>
            <w:tcW w:w="500" w:type="pct"/>
            <w:shd w:val="clear" w:color="auto" w:fill="auto"/>
            <w:noWrap/>
            <w:vAlign w:val="center"/>
          </w:tcPr>
          <w:p w:rsidR="009B795D" w:rsidRPr="006A199E" w:rsidRDefault="009B795D" w:rsidP="006A199E">
            <w:pPr>
              <w:jc w:val="center"/>
              <w:rPr>
                <w:rFonts w:ascii="Cambria" w:hAnsi="Cambria"/>
                <w:color w:val="000000"/>
                <w:sz w:val="16"/>
                <w:szCs w:val="16"/>
              </w:rPr>
            </w:pPr>
            <w:r>
              <w:rPr>
                <w:rFonts w:ascii="Cambria" w:hAnsi="Cambria"/>
                <w:color w:val="000000"/>
                <w:sz w:val="16"/>
                <w:szCs w:val="16"/>
              </w:rPr>
              <w:t>1181</w:t>
            </w:r>
          </w:p>
        </w:tc>
        <w:tc>
          <w:tcPr>
            <w:tcW w:w="534" w:type="pct"/>
            <w:shd w:val="clear" w:color="auto" w:fill="auto"/>
            <w:noWrap/>
            <w:vAlign w:val="center"/>
          </w:tcPr>
          <w:p w:rsidR="009B795D" w:rsidRDefault="009B795D">
            <w:pPr>
              <w:jc w:val="center"/>
              <w:rPr>
                <w:rFonts w:ascii="Cambria" w:hAnsi="Cambria"/>
                <w:sz w:val="16"/>
                <w:szCs w:val="16"/>
              </w:rPr>
            </w:pPr>
            <w:r>
              <w:rPr>
                <w:rFonts w:ascii="Cambria" w:hAnsi="Cambria"/>
                <w:sz w:val="16"/>
                <w:szCs w:val="16"/>
              </w:rPr>
              <w:t>161,61</w:t>
            </w:r>
          </w:p>
        </w:tc>
        <w:tc>
          <w:tcPr>
            <w:tcW w:w="585" w:type="pct"/>
            <w:shd w:val="clear" w:color="auto" w:fill="auto"/>
            <w:noWrap/>
            <w:vAlign w:val="center"/>
          </w:tcPr>
          <w:p w:rsidR="009B795D" w:rsidRDefault="009B795D" w:rsidP="009B795D">
            <w:pPr>
              <w:jc w:val="center"/>
              <w:rPr>
                <w:rFonts w:ascii="Cambria" w:hAnsi="Cambria"/>
                <w:sz w:val="16"/>
                <w:szCs w:val="16"/>
              </w:rPr>
            </w:pPr>
            <w:r>
              <w:rPr>
                <w:rFonts w:ascii="Cambria" w:hAnsi="Cambria"/>
                <w:sz w:val="16"/>
                <w:szCs w:val="16"/>
              </w:rPr>
              <w:t>190 862</w:t>
            </w:r>
            <w:r w:rsidRPr="009B795D">
              <w:rPr>
                <w:rFonts w:ascii="Cambria" w:hAnsi="Cambria"/>
                <w:sz w:val="16"/>
                <w:szCs w:val="16"/>
              </w:rPr>
              <w:tab/>
            </w:r>
          </w:p>
        </w:tc>
        <w:tc>
          <w:tcPr>
            <w:tcW w:w="616" w:type="pct"/>
            <w:shd w:val="clear" w:color="auto" w:fill="auto"/>
            <w:noWrap/>
            <w:vAlign w:val="center"/>
          </w:tcPr>
          <w:p w:rsidR="009B795D" w:rsidRDefault="009B795D">
            <w:pPr>
              <w:jc w:val="center"/>
              <w:rPr>
                <w:rFonts w:ascii="Cambria" w:hAnsi="Cambria"/>
                <w:sz w:val="16"/>
                <w:szCs w:val="16"/>
              </w:rPr>
            </w:pPr>
            <w:r>
              <w:rPr>
                <w:rFonts w:ascii="Cambria" w:hAnsi="Cambria"/>
                <w:sz w:val="16"/>
                <w:szCs w:val="16"/>
              </w:rPr>
              <w:t>1/2</w:t>
            </w:r>
          </w:p>
        </w:tc>
        <w:tc>
          <w:tcPr>
            <w:tcW w:w="616" w:type="pct"/>
            <w:vAlign w:val="center"/>
          </w:tcPr>
          <w:p w:rsidR="009B795D" w:rsidRDefault="009B795D" w:rsidP="009B795D">
            <w:pPr>
              <w:jc w:val="center"/>
              <w:rPr>
                <w:rFonts w:ascii="Cambria" w:hAnsi="Cambria"/>
                <w:sz w:val="16"/>
                <w:szCs w:val="16"/>
              </w:rPr>
            </w:pPr>
            <w:r w:rsidRPr="009B795D">
              <w:rPr>
                <w:rFonts w:ascii="Cambria" w:hAnsi="Cambria"/>
                <w:sz w:val="16"/>
                <w:szCs w:val="16"/>
              </w:rPr>
              <w:t>95 400</w:t>
            </w:r>
          </w:p>
        </w:tc>
      </w:tr>
    </w:tbl>
    <w:p w:rsidR="006A199E" w:rsidRPr="0070748F" w:rsidRDefault="006A199E" w:rsidP="006A199E">
      <w:pPr>
        <w:keepNext/>
        <w:spacing w:before="120" w:after="120"/>
        <w:jc w:val="both"/>
        <w:outlineLvl w:val="1"/>
        <w:rPr>
          <w:rFonts w:ascii="Bookman Old Style" w:hAnsi="Bookman Old Style"/>
          <w:b/>
          <w:sz w:val="20"/>
          <w:szCs w:val="20"/>
        </w:rPr>
      </w:pPr>
      <w:bookmarkStart w:id="283" w:name="_Toc419473033"/>
      <w:bookmarkStart w:id="284" w:name="_Toc461375607"/>
      <w:r w:rsidRPr="0070748F">
        <w:rPr>
          <w:rFonts w:ascii="Bookman Old Style" w:hAnsi="Bookman Old Style"/>
          <w:b/>
          <w:sz w:val="20"/>
          <w:szCs w:val="20"/>
        </w:rPr>
        <w:t>5.5. ОПРЕДЕЛЕНИЕ СТОИМОСТИ ИМУЩЕСТВА ДОХОДНЫМ ПОДХОДОМ</w:t>
      </w:r>
      <w:bookmarkEnd w:id="283"/>
      <w:bookmarkEnd w:id="284"/>
    </w:p>
    <w:p w:rsidR="006A199E" w:rsidRPr="0070748F" w:rsidRDefault="006A199E" w:rsidP="006A199E">
      <w:pPr>
        <w:keepNext/>
        <w:spacing w:before="120" w:after="120"/>
        <w:jc w:val="both"/>
        <w:outlineLvl w:val="2"/>
        <w:rPr>
          <w:rFonts w:ascii="Bookman Old Style" w:hAnsi="Bookman Old Style"/>
          <w:b/>
          <w:bCs/>
          <w:sz w:val="20"/>
          <w:szCs w:val="20"/>
        </w:rPr>
      </w:pPr>
      <w:bookmarkStart w:id="285" w:name="_Toc419473034"/>
      <w:bookmarkStart w:id="286" w:name="_Toc461375608"/>
      <w:r w:rsidRPr="0070748F">
        <w:rPr>
          <w:rFonts w:ascii="Bookman Old Style" w:hAnsi="Bookman Old Style"/>
          <w:b/>
          <w:bCs/>
          <w:sz w:val="20"/>
          <w:szCs w:val="20"/>
        </w:rPr>
        <w:t>5.5.1. Выбор метода оценки</w:t>
      </w:r>
      <w:bookmarkEnd w:id="285"/>
      <w:bookmarkEnd w:id="286"/>
      <w:r w:rsidRPr="0070748F">
        <w:rPr>
          <w:rFonts w:ascii="Bookman Old Style" w:hAnsi="Bookman Old Style"/>
          <w:b/>
          <w:bCs/>
          <w:sz w:val="20"/>
          <w:szCs w:val="20"/>
        </w:rPr>
        <w:t xml:space="preserve"> </w:t>
      </w:r>
    </w:p>
    <w:p w:rsidR="006A199E" w:rsidRPr="0070748F" w:rsidRDefault="006A199E" w:rsidP="006A199E">
      <w:pPr>
        <w:spacing w:before="120" w:after="120"/>
        <w:rPr>
          <w:rFonts w:ascii="Bookman Old Style" w:hAnsi="Bookman Old Style"/>
          <w:sz w:val="20"/>
          <w:szCs w:val="20"/>
        </w:rPr>
      </w:pPr>
      <w:r w:rsidRPr="0070748F">
        <w:rPr>
          <w:rFonts w:ascii="Bookman Old Style" w:hAnsi="Bookman Old Style"/>
          <w:sz w:val="20"/>
          <w:szCs w:val="20"/>
        </w:rPr>
        <w:t>Согласно, ФСО № 1 пункт 13</w:t>
      </w:r>
      <w:r w:rsidRPr="0070748F">
        <w:rPr>
          <w:rFonts w:ascii="Bookman Old Style" w:hAnsi="Bookman Old Style"/>
          <w:sz w:val="20"/>
          <w:szCs w:val="20"/>
          <w:vertAlign w:val="superscript"/>
        </w:rPr>
        <w:footnoteReference w:id="51"/>
      </w:r>
      <w:r w:rsidRPr="0070748F">
        <w:rPr>
          <w:rFonts w:ascii="Bookman Old Style" w:hAnsi="Bookman Old Style"/>
          <w:sz w:val="20"/>
          <w:szCs w:val="20"/>
        </w:rPr>
        <w:t>:</w:t>
      </w:r>
    </w:p>
    <w:p w:rsidR="006A199E" w:rsidRPr="0070748F" w:rsidRDefault="006A199E" w:rsidP="006A199E">
      <w:pPr>
        <w:spacing w:before="120" w:after="120"/>
        <w:ind w:firstLine="708"/>
        <w:jc w:val="both"/>
        <w:rPr>
          <w:rFonts w:ascii="Bookman Old Style" w:hAnsi="Bookman Old Style"/>
          <w:sz w:val="20"/>
          <w:szCs w:val="20"/>
        </w:rPr>
      </w:pPr>
      <w:r w:rsidRPr="0070748F">
        <w:rPr>
          <w:rFonts w:ascii="Bookman Old Style" w:hAnsi="Bookman Old Style"/>
          <w:sz w:val="20"/>
          <w:szCs w:val="20"/>
        </w:rPr>
        <w:t>«Доходный подход - совокупность методов оценки стоимости объекта оценки, основанных на определении ожидаемых доходов от использования объекта оценки».</w:t>
      </w:r>
    </w:p>
    <w:p w:rsidR="006A199E" w:rsidRPr="006A199E" w:rsidRDefault="006A199E" w:rsidP="006A199E">
      <w:pPr>
        <w:spacing w:before="120" w:after="120"/>
        <w:ind w:firstLine="708"/>
        <w:jc w:val="both"/>
        <w:rPr>
          <w:rFonts w:ascii="Bookman Old Style" w:hAnsi="Bookman Old Style"/>
          <w:sz w:val="20"/>
          <w:szCs w:val="20"/>
        </w:rPr>
      </w:pPr>
      <w:r w:rsidRPr="0070748F">
        <w:rPr>
          <w:rFonts w:ascii="Bookman Old Style" w:hAnsi="Bookman Old Style"/>
          <w:sz w:val="20"/>
          <w:szCs w:val="20"/>
        </w:rPr>
        <w:t>ФСО</w:t>
      </w:r>
      <w:r w:rsidRPr="006A199E">
        <w:rPr>
          <w:rFonts w:ascii="Bookman Old Style" w:hAnsi="Bookman Old Style"/>
          <w:sz w:val="20"/>
          <w:szCs w:val="20"/>
        </w:rPr>
        <w:t xml:space="preserve"> № 1 пункт 21:</w:t>
      </w:r>
    </w:p>
    <w:p w:rsidR="006A199E" w:rsidRDefault="006A199E" w:rsidP="006A199E">
      <w:pPr>
        <w:spacing w:before="120" w:after="120"/>
        <w:ind w:firstLine="708"/>
        <w:jc w:val="both"/>
        <w:rPr>
          <w:rFonts w:ascii="Bookman Old Style" w:hAnsi="Bookman Old Style"/>
          <w:bCs/>
          <w:sz w:val="20"/>
          <w:szCs w:val="20"/>
        </w:rPr>
      </w:pPr>
      <w:r w:rsidRPr="006A199E">
        <w:rPr>
          <w:rFonts w:ascii="Bookman Old Style" w:hAnsi="Bookman Old Style"/>
          <w:bCs/>
          <w:sz w:val="20"/>
          <w:szCs w:val="20"/>
        </w:rPr>
        <w:t>«Доходный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 При применении доходного подхода оценщик определяет величину будущих доходов и расходов и моменты их получения.</w:t>
      </w:r>
    </w:p>
    <w:p w:rsidR="006A199E" w:rsidRPr="006A199E" w:rsidRDefault="006A199E" w:rsidP="006A199E">
      <w:pPr>
        <w:spacing w:before="120" w:after="120"/>
        <w:ind w:firstLine="708"/>
        <w:jc w:val="both"/>
        <w:rPr>
          <w:rFonts w:ascii="Bookman Old Style" w:hAnsi="Bookman Old Style"/>
          <w:bCs/>
          <w:sz w:val="20"/>
          <w:szCs w:val="20"/>
        </w:rPr>
      </w:pPr>
      <w:r w:rsidRPr="006A199E">
        <w:rPr>
          <w:rFonts w:ascii="Bookman Old Style" w:hAnsi="Bookman Old Style"/>
          <w:bCs/>
          <w:sz w:val="20"/>
          <w:szCs w:val="20"/>
        </w:rPr>
        <w:t>Применяя доходный подход к оценке, оценщик должен:</w:t>
      </w:r>
    </w:p>
    <w:p w:rsidR="006A199E" w:rsidRPr="006A199E" w:rsidRDefault="006A199E" w:rsidP="005F04AC">
      <w:pPr>
        <w:numPr>
          <w:ilvl w:val="0"/>
          <w:numId w:val="45"/>
        </w:numPr>
        <w:spacing w:before="120" w:after="120"/>
        <w:ind w:left="714" w:hanging="357"/>
        <w:jc w:val="both"/>
        <w:rPr>
          <w:rFonts w:ascii="Bookman Old Style" w:hAnsi="Bookman Old Style"/>
          <w:bCs/>
          <w:sz w:val="20"/>
          <w:szCs w:val="20"/>
        </w:rPr>
      </w:pPr>
      <w:bookmarkStart w:id="287" w:name="_Toc285494280"/>
      <w:r w:rsidRPr="006A199E">
        <w:rPr>
          <w:rFonts w:ascii="Bookman Old Style" w:hAnsi="Bookman Old Style"/>
          <w:bCs/>
          <w:sz w:val="20"/>
          <w:szCs w:val="20"/>
        </w:rPr>
        <w:lastRenderedPageBreak/>
        <w:t>установить период прогнозирования. Под периодом прогнозирования понимается период в будущем, на который от даты оценки производится прогнозирование количественных характеристик факторов, влияющих на величину будущих доходов;</w:t>
      </w:r>
      <w:bookmarkEnd w:id="287"/>
    </w:p>
    <w:p w:rsidR="006A199E" w:rsidRPr="006A199E" w:rsidRDefault="006A199E" w:rsidP="005F04AC">
      <w:pPr>
        <w:numPr>
          <w:ilvl w:val="0"/>
          <w:numId w:val="45"/>
        </w:numPr>
        <w:spacing w:before="120" w:after="120"/>
        <w:ind w:left="714" w:hanging="357"/>
        <w:jc w:val="both"/>
        <w:rPr>
          <w:rFonts w:ascii="Bookman Old Style" w:hAnsi="Bookman Old Style"/>
          <w:bCs/>
          <w:sz w:val="20"/>
          <w:szCs w:val="20"/>
        </w:rPr>
      </w:pPr>
      <w:bookmarkStart w:id="288" w:name="_Toc285494281"/>
      <w:proofErr w:type="gramStart"/>
      <w:r w:rsidRPr="006A199E">
        <w:rPr>
          <w:rFonts w:ascii="Bookman Old Style" w:hAnsi="Bookman Old Style"/>
          <w:bCs/>
          <w:sz w:val="20"/>
          <w:szCs w:val="20"/>
        </w:rPr>
        <w:t>исследовать способность объекта оценки приносить поток доходов в течение периода прогнозирования, а также сделать заключение о способности объекта приносить поток доходов в период после периода прогнозирования;</w:t>
      </w:r>
      <w:bookmarkEnd w:id="288"/>
      <w:proofErr w:type="gramEnd"/>
    </w:p>
    <w:p w:rsidR="006A199E" w:rsidRPr="006A199E" w:rsidRDefault="006A199E" w:rsidP="005F04AC">
      <w:pPr>
        <w:numPr>
          <w:ilvl w:val="0"/>
          <w:numId w:val="45"/>
        </w:numPr>
        <w:spacing w:before="120" w:after="120"/>
        <w:ind w:left="714" w:hanging="357"/>
        <w:jc w:val="both"/>
        <w:rPr>
          <w:rFonts w:ascii="Bookman Old Style" w:hAnsi="Bookman Old Style"/>
          <w:bCs/>
          <w:sz w:val="20"/>
          <w:szCs w:val="20"/>
        </w:rPr>
      </w:pPr>
      <w:bookmarkStart w:id="289" w:name="_Toc285494282"/>
      <w:r w:rsidRPr="006A199E">
        <w:rPr>
          <w:rFonts w:ascii="Bookman Old Style" w:hAnsi="Bookman Old Style"/>
          <w:bCs/>
          <w:sz w:val="20"/>
          <w:szCs w:val="20"/>
        </w:rPr>
        <w:t>определить ставку дисконтирования, отражающую доходность вложений в сопоставимые с объектом оценки по уровню риска объекты инвестирования, используемую для приведения будущих потоков доходов к дате оценки;</w:t>
      </w:r>
      <w:bookmarkEnd w:id="289"/>
    </w:p>
    <w:p w:rsidR="006A199E" w:rsidRPr="006A199E" w:rsidRDefault="006A199E" w:rsidP="005F04AC">
      <w:pPr>
        <w:numPr>
          <w:ilvl w:val="0"/>
          <w:numId w:val="45"/>
        </w:numPr>
        <w:spacing w:before="120" w:after="120"/>
        <w:ind w:left="714" w:hanging="357"/>
        <w:jc w:val="both"/>
        <w:rPr>
          <w:rFonts w:ascii="Bookman Old Style" w:hAnsi="Bookman Old Style"/>
          <w:bCs/>
          <w:sz w:val="20"/>
          <w:szCs w:val="20"/>
        </w:rPr>
      </w:pPr>
      <w:bookmarkStart w:id="290" w:name="_Toc285494283"/>
      <w:r w:rsidRPr="006A199E">
        <w:rPr>
          <w:rFonts w:ascii="Bookman Old Style" w:hAnsi="Bookman Old Style"/>
          <w:bCs/>
          <w:sz w:val="20"/>
          <w:szCs w:val="20"/>
        </w:rPr>
        <w:t>осуществить процедуру приведения потока ожидаемых доходов в период прогнозирования, а также доходов после периода прогнозирования в стоимость на дату оценки».</w:t>
      </w:r>
      <w:bookmarkEnd w:id="290"/>
    </w:p>
    <w:p w:rsidR="006A199E" w:rsidRPr="006A199E" w:rsidRDefault="006A199E" w:rsidP="006A199E">
      <w:pPr>
        <w:spacing w:before="120" w:after="120"/>
        <w:ind w:firstLine="708"/>
        <w:jc w:val="both"/>
        <w:rPr>
          <w:rFonts w:ascii="Bookman Old Style" w:hAnsi="Bookman Old Style"/>
          <w:sz w:val="20"/>
          <w:szCs w:val="20"/>
        </w:rPr>
      </w:pPr>
      <w:r w:rsidRPr="006A199E">
        <w:rPr>
          <w:rFonts w:ascii="Bookman Old Style" w:hAnsi="Bookman Old Style"/>
          <w:sz w:val="20"/>
          <w:szCs w:val="20"/>
        </w:rPr>
        <w:t>Основываясь на вышеперечисленных факторах, проведен расчет рыночной стоимости Объекта оценки.</w:t>
      </w:r>
    </w:p>
    <w:p w:rsidR="006A199E" w:rsidRPr="006A199E" w:rsidRDefault="006A199E" w:rsidP="006A199E">
      <w:pPr>
        <w:spacing w:before="120" w:after="120"/>
        <w:ind w:firstLine="708"/>
        <w:jc w:val="both"/>
        <w:rPr>
          <w:rFonts w:ascii="Bookman Old Style" w:hAnsi="Bookman Old Style"/>
          <w:sz w:val="20"/>
          <w:szCs w:val="20"/>
        </w:rPr>
      </w:pPr>
      <w:r w:rsidRPr="006A199E">
        <w:rPr>
          <w:rFonts w:ascii="Bookman Old Style" w:hAnsi="Bookman Old Style"/>
          <w:sz w:val="20"/>
          <w:szCs w:val="20"/>
        </w:rPr>
        <w:t>Для реализации методов доходного подхода, оценщик применил:</w:t>
      </w:r>
    </w:p>
    <w:p w:rsidR="006A199E" w:rsidRPr="006A199E" w:rsidRDefault="006A199E" w:rsidP="005F04AC">
      <w:pPr>
        <w:numPr>
          <w:ilvl w:val="0"/>
          <w:numId w:val="14"/>
        </w:numPr>
        <w:spacing w:before="120" w:after="120"/>
        <w:ind w:left="714" w:hanging="357"/>
        <w:jc w:val="both"/>
        <w:rPr>
          <w:rFonts w:ascii="Bookman Old Style" w:hAnsi="Bookman Old Style"/>
          <w:sz w:val="20"/>
          <w:szCs w:val="20"/>
        </w:rPr>
      </w:pPr>
      <w:r w:rsidRPr="006A199E">
        <w:rPr>
          <w:rFonts w:ascii="Bookman Old Style" w:hAnsi="Bookman Old Style"/>
          <w:sz w:val="20"/>
          <w:szCs w:val="20"/>
        </w:rPr>
        <w:t>«метод капитализации по расчетной модели»;</w:t>
      </w:r>
    </w:p>
    <w:p w:rsidR="00BF325B" w:rsidRPr="009328E0" w:rsidRDefault="00BF325B" w:rsidP="00BF325B">
      <w:pPr>
        <w:spacing w:before="120" w:after="120"/>
        <w:ind w:firstLine="709"/>
        <w:jc w:val="both"/>
        <w:rPr>
          <w:rFonts w:ascii="Bookman Old Style" w:hAnsi="Bookman Old Style"/>
          <w:sz w:val="20"/>
          <w:szCs w:val="20"/>
        </w:rPr>
      </w:pPr>
      <w:r w:rsidRPr="009328E0">
        <w:rPr>
          <w:rFonts w:ascii="Bookman Old Style" w:hAnsi="Bookman Old Style"/>
          <w:sz w:val="20"/>
          <w:szCs w:val="20"/>
        </w:rPr>
        <w:t>Метод предполагает следующую последовательность действий: для оценки рыночной стоимости типичный годовой доход преобразуется в стоимость с использованием формализованных расчетных моделей дохода и стоимости, на основе анализа изменения тенденций в будущем.</w:t>
      </w:r>
    </w:p>
    <w:p w:rsidR="00BF325B" w:rsidRPr="009328E0" w:rsidRDefault="00BF325B" w:rsidP="00BF325B">
      <w:pPr>
        <w:spacing w:before="120" w:after="120"/>
        <w:ind w:firstLine="709"/>
        <w:jc w:val="both"/>
        <w:rPr>
          <w:rFonts w:ascii="Bookman Old Style" w:hAnsi="Bookman Old Style"/>
          <w:sz w:val="20"/>
          <w:szCs w:val="20"/>
        </w:rPr>
      </w:pPr>
      <w:r w:rsidRPr="009328E0">
        <w:rPr>
          <w:rFonts w:ascii="Bookman Old Style" w:hAnsi="Bookman Old Style"/>
          <w:sz w:val="20"/>
          <w:szCs w:val="20"/>
        </w:rPr>
        <w:t xml:space="preserve">Допущения </w:t>
      </w:r>
      <w:proofErr w:type="gramStart"/>
      <w:r w:rsidRPr="009328E0">
        <w:rPr>
          <w:rFonts w:ascii="Bookman Old Style" w:hAnsi="Bookman Old Style"/>
          <w:sz w:val="20"/>
          <w:szCs w:val="20"/>
        </w:rPr>
        <w:t>о</w:t>
      </w:r>
      <w:proofErr w:type="gramEnd"/>
      <w:r w:rsidRPr="009328E0">
        <w:rPr>
          <w:rFonts w:ascii="Bookman Old Style" w:hAnsi="Bookman Old Style"/>
          <w:sz w:val="20"/>
          <w:szCs w:val="20"/>
        </w:rPr>
        <w:t xml:space="preserve"> ограничения использования метода: </w:t>
      </w:r>
    </w:p>
    <w:p w:rsidR="00BF325B" w:rsidRPr="009328E0" w:rsidRDefault="00BF325B" w:rsidP="005F04AC">
      <w:pPr>
        <w:numPr>
          <w:ilvl w:val="0"/>
          <w:numId w:val="61"/>
        </w:numPr>
        <w:spacing w:before="120" w:after="120"/>
        <w:rPr>
          <w:rFonts w:ascii="Bookman Old Style" w:hAnsi="Bookman Old Style"/>
          <w:sz w:val="20"/>
          <w:szCs w:val="20"/>
        </w:rPr>
      </w:pPr>
      <w:r w:rsidRPr="009328E0">
        <w:rPr>
          <w:rFonts w:ascii="Bookman Old Style" w:hAnsi="Bookman Old Style"/>
          <w:sz w:val="20"/>
          <w:szCs w:val="20"/>
        </w:rPr>
        <w:t xml:space="preserve">Применяемая в расчете модель </w:t>
      </w:r>
      <w:proofErr w:type="spellStart"/>
      <w:r w:rsidRPr="009328E0">
        <w:rPr>
          <w:rFonts w:ascii="Bookman Old Style" w:hAnsi="Bookman Old Style"/>
          <w:sz w:val="20"/>
          <w:szCs w:val="20"/>
        </w:rPr>
        <w:t>Инвуда</w:t>
      </w:r>
      <w:proofErr w:type="spellEnd"/>
      <w:r w:rsidRPr="009328E0">
        <w:rPr>
          <w:rFonts w:ascii="Bookman Old Style" w:hAnsi="Bookman Old Style"/>
          <w:sz w:val="20"/>
          <w:szCs w:val="20"/>
        </w:rPr>
        <w:t xml:space="preserve"> получена из традиционной формулы дисконтирования денежного потока и при одинаковых допущениях приводит к одним и тем же результатам. </w:t>
      </w:r>
    </w:p>
    <w:p w:rsidR="00BF325B" w:rsidRPr="009328E0" w:rsidRDefault="00BF325B" w:rsidP="005F04AC">
      <w:pPr>
        <w:numPr>
          <w:ilvl w:val="0"/>
          <w:numId w:val="61"/>
        </w:numPr>
        <w:spacing w:before="120" w:after="120"/>
        <w:jc w:val="both"/>
        <w:rPr>
          <w:rFonts w:ascii="Bookman Old Style" w:hAnsi="Bookman Old Style"/>
          <w:sz w:val="20"/>
          <w:szCs w:val="20"/>
        </w:rPr>
      </w:pPr>
      <w:r w:rsidRPr="009328E0">
        <w:rPr>
          <w:rFonts w:ascii="Bookman Old Style" w:hAnsi="Bookman Old Style"/>
          <w:sz w:val="20"/>
          <w:szCs w:val="20"/>
        </w:rPr>
        <w:t>В качестве прогнозного периода принимается ожидаемый срок эксплуатации объекта.</w:t>
      </w:r>
    </w:p>
    <w:p w:rsidR="00BF325B" w:rsidRPr="009328E0" w:rsidRDefault="00BF325B" w:rsidP="005F04AC">
      <w:pPr>
        <w:numPr>
          <w:ilvl w:val="0"/>
          <w:numId w:val="61"/>
        </w:numPr>
        <w:spacing w:before="120" w:after="120"/>
        <w:jc w:val="both"/>
        <w:rPr>
          <w:rFonts w:ascii="Bookman Old Style" w:hAnsi="Bookman Old Style"/>
          <w:sz w:val="20"/>
          <w:szCs w:val="20"/>
        </w:rPr>
      </w:pPr>
      <w:r>
        <w:rPr>
          <w:rFonts w:ascii="Bookman Old Style" w:hAnsi="Bookman Old Style"/>
          <w:sz w:val="20"/>
          <w:szCs w:val="20"/>
        </w:rPr>
        <w:t>В течение</w:t>
      </w:r>
      <w:r w:rsidRPr="009328E0">
        <w:rPr>
          <w:rFonts w:ascii="Bookman Old Style" w:hAnsi="Bookman Old Style"/>
          <w:sz w:val="20"/>
          <w:szCs w:val="20"/>
        </w:rPr>
        <w:t xml:space="preserve"> всего срока эксплуатации объект приносит постоянный доход.</w:t>
      </w:r>
    </w:p>
    <w:p w:rsidR="00BF325B" w:rsidRPr="009328E0" w:rsidRDefault="00BF325B" w:rsidP="005F04AC">
      <w:pPr>
        <w:numPr>
          <w:ilvl w:val="0"/>
          <w:numId w:val="61"/>
        </w:numPr>
        <w:spacing w:before="120" w:after="120"/>
        <w:jc w:val="both"/>
        <w:rPr>
          <w:rFonts w:ascii="Bookman Old Style" w:hAnsi="Bookman Old Style"/>
          <w:sz w:val="20"/>
          <w:szCs w:val="20"/>
        </w:rPr>
      </w:pPr>
      <w:r w:rsidRPr="009328E0">
        <w:rPr>
          <w:rFonts w:ascii="Bookman Old Style" w:hAnsi="Bookman Old Style"/>
          <w:sz w:val="20"/>
          <w:szCs w:val="20"/>
        </w:rPr>
        <w:t>Ежегодные платежи образованные чистым операционным доходом поступают в конце каждого периода.</w:t>
      </w:r>
    </w:p>
    <w:p w:rsidR="00BF325B" w:rsidRPr="009328E0" w:rsidRDefault="00BF325B" w:rsidP="005F04AC">
      <w:pPr>
        <w:numPr>
          <w:ilvl w:val="0"/>
          <w:numId w:val="61"/>
        </w:numPr>
        <w:spacing w:before="120" w:after="120"/>
        <w:jc w:val="both"/>
        <w:rPr>
          <w:rFonts w:ascii="Bookman Old Style" w:hAnsi="Bookman Old Style"/>
          <w:sz w:val="20"/>
          <w:szCs w:val="20"/>
        </w:rPr>
      </w:pPr>
      <w:r w:rsidRPr="009328E0">
        <w:rPr>
          <w:rFonts w:ascii="Bookman Old Style" w:hAnsi="Bookman Old Style"/>
          <w:sz w:val="20"/>
          <w:szCs w:val="20"/>
        </w:rPr>
        <w:t>По окончании срока эксплуатации объект полностью утрачивает свою стоимость.</w:t>
      </w:r>
    </w:p>
    <w:p w:rsidR="00BF325B" w:rsidRPr="009328E0" w:rsidRDefault="00BF325B" w:rsidP="00BF325B">
      <w:pPr>
        <w:spacing w:before="120" w:after="120"/>
        <w:ind w:firstLine="709"/>
        <w:jc w:val="both"/>
        <w:rPr>
          <w:rFonts w:ascii="Bookman Old Style" w:hAnsi="Bookman Old Style"/>
          <w:sz w:val="20"/>
          <w:szCs w:val="20"/>
        </w:rPr>
      </w:pPr>
      <w:r w:rsidRPr="009328E0">
        <w:rPr>
          <w:rFonts w:ascii="Bookman Old Style" w:hAnsi="Bookman Old Style"/>
          <w:sz w:val="20"/>
          <w:szCs w:val="20"/>
        </w:rPr>
        <w:t>Выбор метода оценки объясняется наличием достаточной и достоверной информации для его реализации.</w:t>
      </w:r>
    </w:p>
    <w:p w:rsidR="00BF325B" w:rsidRPr="009328E0" w:rsidRDefault="00BF325B" w:rsidP="00BF325B">
      <w:pPr>
        <w:spacing w:before="120" w:after="120"/>
        <w:jc w:val="both"/>
        <w:rPr>
          <w:rFonts w:ascii="Bookman Old Style" w:hAnsi="Bookman Old Style"/>
          <w:sz w:val="20"/>
          <w:szCs w:val="20"/>
        </w:rPr>
      </w:pPr>
      <w:r w:rsidRPr="009328E0">
        <w:rPr>
          <w:rFonts w:ascii="Bookman Old Style" w:hAnsi="Bookman Old Style"/>
          <w:sz w:val="20"/>
          <w:szCs w:val="20"/>
        </w:rPr>
        <w:tab/>
        <w:t>Исходя из общего случая определения стоимости по данному методу, применима формула</w:t>
      </w:r>
      <w:r w:rsidRPr="009328E0">
        <w:rPr>
          <w:rFonts w:ascii="Bookman Old Style" w:hAnsi="Bookman Old Style"/>
          <w:sz w:val="20"/>
          <w:szCs w:val="20"/>
          <w:vertAlign w:val="superscript"/>
        </w:rPr>
        <w:footnoteReference w:id="52"/>
      </w:r>
      <w:r w:rsidRPr="009328E0">
        <w:rPr>
          <w:rFonts w:ascii="Bookman Old Style" w:hAnsi="Bookman Old Style"/>
          <w:sz w:val="20"/>
          <w:szCs w:val="20"/>
        </w:rPr>
        <w:t>:</w:t>
      </w:r>
    </w:p>
    <w:p w:rsidR="00BF325B" w:rsidRPr="009328E0" w:rsidRDefault="00BF325B" w:rsidP="00BF325B">
      <w:pPr>
        <w:spacing w:before="120" w:after="120"/>
        <w:jc w:val="center"/>
        <w:rPr>
          <w:rFonts w:ascii="Bookman Old Style" w:hAnsi="Bookman Old Style"/>
          <w:sz w:val="20"/>
          <w:szCs w:val="20"/>
        </w:rPr>
      </w:pPr>
      <m:oMathPara>
        <m:oMath>
          <m:r>
            <w:rPr>
              <w:rFonts w:ascii="Cambria Math" w:hAnsi="Cambria Math"/>
              <w:sz w:val="20"/>
              <w:szCs w:val="20"/>
            </w:rPr>
            <m:t>V=</m:t>
          </m:r>
          <m:f>
            <m:fPr>
              <m:ctrlPr>
                <w:rPr>
                  <w:rFonts w:ascii="Cambria Math" w:hAnsi="Cambria Math"/>
                  <w:i/>
                </w:rPr>
              </m:ctrlPr>
            </m:fPr>
            <m:num>
              <m:r>
                <w:rPr>
                  <w:rFonts w:ascii="Cambria Math" w:hAnsi="Cambria Math"/>
                  <w:sz w:val="20"/>
                  <w:szCs w:val="20"/>
                </w:rPr>
                <m:t>I</m:t>
              </m:r>
            </m:num>
            <m:den>
              <m:r>
                <w:rPr>
                  <w:rFonts w:ascii="Cambria Math" w:hAnsi="Cambria Math"/>
                  <w:sz w:val="20"/>
                  <w:szCs w:val="20"/>
                  <w:lang w:val="en-US"/>
                </w:rPr>
                <m:t>R</m:t>
              </m:r>
            </m:den>
          </m:f>
          <m:r>
            <w:rPr>
              <w:rFonts w:ascii="Cambria Math" w:hAnsi="Cambria Math"/>
              <w:sz w:val="20"/>
              <w:szCs w:val="20"/>
            </w:rPr>
            <m:t>=</m:t>
          </m:r>
          <m:f>
            <m:fPr>
              <m:ctrlPr>
                <w:rPr>
                  <w:rFonts w:ascii="Cambria Math" w:hAnsi="Cambria Math"/>
                  <w:i/>
                </w:rPr>
              </m:ctrlPr>
            </m:fPr>
            <m:num>
              <m:r>
                <w:rPr>
                  <w:rFonts w:ascii="Cambria Math" w:hAnsi="Cambria Math"/>
                  <w:sz w:val="20"/>
                  <w:szCs w:val="20"/>
                </w:rPr>
                <m:t>I</m:t>
              </m:r>
            </m:num>
            <m:den>
              <m:r>
                <w:rPr>
                  <w:rFonts w:ascii="Cambria Math" w:hAnsi="Cambria Math"/>
                  <w:sz w:val="20"/>
                  <w:szCs w:val="20"/>
                </w:rPr>
                <m:t>r+</m:t>
              </m:r>
              <m:r>
                <w:rPr>
                  <w:rFonts w:ascii="Cambria Math" w:hAnsi="Cambria Math"/>
                  <w:sz w:val="20"/>
                  <w:szCs w:val="20"/>
                  <w:lang w:val="en-US"/>
                </w:rPr>
                <m:t>SFF(k,</m:t>
              </m:r>
              <m:sSub>
                <m:sSubPr>
                  <m:ctrlPr>
                    <w:rPr>
                      <w:rFonts w:ascii="Cambria Math" w:hAnsi="Cambria Math"/>
                      <w:i/>
                      <w:lang w:val="en-US"/>
                    </w:rPr>
                  </m:ctrlPr>
                </m:sSubPr>
                <m:e>
                  <m:r>
                    <w:rPr>
                      <w:rFonts w:ascii="Cambria Math" w:hAnsi="Cambria Math"/>
                      <w:sz w:val="20"/>
                      <w:szCs w:val="20"/>
                      <w:lang w:val="en-US"/>
                    </w:rPr>
                    <m:t>i</m:t>
                  </m:r>
                </m:e>
                <m:sub>
                  <m:r>
                    <w:rPr>
                      <w:rFonts w:ascii="Cambria Math" w:hAnsi="Cambria Math"/>
                      <w:sz w:val="20"/>
                      <w:szCs w:val="20"/>
                      <w:lang w:val="en-US"/>
                    </w:rPr>
                    <m:t>p</m:t>
                  </m:r>
                </m:sub>
              </m:sSub>
              <m:r>
                <w:rPr>
                  <w:rFonts w:ascii="Cambria Math" w:hAnsi="Cambria Math"/>
                  <w:sz w:val="20"/>
                  <w:szCs w:val="20"/>
                  <w:lang w:val="en-US"/>
                </w:rPr>
                <m:t>)</m:t>
              </m:r>
            </m:den>
          </m:f>
        </m:oMath>
      </m:oMathPara>
    </w:p>
    <w:p w:rsidR="00BF325B" w:rsidRPr="009328E0" w:rsidRDefault="00BF325B" w:rsidP="00BF325B">
      <w:pPr>
        <w:spacing w:before="120" w:after="120"/>
        <w:ind w:firstLine="708"/>
        <w:jc w:val="both"/>
        <w:rPr>
          <w:rFonts w:ascii="Bookman Old Style" w:hAnsi="Bookman Old Style"/>
          <w:sz w:val="20"/>
          <w:szCs w:val="20"/>
        </w:rPr>
      </w:pPr>
      <w:r w:rsidRPr="009328E0">
        <w:rPr>
          <w:rFonts w:ascii="Bookman Old Style" w:hAnsi="Bookman Old Style"/>
          <w:sz w:val="20"/>
          <w:szCs w:val="20"/>
        </w:rPr>
        <w:t xml:space="preserve">Где: </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V</w:t>
      </w:r>
      <w:r w:rsidRPr="009328E0">
        <w:rPr>
          <w:rFonts w:ascii="Bookman Old Style" w:hAnsi="Bookman Old Style"/>
          <w:sz w:val="20"/>
          <w:szCs w:val="20"/>
        </w:rPr>
        <w:t xml:space="preserve"> – </w:t>
      </w:r>
      <w:proofErr w:type="gramStart"/>
      <w:r w:rsidRPr="009328E0">
        <w:rPr>
          <w:rFonts w:ascii="Bookman Old Style" w:hAnsi="Bookman Old Style"/>
          <w:sz w:val="20"/>
          <w:szCs w:val="20"/>
        </w:rPr>
        <w:t>стоимость</w:t>
      </w:r>
      <w:proofErr w:type="gramEnd"/>
      <w:r w:rsidRPr="009328E0">
        <w:rPr>
          <w:rFonts w:ascii="Bookman Old Style" w:hAnsi="Bookman Old Style"/>
          <w:sz w:val="20"/>
          <w:szCs w:val="20"/>
        </w:rPr>
        <w:t xml:space="preserve"> оцениваемого объекта;</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I</w:t>
      </w:r>
      <w:r w:rsidRPr="009328E0">
        <w:rPr>
          <w:rFonts w:ascii="Bookman Old Style" w:hAnsi="Bookman Old Style"/>
          <w:sz w:val="20"/>
          <w:szCs w:val="20"/>
        </w:rPr>
        <w:t xml:space="preserve"> – чистый операционный доход от эксплуатации недвижимости;</w:t>
      </w:r>
    </w:p>
    <w:p w:rsidR="00BF325B" w:rsidRPr="009328E0" w:rsidRDefault="00BF325B" w:rsidP="00BF325B">
      <w:pPr>
        <w:spacing w:before="120" w:after="120"/>
        <w:ind w:firstLine="708"/>
        <w:rPr>
          <w:rFonts w:ascii="Bookman Old Style" w:hAnsi="Bookman Old Style"/>
          <w:sz w:val="20"/>
          <w:szCs w:val="20"/>
        </w:rPr>
      </w:pPr>
      <w:proofErr w:type="gramStart"/>
      <w:r w:rsidRPr="009328E0">
        <w:rPr>
          <w:rFonts w:ascii="Bookman Old Style" w:hAnsi="Bookman Old Style"/>
          <w:sz w:val="20"/>
          <w:szCs w:val="20"/>
          <w:lang w:val="en-US"/>
        </w:rPr>
        <w:t>SFF</w:t>
      </w:r>
      <w:r w:rsidRPr="009328E0">
        <w:rPr>
          <w:rFonts w:ascii="Bookman Old Style" w:hAnsi="Bookman Old Style"/>
          <w:sz w:val="20"/>
          <w:szCs w:val="20"/>
        </w:rPr>
        <w:t>(</w:t>
      </w:r>
      <w:proofErr w:type="gramEnd"/>
      <w:r w:rsidRPr="009328E0">
        <w:rPr>
          <w:rFonts w:ascii="Bookman Old Style" w:hAnsi="Bookman Old Style"/>
          <w:sz w:val="20"/>
          <w:szCs w:val="20"/>
          <w:lang w:val="en-US"/>
        </w:rPr>
        <w:t>k</w:t>
      </w:r>
      <w:r w:rsidRPr="009328E0">
        <w:rPr>
          <w:rFonts w:ascii="Bookman Old Style" w:hAnsi="Bookman Old Style"/>
          <w:sz w:val="20"/>
          <w:szCs w:val="20"/>
        </w:rPr>
        <w:t>,</w:t>
      </w:r>
      <w:proofErr w:type="spellStart"/>
      <w:r w:rsidRPr="009328E0">
        <w:rPr>
          <w:rFonts w:ascii="Bookman Old Style" w:hAnsi="Bookman Old Style"/>
          <w:sz w:val="20"/>
          <w:szCs w:val="20"/>
          <w:lang w:val="en-US"/>
        </w:rPr>
        <w:t>i</w:t>
      </w:r>
      <w:r w:rsidRPr="009328E0">
        <w:rPr>
          <w:rFonts w:ascii="Bookman Old Style" w:hAnsi="Bookman Old Style"/>
          <w:sz w:val="20"/>
          <w:szCs w:val="20"/>
          <w:vertAlign w:val="subscript"/>
          <w:lang w:val="en-US"/>
        </w:rPr>
        <w:t>p</w:t>
      </w:r>
      <w:proofErr w:type="spellEnd"/>
      <w:r w:rsidRPr="009328E0">
        <w:rPr>
          <w:rFonts w:ascii="Bookman Old Style" w:hAnsi="Bookman Old Style"/>
          <w:sz w:val="20"/>
          <w:szCs w:val="20"/>
        </w:rPr>
        <w:t>) – фактор фонда возмещения;</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r</w:t>
      </w:r>
      <w:r w:rsidRPr="009328E0">
        <w:rPr>
          <w:rFonts w:ascii="Bookman Old Style" w:hAnsi="Bookman Old Style"/>
          <w:sz w:val="20"/>
          <w:szCs w:val="20"/>
        </w:rPr>
        <w:t xml:space="preserve"> – </w:t>
      </w:r>
      <w:proofErr w:type="gramStart"/>
      <w:r w:rsidRPr="009328E0">
        <w:rPr>
          <w:rFonts w:ascii="Bookman Old Style" w:hAnsi="Bookman Old Style"/>
          <w:sz w:val="20"/>
          <w:szCs w:val="20"/>
        </w:rPr>
        <w:t>текущая</w:t>
      </w:r>
      <w:proofErr w:type="gramEnd"/>
      <w:r w:rsidRPr="009328E0">
        <w:rPr>
          <w:rFonts w:ascii="Bookman Old Style" w:hAnsi="Bookman Old Style"/>
          <w:sz w:val="20"/>
          <w:szCs w:val="20"/>
        </w:rPr>
        <w:t xml:space="preserve"> доходность;</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R</w:t>
      </w:r>
      <w:r w:rsidRPr="009328E0">
        <w:rPr>
          <w:rFonts w:ascii="Bookman Old Style" w:hAnsi="Bookman Old Style"/>
          <w:sz w:val="20"/>
          <w:szCs w:val="20"/>
        </w:rPr>
        <w:t xml:space="preserve"> – </w:t>
      </w:r>
      <w:proofErr w:type="gramStart"/>
      <w:r w:rsidRPr="009328E0">
        <w:rPr>
          <w:rFonts w:ascii="Bookman Old Style" w:hAnsi="Bookman Old Style"/>
          <w:sz w:val="20"/>
          <w:szCs w:val="20"/>
        </w:rPr>
        <w:t>коэффициент</w:t>
      </w:r>
      <w:proofErr w:type="gramEnd"/>
      <w:r w:rsidRPr="009328E0">
        <w:rPr>
          <w:rFonts w:ascii="Bookman Old Style" w:hAnsi="Bookman Old Style"/>
          <w:sz w:val="20"/>
          <w:szCs w:val="20"/>
        </w:rPr>
        <w:t xml:space="preserve"> капитализации.</w:t>
      </w:r>
    </w:p>
    <w:p w:rsidR="006A199E" w:rsidRPr="006A199E" w:rsidRDefault="006A199E" w:rsidP="006A199E">
      <w:pPr>
        <w:keepNext/>
        <w:spacing w:before="100" w:after="100"/>
        <w:jc w:val="both"/>
        <w:outlineLvl w:val="2"/>
        <w:rPr>
          <w:rFonts w:ascii="Bookman Old Style" w:hAnsi="Bookman Old Style"/>
          <w:b/>
          <w:bCs/>
          <w:sz w:val="20"/>
          <w:szCs w:val="20"/>
        </w:rPr>
      </w:pPr>
      <w:bookmarkStart w:id="291" w:name="_Toc419473035"/>
      <w:bookmarkStart w:id="292" w:name="_Toc461375609"/>
      <w:r w:rsidRPr="006A199E">
        <w:rPr>
          <w:rFonts w:ascii="Bookman Old Style" w:hAnsi="Bookman Old Style"/>
          <w:b/>
          <w:bCs/>
          <w:sz w:val="20"/>
          <w:szCs w:val="20"/>
        </w:rPr>
        <w:t xml:space="preserve">5.5.2. Расчет арендной ставки </w:t>
      </w:r>
      <w:r>
        <w:rPr>
          <w:rFonts w:ascii="Bookman Old Style" w:hAnsi="Bookman Old Style"/>
          <w:b/>
          <w:bCs/>
          <w:sz w:val="20"/>
          <w:szCs w:val="20"/>
        </w:rPr>
        <w:t>нежил</w:t>
      </w:r>
      <w:r w:rsidR="00510FEB">
        <w:rPr>
          <w:rFonts w:ascii="Bookman Old Style" w:hAnsi="Bookman Old Style"/>
          <w:b/>
          <w:bCs/>
          <w:sz w:val="20"/>
          <w:szCs w:val="20"/>
        </w:rPr>
        <w:t>ого</w:t>
      </w:r>
      <w:r>
        <w:rPr>
          <w:rFonts w:ascii="Bookman Old Style" w:hAnsi="Bookman Old Style"/>
          <w:b/>
          <w:bCs/>
          <w:sz w:val="20"/>
          <w:szCs w:val="20"/>
        </w:rPr>
        <w:t xml:space="preserve"> помещени</w:t>
      </w:r>
      <w:bookmarkEnd w:id="291"/>
      <w:r w:rsidR="00510FEB">
        <w:rPr>
          <w:rFonts w:ascii="Bookman Old Style" w:hAnsi="Bookman Old Style"/>
          <w:b/>
          <w:bCs/>
          <w:sz w:val="20"/>
          <w:szCs w:val="20"/>
        </w:rPr>
        <w:t>я</w:t>
      </w:r>
      <w:bookmarkEnd w:id="292"/>
    </w:p>
    <w:p w:rsidR="006A199E" w:rsidRPr="006A199E" w:rsidRDefault="006A199E" w:rsidP="006A199E">
      <w:pPr>
        <w:overflowPunct w:val="0"/>
        <w:autoSpaceDE w:val="0"/>
        <w:autoSpaceDN w:val="0"/>
        <w:adjustRightInd w:val="0"/>
        <w:spacing w:before="100" w:after="100"/>
        <w:ind w:firstLine="708"/>
        <w:jc w:val="both"/>
        <w:rPr>
          <w:rFonts w:ascii="Bookman Old Style" w:hAnsi="Bookman Old Style"/>
          <w:sz w:val="20"/>
          <w:szCs w:val="20"/>
        </w:rPr>
      </w:pPr>
      <w:r w:rsidRPr="006A199E">
        <w:rPr>
          <w:rFonts w:ascii="Bookman Old Style" w:hAnsi="Bookman Old Style"/>
          <w:sz w:val="20"/>
          <w:szCs w:val="20"/>
        </w:rPr>
        <w:t xml:space="preserve">Для определения величины арендной ставки оценщик применил метод </w:t>
      </w:r>
      <w:r w:rsidRPr="006A199E">
        <w:rPr>
          <w:rFonts w:ascii="Bookman Old Style" w:hAnsi="Bookman Old Style"/>
          <w:i/>
          <w:sz w:val="20"/>
          <w:szCs w:val="20"/>
        </w:rPr>
        <w:t xml:space="preserve">«сравнения продаж». </w:t>
      </w:r>
      <w:r w:rsidRPr="006A199E">
        <w:rPr>
          <w:rFonts w:ascii="Bookman Old Style" w:hAnsi="Bookman Old Style"/>
          <w:sz w:val="20"/>
          <w:szCs w:val="20"/>
        </w:rPr>
        <w:t xml:space="preserve">Для этого составлена выборка объектов аналогов, представленных на открытом рынке </w:t>
      </w:r>
      <w:r w:rsidR="00BF325B">
        <w:rPr>
          <w:rFonts w:ascii="Bookman Old Style" w:hAnsi="Bookman Old Style"/>
          <w:sz w:val="20"/>
          <w:szCs w:val="20"/>
        </w:rPr>
        <w:t>Ленинского</w:t>
      </w:r>
      <w:r>
        <w:rPr>
          <w:rFonts w:ascii="Bookman Old Style" w:hAnsi="Bookman Old Style"/>
          <w:sz w:val="20"/>
          <w:szCs w:val="20"/>
        </w:rPr>
        <w:t xml:space="preserve"> района </w:t>
      </w:r>
      <w:r w:rsidRPr="006A199E">
        <w:rPr>
          <w:rFonts w:ascii="Bookman Old Style" w:hAnsi="Bookman Old Style"/>
          <w:sz w:val="20"/>
          <w:szCs w:val="20"/>
        </w:rPr>
        <w:t>г. Красноярска в виде публичной оферты на дату оценки</w:t>
      </w:r>
      <w:r w:rsidRPr="006A199E">
        <w:rPr>
          <w:rFonts w:ascii="Bookman Old Style" w:hAnsi="Bookman Old Style"/>
          <w:sz w:val="20"/>
          <w:szCs w:val="20"/>
          <w:vertAlign w:val="superscript"/>
        </w:rPr>
        <w:footnoteReference w:id="53"/>
      </w:r>
      <w:r w:rsidRPr="006A199E">
        <w:rPr>
          <w:rFonts w:ascii="Bookman Old Style" w:hAnsi="Bookman Old Style"/>
          <w:sz w:val="20"/>
          <w:szCs w:val="20"/>
        </w:rPr>
        <w:t xml:space="preserve"> в месте положения Объекта оценки.</w:t>
      </w: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r w:rsidRPr="006A199E">
        <w:rPr>
          <w:rFonts w:ascii="Bookman Old Style" w:hAnsi="Bookman Old Style"/>
          <w:b/>
          <w:sz w:val="20"/>
          <w:szCs w:val="20"/>
        </w:rPr>
        <w:lastRenderedPageBreak/>
        <w:t xml:space="preserve">Таблица </w:t>
      </w:r>
      <w:r w:rsidRPr="006A199E">
        <w:rPr>
          <w:rFonts w:ascii="Bookman Old Style" w:hAnsi="Bookman Old Style"/>
          <w:b/>
          <w:bCs/>
          <w:sz w:val="20"/>
          <w:szCs w:val="20"/>
        </w:rPr>
        <w:t>5.5.2.</w:t>
      </w:r>
      <w:r w:rsidR="00510FEB">
        <w:rPr>
          <w:rFonts w:ascii="Bookman Old Style" w:hAnsi="Bookman Old Style"/>
          <w:b/>
          <w:bCs/>
          <w:sz w:val="20"/>
          <w:szCs w:val="20"/>
        </w:rPr>
        <w:t>1</w:t>
      </w:r>
      <w:r w:rsidRPr="006A199E">
        <w:rPr>
          <w:rFonts w:ascii="Bookman Old Style" w:hAnsi="Bookman Old Style"/>
          <w:b/>
          <w:sz w:val="20"/>
          <w:szCs w:val="20"/>
        </w:rPr>
        <w:t xml:space="preserve">. Расчет средней арендной ставки </w:t>
      </w:r>
      <w:r w:rsidR="00BF325B" w:rsidRPr="00BF325B">
        <w:rPr>
          <w:rFonts w:ascii="Bookman Old Style" w:hAnsi="Bookman Old Style"/>
          <w:b/>
          <w:bCs/>
          <w:sz w:val="20"/>
          <w:szCs w:val="20"/>
        </w:rPr>
        <w:t xml:space="preserve">нежилого помещения </w:t>
      </w:r>
      <w:r w:rsidR="00510FEB" w:rsidRPr="00510FEB">
        <w:rPr>
          <w:rFonts w:ascii="Bookman Old Style" w:hAnsi="Bookman Old Style"/>
          <w:b/>
          <w:bCs/>
          <w:sz w:val="20"/>
          <w:szCs w:val="20"/>
        </w:rPr>
        <w:t xml:space="preserve">производственно-складского </w:t>
      </w:r>
      <w:r w:rsidR="00BF325B" w:rsidRPr="00BF325B">
        <w:rPr>
          <w:rFonts w:ascii="Bookman Old Style" w:hAnsi="Bookman Old Style"/>
          <w:b/>
          <w:bCs/>
          <w:sz w:val="20"/>
          <w:szCs w:val="20"/>
        </w:rPr>
        <w:t>назначения c диапазоном площади 300-1000 кв.м.</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1632"/>
        <w:gridCol w:w="1783"/>
        <w:gridCol w:w="1822"/>
        <w:gridCol w:w="1877"/>
        <w:gridCol w:w="1703"/>
      </w:tblGrid>
      <w:tr w:rsidR="00510FEB" w:rsidRPr="00BF325B" w:rsidTr="00991B2D">
        <w:trPr>
          <w:cantSplit/>
          <w:trHeight w:val="170"/>
        </w:trPr>
        <w:tc>
          <w:tcPr>
            <w:tcW w:w="895" w:type="pct"/>
            <w:shd w:val="clear" w:color="auto" w:fill="F2F2F2" w:themeFill="background1" w:themeFillShade="F2"/>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Показатель</w:t>
            </w:r>
          </w:p>
        </w:tc>
        <w:tc>
          <w:tcPr>
            <w:tcW w:w="760" w:type="pct"/>
            <w:shd w:val="clear" w:color="auto" w:fill="F2F2F2" w:themeFill="background1" w:themeFillShade="F2"/>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Объект оценки</w:t>
            </w:r>
          </w:p>
        </w:tc>
        <w:tc>
          <w:tcPr>
            <w:tcW w:w="830" w:type="pct"/>
            <w:shd w:val="clear" w:color="auto" w:fill="F2F2F2" w:themeFill="background1" w:themeFillShade="F2"/>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Аналог 1</w:t>
            </w:r>
          </w:p>
        </w:tc>
        <w:tc>
          <w:tcPr>
            <w:tcW w:w="848" w:type="pct"/>
            <w:shd w:val="clear" w:color="auto" w:fill="F2F2F2" w:themeFill="background1" w:themeFillShade="F2"/>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Аналог 2</w:t>
            </w:r>
          </w:p>
        </w:tc>
        <w:tc>
          <w:tcPr>
            <w:tcW w:w="874" w:type="pct"/>
            <w:shd w:val="clear" w:color="auto" w:fill="F2F2F2" w:themeFill="background1" w:themeFillShade="F2"/>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Аналог 3</w:t>
            </w:r>
          </w:p>
        </w:tc>
        <w:tc>
          <w:tcPr>
            <w:tcW w:w="793" w:type="pct"/>
            <w:shd w:val="clear" w:color="auto" w:fill="F2F2F2" w:themeFill="background1" w:themeFillShade="F2"/>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Аналог 4</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Источник информации</w:t>
            </w:r>
          </w:p>
        </w:tc>
        <w:tc>
          <w:tcPr>
            <w:tcW w:w="760" w:type="pct"/>
            <w:shd w:val="clear" w:color="auto" w:fill="auto"/>
            <w:noWrap/>
            <w:vAlign w:val="center"/>
            <w:hideMark/>
          </w:tcPr>
          <w:p w:rsidR="00510FEB" w:rsidRPr="00BF325B" w:rsidRDefault="00510FEB" w:rsidP="00991B2D">
            <w:pPr>
              <w:jc w:val="center"/>
              <w:rPr>
                <w:rFonts w:ascii="Cambria" w:hAnsi="Cambria"/>
                <w:sz w:val="16"/>
                <w:szCs w:val="16"/>
              </w:rPr>
            </w:pPr>
            <w:r w:rsidRPr="00BF325B">
              <w:rPr>
                <w:rFonts w:ascii="Cambria" w:hAnsi="Cambria"/>
                <w:sz w:val="16"/>
                <w:szCs w:val="16"/>
              </w:rPr>
              <w:t>-</w:t>
            </w:r>
          </w:p>
        </w:tc>
        <w:tc>
          <w:tcPr>
            <w:tcW w:w="830" w:type="pct"/>
            <w:shd w:val="clear" w:color="auto" w:fill="auto"/>
            <w:vAlign w:val="center"/>
            <w:hideMark/>
          </w:tcPr>
          <w:p w:rsidR="00510FEB" w:rsidRPr="00BF325B" w:rsidRDefault="00510FEB" w:rsidP="00991B2D">
            <w:pPr>
              <w:jc w:val="center"/>
              <w:rPr>
                <w:rFonts w:ascii="Cambria" w:hAnsi="Cambria"/>
                <w:sz w:val="16"/>
                <w:szCs w:val="16"/>
              </w:rPr>
            </w:pPr>
            <w:r w:rsidRPr="00BF325B">
              <w:rPr>
                <w:rFonts w:ascii="Cambria" w:hAnsi="Cambria"/>
                <w:sz w:val="16"/>
                <w:szCs w:val="16"/>
              </w:rPr>
              <w:t>Сайт бесплатных объявлений Авито</w:t>
            </w:r>
          </w:p>
        </w:tc>
        <w:tc>
          <w:tcPr>
            <w:tcW w:w="848" w:type="pct"/>
            <w:shd w:val="clear" w:color="auto" w:fill="auto"/>
            <w:vAlign w:val="center"/>
            <w:hideMark/>
          </w:tcPr>
          <w:p w:rsidR="00510FEB" w:rsidRPr="00BF325B" w:rsidRDefault="00510FEB" w:rsidP="00991B2D">
            <w:pPr>
              <w:jc w:val="center"/>
              <w:rPr>
                <w:rFonts w:ascii="Cambria" w:hAnsi="Cambria"/>
                <w:sz w:val="16"/>
                <w:szCs w:val="16"/>
              </w:rPr>
            </w:pPr>
            <w:r w:rsidRPr="00BF325B">
              <w:rPr>
                <w:rFonts w:ascii="Cambria" w:hAnsi="Cambria"/>
                <w:sz w:val="16"/>
                <w:szCs w:val="16"/>
              </w:rPr>
              <w:t>Сайт бесплатных объявлений Авито</w:t>
            </w:r>
          </w:p>
        </w:tc>
        <w:tc>
          <w:tcPr>
            <w:tcW w:w="874" w:type="pct"/>
            <w:shd w:val="clear" w:color="auto" w:fill="auto"/>
            <w:vAlign w:val="center"/>
            <w:hideMark/>
          </w:tcPr>
          <w:p w:rsidR="00510FEB" w:rsidRPr="00BF325B" w:rsidRDefault="00510FEB" w:rsidP="00991B2D">
            <w:pPr>
              <w:jc w:val="center"/>
              <w:rPr>
                <w:rFonts w:ascii="Cambria" w:hAnsi="Cambria"/>
                <w:sz w:val="16"/>
                <w:szCs w:val="16"/>
              </w:rPr>
            </w:pPr>
            <w:r w:rsidRPr="00BF325B">
              <w:rPr>
                <w:rFonts w:ascii="Cambria" w:hAnsi="Cambria"/>
                <w:sz w:val="16"/>
                <w:szCs w:val="16"/>
              </w:rPr>
              <w:t>Сайт бесплатных объявлений Авито</w:t>
            </w:r>
          </w:p>
        </w:tc>
        <w:tc>
          <w:tcPr>
            <w:tcW w:w="793" w:type="pct"/>
            <w:shd w:val="clear" w:color="auto" w:fill="auto"/>
            <w:vAlign w:val="center"/>
            <w:hideMark/>
          </w:tcPr>
          <w:p w:rsidR="00510FEB" w:rsidRPr="00BF325B" w:rsidRDefault="00510FEB" w:rsidP="00991B2D">
            <w:pPr>
              <w:jc w:val="center"/>
              <w:rPr>
                <w:rFonts w:ascii="Cambria" w:hAnsi="Cambria"/>
                <w:sz w:val="16"/>
                <w:szCs w:val="16"/>
              </w:rPr>
            </w:pPr>
            <w:r w:rsidRPr="00BF325B">
              <w:rPr>
                <w:rFonts w:ascii="Cambria" w:hAnsi="Cambria"/>
                <w:sz w:val="16"/>
                <w:szCs w:val="16"/>
              </w:rPr>
              <w:t>Сайт бесплатных объявлений Гранта 24</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sz w:val="16"/>
                <w:szCs w:val="16"/>
              </w:rPr>
            </w:pPr>
            <w:r w:rsidRPr="00BF325B">
              <w:rPr>
                <w:rFonts w:ascii="Cambria" w:hAnsi="Cambria"/>
                <w:sz w:val="16"/>
                <w:szCs w:val="16"/>
              </w:rPr>
              <w:t>Ссылка на интернет-сайт (название журнала)</w:t>
            </w:r>
          </w:p>
        </w:tc>
        <w:tc>
          <w:tcPr>
            <w:tcW w:w="760" w:type="pct"/>
            <w:shd w:val="clear" w:color="auto" w:fill="auto"/>
            <w:vAlign w:val="center"/>
            <w:hideMark/>
          </w:tcPr>
          <w:p w:rsidR="00510FEB" w:rsidRPr="00BF325B" w:rsidRDefault="00510FEB" w:rsidP="00991B2D">
            <w:pPr>
              <w:jc w:val="center"/>
              <w:rPr>
                <w:rFonts w:ascii="Cambria" w:hAnsi="Cambria"/>
                <w:sz w:val="16"/>
                <w:szCs w:val="16"/>
              </w:rPr>
            </w:pPr>
            <w:r w:rsidRPr="00BF325B">
              <w:rPr>
                <w:rFonts w:ascii="Cambria" w:hAnsi="Cambria"/>
                <w:sz w:val="16"/>
                <w:szCs w:val="16"/>
              </w:rPr>
              <w:t>-</w:t>
            </w:r>
          </w:p>
        </w:tc>
        <w:tc>
          <w:tcPr>
            <w:tcW w:w="830" w:type="pct"/>
            <w:shd w:val="clear" w:color="auto" w:fill="auto"/>
            <w:vAlign w:val="center"/>
            <w:hideMark/>
          </w:tcPr>
          <w:p w:rsidR="00510FEB" w:rsidRPr="00BF325B" w:rsidRDefault="00510FEB" w:rsidP="00991B2D">
            <w:pPr>
              <w:jc w:val="center"/>
              <w:rPr>
                <w:rFonts w:ascii="Cambria" w:hAnsi="Cambria"/>
                <w:sz w:val="16"/>
                <w:szCs w:val="16"/>
                <w:u w:val="single"/>
              </w:rPr>
            </w:pPr>
            <w:hyperlink r:id="rId31" w:history="1">
              <w:r w:rsidRPr="00BF325B">
                <w:rPr>
                  <w:rFonts w:ascii="Cambria" w:hAnsi="Cambria"/>
                  <w:sz w:val="16"/>
                  <w:szCs w:val="16"/>
                  <w:u w:val="single"/>
                </w:rPr>
                <w:t>https://www.avito.ru/</w:t>
              </w:r>
            </w:hyperlink>
          </w:p>
        </w:tc>
        <w:tc>
          <w:tcPr>
            <w:tcW w:w="848" w:type="pct"/>
            <w:shd w:val="clear" w:color="auto" w:fill="auto"/>
            <w:vAlign w:val="center"/>
            <w:hideMark/>
          </w:tcPr>
          <w:p w:rsidR="00510FEB" w:rsidRPr="00BF325B" w:rsidRDefault="00510FEB" w:rsidP="00991B2D">
            <w:pPr>
              <w:jc w:val="center"/>
              <w:rPr>
                <w:rFonts w:ascii="Cambria" w:hAnsi="Cambria"/>
                <w:sz w:val="16"/>
                <w:szCs w:val="16"/>
                <w:u w:val="single"/>
              </w:rPr>
            </w:pPr>
            <w:hyperlink r:id="rId32" w:history="1">
              <w:r w:rsidRPr="00BF325B">
                <w:rPr>
                  <w:rFonts w:ascii="Cambria" w:hAnsi="Cambria"/>
                  <w:sz w:val="16"/>
                  <w:szCs w:val="16"/>
                  <w:u w:val="single"/>
                </w:rPr>
                <w:t>https://www.avito.ru/</w:t>
              </w:r>
            </w:hyperlink>
          </w:p>
        </w:tc>
        <w:tc>
          <w:tcPr>
            <w:tcW w:w="874" w:type="pct"/>
            <w:shd w:val="clear" w:color="auto" w:fill="auto"/>
            <w:vAlign w:val="center"/>
            <w:hideMark/>
          </w:tcPr>
          <w:p w:rsidR="00510FEB" w:rsidRPr="00BF325B" w:rsidRDefault="00510FEB" w:rsidP="00991B2D">
            <w:pPr>
              <w:jc w:val="center"/>
              <w:rPr>
                <w:rFonts w:ascii="Cambria" w:hAnsi="Cambria"/>
                <w:sz w:val="16"/>
                <w:szCs w:val="16"/>
                <w:u w:val="single"/>
              </w:rPr>
            </w:pPr>
            <w:hyperlink r:id="rId33" w:history="1">
              <w:r w:rsidRPr="00BF325B">
                <w:rPr>
                  <w:rFonts w:ascii="Cambria" w:hAnsi="Cambria"/>
                  <w:sz w:val="16"/>
                  <w:szCs w:val="16"/>
                  <w:u w:val="single"/>
                </w:rPr>
                <w:t>https://www.avito.ru/</w:t>
              </w:r>
            </w:hyperlink>
          </w:p>
        </w:tc>
        <w:tc>
          <w:tcPr>
            <w:tcW w:w="793" w:type="pct"/>
            <w:shd w:val="clear" w:color="auto" w:fill="auto"/>
            <w:noWrap/>
            <w:vAlign w:val="center"/>
            <w:hideMark/>
          </w:tcPr>
          <w:p w:rsidR="00510FEB" w:rsidRPr="00BF325B" w:rsidRDefault="00510FEB" w:rsidP="00991B2D">
            <w:pPr>
              <w:jc w:val="center"/>
              <w:rPr>
                <w:rFonts w:ascii="Cambria" w:hAnsi="Cambria"/>
                <w:sz w:val="16"/>
                <w:szCs w:val="16"/>
                <w:u w:val="single"/>
              </w:rPr>
            </w:pPr>
            <w:r w:rsidRPr="00BF325B">
              <w:rPr>
                <w:rFonts w:ascii="Cambria" w:hAnsi="Cambria"/>
                <w:sz w:val="16"/>
                <w:szCs w:val="16"/>
                <w:u w:val="single"/>
              </w:rPr>
              <w:t>http://kn.gilcom.ru/</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Сегмент рынка</w:t>
            </w:r>
          </w:p>
        </w:tc>
        <w:tc>
          <w:tcPr>
            <w:tcW w:w="760"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30"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48"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74"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793"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Площадь, кв.м.</w:t>
            </w:r>
          </w:p>
        </w:tc>
        <w:tc>
          <w:tcPr>
            <w:tcW w:w="760"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3771,3</w:t>
            </w:r>
          </w:p>
        </w:tc>
        <w:tc>
          <w:tcPr>
            <w:tcW w:w="830"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160,0</w:t>
            </w:r>
          </w:p>
        </w:tc>
        <w:tc>
          <w:tcPr>
            <w:tcW w:w="848" w:type="pct"/>
            <w:shd w:val="clear" w:color="auto" w:fill="auto"/>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100,000</w:t>
            </w:r>
          </w:p>
        </w:tc>
        <w:tc>
          <w:tcPr>
            <w:tcW w:w="87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150</w:t>
            </w:r>
          </w:p>
        </w:tc>
        <w:tc>
          <w:tcPr>
            <w:tcW w:w="793"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500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200</w:t>
            </w:r>
          </w:p>
        </w:tc>
        <w:tc>
          <w:tcPr>
            <w:tcW w:w="874"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167</w:t>
            </w:r>
          </w:p>
        </w:tc>
        <w:tc>
          <w:tcPr>
            <w:tcW w:w="793"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180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Платежный период</w:t>
            </w:r>
          </w:p>
        </w:tc>
        <w:tc>
          <w:tcPr>
            <w:tcW w:w="760"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1 месяц</w:t>
            </w:r>
          </w:p>
        </w:tc>
        <w:tc>
          <w:tcPr>
            <w:tcW w:w="830"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 месяц</w:t>
            </w:r>
          </w:p>
        </w:tc>
        <w:tc>
          <w:tcPr>
            <w:tcW w:w="848"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 месяц</w:t>
            </w:r>
          </w:p>
        </w:tc>
        <w:tc>
          <w:tcPr>
            <w:tcW w:w="87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 месяц</w:t>
            </w:r>
          </w:p>
        </w:tc>
        <w:tc>
          <w:tcPr>
            <w:tcW w:w="793"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1 месяц</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Передаваемые права</w:t>
            </w:r>
          </w:p>
        </w:tc>
        <w:tc>
          <w:tcPr>
            <w:tcW w:w="760"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право аренды</w:t>
            </w:r>
          </w:p>
        </w:tc>
        <w:tc>
          <w:tcPr>
            <w:tcW w:w="830" w:type="pct"/>
            <w:shd w:val="clear" w:color="auto" w:fill="auto"/>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право аренды</w:t>
            </w:r>
          </w:p>
        </w:tc>
        <w:tc>
          <w:tcPr>
            <w:tcW w:w="848" w:type="pct"/>
            <w:shd w:val="clear" w:color="auto" w:fill="auto"/>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право аренды</w:t>
            </w:r>
          </w:p>
        </w:tc>
        <w:tc>
          <w:tcPr>
            <w:tcW w:w="874" w:type="pct"/>
            <w:shd w:val="clear" w:color="auto" w:fill="auto"/>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право аренды</w:t>
            </w:r>
          </w:p>
        </w:tc>
        <w:tc>
          <w:tcPr>
            <w:tcW w:w="793"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право аренды</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0,00%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180,00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Условия финансирования</w:t>
            </w:r>
          </w:p>
        </w:tc>
        <w:tc>
          <w:tcPr>
            <w:tcW w:w="760"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единовременный месячный платеж</w:t>
            </w:r>
          </w:p>
        </w:tc>
        <w:tc>
          <w:tcPr>
            <w:tcW w:w="830" w:type="pct"/>
            <w:shd w:val="clear" w:color="auto" w:fill="auto"/>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48" w:type="pct"/>
            <w:shd w:val="clear" w:color="auto" w:fill="auto"/>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74" w:type="pct"/>
            <w:shd w:val="clear" w:color="auto" w:fill="auto"/>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793"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единовременный месячный платеж</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0,00%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180,00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НДС</w:t>
            </w:r>
          </w:p>
        </w:tc>
        <w:tc>
          <w:tcPr>
            <w:tcW w:w="760"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НДС учтен</w:t>
            </w:r>
          </w:p>
        </w:tc>
        <w:tc>
          <w:tcPr>
            <w:tcW w:w="830"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НДС учтен</w:t>
            </w:r>
          </w:p>
        </w:tc>
        <w:tc>
          <w:tcPr>
            <w:tcW w:w="848"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НДС учтен</w:t>
            </w:r>
          </w:p>
        </w:tc>
        <w:tc>
          <w:tcPr>
            <w:tcW w:w="87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НДС учтен</w:t>
            </w:r>
          </w:p>
        </w:tc>
        <w:tc>
          <w:tcPr>
            <w:tcW w:w="793"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НДС учтен</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Корректировка </w:t>
            </w:r>
          </w:p>
        </w:tc>
        <w:tc>
          <w:tcPr>
            <w:tcW w:w="760"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0,000%</w:t>
            </w:r>
          </w:p>
        </w:tc>
        <w:tc>
          <w:tcPr>
            <w:tcW w:w="848"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0,000%</w:t>
            </w:r>
          </w:p>
        </w:tc>
        <w:tc>
          <w:tcPr>
            <w:tcW w:w="87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0,000%</w:t>
            </w:r>
          </w:p>
        </w:tc>
        <w:tc>
          <w:tcPr>
            <w:tcW w:w="793"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0,000%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 </w:t>
            </w:r>
          </w:p>
        </w:tc>
        <w:tc>
          <w:tcPr>
            <w:tcW w:w="830"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510FEB" w:rsidRDefault="00510FEB" w:rsidP="00991B2D">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510FEB" w:rsidRPr="00BF325B" w:rsidRDefault="00510FEB" w:rsidP="00991B2D">
            <w:pPr>
              <w:jc w:val="center"/>
              <w:rPr>
                <w:rFonts w:ascii="Cambria" w:hAnsi="Cambria"/>
                <w:b/>
                <w:bCs/>
                <w:color w:val="000000"/>
                <w:sz w:val="16"/>
                <w:szCs w:val="16"/>
              </w:rPr>
            </w:pPr>
            <w:r w:rsidRPr="00BF325B">
              <w:rPr>
                <w:rFonts w:ascii="Cambria" w:hAnsi="Cambria"/>
                <w:b/>
                <w:bCs/>
                <w:color w:val="000000"/>
                <w:sz w:val="16"/>
                <w:szCs w:val="16"/>
              </w:rPr>
              <w:t>180,00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Поправка на торг</w:t>
            </w:r>
          </w:p>
        </w:tc>
        <w:tc>
          <w:tcPr>
            <w:tcW w:w="760"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торг возможен</w:t>
            </w:r>
          </w:p>
        </w:tc>
        <w:tc>
          <w:tcPr>
            <w:tcW w:w="848"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торг возможен</w:t>
            </w:r>
          </w:p>
        </w:tc>
        <w:tc>
          <w:tcPr>
            <w:tcW w:w="87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торг возможен</w:t>
            </w:r>
          </w:p>
        </w:tc>
        <w:tc>
          <w:tcPr>
            <w:tcW w:w="793"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торг возможен</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510FEB" w:rsidRPr="00BF325B" w:rsidRDefault="00510FEB" w:rsidP="00991B2D">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-9,00%</w:t>
            </w:r>
          </w:p>
        </w:tc>
        <w:tc>
          <w:tcPr>
            <w:tcW w:w="848"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-9,00%</w:t>
            </w:r>
          </w:p>
        </w:tc>
        <w:tc>
          <w:tcPr>
            <w:tcW w:w="87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-9,00%</w:t>
            </w:r>
          </w:p>
        </w:tc>
        <w:tc>
          <w:tcPr>
            <w:tcW w:w="793" w:type="pct"/>
            <w:shd w:val="clear" w:color="auto" w:fill="auto"/>
            <w:noWrap/>
            <w:vAlign w:val="center"/>
            <w:hideMark/>
          </w:tcPr>
          <w:p w:rsidR="00510FEB" w:rsidRPr="00BF325B" w:rsidRDefault="00510FEB" w:rsidP="00991B2D">
            <w:pPr>
              <w:jc w:val="center"/>
              <w:rPr>
                <w:rFonts w:ascii="Cambria" w:hAnsi="Cambria"/>
                <w:color w:val="000000"/>
                <w:sz w:val="16"/>
                <w:szCs w:val="16"/>
              </w:rPr>
            </w:pPr>
            <w:r>
              <w:rPr>
                <w:rFonts w:ascii="Cambria" w:hAnsi="Cambria"/>
                <w:color w:val="000000"/>
                <w:sz w:val="16"/>
                <w:szCs w:val="16"/>
              </w:rPr>
              <w:t>-9</w:t>
            </w:r>
            <w:r w:rsidRPr="00BF325B">
              <w:rPr>
                <w:rFonts w:ascii="Cambria" w:hAnsi="Cambria"/>
                <w:color w:val="000000"/>
                <w:sz w:val="16"/>
                <w:szCs w:val="16"/>
              </w:rPr>
              <w:t>,00%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 </w:t>
            </w:r>
          </w:p>
        </w:tc>
        <w:tc>
          <w:tcPr>
            <w:tcW w:w="830"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163,80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Дата предложения/продажи</w:t>
            </w:r>
          </w:p>
        </w:tc>
        <w:tc>
          <w:tcPr>
            <w:tcW w:w="76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Август 2016</w:t>
            </w:r>
          </w:p>
        </w:tc>
        <w:tc>
          <w:tcPr>
            <w:tcW w:w="83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Август 2016</w:t>
            </w:r>
          </w:p>
        </w:tc>
        <w:tc>
          <w:tcPr>
            <w:tcW w:w="848"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Август 2016</w:t>
            </w:r>
          </w:p>
        </w:tc>
        <w:tc>
          <w:tcPr>
            <w:tcW w:w="874"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Август 2016</w:t>
            </w:r>
          </w:p>
        </w:tc>
        <w:tc>
          <w:tcPr>
            <w:tcW w:w="793"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Август 2016</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w:t>
            </w:r>
          </w:p>
        </w:tc>
        <w:tc>
          <w:tcPr>
            <w:tcW w:w="830"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163,80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i/>
                <w:iCs/>
                <w:color w:val="000000"/>
                <w:sz w:val="16"/>
                <w:szCs w:val="16"/>
              </w:rPr>
            </w:pPr>
            <w:r w:rsidRPr="00BF325B">
              <w:rPr>
                <w:rFonts w:ascii="Cambria" w:hAnsi="Cambria"/>
                <w:i/>
                <w:iCs/>
                <w:color w:val="000000"/>
                <w:sz w:val="16"/>
                <w:szCs w:val="16"/>
              </w:rPr>
              <w:t>Вид использования</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ПСН</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ПСН</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ПСН</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ПСН</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ПСН</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sz w:val="16"/>
                <w:szCs w:val="16"/>
              </w:rPr>
            </w:pPr>
            <w:r w:rsidRPr="00BF325B">
              <w:rPr>
                <w:rFonts w:ascii="Cambria" w:hAnsi="Cambria"/>
                <w:sz w:val="16"/>
                <w:szCs w:val="16"/>
              </w:rPr>
              <w:t>Корректировка</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b/>
                <w:bCs/>
                <w:sz w:val="16"/>
                <w:szCs w:val="16"/>
              </w:rPr>
            </w:pPr>
            <w:r w:rsidRPr="00BF325B">
              <w:rPr>
                <w:rFonts w:ascii="Cambria" w:hAnsi="Cambria"/>
                <w:b/>
                <w:bCs/>
                <w:sz w:val="16"/>
                <w:szCs w:val="16"/>
              </w:rPr>
              <w:t>Скорректированная цена, руб. кв.м.</w:t>
            </w:r>
          </w:p>
        </w:tc>
        <w:tc>
          <w:tcPr>
            <w:tcW w:w="760" w:type="pct"/>
            <w:shd w:val="clear" w:color="auto" w:fill="auto"/>
            <w:vAlign w:val="center"/>
            <w:hideMark/>
          </w:tcPr>
          <w:p w:rsidR="00510FEB" w:rsidRDefault="00510FEB">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163,80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Значение сегмента</w:t>
            </w:r>
          </w:p>
        </w:tc>
        <w:tc>
          <w:tcPr>
            <w:tcW w:w="760" w:type="pct"/>
            <w:shd w:val="clear" w:color="auto" w:fill="auto"/>
            <w:noWrap/>
            <w:vAlign w:val="center"/>
            <w:hideMark/>
          </w:tcPr>
          <w:p w:rsidR="00510FEB" w:rsidRDefault="00510FEB">
            <w:pPr>
              <w:jc w:val="center"/>
              <w:rPr>
                <w:rFonts w:ascii="Cambria" w:hAnsi="Cambria"/>
                <w:sz w:val="16"/>
                <w:szCs w:val="16"/>
              </w:rPr>
            </w:pPr>
            <w:r>
              <w:rPr>
                <w:rFonts w:ascii="Cambria" w:hAnsi="Cambria"/>
                <w:sz w:val="16"/>
                <w:szCs w:val="16"/>
              </w:rPr>
              <w:t>300-1000 кв.м</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100-300 кв.м.</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100-300 кв.м.</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100-300 кв.м.</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300-1000кв.м.</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-11,0%</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-11,0%</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-11,0%</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178,18</w:t>
            </w:r>
          </w:p>
        </w:tc>
        <w:tc>
          <w:tcPr>
            <w:tcW w:w="848"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161,98</w:t>
            </w:r>
          </w:p>
        </w:tc>
        <w:tc>
          <w:tcPr>
            <w:tcW w:w="874"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124,62</w:t>
            </w:r>
          </w:p>
        </w:tc>
        <w:tc>
          <w:tcPr>
            <w:tcW w:w="793"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163,80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Местоположение</w:t>
            </w:r>
          </w:p>
        </w:tc>
        <w:tc>
          <w:tcPr>
            <w:tcW w:w="760" w:type="pct"/>
            <w:shd w:val="clear" w:color="auto" w:fill="auto"/>
            <w:vAlign w:val="center"/>
            <w:hideMark/>
          </w:tcPr>
          <w:p w:rsidR="00510FEB" w:rsidRDefault="00510FEB">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xml:space="preserve">Красноярск, Ленинский район, ул. </w:t>
            </w:r>
            <w:proofErr w:type="gramStart"/>
            <w:r>
              <w:rPr>
                <w:rFonts w:ascii="Cambria" w:hAnsi="Cambria"/>
                <w:color w:val="000000"/>
                <w:sz w:val="16"/>
                <w:szCs w:val="16"/>
              </w:rPr>
              <w:t>Рейдовая</w:t>
            </w:r>
            <w:proofErr w:type="gramEnd"/>
            <w:r>
              <w:rPr>
                <w:rFonts w:ascii="Cambria" w:hAnsi="Cambria"/>
                <w:color w:val="000000"/>
                <w:sz w:val="16"/>
                <w:szCs w:val="16"/>
              </w:rPr>
              <w:t xml:space="preserve"> 68А</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xml:space="preserve">Красноярск, Ленинский район, ул. </w:t>
            </w:r>
            <w:proofErr w:type="gramStart"/>
            <w:r>
              <w:rPr>
                <w:rFonts w:ascii="Cambria" w:hAnsi="Cambria"/>
                <w:color w:val="000000"/>
                <w:sz w:val="16"/>
                <w:szCs w:val="16"/>
              </w:rPr>
              <w:t>Рейдовая</w:t>
            </w:r>
            <w:proofErr w:type="gramEnd"/>
            <w:r>
              <w:rPr>
                <w:rFonts w:ascii="Cambria" w:hAnsi="Cambria"/>
                <w:color w:val="000000"/>
                <w:sz w:val="16"/>
                <w:szCs w:val="16"/>
              </w:rPr>
              <w:t xml:space="preserve"> 68А</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xml:space="preserve">Красноярск, Ленинский район, </w:t>
            </w:r>
            <w:proofErr w:type="spellStart"/>
            <w:r>
              <w:rPr>
                <w:rFonts w:ascii="Cambria" w:hAnsi="Cambria"/>
                <w:color w:val="000000"/>
                <w:sz w:val="16"/>
                <w:szCs w:val="16"/>
              </w:rPr>
              <w:t>ул</w:t>
            </w:r>
            <w:proofErr w:type="gramStart"/>
            <w:r>
              <w:rPr>
                <w:rFonts w:ascii="Cambria" w:hAnsi="Cambria"/>
                <w:color w:val="000000"/>
                <w:sz w:val="16"/>
                <w:szCs w:val="16"/>
              </w:rPr>
              <w:t>.Э</w:t>
            </w:r>
            <w:proofErr w:type="gramEnd"/>
            <w:r>
              <w:rPr>
                <w:rFonts w:ascii="Cambria" w:hAnsi="Cambria"/>
                <w:color w:val="000000"/>
                <w:sz w:val="16"/>
                <w:szCs w:val="16"/>
              </w:rPr>
              <w:t>нергетиков</w:t>
            </w:r>
            <w:proofErr w:type="spellEnd"/>
            <w:r>
              <w:rPr>
                <w:rFonts w:ascii="Cambria" w:hAnsi="Cambria"/>
                <w:color w:val="000000"/>
                <w:sz w:val="16"/>
                <w:szCs w:val="16"/>
              </w:rPr>
              <w:t xml:space="preserve"> 73ас19</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xml:space="preserve">Красноярск, Ленинский район, ул. Марии </w:t>
            </w:r>
            <w:proofErr w:type="spellStart"/>
            <w:r>
              <w:rPr>
                <w:rFonts w:ascii="Cambria" w:hAnsi="Cambria"/>
                <w:color w:val="000000"/>
                <w:sz w:val="16"/>
                <w:szCs w:val="16"/>
              </w:rPr>
              <w:t>Цукановой</w:t>
            </w:r>
            <w:proofErr w:type="spellEnd"/>
            <w:r>
              <w:rPr>
                <w:rFonts w:ascii="Cambria" w:hAnsi="Cambria"/>
                <w:color w:val="000000"/>
                <w:sz w:val="16"/>
                <w:szCs w:val="16"/>
              </w:rPr>
              <w:t>, д. 17</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vAlign w:val="center"/>
            <w:hideMark/>
          </w:tcPr>
          <w:p w:rsidR="00510FEB" w:rsidRDefault="00510FEB">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178,18</w:t>
            </w:r>
          </w:p>
        </w:tc>
        <w:tc>
          <w:tcPr>
            <w:tcW w:w="848"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161,98</w:t>
            </w:r>
          </w:p>
        </w:tc>
        <w:tc>
          <w:tcPr>
            <w:tcW w:w="874"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124,62</w:t>
            </w:r>
          </w:p>
        </w:tc>
        <w:tc>
          <w:tcPr>
            <w:tcW w:w="793"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163,80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Отопление</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Имеется</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Имеется</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Имеется</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Имеется</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Имеется</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510FEB" w:rsidRDefault="00510FEB">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vAlign w:val="center"/>
            <w:hideMark/>
          </w:tcPr>
          <w:p w:rsidR="00510FEB" w:rsidRDefault="00510FEB">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178,18</w:t>
            </w:r>
          </w:p>
        </w:tc>
        <w:tc>
          <w:tcPr>
            <w:tcW w:w="848"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161,98</w:t>
            </w:r>
          </w:p>
        </w:tc>
        <w:tc>
          <w:tcPr>
            <w:tcW w:w="874"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124,62</w:t>
            </w:r>
          </w:p>
        </w:tc>
        <w:tc>
          <w:tcPr>
            <w:tcW w:w="793"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163,80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Техническое состояние </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Удовл</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Удовл</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Удовл</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Неудовл</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Удовл</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510FEB" w:rsidRDefault="00510FEB">
            <w:pPr>
              <w:rPr>
                <w:rFonts w:ascii="Cambria" w:hAnsi="Cambria"/>
                <w:color w:val="000000"/>
                <w:sz w:val="16"/>
                <w:szCs w:val="16"/>
              </w:rPr>
            </w:pPr>
            <w:r>
              <w:rPr>
                <w:rFonts w:ascii="Cambria" w:hAnsi="Cambria"/>
                <w:color w:val="000000"/>
                <w:sz w:val="16"/>
                <w:szCs w:val="16"/>
              </w:rPr>
              <w:t> </w:t>
            </w:r>
          </w:p>
        </w:tc>
        <w:tc>
          <w:tcPr>
            <w:tcW w:w="83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26,0%</w:t>
            </w:r>
          </w:p>
        </w:tc>
        <w:tc>
          <w:tcPr>
            <w:tcW w:w="793"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178,18</w:t>
            </w:r>
          </w:p>
        </w:tc>
        <w:tc>
          <w:tcPr>
            <w:tcW w:w="848"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161,98</w:t>
            </w:r>
          </w:p>
        </w:tc>
        <w:tc>
          <w:tcPr>
            <w:tcW w:w="874"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157,02</w:t>
            </w:r>
          </w:p>
        </w:tc>
        <w:tc>
          <w:tcPr>
            <w:tcW w:w="793"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163,80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Наличие </w:t>
            </w:r>
            <w:proofErr w:type="spellStart"/>
            <w:r w:rsidRPr="00BF325B">
              <w:rPr>
                <w:rFonts w:ascii="Cambria" w:hAnsi="Cambria"/>
                <w:color w:val="000000"/>
                <w:sz w:val="16"/>
                <w:szCs w:val="16"/>
              </w:rPr>
              <w:t>жд</w:t>
            </w:r>
            <w:proofErr w:type="spellEnd"/>
            <w:r w:rsidRPr="00BF325B">
              <w:rPr>
                <w:rFonts w:ascii="Cambria" w:hAnsi="Cambria"/>
                <w:color w:val="000000"/>
                <w:sz w:val="16"/>
                <w:szCs w:val="16"/>
              </w:rPr>
              <w:t xml:space="preserve"> путей</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Отсутствует</w:t>
            </w:r>
          </w:p>
        </w:tc>
        <w:tc>
          <w:tcPr>
            <w:tcW w:w="83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Отсутствует</w:t>
            </w:r>
          </w:p>
        </w:tc>
        <w:tc>
          <w:tcPr>
            <w:tcW w:w="848"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Отсутствует</w:t>
            </w:r>
          </w:p>
        </w:tc>
        <w:tc>
          <w:tcPr>
            <w:tcW w:w="874"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Отсутствует</w:t>
            </w:r>
          </w:p>
        </w:tc>
        <w:tc>
          <w:tcPr>
            <w:tcW w:w="793"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Имеются</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0,00</w:t>
            </w:r>
          </w:p>
        </w:tc>
        <w:tc>
          <w:tcPr>
            <w:tcW w:w="848"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0,00</w:t>
            </w:r>
          </w:p>
        </w:tc>
        <w:tc>
          <w:tcPr>
            <w:tcW w:w="874"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0,00</w:t>
            </w:r>
          </w:p>
        </w:tc>
        <w:tc>
          <w:tcPr>
            <w:tcW w:w="793"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-14%</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 xml:space="preserve">Скорректированная цена, </w:t>
            </w:r>
            <w:proofErr w:type="spellStart"/>
            <w:r w:rsidRPr="00BF325B">
              <w:rPr>
                <w:rFonts w:ascii="Cambria" w:hAnsi="Cambria"/>
                <w:color w:val="000000"/>
                <w:sz w:val="16"/>
                <w:szCs w:val="16"/>
              </w:rPr>
              <w:t>руб</w:t>
            </w:r>
            <w:proofErr w:type="spellEnd"/>
            <w:r w:rsidRPr="00BF325B">
              <w:rPr>
                <w:rFonts w:ascii="Cambria" w:hAnsi="Cambria"/>
                <w:color w:val="000000"/>
                <w:sz w:val="16"/>
                <w:szCs w:val="16"/>
              </w:rPr>
              <w:t>/кв. м</w:t>
            </w:r>
          </w:p>
        </w:tc>
        <w:tc>
          <w:tcPr>
            <w:tcW w:w="760" w:type="pct"/>
            <w:shd w:val="clear" w:color="auto" w:fill="auto"/>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178,18</w:t>
            </w:r>
          </w:p>
        </w:tc>
        <w:tc>
          <w:tcPr>
            <w:tcW w:w="848"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161,98</w:t>
            </w:r>
          </w:p>
        </w:tc>
        <w:tc>
          <w:tcPr>
            <w:tcW w:w="874"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157,02</w:t>
            </w:r>
          </w:p>
        </w:tc>
        <w:tc>
          <w:tcPr>
            <w:tcW w:w="793" w:type="pct"/>
            <w:shd w:val="clear" w:color="auto" w:fill="auto"/>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140,87</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Валовая корректировка</w:t>
            </w:r>
          </w:p>
        </w:tc>
        <w:tc>
          <w:tcPr>
            <w:tcW w:w="76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20,00%</w:t>
            </w:r>
          </w:p>
        </w:tc>
        <w:tc>
          <w:tcPr>
            <w:tcW w:w="848"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20,00%</w:t>
            </w:r>
          </w:p>
        </w:tc>
        <w:tc>
          <w:tcPr>
            <w:tcW w:w="874"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53,00%</w:t>
            </w:r>
          </w:p>
        </w:tc>
        <w:tc>
          <w:tcPr>
            <w:tcW w:w="793"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23,00%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Вес аналога</w:t>
            </w:r>
          </w:p>
        </w:tc>
        <w:tc>
          <w:tcPr>
            <w:tcW w:w="760" w:type="pct"/>
            <w:shd w:val="clear" w:color="auto" w:fill="auto"/>
            <w:noWrap/>
            <w:vAlign w:val="center"/>
            <w:hideMark/>
          </w:tcPr>
          <w:p w:rsidR="00510FEB" w:rsidRDefault="00510FEB">
            <w:pPr>
              <w:rPr>
                <w:rFonts w:ascii="Cambria" w:hAnsi="Cambria"/>
                <w:color w:val="000000"/>
                <w:sz w:val="16"/>
                <w:szCs w:val="16"/>
              </w:rPr>
            </w:pPr>
            <w:r>
              <w:rPr>
                <w:rFonts w:ascii="Cambria" w:hAnsi="Cambria"/>
                <w:color w:val="000000"/>
                <w:sz w:val="16"/>
                <w:szCs w:val="16"/>
              </w:rPr>
              <w:t> </w:t>
            </w:r>
          </w:p>
        </w:tc>
        <w:tc>
          <w:tcPr>
            <w:tcW w:w="830"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27,59%</w:t>
            </w:r>
          </w:p>
        </w:tc>
        <w:tc>
          <w:tcPr>
            <w:tcW w:w="848"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27,59%</w:t>
            </w:r>
          </w:p>
        </w:tc>
        <w:tc>
          <w:tcPr>
            <w:tcW w:w="874"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18,10%</w:t>
            </w:r>
          </w:p>
        </w:tc>
        <w:tc>
          <w:tcPr>
            <w:tcW w:w="793" w:type="pct"/>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26,72%</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Величина коэффициента вариации</w:t>
            </w:r>
          </w:p>
        </w:tc>
        <w:tc>
          <w:tcPr>
            <w:tcW w:w="4105" w:type="pct"/>
            <w:gridSpan w:val="5"/>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9,63%</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Стандартное отклонение</w:t>
            </w:r>
          </w:p>
        </w:tc>
        <w:tc>
          <w:tcPr>
            <w:tcW w:w="4105" w:type="pct"/>
            <w:gridSpan w:val="5"/>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15,37</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Стандартная ошибка</w:t>
            </w:r>
          </w:p>
        </w:tc>
        <w:tc>
          <w:tcPr>
            <w:tcW w:w="4105" w:type="pct"/>
            <w:gridSpan w:val="5"/>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7,68</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lastRenderedPageBreak/>
              <w:t>Доверительная вероятность</w:t>
            </w:r>
          </w:p>
        </w:tc>
        <w:tc>
          <w:tcPr>
            <w:tcW w:w="4105" w:type="pct"/>
            <w:gridSpan w:val="5"/>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90,00%</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Pr>
                <w:rFonts w:ascii="Cambria" w:hAnsi="Cambria"/>
                <w:color w:val="000000"/>
                <w:sz w:val="16"/>
                <w:szCs w:val="16"/>
              </w:rPr>
              <w:t>Критерий Стьюдента для выборки 4</w:t>
            </w:r>
            <w:r w:rsidRPr="00BF325B">
              <w:rPr>
                <w:rFonts w:ascii="Cambria" w:hAnsi="Cambria"/>
                <w:color w:val="000000"/>
                <w:sz w:val="16"/>
                <w:szCs w:val="16"/>
              </w:rPr>
              <w:t xml:space="preserve"> объектов и заданной доверительной вероятностью</w:t>
            </w:r>
          </w:p>
        </w:tc>
        <w:tc>
          <w:tcPr>
            <w:tcW w:w="4105" w:type="pct"/>
            <w:gridSpan w:val="5"/>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2,92</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color w:val="000000"/>
                <w:sz w:val="16"/>
                <w:szCs w:val="16"/>
              </w:rPr>
            </w:pPr>
            <w:r w:rsidRPr="00BF325B">
              <w:rPr>
                <w:rFonts w:ascii="Cambria" w:hAnsi="Cambria"/>
                <w:color w:val="000000"/>
                <w:sz w:val="16"/>
                <w:szCs w:val="16"/>
              </w:rPr>
              <w:t>Предельная ошибка</w:t>
            </w:r>
          </w:p>
        </w:tc>
        <w:tc>
          <w:tcPr>
            <w:tcW w:w="4105" w:type="pct"/>
            <w:gridSpan w:val="5"/>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14,02%</w:t>
            </w:r>
          </w:p>
        </w:tc>
      </w:tr>
      <w:tr w:rsidR="00510FEB" w:rsidRPr="00BF325B" w:rsidTr="00991B2D">
        <w:trPr>
          <w:cantSplit/>
          <w:trHeight w:val="170"/>
        </w:trPr>
        <w:tc>
          <w:tcPr>
            <w:tcW w:w="895" w:type="pct"/>
            <w:shd w:val="clear" w:color="auto" w:fill="auto"/>
            <w:vAlign w:val="center"/>
            <w:hideMark/>
          </w:tcPr>
          <w:p w:rsidR="00510FEB" w:rsidRPr="00BF325B" w:rsidRDefault="00510FEB" w:rsidP="00991B2D">
            <w:pPr>
              <w:rPr>
                <w:rFonts w:ascii="Cambria" w:hAnsi="Cambria"/>
                <w:b/>
                <w:bCs/>
                <w:color w:val="000000"/>
                <w:sz w:val="16"/>
                <w:szCs w:val="16"/>
              </w:rPr>
            </w:pPr>
            <w:proofErr w:type="gramStart"/>
            <w:r w:rsidRPr="00BF325B">
              <w:rPr>
                <w:rFonts w:ascii="Cambria" w:hAnsi="Cambria"/>
                <w:b/>
                <w:bCs/>
                <w:color w:val="000000"/>
                <w:sz w:val="16"/>
                <w:szCs w:val="16"/>
              </w:rPr>
              <w:t xml:space="preserve">Средневзвешенное значение без НДС (округл.), руб./кв. м </w:t>
            </w:r>
            <w:proofErr w:type="gramEnd"/>
          </w:p>
        </w:tc>
        <w:tc>
          <w:tcPr>
            <w:tcW w:w="4105" w:type="pct"/>
            <w:gridSpan w:val="5"/>
            <w:shd w:val="clear" w:color="auto" w:fill="auto"/>
            <w:noWrap/>
            <w:vAlign w:val="center"/>
            <w:hideMark/>
          </w:tcPr>
          <w:p w:rsidR="00510FEB" w:rsidRDefault="00510FEB">
            <w:pPr>
              <w:jc w:val="center"/>
              <w:rPr>
                <w:rFonts w:ascii="Cambria" w:hAnsi="Cambria"/>
                <w:b/>
                <w:bCs/>
                <w:color w:val="000000"/>
                <w:sz w:val="16"/>
                <w:szCs w:val="16"/>
              </w:rPr>
            </w:pPr>
            <w:r>
              <w:rPr>
                <w:rFonts w:ascii="Cambria" w:hAnsi="Cambria"/>
                <w:b/>
                <w:bCs/>
                <w:color w:val="000000"/>
                <w:sz w:val="16"/>
                <w:szCs w:val="16"/>
              </w:rPr>
              <w:t>160</w:t>
            </w:r>
          </w:p>
        </w:tc>
      </w:tr>
    </w:tbl>
    <w:p w:rsidR="006A199E" w:rsidRPr="009477DB" w:rsidRDefault="006A199E" w:rsidP="006A199E">
      <w:pPr>
        <w:spacing w:before="100" w:after="100"/>
        <w:jc w:val="both"/>
        <w:rPr>
          <w:rFonts w:ascii="Bookman Old Style" w:hAnsi="Bookman Old Style"/>
          <w:color w:val="000000"/>
          <w:sz w:val="20"/>
          <w:szCs w:val="20"/>
        </w:rPr>
      </w:pPr>
      <w:r w:rsidRPr="009477DB">
        <w:rPr>
          <w:rFonts w:ascii="Bookman Old Style" w:hAnsi="Bookman Old Style"/>
          <w:color w:val="000000"/>
          <w:sz w:val="20"/>
          <w:szCs w:val="20"/>
        </w:rPr>
        <w:t>Обоснование выбора элементов сравнения, расчет корректировок:</w:t>
      </w:r>
    </w:p>
    <w:p w:rsidR="006A199E" w:rsidRPr="00431CC5" w:rsidRDefault="006A199E" w:rsidP="006A199E">
      <w:pPr>
        <w:spacing w:before="120" w:after="120"/>
        <w:jc w:val="both"/>
        <w:rPr>
          <w:rFonts w:ascii="Bookman Old Style" w:hAnsi="Bookman Old Style"/>
          <w:color w:val="000000"/>
          <w:sz w:val="20"/>
          <w:szCs w:val="20"/>
        </w:rPr>
      </w:pPr>
      <w:r w:rsidRPr="007517CA">
        <w:rPr>
          <w:rFonts w:ascii="Bookman Old Style" w:hAnsi="Bookman Old Style"/>
          <w:color w:val="000000"/>
          <w:sz w:val="20"/>
          <w:szCs w:val="20"/>
        </w:rPr>
        <w:tab/>
        <w:t xml:space="preserve">При проведении </w:t>
      </w:r>
      <w:proofErr w:type="gramStart"/>
      <w:r w:rsidRPr="007517CA">
        <w:rPr>
          <w:rFonts w:ascii="Bookman Old Style" w:hAnsi="Bookman Old Style"/>
          <w:color w:val="000000"/>
          <w:sz w:val="20"/>
          <w:szCs w:val="20"/>
        </w:rPr>
        <w:t>расчета рыночной стоимости</w:t>
      </w:r>
      <w:r>
        <w:rPr>
          <w:rFonts w:ascii="Bookman Old Style" w:hAnsi="Bookman Old Style"/>
          <w:color w:val="000000"/>
          <w:sz w:val="20"/>
          <w:szCs w:val="20"/>
        </w:rPr>
        <w:t xml:space="preserve"> элементов Объекта оценки каждой группы</w:t>
      </w:r>
      <w:proofErr w:type="gramEnd"/>
      <w:r>
        <w:rPr>
          <w:rFonts w:ascii="Bookman Old Style" w:hAnsi="Bookman Old Style"/>
          <w:color w:val="000000"/>
          <w:sz w:val="20"/>
          <w:szCs w:val="20"/>
        </w:rPr>
        <w:t xml:space="preserve"> объектов,</w:t>
      </w:r>
      <w:r w:rsidRPr="007517CA">
        <w:rPr>
          <w:rFonts w:ascii="Bookman Old Style" w:hAnsi="Bookman Old Style"/>
          <w:color w:val="000000"/>
          <w:sz w:val="20"/>
          <w:szCs w:val="20"/>
        </w:rPr>
        <w:t xml:space="preserve"> использован</w:t>
      </w:r>
      <w:r>
        <w:rPr>
          <w:rFonts w:ascii="Bookman Old Style" w:hAnsi="Bookman Old Style"/>
          <w:color w:val="000000"/>
          <w:sz w:val="20"/>
          <w:szCs w:val="20"/>
        </w:rPr>
        <w:t>а следующая логика процесса оценки и расчет корректировок:</w:t>
      </w:r>
    </w:p>
    <w:p w:rsidR="00510FEB" w:rsidRPr="006A199E" w:rsidRDefault="00510FEB" w:rsidP="00510FEB">
      <w:pPr>
        <w:pStyle w:val="aff2"/>
        <w:numPr>
          <w:ilvl w:val="0"/>
          <w:numId w:val="46"/>
        </w:numPr>
        <w:spacing w:before="120" w:after="120"/>
        <w:contextualSpacing w:val="0"/>
        <w:jc w:val="both"/>
        <w:rPr>
          <w:rFonts w:ascii="Bookman Old Style" w:hAnsi="Bookman Old Style"/>
          <w:sz w:val="20"/>
          <w:szCs w:val="20"/>
        </w:rPr>
      </w:pPr>
      <w:bookmarkStart w:id="293" w:name="_Toc348605198"/>
      <w:bookmarkStart w:id="294" w:name="_Toc359256073"/>
      <w:bookmarkStart w:id="295" w:name="_Toc411006094"/>
      <w:bookmarkStart w:id="296" w:name="_Toc419473036"/>
      <w:r w:rsidRPr="006A199E">
        <w:rPr>
          <w:rFonts w:ascii="Bookman Old Style" w:hAnsi="Bookman Old Style"/>
          <w:sz w:val="20"/>
          <w:szCs w:val="20"/>
        </w:rPr>
        <w:t>Корректировка на торг. Расчет корректировки проведен экспертным методом</w:t>
      </w:r>
      <w:r w:rsidRPr="00EE24D6">
        <w:rPr>
          <w:rFonts w:ascii="Bookman Old Style" w:hAnsi="Bookman Old Style"/>
          <w:sz w:val="20"/>
          <w:szCs w:val="20"/>
          <w:vertAlign w:val="superscript"/>
        </w:rPr>
        <w:footnoteReference w:id="54"/>
      </w:r>
      <w:r w:rsidRPr="006A199E">
        <w:rPr>
          <w:rFonts w:ascii="Bookman Old Style" w:hAnsi="Bookman Old Style"/>
          <w:sz w:val="20"/>
          <w:szCs w:val="20"/>
        </w:rPr>
        <w:t xml:space="preserve">. Среднее значение диапазона скидок к арендной ставке </w:t>
      </w:r>
      <w:r w:rsidRPr="00BF325B">
        <w:rPr>
          <w:rFonts w:ascii="Bookman Old Style" w:hAnsi="Bookman Old Style"/>
          <w:sz w:val="20"/>
          <w:szCs w:val="20"/>
        </w:rPr>
        <w:t xml:space="preserve">производственно-складской недвижимости </w:t>
      </w:r>
      <w:r w:rsidRPr="006A199E">
        <w:rPr>
          <w:rFonts w:ascii="Bookman Old Style" w:hAnsi="Bookman Old Style"/>
          <w:sz w:val="20"/>
          <w:szCs w:val="20"/>
        </w:rPr>
        <w:t xml:space="preserve">в условиях активного рынка составляет диапазон от </w:t>
      </w:r>
      <w:r>
        <w:rPr>
          <w:rFonts w:ascii="Bookman Old Style" w:hAnsi="Bookman Old Style"/>
          <w:sz w:val="20"/>
          <w:szCs w:val="20"/>
        </w:rPr>
        <w:t>8</w:t>
      </w:r>
      <w:r w:rsidRPr="006A199E">
        <w:rPr>
          <w:rFonts w:ascii="Bookman Old Style" w:hAnsi="Bookman Old Style"/>
          <w:sz w:val="20"/>
          <w:szCs w:val="20"/>
        </w:rPr>
        <w:t xml:space="preserve">% до </w:t>
      </w:r>
      <w:r>
        <w:rPr>
          <w:rFonts w:ascii="Bookman Old Style" w:hAnsi="Bookman Old Style"/>
          <w:sz w:val="20"/>
          <w:szCs w:val="20"/>
        </w:rPr>
        <w:t>9</w:t>
      </w:r>
      <w:r w:rsidRPr="006A199E">
        <w:rPr>
          <w:rFonts w:ascii="Bookman Old Style" w:hAnsi="Bookman Old Style"/>
          <w:sz w:val="20"/>
          <w:szCs w:val="20"/>
        </w:rPr>
        <w:t>%. При расчете выбрано значение диапазона равное -</w:t>
      </w:r>
      <w:r>
        <w:rPr>
          <w:rFonts w:ascii="Bookman Old Style" w:hAnsi="Bookman Old Style"/>
          <w:sz w:val="20"/>
          <w:szCs w:val="20"/>
        </w:rPr>
        <w:t>9</w:t>
      </w:r>
      <w:r w:rsidRPr="006A199E">
        <w:rPr>
          <w:rFonts w:ascii="Bookman Old Style" w:hAnsi="Bookman Old Style"/>
          <w:sz w:val="20"/>
          <w:szCs w:val="20"/>
        </w:rPr>
        <w:t>%</w:t>
      </w:r>
      <w:r>
        <w:rPr>
          <w:rFonts w:ascii="Bookman Old Style" w:hAnsi="Bookman Old Style"/>
          <w:sz w:val="20"/>
          <w:szCs w:val="20"/>
        </w:rPr>
        <w:t>.</w:t>
      </w:r>
      <w:r w:rsidRPr="006568BA">
        <w:t xml:space="preserve"> </w:t>
      </w:r>
      <w:r w:rsidRPr="00BF325B">
        <w:t xml:space="preserve"> </w:t>
      </w:r>
    </w:p>
    <w:p w:rsidR="00510FEB" w:rsidRDefault="00510FEB" w:rsidP="00510FEB">
      <w:pPr>
        <w:numPr>
          <w:ilvl w:val="0"/>
          <w:numId w:val="46"/>
        </w:numPr>
        <w:spacing w:before="120" w:after="120"/>
        <w:jc w:val="both"/>
        <w:rPr>
          <w:rFonts w:ascii="Bookman Old Style" w:hAnsi="Bookman Old Style"/>
          <w:sz w:val="20"/>
          <w:szCs w:val="20"/>
        </w:rPr>
      </w:pPr>
      <w:r w:rsidRPr="006A199E">
        <w:rPr>
          <w:rFonts w:ascii="Bookman Old Style" w:hAnsi="Bookman Old Style"/>
          <w:sz w:val="20"/>
          <w:szCs w:val="20"/>
        </w:rPr>
        <w:t>Корректировка на площадь. По данному элементу сравнения выявлено отличие части элементов Объекта оценки и объектов аналогов. Для расчета корректировки физических характеристик использовался экспертный метод</w:t>
      </w:r>
      <w:r w:rsidRPr="00EE24D6">
        <w:rPr>
          <w:rFonts w:ascii="Bookman Old Style" w:hAnsi="Bookman Old Style"/>
          <w:sz w:val="20"/>
          <w:szCs w:val="20"/>
          <w:vertAlign w:val="superscript"/>
        </w:rPr>
        <w:footnoteReference w:id="55"/>
      </w:r>
      <w:r w:rsidRPr="00EE24D6">
        <w:rPr>
          <w:rFonts w:ascii="Bookman Old Style" w:hAnsi="Bookman Old Style"/>
          <w:sz w:val="20"/>
          <w:szCs w:val="20"/>
        </w:rPr>
        <w:t xml:space="preserve">. </w:t>
      </w:r>
      <w:r w:rsidRPr="004A1E09">
        <w:rPr>
          <w:rFonts w:ascii="Bookman Old Style" w:hAnsi="Bookman Old Style"/>
          <w:sz w:val="20"/>
          <w:szCs w:val="20"/>
        </w:rPr>
        <w:t xml:space="preserve">При расчете </w:t>
      </w:r>
      <w:r w:rsidRPr="006A199E">
        <w:rPr>
          <w:rFonts w:ascii="Bookman Old Style" w:hAnsi="Bookman Old Style"/>
          <w:sz w:val="20"/>
          <w:szCs w:val="20"/>
        </w:rPr>
        <w:t xml:space="preserve">арендной ставки </w:t>
      </w:r>
      <w:r>
        <w:rPr>
          <w:rFonts w:ascii="Bookman Old Style" w:hAnsi="Bookman Old Style"/>
          <w:sz w:val="20"/>
          <w:szCs w:val="20"/>
        </w:rPr>
        <w:t>нежилого помещения</w:t>
      </w:r>
      <w:r w:rsidRPr="004A1E09">
        <w:rPr>
          <w:rFonts w:ascii="Bookman Old Style" w:hAnsi="Bookman Old Style"/>
          <w:sz w:val="20"/>
          <w:szCs w:val="20"/>
        </w:rPr>
        <w:t xml:space="preserve"> </w:t>
      </w:r>
      <w:r w:rsidRPr="00BF325B">
        <w:rPr>
          <w:rFonts w:ascii="Bookman Old Style" w:hAnsi="Bookman Old Style"/>
          <w:sz w:val="20"/>
          <w:szCs w:val="20"/>
        </w:rPr>
        <w:t>производственно-складско</w:t>
      </w:r>
      <w:r>
        <w:rPr>
          <w:rFonts w:ascii="Bookman Old Style" w:hAnsi="Bookman Old Style"/>
          <w:sz w:val="20"/>
          <w:szCs w:val="20"/>
        </w:rPr>
        <w:t>го</w:t>
      </w:r>
      <w:r w:rsidRPr="00BF325B">
        <w:rPr>
          <w:rFonts w:ascii="Bookman Old Style" w:hAnsi="Bookman Old Style"/>
          <w:sz w:val="20"/>
          <w:szCs w:val="20"/>
        </w:rPr>
        <w:t xml:space="preserve"> </w:t>
      </w:r>
      <w:r>
        <w:rPr>
          <w:rFonts w:ascii="Bookman Old Style" w:hAnsi="Bookman Old Style"/>
          <w:sz w:val="20"/>
          <w:szCs w:val="20"/>
        </w:rPr>
        <w:t xml:space="preserve">назначения </w:t>
      </w:r>
      <w:r w:rsidRPr="004A1E09">
        <w:rPr>
          <w:rFonts w:ascii="Bookman Old Style" w:hAnsi="Bookman Old Style"/>
          <w:sz w:val="20"/>
          <w:szCs w:val="20"/>
        </w:rPr>
        <w:t xml:space="preserve">площадью </w:t>
      </w:r>
      <w:r>
        <w:rPr>
          <w:rFonts w:ascii="Bookman Old Style" w:hAnsi="Bookman Old Style"/>
          <w:sz w:val="20"/>
          <w:szCs w:val="20"/>
        </w:rPr>
        <w:t>300-1000</w:t>
      </w:r>
      <w:r w:rsidRPr="004A1E09">
        <w:rPr>
          <w:rFonts w:ascii="Bookman Old Style" w:hAnsi="Bookman Old Style"/>
          <w:sz w:val="20"/>
          <w:szCs w:val="20"/>
        </w:rPr>
        <w:t xml:space="preserve"> </w:t>
      </w:r>
      <w:r>
        <w:rPr>
          <w:rFonts w:ascii="Bookman Old Style" w:hAnsi="Bookman Old Style"/>
          <w:sz w:val="20"/>
          <w:szCs w:val="20"/>
        </w:rPr>
        <w:t>кв.м.</w:t>
      </w:r>
      <w:r w:rsidRPr="004A1E09">
        <w:rPr>
          <w:rFonts w:ascii="Bookman Old Style" w:hAnsi="Bookman Old Style"/>
          <w:sz w:val="20"/>
          <w:szCs w:val="20"/>
        </w:rPr>
        <w:t xml:space="preserve">, </w:t>
      </w:r>
      <w:r>
        <w:rPr>
          <w:rFonts w:ascii="Bookman Old Style" w:hAnsi="Bookman Old Style"/>
          <w:sz w:val="20"/>
          <w:szCs w:val="20"/>
        </w:rPr>
        <w:t>понижающий</w:t>
      </w:r>
      <w:r w:rsidRPr="004A1E09">
        <w:rPr>
          <w:rFonts w:ascii="Bookman Old Style" w:hAnsi="Bookman Old Style"/>
          <w:sz w:val="20"/>
          <w:szCs w:val="20"/>
        </w:rPr>
        <w:t xml:space="preserve"> корректирующий коэффициент для Аналог</w:t>
      </w:r>
      <w:r>
        <w:rPr>
          <w:rFonts w:ascii="Bookman Old Style" w:hAnsi="Bookman Old Style"/>
          <w:sz w:val="20"/>
          <w:szCs w:val="20"/>
        </w:rPr>
        <w:t>ов</w:t>
      </w:r>
      <w:r w:rsidRPr="004A1E09">
        <w:rPr>
          <w:rFonts w:ascii="Bookman Old Style" w:hAnsi="Bookman Old Style"/>
          <w:sz w:val="20"/>
          <w:szCs w:val="20"/>
        </w:rPr>
        <w:t xml:space="preserve"> № 1</w:t>
      </w:r>
      <w:r>
        <w:rPr>
          <w:rFonts w:ascii="Bookman Old Style" w:hAnsi="Bookman Old Style"/>
          <w:sz w:val="20"/>
          <w:szCs w:val="20"/>
        </w:rPr>
        <w:t>-3</w:t>
      </w:r>
      <w:r>
        <w:rPr>
          <w:rFonts w:ascii="Bookman Old Style" w:hAnsi="Bookman Old Style"/>
          <w:sz w:val="20"/>
          <w:szCs w:val="20"/>
        </w:rPr>
        <w:t xml:space="preserve"> </w:t>
      </w:r>
      <w:r w:rsidRPr="004A1E09">
        <w:rPr>
          <w:rFonts w:ascii="Bookman Old Style" w:hAnsi="Bookman Old Style"/>
          <w:sz w:val="20"/>
          <w:szCs w:val="20"/>
        </w:rPr>
        <w:t xml:space="preserve">составляет </w:t>
      </w:r>
      <w:r>
        <w:rPr>
          <w:rFonts w:ascii="Bookman Old Style" w:hAnsi="Bookman Old Style"/>
          <w:sz w:val="20"/>
          <w:szCs w:val="20"/>
        </w:rPr>
        <w:t>-</w:t>
      </w:r>
      <w:r>
        <w:rPr>
          <w:rFonts w:ascii="Bookman Old Style" w:hAnsi="Bookman Old Style"/>
          <w:sz w:val="20"/>
          <w:szCs w:val="20"/>
        </w:rPr>
        <w:t>11%</w:t>
      </w:r>
      <w:r>
        <w:rPr>
          <w:rFonts w:ascii="Bookman Old Style" w:hAnsi="Bookman Old Style"/>
          <w:sz w:val="20"/>
          <w:szCs w:val="20"/>
        </w:rPr>
        <w:t>.</w:t>
      </w:r>
    </w:p>
    <w:p w:rsidR="00510FEB" w:rsidRDefault="00510FEB" w:rsidP="00510FEB">
      <w:pPr>
        <w:pStyle w:val="aff2"/>
        <w:numPr>
          <w:ilvl w:val="0"/>
          <w:numId w:val="46"/>
        </w:numPr>
        <w:spacing w:before="120" w:after="120"/>
        <w:contextualSpacing w:val="0"/>
        <w:jc w:val="both"/>
        <w:rPr>
          <w:rFonts w:ascii="Bookman Old Style" w:hAnsi="Bookman Old Style"/>
          <w:sz w:val="20"/>
          <w:szCs w:val="20"/>
        </w:rPr>
      </w:pPr>
      <w:r w:rsidRPr="006A199E">
        <w:rPr>
          <w:rFonts w:ascii="Bookman Old Style" w:hAnsi="Bookman Old Style"/>
          <w:sz w:val="20"/>
          <w:szCs w:val="20"/>
        </w:rPr>
        <w:t>Техническое состояние нежилого помещения. Расчет корректировки проведен экспертным методом</w:t>
      </w:r>
      <w:r w:rsidRPr="00431CC5">
        <w:rPr>
          <w:rFonts w:ascii="Bookman Old Style" w:hAnsi="Bookman Old Style"/>
          <w:sz w:val="20"/>
          <w:szCs w:val="20"/>
          <w:vertAlign w:val="superscript"/>
        </w:rPr>
        <w:footnoteReference w:id="56"/>
      </w:r>
      <w:r w:rsidRPr="006A199E">
        <w:rPr>
          <w:rFonts w:ascii="Bookman Old Style" w:hAnsi="Bookman Old Style"/>
          <w:sz w:val="20"/>
          <w:szCs w:val="20"/>
        </w:rPr>
        <w:t xml:space="preserve">. Экспертное значение диапазона отношения </w:t>
      </w:r>
      <w:r w:rsidRPr="006A199E">
        <w:rPr>
          <w:rFonts w:ascii="Bookman Old Style" w:hAnsi="Bookman Old Style"/>
          <w:iCs/>
          <w:sz w:val="20"/>
          <w:szCs w:val="20"/>
        </w:rPr>
        <w:t xml:space="preserve">ставки аренды </w:t>
      </w:r>
      <w:r w:rsidRPr="00510FEB">
        <w:rPr>
          <w:rFonts w:ascii="Bookman Old Style" w:hAnsi="Bookman Old Style"/>
          <w:sz w:val="20"/>
          <w:szCs w:val="20"/>
        </w:rPr>
        <w:t>производственно-складских</w:t>
      </w:r>
      <w:r w:rsidRPr="006A199E">
        <w:rPr>
          <w:rFonts w:ascii="Bookman Old Style" w:hAnsi="Bookman Old Style"/>
          <w:sz w:val="20"/>
          <w:szCs w:val="20"/>
        </w:rPr>
        <w:t xml:space="preserve"> объектов находящихся в неудовлетворительном состоянии к </w:t>
      </w:r>
      <w:r w:rsidRPr="006A199E">
        <w:rPr>
          <w:rFonts w:ascii="Bookman Old Style" w:hAnsi="Bookman Old Style"/>
          <w:iCs/>
          <w:sz w:val="20"/>
          <w:szCs w:val="20"/>
        </w:rPr>
        <w:t>ставк</w:t>
      </w:r>
      <w:r>
        <w:rPr>
          <w:rFonts w:ascii="Bookman Old Style" w:hAnsi="Bookman Old Style"/>
          <w:iCs/>
          <w:sz w:val="20"/>
          <w:szCs w:val="20"/>
        </w:rPr>
        <w:t>е</w:t>
      </w:r>
      <w:r w:rsidRPr="006A199E">
        <w:rPr>
          <w:rFonts w:ascii="Bookman Old Style" w:hAnsi="Bookman Old Style"/>
          <w:iCs/>
          <w:sz w:val="20"/>
          <w:szCs w:val="20"/>
        </w:rPr>
        <w:t xml:space="preserve"> аренды </w:t>
      </w:r>
      <w:r w:rsidRPr="006A199E">
        <w:rPr>
          <w:rFonts w:ascii="Bookman Old Style" w:hAnsi="Bookman Old Style"/>
          <w:sz w:val="20"/>
          <w:szCs w:val="20"/>
        </w:rPr>
        <w:t>такого же объекта, находящегося в удовлетворительном состоянии составляет диапазон 0,7</w:t>
      </w:r>
      <w:r>
        <w:rPr>
          <w:rFonts w:ascii="Bookman Old Style" w:hAnsi="Bookman Old Style"/>
          <w:sz w:val="20"/>
          <w:szCs w:val="20"/>
        </w:rPr>
        <w:t>2</w:t>
      </w:r>
      <w:r w:rsidRPr="006A199E">
        <w:rPr>
          <w:rFonts w:ascii="Bookman Old Style" w:hAnsi="Bookman Old Style"/>
          <w:sz w:val="20"/>
          <w:szCs w:val="20"/>
        </w:rPr>
        <w:t xml:space="preserve">-0,76. При расчете выбрано рекомендованное среднее значение 0,74, </w:t>
      </w:r>
      <w:r>
        <w:rPr>
          <w:rFonts w:ascii="Bookman Old Style" w:hAnsi="Bookman Old Style"/>
          <w:sz w:val="20"/>
          <w:szCs w:val="20"/>
        </w:rPr>
        <w:t>повышающая</w:t>
      </w:r>
      <w:r w:rsidRPr="006A199E">
        <w:rPr>
          <w:rFonts w:ascii="Bookman Old Style" w:hAnsi="Bookman Old Style"/>
          <w:sz w:val="20"/>
          <w:szCs w:val="20"/>
        </w:rPr>
        <w:t xml:space="preserve"> корректировка составит величину </w:t>
      </w:r>
      <w:r>
        <w:rPr>
          <w:rFonts w:ascii="Bookman Old Style" w:hAnsi="Bookman Old Style"/>
          <w:sz w:val="20"/>
          <w:szCs w:val="20"/>
        </w:rPr>
        <w:t>+</w:t>
      </w:r>
      <w:r w:rsidRPr="006A199E">
        <w:rPr>
          <w:rFonts w:ascii="Bookman Old Style" w:hAnsi="Bookman Old Style"/>
          <w:sz w:val="20"/>
          <w:szCs w:val="20"/>
        </w:rPr>
        <w:t xml:space="preserve">26,0%. </w:t>
      </w:r>
      <w:r>
        <w:rPr>
          <w:rFonts w:ascii="Bookman Old Style" w:hAnsi="Bookman Old Style"/>
          <w:sz w:val="20"/>
          <w:szCs w:val="20"/>
        </w:rPr>
        <w:t xml:space="preserve"> </w:t>
      </w:r>
      <w:r>
        <w:rPr>
          <w:rFonts w:ascii="Bookman Old Style" w:hAnsi="Bookman Old Style"/>
          <w:sz w:val="20"/>
          <w:szCs w:val="20"/>
        </w:rPr>
        <w:t xml:space="preserve"> </w:t>
      </w:r>
    </w:p>
    <w:p w:rsidR="00510FEB" w:rsidRDefault="00510FEB" w:rsidP="00510FEB">
      <w:pPr>
        <w:pStyle w:val="aff2"/>
        <w:numPr>
          <w:ilvl w:val="0"/>
          <w:numId w:val="46"/>
        </w:numPr>
        <w:spacing w:before="120" w:after="120"/>
        <w:contextualSpacing w:val="0"/>
        <w:jc w:val="both"/>
        <w:rPr>
          <w:rFonts w:ascii="Bookman Old Style" w:hAnsi="Bookman Old Style"/>
          <w:sz w:val="20"/>
          <w:szCs w:val="20"/>
        </w:rPr>
      </w:pPr>
      <w:r w:rsidRPr="006568BA">
        <w:rPr>
          <w:rFonts w:ascii="Bookman Old Style" w:hAnsi="Bookman Old Style"/>
          <w:sz w:val="20"/>
          <w:szCs w:val="20"/>
        </w:rPr>
        <w:t>Наличие железнодорожных путей. Расчет корректировки проведен экспертным методом</w:t>
      </w:r>
      <w:proofErr w:type="gramStart"/>
      <w:r w:rsidRPr="006568BA">
        <w:rPr>
          <w:rFonts w:ascii="Bookman Old Style" w:hAnsi="Bookman Old Style"/>
          <w:sz w:val="20"/>
          <w:szCs w:val="20"/>
        </w:rPr>
        <w:t xml:space="preserve"> .</w:t>
      </w:r>
      <w:proofErr w:type="gramEnd"/>
      <w:r w:rsidRPr="006568BA">
        <w:rPr>
          <w:rFonts w:ascii="Bookman Old Style" w:hAnsi="Bookman Old Style"/>
          <w:sz w:val="20"/>
          <w:szCs w:val="20"/>
        </w:rPr>
        <w:t xml:space="preserve"> Экспертное значение диапазона отношения удельной стоимости объектов оборудованных железнодорожной веткой к удельной цене такого же объекта, без железнодорожной ветки составляет диапазон 1,13-1,16. При расчете выбрано рекомендованное среднее значение 1,14, понижающая корректировка составит величину -14%</w:t>
      </w:r>
      <w:r>
        <w:rPr>
          <w:rFonts w:ascii="Bookman Old Style" w:hAnsi="Bookman Old Style"/>
          <w:sz w:val="20"/>
          <w:szCs w:val="20"/>
        </w:rPr>
        <w:t>.</w:t>
      </w:r>
    </w:p>
    <w:p w:rsidR="00510FEB" w:rsidRPr="00431CC5" w:rsidRDefault="00510FEB" w:rsidP="00510FEB">
      <w:pPr>
        <w:numPr>
          <w:ilvl w:val="0"/>
          <w:numId w:val="46"/>
        </w:numPr>
        <w:spacing w:before="120" w:after="120"/>
        <w:jc w:val="both"/>
        <w:rPr>
          <w:rFonts w:ascii="Bookman Old Style" w:hAnsi="Bookman Old Style"/>
          <w:sz w:val="20"/>
          <w:szCs w:val="20"/>
        </w:rPr>
      </w:pPr>
      <w:r w:rsidRPr="00431CC5">
        <w:rPr>
          <w:rFonts w:ascii="Bookman Old Style" w:hAnsi="Bookman Old Style"/>
          <w:sz w:val="20"/>
          <w:szCs w:val="20"/>
        </w:rPr>
        <w:t xml:space="preserve">Обоснование схемы согласования результатов. Расчет средневзвешенного значения рыночной стоимости. Для объектов аналогов сумма внесенных корректировок, по которым, значительна от базовой стоимости предложения, присвоены меньшие весовые значения. Данный факт объясняется снижением относительной ошибки в расчете. При этом необходимо отметить, что валовая корректировка рассчитывается по модулю. </w:t>
      </w:r>
    </w:p>
    <w:p w:rsidR="00510FEB" w:rsidRPr="00431CC5" w:rsidRDefault="00510FEB" w:rsidP="00510FEB">
      <w:pPr>
        <w:spacing w:before="120" w:after="120"/>
        <w:ind w:left="720"/>
        <w:rPr>
          <w:rFonts w:ascii="Bookman Old Style" w:hAnsi="Bookman Old Style"/>
          <w:sz w:val="20"/>
          <w:szCs w:val="20"/>
        </w:rPr>
      </w:pPr>
      <w:r w:rsidRPr="00431CC5">
        <w:rPr>
          <w:rFonts w:ascii="Bookman Old Style" w:hAnsi="Bookman Old Style"/>
          <w:sz w:val="20"/>
          <w:szCs w:val="20"/>
        </w:rPr>
        <w:t>Вес аналога рассчитывается по формуле:</w:t>
      </w:r>
    </w:p>
    <w:p w:rsidR="00510FEB" w:rsidRPr="00431CC5" w:rsidRDefault="00510FEB" w:rsidP="00510FEB">
      <w:pPr>
        <w:spacing w:before="120" w:after="120"/>
        <w:ind w:left="720"/>
        <w:rPr>
          <w:rFonts w:ascii="Bookman Old Style" w:hAnsi="Bookman Old Style"/>
          <w:i/>
          <w:sz w:val="20"/>
          <w:szCs w:val="20"/>
          <w:lang w:val="en-GB"/>
        </w:rPr>
      </w:pPr>
      <m:oMathPara>
        <m:oMath>
          <m:r>
            <w:rPr>
              <w:rFonts w:ascii="Cambria Math" w:hAnsi="Cambria Math"/>
              <w:sz w:val="20"/>
              <w:szCs w:val="20"/>
            </w:rPr>
            <m:t>W=</m:t>
          </m:r>
          <m:d>
            <m:dPr>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num>
                <m:den>
                  <m:nary>
                    <m:naryPr>
                      <m:chr m:val="∑"/>
                      <m:limLoc m:val="undOvr"/>
                      <m:subHide m:val="1"/>
                      <m:supHide m:val="1"/>
                      <m:ctrlPr>
                        <w:rPr>
                          <w:rFonts w:ascii="Cambria Math" w:hAnsi="Cambria Math"/>
                          <w:i/>
                          <w:sz w:val="20"/>
                          <w:szCs w:val="20"/>
                        </w:rPr>
                      </m:ctrlPr>
                    </m:naryPr>
                    <m:sub/>
                    <m:sup/>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e>
                  </m:nary>
                </m:den>
              </m:f>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n-1</m:t>
              </m:r>
            </m:e>
          </m:d>
        </m:oMath>
      </m:oMathPara>
    </w:p>
    <w:p w:rsidR="00510FEB" w:rsidRPr="00431CC5" w:rsidRDefault="00510FEB" w:rsidP="00510FEB">
      <w:pPr>
        <w:spacing w:before="120" w:after="120"/>
        <w:ind w:left="720"/>
        <w:rPr>
          <w:rFonts w:ascii="Bookman Old Style" w:hAnsi="Bookman Old Style"/>
          <w:sz w:val="20"/>
          <w:szCs w:val="20"/>
        </w:rPr>
      </w:pPr>
      <w:r w:rsidRPr="00431CC5">
        <w:rPr>
          <w:rFonts w:ascii="Bookman Old Style" w:hAnsi="Bookman Old Style"/>
          <w:sz w:val="20"/>
          <w:szCs w:val="20"/>
        </w:rPr>
        <w:t>где:</w:t>
      </w:r>
    </w:p>
    <w:p w:rsidR="00510FEB" w:rsidRPr="00431CC5" w:rsidRDefault="00510FEB" w:rsidP="00510FEB">
      <w:pPr>
        <w:spacing w:before="120" w:after="120"/>
        <w:ind w:left="720"/>
        <w:rPr>
          <w:rFonts w:ascii="Bookman Old Style" w:hAnsi="Bookman Old Style"/>
          <w:sz w:val="20"/>
          <w:szCs w:val="20"/>
        </w:rPr>
      </w:pPr>
      <w:r w:rsidRPr="00431CC5">
        <w:rPr>
          <w:rFonts w:ascii="Bookman Old Style" w:hAnsi="Bookman Old Style"/>
          <w:sz w:val="20"/>
          <w:szCs w:val="20"/>
          <w:lang w:val="en-GB"/>
        </w:rPr>
        <w:t>W</w:t>
      </w:r>
      <w:r w:rsidRPr="00431CC5">
        <w:rPr>
          <w:rFonts w:ascii="Bookman Old Style" w:hAnsi="Bookman Old Style"/>
          <w:sz w:val="20"/>
          <w:szCs w:val="20"/>
        </w:rPr>
        <w:t xml:space="preserve"> – </w:t>
      </w:r>
      <w:proofErr w:type="gramStart"/>
      <w:r w:rsidRPr="00431CC5">
        <w:rPr>
          <w:rFonts w:ascii="Bookman Old Style" w:hAnsi="Bookman Old Style"/>
          <w:sz w:val="20"/>
          <w:szCs w:val="20"/>
        </w:rPr>
        <w:t>вес</w:t>
      </w:r>
      <w:proofErr w:type="gramEnd"/>
      <w:r w:rsidRPr="00431CC5">
        <w:rPr>
          <w:rFonts w:ascii="Bookman Old Style" w:hAnsi="Bookman Old Style"/>
          <w:sz w:val="20"/>
          <w:szCs w:val="20"/>
        </w:rPr>
        <w:t xml:space="preserve"> аналога;</w:t>
      </w:r>
    </w:p>
    <w:p w:rsidR="00510FEB" w:rsidRPr="00431CC5" w:rsidRDefault="00510FEB" w:rsidP="00510FEB">
      <w:pPr>
        <w:spacing w:before="120" w:after="120"/>
        <w:ind w:left="720"/>
        <w:rPr>
          <w:rFonts w:ascii="Bookman Old Style" w:hAnsi="Bookman Old Style"/>
          <w:sz w:val="20"/>
          <w:szCs w:val="20"/>
        </w:rPr>
      </w:pPr>
      <w:proofErr w:type="spellStart"/>
      <w:r w:rsidRPr="00431CC5">
        <w:rPr>
          <w:rFonts w:ascii="Bookman Old Style" w:hAnsi="Bookman Old Style"/>
          <w:sz w:val="20"/>
          <w:szCs w:val="20"/>
          <w:lang w:val="en-GB"/>
        </w:rPr>
        <w:t>Vn</w:t>
      </w:r>
      <w:proofErr w:type="spellEnd"/>
      <w:r w:rsidRPr="00431CC5">
        <w:rPr>
          <w:rFonts w:ascii="Bookman Old Style" w:hAnsi="Bookman Old Style"/>
          <w:sz w:val="20"/>
          <w:szCs w:val="20"/>
        </w:rPr>
        <w:t xml:space="preserve"> – валовая корректировка аналога;</w:t>
      </w:r>
    </w:p>
    <w:p w:rsidR="00510FEB" w:rsidRPr="00431CC5" w:rsidRDefault="00510FEB" w:rsidP="00510FEB">
      <w:pPr>
        <w:spacing w:before="120" w:after="120"/>
        <w:ind w:left="720"/>
        <w:rPr>
          <w:rFonts w:ascii="Bookman Old Style" w:hAnsi="Bookman Old Style"/>
          <w:sz w:val="20"/>
          <w:szCs w:val="20"/>
        </w:rPr>
      </w:pPr>
      <w:r w:rsidRPr="00431CC5">
        <w:rPr>
          <w:rFonts w:ascii="Bookman Old Style" w:hAnsi="Bookman Old Style"/>
          <w:sz w:val="20"/>
          <w:szCs w:val="20"/>
        </w:rPr>
        <w:t>∑</w:t>
      </w:r>
      <w:proofErr w:type="spellStart"/>
      <w:r w:rsidRPr="00431CC5">
        <w:rPr>
          <w:rFonts w:ascii="Bookman Old Style" w:hAnsi="Bookman Old Style"/>
          <w:sz w:val="20"/>
          <w:szCs w:val="20"/>
          <w:lang w:val="en-GB"/>
        </w:rPr>
        <w:t>Vn</w:t>
      </w:r>
      <w:proofErr w:type="spellEnd"/>
      <w:r w:rsidRPr="00431CC5">
        <w:rPr>
          <w:rFonts w:ascii="Bookman Old Style" w:hAnsi="Bookman Old Style"/>
          <w:sz w:val="20"/>
          <w:szCs w:val="20"/>
        </w:rPr>
        <w:t xml:space="preserve"> – сумма валовых корректировок используемых аналогов;</w:t>
      </w:r>
    </w:p>
    <w:p w:rsidR="00510FEB" w:rsidRPr="00431CC5" w:rsidRDefault="00510FEB" w:rsidP="00510FEB">
      <w:pPr>
        <w:spacing w:before="120" w:after="120"/>
        <w:ind w:left="720"/>
        <w:rPr>
          <w:rFonts w:ascii="Bookman Old Style" w:hAnsi="Bookman Old Style"/>
          <w:sz w:val="20"/>
          <w:szCs w:val="20"/>
        </w:rPr>
      </w:pPr>
      <w:r w:rsidRPr="00431CC5">
        <w:rPr>
          <w:rFonts w:ascii="Bookman Old Style" w:hAnsi="Bookman Old Style"/>
          <w:sz w:val="20"/>
          <w:szCs w:val="20"/>
        </w:rPr>
        <w:t>(</w:t>
      </w:r>
      <w:r w:rsidRPr="00431CC5">
        <w:rPr>
          <w:rFonts w:ascii="Bookman Old Style" w:hAnsi="Bookman Old Style"/>
          <w:sz w:val="20"/>
          <w:szCs w:val="20"/>
          <w:lang w:val="en-GB"/>
        </w:rPr>
        <w:t>n</w:t>
      </w:r>
      <w:r w:rsidRPr="00431CC5">
        <w:rPr>
          <w:rFonts w:ascii="Bookman Old Style" w:hAnsi="Bookman Old Style"/>
          <w:sz w:val="20"/>
          <w:szCs w:val="20"/>
        </w:rPr>
        <w:t>-1) – количество аналогов уменьшенное на 1.</w:t>
      </w:r>
    </w:p>
    <w:p w:rsidR="00510FEB" w:rsidRDefault="00510FEB" w:rsidP="00510FEB">
      <w:pPr>
        <w:spacing w:before="120" w:after="120"/>
        <w:ind w:left="720"/>
        <w:jc w:val="both"/>
        <w:rPr>
          <w:rFonts w:ascii="Bookman Old Style" w:hAnsi="Bookman Old Style"/>
          <w:sz w:val="20"/>
          <w:szCs w:val="20"/>
        </w:rPr>
      </w:pPr>
      <w:r w:rsidRPr="00431CC5">
        <w:rPr>
          <w:rFonts w:ascii="Bookman Old Style" w:hAnsi="Bookman Old Style"/>
          <w:sz w:val="20"/>
          <w:szCs w:val="20"/>
        </w:rPr>
        <w:lastRenderedPageBreak/>
        <w:t>Выбранные объекты аналоги, соответствуют объекту оценки по своим экономическим, материальным, техническим и другим характеристикам, определяющим их стоимость</w:t>
      </w:r>
      <w:r w:rsidRPr="00431CC5">
        <w:rPr>
          <w:rFonts w:ascii="Bookman Old Style" w:hAnsi="Bookman Old Style"/>
          <w:sz w:val="20"/>
          <w:szCs w:val="20"/>
          <w:vertAlign w:val="superscript"/>
        </w:rPr>
        <w:footnoteReference w:id="57"/>
      </w:r>
      <w:r w:rsidRPr="00431CC5">
        <w:rPr>
          <w:rFonts w:ascii="Bookman Old Style" w:hAnsi="Bookman Old Style"/>
          <w:sz w:val="20"/>
          <w:szCs w:val="20"/>
        </w:rPr>
        <w:t>. ФСО устанавливает обязанность оценщика корректировать объект аналог в зависимости от элементов сравнения, что в данной оценочной работе было проведено исходя из элементов сравнения существенных для итоговой величины стоимости.</w:t>
      </w:r>
    </w:p>
    <w:p w:rsidR="006A199E" w:rsidRPr="006A199E" w:rsidRDefault="006A199E" w:rsidP="006A199E">
      <w:pPr>
        <w:keepNext/>
        <w:spacing w:before="120" w:after="120"/>
        <w:outlineLvl w:val="2"/>
        <w:rPr>
          <w:rFonts w:ascii="Bookman Old Style" w:hAnsi="Bookman Old Style"/>
          <w:b/>
          <w:bCs/>
          <w:sz w:val="20"/>
          <w:szCs w:val="20"/>
        </w:rPr>
      </w:pPr>
      <w:bookmarkStart w:id="297" w:name="_Toc461375610"/>
      <w:r w:rsidRPr="006A199E">
        <w:rPr>
          <w:rFonts w:ascii="Bookman Old Style" w:hAnsi="Bookman Old Style"/>
          <w:b/>
          <w:bCs/>
          <w:sz w:val="20"/>
          <w:szCs w:val="20"/>
        </w:rPr>
        <w:t>5.5.3. Определение периода прогнозирования</w:t>
      </w:r>
      <w:bookmarkEnd w:id="293"/>
      <w:bookmarkEnd w:id="294"/>
      <w:bookmarkEnd w:id="295"/>
      <w:bookmarkEnd w:id="296"/>
      <w:bookmarkEnd w:id="297"/>
    </w:p>
    <w:p w:rsidR="006A199E" w:rsidRPr="006A199E" w:rsidRDefault="006A199E" w:rsidP="006A199E">
      <w:pPr>
        <w:spacing w:before="120" w:after="120"/>
        <w:ind w:firstLine="708"/>
        <w:jc w:val="both"/>
        <w:rPr>
          <w:rFonts w:ascii="Bookman Old Style" w:hAnsi="Bookman Old Style"/>
          <w:sz w:val="20"/>
          <w:szCs w:val="20"/>
        </w:rPr>
      </w:pPr>
      <w:r w:rsidRPr="006A199E">
        <w:rPr>
          <w:rFonts w:ascii="Bookman Old Style" w:hAnsi="Bookman Old Style"/>
          <w:sz w:val="20"/>
          <w:szCs w:val="20"/>
        </w:rPr>
        <w:t>При определении периода прогнозирования, сделан вывод о возможности выбора периода сроком 1 год, что объясняется выбором метода проведения оценки в рамках доходного подхода. Определение чистого операционного дохода проведено в первый год после даты оценки, доход от объекта прогнозируется стабильный.</w:t>
      </w:r>
    </w:p>
    <w:p w:rsidR="006A199E" w:rsidRPr="006A199E" w:rsidRDefault="006A199E" w:rsidP="006A199E">
      <w:pPr>
        <w:keepNext/>
        <w:spacing w:before="120" w:after="120"/>
        <w:jc w:val="both"/>
        <w:outlineLvl w:val="2"/>
        <w:rPr>
          <w:rFonts w:ascii="Bookman Old Style" w:hAnsi="Bookman Old Style"/>
          <w:b/>
          <w:bCs/>
          <w:sz w:val="20"/>
          <w:szCs w:val="20"/>
        </w:rPr>
      </w:pPr>
      <w:bookmarkStart w:id="298" w:name="_Toc270845898"/>
      <w:bookmarkStart w:id="299" w:name="_Toc276315109"/>
      <w:bookmarkStart w:id="300" w:name="_Toc290644273"/>
      <w:bookmarkStart w:id="301" w:name="_Toc294085339"/>
      <w:bookmarkStart w:id="302" w:name="_Toc305749090"/>
      <w:bookmarkStart w:id="303" w:name="_Toc305247302"/>
      <w:bookmarkStart w:id="304" w:name="_Toc318810266"/>
      <w:bookmarkStart w:id="305" w:name="_Toc348605199"/>
      <w:bookmarkStart w:id="306" w:name="_Toc359256074"/>
      <w:bookmarkStart w:id="307" w:name="_Toc411006095"/>
      <w:bookmarkStart w:id="308" w:name="_Toc419473037"/>
      <w:bookmarkStart w:id="309" w:name="_Toc461375611"/>
      <w:r w:rsidRPr="006A199E">
        <w:rPr>
          <w:rFonts w:ascii="Bookman Old Style" w:hAnsi="Bookman Old Style"/>
          <w:b/>
          <w:bCs/>
          <w:sz w:val="20"/>
          <w:szCs w:val="20"/>
        </w:rPr>
        <w:t>5.5.4. Расчет коэффициента капитализации</w:t>
      </w:r>
      <w:bookmarkEnd w:id="298"/>
      <w:bookmarkEnd w:id="299"/>
      <w:bookmarkEnd w:id="300"/>
      <w:bookmarkEnd w:id="301"/>
      <w:bookmarkEnd w:id="302"/>
      <w:bookmarkEnd w:id="303"/>
      <w:bookmarkEnd w:id="304"/>
      <w:bookmarkEnd w:id="305"/>
      <w:bookmarkEnd w:id="306"/>
      <w:bookmarkEnd w:id="307"/>
      <w:bookmarkEnd w:id="308"/>
      <w:bookmarkEnd w:id="309"/>
      <w:r w:rsidRPr="006A199E">
        <w:rPr>
          <w:rFonts w:ascii="Bookman Old Style" w:hAnsi="Bookman Old Style"/>
          <w:b/>
          <w:bCs/>
          <w:sz w:val="20"/>
          <w:szCs w:val="20"/>
        </w:rPr>
        <w:t xml:space="preserve"> </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Коэффициент капитализации состоит из двух частей: </w:t>
      </w:r>
    </w:p>
    <w:p w:rsidR="006A199E" w:rsidRPr="006A199E" w:rsidRDefault="006A199E" w:rsidP="006A199E">
      <w:pPr>
        <w:spacing w:before="120" w:after="120"/>
        <w:ind w:firstLine="709"/>
        <w:rPr>
          <w:rFonts w:ascii="Bookman Old Style" w:hAnsi="Bookman Old Style"/>
          <w:sz w:val="20"/>
          <w:szCs w:val="20"/>
        </w:rPr>
      </w:pPr>
      <w:r w:rsidRPr="006A199E">
        <w:rPr>
          <w:rFonts w:ascii="Bookman Old Style" w:hAnsi="Bookman Old Style"/>
          <w:sz w:val="20"/>
          <w:szCs w:val="20"/>
        </w:rPr>
        <w:t xml:space="preserve">1) ставки дохода на капитал (ставка доходности инвестиций), являющейся компенсацией, которая должна быть выплачена инвестору за использование денежных средств с учетом риска и других факторов, связанных с конкретным объектом недвижимости; </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2) нормы возврата капитала, т.е. погашение суммы первоначальных вложений. Причем этот элемент коэффициента капитализации применяется, только к изнашиваемой части активов. </w:t>
      </w:r>
    </w:p>
    <w:p w:rsidR="006A199E" w:rsidRPr="006A199E" w:rsidRDefault="006A199E" w:rsidP="006A199E">
      <w:pPr>
        <w:autoSpaceDE w:val="0"/>
        <w:autoSpaceDN w:val="0"/>
        <w:adjustRightInd w:val="0"/>
        <w:spacing w:before="120" w:after="120"/>
        <w:jc w:val="center"/>
        <w:rPr>
          <w:rFonts w:ascii="Bookman Old Style" w:hAnsi="Bookman Old Style"/>
          <w:sz w:val="20"/>
          <w:szCs w:val="20"/>
        </w:rPr>
      </w:pPr>
      <m:oMath>
        <m:r>
          <w:rPr>
            <w:rFonts w:ascii="Cambria Math" w:hAnsi="Cambria Math"/>
            <w:sz w:val="20"/>
            <w:szCs w:val="20"/>
          </w:rPr>
          <m:t>R=</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дох.кап.</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норм.возвр</m:t>
            </m:r>
          </m:sub>
        </m:sSub>
      </m:oMath>
      <w:r w:rsidRPr="006A199E">
        <w:rPr>
          <w:rFonts w:ascii="Bookman Old Style" w:hAnsi="Bookman Old Style"/>
          <w:sz w:val="20"/>
          <w:szCs w:val="20"/>
        </w:rPr>
        <w:t>;</w:t>
      </w:r>
    </w:p>
    <w:p w:rsidR="006A199E" w:rsidRPr="006A199E" w:rsidRDefault="006A199E" w:rsidP="006A199E">
      <w:pPr>
        <w:autoSpaceDE w:val="0"/>
        <w:autoSpaceDN w:val="0"/>
        <w:adjustRightInd w:val="0"/>
        <w:spacing w:before="120" w:after="120"/>
        <w:ind w:left="708"/>
        <w:rPr>
          <w:rFonts w:ascii="Bookman Old Style" w:hAnsi="Bookman Old Style"/>
          <w:sz w:val="20"/>
          <w:szCs w:val="20"/>
        </w:rPr>
      </w:pPr>
      <w:r w:rsidRPr="006A199E">
        <w:rPr>
          <w:rFonts w:ascii="Bookman Old Style" w:hAnsi="Bookman Old Style"/>
          <w:sz w:val="20"/>
          <w:szCs w:val="20"/>
        </w:rPr>
        <w:t>Где:</w:t>
      </w:r>
    </w:p>
    <w:p w:rsidR="006A199E" w:rsidRPr="006A199E" w:rsidRDefault="006A199E" w:rsidP="006A199E">
      <w:pPr>
        <w:spacing w:before="120" w:after="120"/>
        <w:ind w:left="708"/>
        <w:jc w:val="both"/>
        <w:rPr>
          <w:rFonts w:ascii="Bookman Old Style" w:hAnsi="Bookman Old Style"/>
          <w:sz w:val="20"/>
          <w:szCs w:val="20"/>
        </w:rPr>
      </w:pPr>
      <m:oMath>
        <m:r>
          <w:rPr>
            <w:rFonts w:ascii="Cambria Math" w:hAnsi="Cambria Math"/>
            <w:sz w:val="20"/>
            <w:szCs w:val="20"/>
          </w:rPr>
          <m:t>R</m:t>
        </m:r>
      </m:oMath>
      <w:r w:rsidRPr="006A199E">
        <w:rPr>
          <w:rFonts w:ascii="Bookman Old Style" w:hAnsi="Bookman Old Style"/>
          <w:sz w:val="20"/>
          <w:szCs w:val="20"/>
        </w:rPr>
        <w:t xml:space="preserve"> - коэффициент капитализации;</w:t>
      </w:r>
    </w:p>
    <w:p w:rsidR="006A199E" w:rsidRPr="006A199E" w:rsidRDefault="009A3373" w:rsidP="006A199E">
      <w:pPr>
        <w:spacing w:before="120" w:after="120"/>
        <w:ind w:left="708"/>
        <w:jc w:val="both"/>
        <w:rPr>
          <w:rFonts w:ascii="Bookman Old Style" w:hAnsi="Bookman Old Style"/>
          <w:sz w:val="20"/>
          <w:szCs w:val="20"/>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дох.кап.</m:t>
            </m:r>
          </m:sub>
        </m:sSub>
      </m:oMath>
      <w:r w:rsidR="006A199E" w:rsidRPr="006A199E">
        <w:rPr>
          <w:rFonts w:ascii="Bookman Old Style" w:hAnsi="Bookman Old Style"/>
          <w:sz w:val="20"/>
          <w:szCs w:val="20"/>
        </w:rPr>
        <w:t xml:space="preserve"> - ставка дохода на капитал;</w:t>
      </w:r>
    </w:p>
    <w:p w:rsidR="006A199E" w:rsidRPr="006A199E" w:rsidRDefault="009A3373" w:rsidP="006A199E">
      <w:pPr>
        <w:spacing w:before="120" w:after="120"/>
        <w:ind w:left="708"/>
        <w:jc w:val="both"/>
        <w:rPr>
          <w:rFonts w:ascii="Bookman Old Style" w:hAnsi="Bookman Old Style"/>
          <w:sz w:val="20"/>
          <w:szCs w:val="20"/>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норм.возвр</m:t>
            </m:r>
          </m:sub>
        </m:sSub>
      </m:oMath>
      <w:r w:rsidR="006A199E" w:rsidRPr="006A199E">
        <w:rPr>
          <w:rFonts w:ascii="Bookman Old Style" w:hAnsi="Bookman Old Style"/>
          <w:sz w:val="20"/>
          <w:szCs w:val="20"/>
        </w:rPr>
        <w:t xml:space="preserve"> - норма возврата капитала;</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Существуют три способа расчета нормы возврата капитала </w:t>
      </w:r>
    </w:p>
    <w:p w:rsidR="006A199E" w:rsidRPr="006A199E" w:rsidRDefault="006A199E" w:rsidP="005F04AC">
      <w:pPr>
        <w:numPr>
          <w:ilvl w:val="0"/>
          <w:numId w:val="47"/>
        </w:numPr>
        <w:spacing w:before="120" w:after="120"/>
        <w:ind w:left="709"/>
        <w:jc w:val="both"/>
        <w:rPr>
          <w:rFonts w:ascii="Bookman Old Style" w:hAnsi="Bookman Old Style"/>
          <w:sz w:val="20"/>
          <w:szCs w:val="20"/>
        </w:rPr>
      </w:pPr>
      <w:r w:rsidRPr="006A199E">
        <w:rPr>
          <w:rFonts w:ascii="Bookman Old Style" w:hAnsi="Bookman Old Style"/>
          <w:sz w:val="20"/>
          <w:szCs w:val="20"/>
        </w:rPr>
        <w:t xml:space="preserve">прямолинейный возврат капитала (метод Ринга); </w:t>
      </w:r>
    </w:p>
    <w:p w:rsidR="006A199E" w:rsidRPr="006A199E" w:rsidRDefault="006A199E" w:rsidP="005F04AC">
      <w:pPr>
        <w:numPr>
          <w:ilvl w:val="0"/>
          <w:numId w:val="47"/>
        </w:numPr>
        <w:spacing w:before="120" w:after="120"/>
        <w:ind w:left="709"/>
        <w:jc w:val="both"/>
        <w:rPr>
          <w:rFonts w:ascii="Bookman Old Style" w:hAnsi="Bookman Old Style"/>
          <w:sz w:val="20"/>
          <w:szCs w:val="20"/>
        </w:rPr>
      </w:pPr>
      <w:r w:rsidRPr="006A199E">
        <w:rPr>
          <w:rFonts w:ascii="Bookman Old Style" w:hAnsi="Bookman Old Style"/>
          <w:sz w:val="20"/>
          <w:szCs w:val="20"/>
        </w:rPr>
        <w:t xml:space="preserve">возврат капитала по фонду возмещения и ставке дохода ни инвестиции (метод </w:t>
      </w:r>
      <w:proofErr w:type="spellStart"/>
      <w:r w:rsidRPr="006A199E">
        <w:rPr>
          <w:rFonts w:ascii="Bookman Old Style" w:hAnsi="Bookman Old Style"/>
          <w:sz w:val="20"/>
          <w:szCs w:val="20"/>
        </w:rPr>
        <w:t>Инвуда</w:t>
      </w:r>
      <w:proofErr w:type="spellEnd"/>
      <w:proofErr w:type="gramStart"/>
      <w:r w:rsidRPr="006A199E">
        <w:rPr>
          <w:rFonts w:ascii="Bookman Old Style" w:hAnsi="Bookman Old Style"/>
          <w:sz w:val="20"/>
          <w:szCs w:val="20"/>
        </w:rPr>
        <w:t xml:space="preserve"> )</w:t>
      </w:r>
      <w:proofErr w:type="gramEnd"/>
      <w:r w:rsidRPr="006A199E">
        <w:rPr>
          <w:rFonts w:ascii="Bookman Old Style" w:hAnsi="Bookman Old Style"/>
          <w:sz w:val="20"/>
          <w:szCs w:val="20"/>
        </w:rPr>
        <w:t xml:space="preserve">, его иногда называют </w:t>
      </w:r>
      <w:proofErr w:type="spellStart"/>
      <w:r w:rsidRPr="006A199E">
        <w:rPr>
          <w:rFonts w:ascii="Bookman Old Style" w:hAnsi="Bookman Old Style"/>
          <w:sz w:val="20"/>
          <w:szCs w:val="20"/>
        </w:rPr>
        <w:t>аннуитетным</w:t>
      </w:r>
      <w:proofErr w:type="spellEnd"/>
      <w:r w:rsidRPr="006A199E">
        <w:rPr>
          <w:rFonts w:ascii="Bookman Old Style" w:hAnsi="Bookman Old Style"/>
          <w:sz w:val="20"/>
          <w:szCs w:val="20"/>
        </w:rPr>
        <w:t xml:space="preserve"> методом; </w:t>
      </w:r>
    </w:p>
    <w:p w:rsidR="006A199E" w:rsidRPr="006A199E" w:rsidRDefault="006A199E" w:rsidP="005F04AC">
      <w:pPr>
        <w:numPr>
          <w:ilvl w:val="0"/>
          <w:numId w:val="47"/>
        </w:numPr>
        <w:spacing w:before="120" w:after="120"/>
        <w:ind w:left="709"/>
        <w:jc w:val="both"/>
        <w:rPr>
          <w:rFonts w:ascii="Bookman Old Style" w:hAnsi="Bookman Old Style"/>
          <w:sz w:val="20"/>
          <w:szCs w:val="20"/>
        </w:rPr>
      </w:pPr>
      <w:r w:rsidRPr="006A199E">
        <w:rPr>
          <w:rFonts w:ascii="Bookman Old Style" w:hAnsi="Bookman Old Style"/>
          <w:sz w:val="20"/>
          <w:szCs w:val="20"/>
        </w:rPr>
        <w:t xml:space="preserve">возврат капитала по фонду возмещения и </w:t>
      </w:r>
      <w:proofErr w:type="spellStart"/>
      <w:r w:rsidRPr="006A199E">
        <w:rPr>
          <w:rFonts w:ascii="Bookman Old Style" w:hAnsi="Bookman Old Style"/>
          <w:sz w:val="20"/>
          <w:szCs w:val="20"/>
        </w:rPr>
        <w:t>безрисковой</w:t>
      </w:r>
      <w:proofErr w:type="spellEnd"/>
      <w:r w:rsidRPr="006A199E">
        <w:rPr>
          <w:rFonts w:ascii="Bookman Old Style" w:hAnsi="Bookman Old Style"/>
          <w:sz w:val="20"/>
          <w:szCs w:val="20"/>
        </w:rPr>
        <w:t xml:space="preserve"> ставке процента (метод </w:t>
      </w:r>
      <w:proofErr w:type="spellStart"/>
      <w:r w:rsidRPr="006A199E">
        <w:rPr>
          <w:rFonts w:ascii="Bookman Old Style" w:hAnsi="Bookman Old Style"/>
          <w:sz w:val="20"/>
          <w:szCs w:val="20"/>
        </w:rPr>
        <w:t>Хоскольда</w:t>
      </w:r>
      <w:proofErr w:type="spellEnd"/>
      <w:r w:rsidRPr="006A199E">
        <w:rPr>
          <w:rFonts w:ascii="Bookman Old Style" w:hAnsi="Bookman Old Style"/>
          <w:sz w:val="20"/>
          <w:szCs w:val="20"/>
        </w:rPr>
        <w:t xml:space="preserve">). </w:t>
      </w:r>
    </w:p>
    <w:p w:rsidR="006A199E" w:rsidRPr="006A199E" w:rsidRDefault="006A199E" w:rsidP="006A199E">
      <w:pPr>
        <w:spacing w:before="120" w:after="120"/>
        <w:ind w:left="709"/>
        <w:jc w:val="both"/>
        <w:rPr>
          <w:rFonts w:ascii="Bookman Old Style" w:hAnsi="Bookman Old Style" w:cs="Courier New"/>
          <w:sz w:val="20"/>
          <w:szCs w:val="20"/>
        </w:rPr>
      </w:pPr>
      <w:r w:rsidRPr="006A199E">
        <w:rPr>
          <w:rFonts w:ascii="Bookman Old Style" w:hAnsi="Bookman Old Style"/>
          <w:sz w:val="20"/>
          <w:szCs w:val="20"/>
        </w:rPr>
        <w:t xml:space="preserve">Ставка дохода на инвестиции была рассчитана по методу </w:t>
      </w:r>
      <w:proofErr w:type="spellStart"/>
      <w:r w:rsidRPr="006A199E">
        <w:rPr>
          <w:rFonts w:ascii="Bookman Old Style" w:hAnsi="Bookman Old Style"/>
          <w:sz w:val="20"/>
          <w:szCs w:val="20"/>
        </w:rPr>
        <w:t>Инвуда</w:t>
      </w:r>
      <w:proofErr w:type="spellEnd"/>
      <w:r w:rsidRPr="006A199E">
        <w:rPr>
          <w:rFonts w:ascii="Bookman Old Style" w:hAnsi="Bookman Old Style"/>
          <w:sz w:val="20"/>
          <w:szCs w:val="20"/>
        </w:rPr>
        <w:t>.</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bCs/>
          <w:sz w:val="20"/>
          <w:szCs w:val="20"/>
        </w:rPr>
        <w:t xml:space="preserve">Метод </w:t>
      </w:r>
      <w:proofErr w:type="spellStart"/>
      <w:r w:rsidRPr="006A199E">
        <w:rPr>
          <w:rFonts w:ascii="Bookman Old Style" w:hAnsi="Bookman Old Style"/>
          <w:bCs/>
          <w:sz w:val="20"/>
          <w:szCs w:val="20"/>
        </w:rPr>
        <w:t>Инвуда</w:t>
      </w:r>
      <w:proofErr w:type="spellEnd"/>
      <w:r w:rsidRPr="006A199E">
        <w:rPr>
          <w:rFonts w:ascii="Bookman Old Style" w:hAnsi="Bookman Old Style"/>
          <w:b/>
          <w:bCs/>
          <w:sz w:val="20"/>
          <w:szCs w:val="20"/>
        </w:rPr>
        <w:t xml:space="preserve"> </w:t>
      </w:r>
      <w:r w:rsidRPr="006A199E">
        <w:rPr>
          <w:rFonts w:ascii="Bookman Old Style" w:hAnsi="Bookman Old Style"/>
          <w:sz w:val="20"/>
          <w:szCs w:val="20"/>
        </w:rPr>
        <w:t xml:space="preserve">используется, если сумма возврата капитала реинвестируется по ставке доходности инвестиции. В этом случае норма возврата как составная часть коэффициента капитализации равна фактору фонда возмещения при той же ставке процента, что и по инвестициям </w:t>
      </w:r>
    </w:p>
    <w:p w:rsidR="006A199E" w:rsidRPr="006A199E" w:rsidRDefault="009A3373" w:rsidP="006A199E">
      <w:pPr>
        <w:autoSpaceDE w:val="0"/>
        <w:autoSpaceDN w:val="0"/>
        <w:adjustRightInd w:val="0"/>
        <w:spacing w:before="80" w:after="120"/>
        <w:jc w:val="center"/>
        <w:rPr>
          <w:rFonts w:asciiTheme="majorHAnsi" w:hAnsiTheme="majorHAnsi"/>
          <w:sz w:val="20"/>
          <w:szCs w:val="20"/>
          <w:lang w:val="en-US"/>
        </w:rPr>
      </w:pPr>
      <m:oMathPara>
        <m:oMath>
          <m:sSub>
            <m:sSubPr>
              <m:ctrlPr>
                <w:rPr>
                  <w:rFonts w:ascii="Cambria Math" w:hAnsi="Cambria Math"/>
                  <w:i/>
                  <w:sz w:val="20"/>
                  <w:szCs w:val="20"/>
                  <w:lang w:val="en-US"/>
                </w:rPr>
              </m:ctrlPr>
            </m:sSubPr>
            <m:e>
              <m:r>
                <w:rPr>
                  <w:rFonts w:ascii="Cambria Math" w:hAnsi="Cambria Math"/>
                  <w:sz w:val="20"/>
                  <w:szCs w:val="20"/>
                  <w:lang w:val="en-US"/>
                </w:rPr>
                <m:t>R</m:t>
              </m:r>
            </m:e>
            <m:sub>
              <m:r>
                <w:rPr>
                  <w:rFonts w:ascii="Cambria Math" w:hAnsi="Cambria Math"/>
                  <w:sz w:val="20"/>
                  <w:szCs w:val="20"/>
                </w:rPr>
                <m:t>норм.возвр</m:t>
              </m:r>
            </m:sub>
          </m:sSub>
          <m:r>
            <w:rPr>
              <w:rFonts w:ascii="Cambria Math" w:hAnsi="Cambria Math"/>
              <w:sz w:val="20"/>
              <w:szCs w:val="20"/>
            </w:rPr>
            <m:t xml:space="preserve">= </m:t>
          </m:r>
          <m:f>
            <m:fPr>
              <m:ctrlPr>
                <w:rPr>
                  <w:rFonts w:ascii="Cambria Math" w:hAnsi="Cambria Math"/>
                  <w:i/>
                  <w:sz w:val="20"/>
                  <w:szCs w:val="20"/>
                  <w:lang w:val="en-US"/>
                </w:rPr>
              </m:ctrlPr>
            </m:fPr>
            <m:num>
              <m:sSub>
                <m:sSubPr>
                  <m:ctrlPr>
                    <w:rPr>
                      <w:rFonts w:ascii="Cambria Math" w:hAnsi="Cambria Math"/>
                      <w:i/>
                      <w:sz w:val="20"/>
                      <w:szCs w:val="20"/>
                      <w:lang w:val="en-US"/>
                    </w:rPr>
                  </m:ctrlPr>
                </m:sSubPr>
                <m:e>
                  <m:r>
                    <w:rPr>
                      <w:rFonts w:ascii="Cambria Math" w:hAnsi="Cambria Math"/>
                      <w:sz w:val="20"/>
                      <w:szCs w:val="20"/>
                      <w:lang w:val="en-US"/>
                    </w:rPr>
                    <m:t>R</m:t>
                  </m:r>
                </m:e>
                <m:sub>
                  <m:r>
                    <w:rPr>
                      <w:rFonts w:ascii="Cambria Math" w:hAnsi="Cambria Math"/>
                      <w:sz w:val="20"/>
                      <w:szCs w:val="20"/>
                    </w:rPr>
                    <m:t>дох.кап.</m:t>
                  </m:r>
                </m:sub>
              </m:sSub>
            </m:num>
            <m:den>
              <m:r>
                <w:rPr>
                  <w:rFonts w:ascii="Cambria Math" w:hAnsi="Cambria Math"/>
                  <w:sz w:val="20"/>
                  <w:szCs w:val="20"/>
                </w:rPr>
                <m:t>(</m:t>
              </m:r>
              <m:sSup>
                <m:sSupPr>
                  <m:ctrlPr>
                    <w:rPr>
                      <w:rFonts w:ascii="Cambria Math" w:hAnsi="Cambria Math"/>
                      <w:i/>
                      <w:sz w:val="20"/>
                      <w:szCs w:val="20"/>
                      <w:lang w:val="en-US"/>
                    </w:rPr>
                  </m:ctrlPr>
                </m:sSupPr>
                <m:e>
                  <m:r>
                    <w:rPr>
                      <w:rFonts w:ascii="Cambria Math" w:hAnsi="Cambria Math"/>
                      <w:sz w:val="20"/>
                      <w:szCs w:val="20"/>
                    </w:rPr>
                    <m:t>1+</m:t>
                  </m:r>
                  <m:sSub>
                    <m:sSubPr>
                      <m:ctrlPr>
                        <w:rPr>
                          <w:rFonts w:ascii="Cambria Math" w:hAnsi="Cambria Math"/>
                          <w:i/>
                          <w:sz w:val="20"/>
                          <w:szCs w:val="20"/>
                          <w:lang w:val="en-US"/>
                        </w:rPr>
                      </m:ctrlPr>
                    </m:sSubPr>
                    <m:e>
                      <m:r>
                        <w:rPr>
                          <w:rFonts w:ascii="Cambria Math" w:hAnsi="Cambria Math"/>
                          <w:sz w:val="20"/>
                          <w:szCs w:val="20"/>
                          <w:lang w:val="en-US"/>
                        </w:rPr>
                        <m:t>R</m:t>
                      </m:r>
                    </m:e>
                    <m:sub>
                      <m:r>
                        <w:rPr>
                          <w:rFonts w:ascii="Cambria Math" w:hAnsi="Cambria Math"/>
                          <w:sz w:val="20"/>
                          <w:szCs w:val="20"/>
                        </w:rPr>
                        <m:t>дох.кап.</m:t>
                      </m:r>
                    </m:sub>
                  </m:sSub>
                  <m:r>
                    <w:rPr>
                      <w:rFonts w:ascii="Cambria Math" w:hAnsi="Cambria Math"/>
                      <w:sz w:val="20"/>
                      <w:szCs w:val="20"/>
                    </w:rPr>
                    <m:t>)</m:t>
                  </m:r>
                </m:e>
                <m:sup>
                  <m:r>
                    <w:rPr>
                      <w:rFonts w:ascii="Cambria Math" w:hAnsi="Cambria Math"/>
                      <w:sz w:val="20"/>
                      <w:szCs w:val="20"/>
                      <w:lang w:val="en-US"/>
                    </w:rPr>
                    <m:t>n</m:t>
                  </m:r>
                </m:sup>
              </m:sSup>
              <m:r>
                <w:rPr>
                  <w:rFonts w:ascii="Cambria Math" w:hAnsi="Cambria Math"/>
                  <w:sz w:val="20"/>
                  <w:szCs w:val="20"/>
                </w:rPr>
                <m:t>-1</m:t>
              </m:r>
            </m:den>
          </m:f>
        </m:oMath>
      </m:oMathPara>
    </w:p>
    <w:p w:rsidR="006A199E" w:rsidRPr="006A199E" w:rsidRDefault="006A199E" w:rsidP="006A199E">
      <w:pPr>
        <w:autoSpaceDE w:val="0"/>
        <w:autoSpaceDN w:val="0"/>
        <w:adjustRightInd w:val="0"/>
        <w:spacing w:before="80" w:after="120"/>
        <w:jc w:val="both"/>
        <w:rPr>
          <w:rFonts w:ascii="Bookman Old Style" w:hAnsi="Bookman Old Style"/>
          <w:sz w:val="20"/>
          <w:szCs w:val="20"/>
        </w:rPr>
      </w:pPr>
      <w:r w:rsidRPr="006A199E">
        <w:rPr>
          <w:rFonts w:asciiTheme="majorHAnsi" w:hAnsiTheme="majorHAnsi"/>
          <w:sz w:val="24"/>
          <w:szCs w:val="24"/>
        </w:rPr>
        <w:t>г</w:t>
      </w:r>
      <w:r w:rsidRPr="006A199E">
        <w:rPr>
          <w:rFonts w:ascii="Bookman Old Style" w:hAnsi="Bookman Old Style"/>
          <w:sz w:val="20"/>
          <w:szCs w:val="20"/>
        </w:rPr>
        <w:t>де:</w:t>
      </w:r>
    </w:p>
    <w:p w:rsidR="006A199E" w:rsidRPr="006A199E" w:rsidRDefault="009A3373" w:rsidP="006A199E">
      <w:pPr>
        <w:spacing w:before="120" w:after="120"/>
        <w:jc w:val="both"/>
        <w:rPr>
          <w:rFonts w:ascii="Bookman Old Style" w:hAnsi="Bookman Old Style"/>
          <w:sz w:val="20"/>
          <w:szCs w:val="20"/>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дох.кап.</m:t>
            </m:r>
          </m:sub>
        </m:sSub>
      </m:oMath>
      <w:r w:rsidR="006A199E" w:rsidRPr="006A199E">
        <w:rPr>
          <w:rFonts w:ascii="Bookman Old Style" w:hAnsi="Bookman Old Style"/>
          <w:sz w:val="20"/>
          <w:szCs w:val="20"/>
        </w:rPr>
        <w:t xml:space="preserve"> - ставка дохода на капитал;</w:t>
      </w:r>
    </w:p>
    <w:p w:rsidR="006A199E" w:rsidRPr="006A199E" w:rsidRDefault="009A3373" w:rsidP="006A199E">
      <w:pPr>
        <w:spacing w:before="120" w:after="120"/>
        <w:jc w:val="both"/>
        <w:rPr>
          <w:rFonts w:ascii="Bookman Old Style" w:hAnsi="Bookman Old Style"/>
          <w:sz w:val="20"/>
          <w:szCs w:val="20"/>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норм.возвр</m:t>
            </m:r>
          </m:sub>
        </m:sSub>
      </m:oMath>
      <w:r w:rsidR="006A199E" w:rsidRPr="006A199E">
        <w:rPr>
          <w:rFonts w:ascii="Bookman Old Style" w:hAnsi="Bookman Old Style"/>
          <w:sz w:val="20"/>
          <w:szCs w:val="20"/>
        </w:rPr>
        <w:t xml:space="preserve"> - норма возврата инвестиций;</w:t>
      </w:r>
    </w:p>
    <w:p w:rsidR="006A199E" w:rsidRDefault="006A199E" w:rsidP="006A199E">
      <w:pPr>
        <w:spacing w:before="120" w:after="120"/>
        <w:jc w:val="both"/>
        <w:rPr>
          <w:rFonts w:ascii="Bookman Old Style" w:eastAsia="NewtonC" w:hAnsi="Bookman Old Style"/>
          <w:bCs/>
          <w:sz w:val="20"/>
          <w:szCs w:val="20"/>
        </w:rPr>
      </w:pPr>
      <w:r w:rsidRPr="006A199E">
        <w:rPr>
          <w:rFonts w:asciiTheme="majorHAnsi" w:hAnsiTheme="majorHAnsi"/>
          <w:sz w:val="20"/>
          <w:szCs w:val="20"/>
        </w:rPr>
        <w:t>n</w:t>
      </w:r>
      <w:r w:rsidRPr="006A199E">
        <w:rPr>
          <w:rFonts w:ascii="Bookman Old Style" w:hAnsi="Bookman Old Style"/>
          <w:sz w:val="20"/>
          <w:szCs w:val="20"/>
        </w:rPr>
        <w:t xml:space="preserve"> -</w:t>
      </w:r>
      <w:r w:rsidRPr="006A199E">
        <w:rPr>
          <w:rFonts w:ascii="Bookman Old Style" w:eastAsia="NewtonC" w:hAnsi="Bookman Old Style"/>
          <w:bCs/>
          <w:sz w:val="20"/>
          <w:szCs w:val="20"/>
        </w:rPr>
        <w:t xml:space="preserve"> период времени до проведения капитального ремонта (предполагаемый срок экономической жизни до капитального ремонта). </w:t>
      </w:r>
      <w:r w:rsidRPr="006A199E">
        <w:rPr>
          <w:rFonts w:ascii="Bookman Old Style" w:eastAsia="NewtonC" w:hAnsi="Bookman Old Style"/>
          <w:bCs/>
          <w:sz w:val="20"/>
          <w:szCs w:val="20"/>
          <w:lang w:val="en-US"/>
        </w:rPr>
        <w:t>n</w:t>
      </w:r>
      <w:r w:rsidRPr="006A199E">
        <w:rPr>
          <w:rFonts w:ascii="Bookman Old Style" w:eastAsia="NewtonC" w:hAnsi="Bookman Old Style"/>
          <w:bCs/>
          <w:sz w:val="20"/>
          <w:szCs w:val="20"/>
        </w:rPr>
        <w:t>=</w:t>
      </w:r>
      <w:r>
        <w:rPr>
          <w:rFonts w:ascii="Bookman Old Style" w:eastAsia="NewtonC" w:hAnsi="Bookman Old Style"/>
          <w:bCs/>
          <w:sz w:val="20"/>
          <w:szCs w:val="20"/>
        </w:rPr>
        <w:t>15</w:t>
      </w:r>
      <w:r w:rsidRPr="006A199E">
        <w:rPr>
          <w:rFonts w:ascii="Bookman Old Style" w:eastAsia="NewtonC" w:hAnsi="Bookman Old Style"/>
          <w:bCs/>
          <w:sz w:val="20"/>
          <w:szCs w:val="20"/>
          <w:vertAlign w:val="superscript"/>
          <w:lang w:val="en-GB"/>
        </w:rPr>
        <w:footnoteReference w:id="58"/>
      </w:r>
      <w:r w:rsidRPr="006A199E">
        <w:rPr>
          <w:rFonts w:ascii="Bookman Old Style" w:eastAsia="NewtonC" w:hAnsi="Bookman Old Style"/>
          <w:bCs/>
          <w:sz w:val="20"/>
          <w:szCs w:val="20"/>
        </w:rPr>
        <w:t>.</w:t>
      </w:r>
    </w:p>
    <w:p w:rsidR="00510FEB" w:rsidRDefault="00510FEB" w:rsidP="006A199E">
      <w:pPr>
        <w:spacing w:before="120" w:after="120"/>
        <w:jc w:val="both"/>
        <w:rPr>
          <w:rFonts w:ascii="Bookman Old Style" w:eastAsia="NewtonC" w:hAnsi="Bookman Old Style"/>
          <w:bCs/>
          <w:sz w:val="20"/>
          <w:szCs w:val="20"/>
        </w:rPr>
      </w:pPr>
    </w:p>
    <w:p w:rsidR="00510FEB" w:rsidRDefault="00510FEB" w:rsidP="006A199E">
      <w:pPr>
        <w:spacing w:before="120" w:after="120"/>
        <w:jc w:val="both"/>
        <w:rPr>
          <w:rFonts w:ascii="Bookman Old Style" w:eastAsia="NewtonC" w:hAnsi="Bookman Old Style"/>
          <w:bCs/>
          <w:sz w:val="20"/>
          <w:szCs w:val="20"/>
        </w:rPr>
      </w:pPr>
    </w:p>
    <w:p w:rsidR="006A199E" w:rsidRPr="006A199E" w:rsidRDefault="006A199E" w:rsidP="006A199E">
      <w:pPr>
        <w:spacing w:before="120"/>
        <w:jc w:val="right"/>
        <w:rPr>
          <w:rFonts w:ascii="Bookman Old Style" w:hAnsi="Bookman Old Style"/>
          <w:b/>
          <w:sz w:val="20"/>
          <w:szCs w:val="20"/>
        </w:rPr>
      </w:pPr>
      <w:r w:rsidRPr="006A199E">
        <w:rPr>
          <w:rFonts w:ascii="Bookman Old Style" w:hAnsi="Bookman Old Style"/>
          <w:b/>
          <w:sz w:val="20"/>
          <w:szCs w:val="20"/>
        </w:rPr>
        <w:lastRenderedPageBreak/>
        <w:t xml:space="preserve">Таблица </w:t>
      </w:r>
      <w:r w:rsidRPr="006A199E">
        <w:rPr>
          <w:rFonts w:ascii="Bookman Old Style" w:hAnsi="Bookman Old Style"/>
          <w:b/>
          <w:bCs/>
          <w:sz w:val="20"/>
          <w:szCs w:val="20"/>
        </w:rPr>
        <w:t>5.5.4.</w:t>
      </w:r>
      <w:r w:rsidRPr="006A199E">
        <w:rPr>
          <w:rFonts w:ascii="Bookman Old Style" w:hAnsi="Bookman Old Style"/>
          <w:b/>
          <w:sz w:val="20"/>
          <w:szCs w:val="20"/>
        </w:rPr>
        <w:t xml:space="preserve">1. Расчет коэффициента капитализации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2509"/>
        <w:gridCol w:w="4879"/>
      </w:tblGrid>
      <w:tr w:rsidR="009E33BE" w:rsidRPr="006A199E" w:rsidTr="009E33BE">
        <w:trPr>
          <w:cantSplit/>
          <w:trHeight w:val="170"/>
        </w:trPr>
        <w:tc>
          <w:tcPr>
            <w:tcW w:w="1455" w:type="pct"/>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Показатель</w:t>
            </w:r>
          </w:p>
        </w:tc>
        <w:tc>
          <w:tcPr>
            <w:tcW w:w="1204" w:type="pct"/>
            <w:shd w:val="clear" w:color="000000" w:fill="F2F2F2"/>
            <w:noWrap/>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Значение</w:t>
            </w:r>
          </w:p>
        </w:tc>
        <w:tc>
          <w:tcPr>
            <w:tcW w:w="2341" w:type="pct"/>
            <w:shd w:val="clear" w:color="000000" w:fill="F2F2F2"/>
            <w:noWrap/>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Источник информации</w:t>
            </w:r>
          </w:p>
        </w:tc>
      </w:tr>
      <w:tr w:rsidR="00510FEB" w:rsidRPr="006A199E" w:rsidTr="009E33BE">
        <w:trPr>
          <w:cantSplit/>
          <w:trHeight w:val="170"/>
        </w:trPr>
        <w:tc>
          <w:tcPr>
            <w:tcW w:w="1455" w:type="pct"/>
            <w:shd w:val="clear" w:color="auto" w:fill="auto"/>
            <w:vAlign w:val="center"/>
            <w:hideMark/>
          </w:tcPr>
          <w:p w:rsidR="00510FEB" w:rsidRPr="006A199E" w:rsidRDefault="00510FEB" w:rsidP="006A199E">
            <w:pPr>
              <w:rPr>
                <w:rFonts w:ascii="Cambria" w:hAnsi="Cambria"/>
                <w:color w:val="000000"/>
                <w:sz w:val="16"/>
                <w:szCs w:val="16"/>
              </w:rPr>
            </w:pPr>
            <w:r w:rsidRPr="006A199E">
              <w:rPr>
                <w:rFonts w:ascii="Cambria" w:hAnsi="Cambria"/>
                <w:color w:val="000000"/>
                <w:sz w:val="16"/>
                <w:szCs w:val="16"/>
              </w:rPr>
              <w:t>Ставка аренды для, руб. 1 кв.м. в месяц</w:t>
            </w:r>
          </w:p>
        </w:tc>
        <w:tc>
          <w:tcPr>
            <w:tcW w:w="120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148</w:t>
            </w:r>
          </w:p>
        </w:tc>
        <w:tc>
          <w:tcPr>
            <w:tcW w:w="2341" w:type="pct"/>
            <w:shd w:val="clear" w:color="auto" w:fill="auto"/>
            <w:vAlign w:val="center"/>
            <w:hideMark/>
          </w:tcPr>
          <w:p w:rsidR="00510FEB" w:rsidRPr="006A199E" w:rsidRDefault="00510FEB" w:rsidP="00991B2D">
            <w:pPr>
              <w:rPr>
                <w:rFonts w:ascii="Cambria" w:hAnsi="Cambria"/>
                <w:color w:val="000000"/>
                <w:sz w:val="16"/>
                <w:szCs w:val="16"/>
              </w:rPr>
            </w:pPr>
            <w:r w:rsidRPr="006A199E">
              <w:rPr>
                <w:rFonts w:ascii="Cambria" w:hAnsi="Cambria"/>
                <w:color w:val="000000"/>
                <w:sz w:val="16"/>
                <w:szCs w:val="16"/>
              </w:rPr>
              <w:t xml:space="preserve">Среднерыночная ставка аренды </w:t>
            </w:r>
            <w:r>
              <w:rPr>
                <w:rFonts w:ascii="Cambria" w:hAnsi="Cambria"/>
                <w:color w:val="000000"/>
                <w:sz w:val="16"/>
                <w:szCs w:val="16"/>
              </w:rPr>
              <w:t>объектов ПСН</w:t>
            </w:r>
            <w:r w:rsidRPr="006A199E">
              <w:rPr>
                <w:rFonts w:ascii="Cambria" w:hAnsi="Cambria"/>
                <w:color w:val="000000"/>
                <w:sz w:val="16"/>
                <w:szCs w:val="16"/>
              </w:rPr>
              <w:t xml:space="preserve"> в </w:t>
            </w:r>
            <w:r>
              <w:rPr>
                <w:rFonts w:ascii="Cambria" w:hAnsi="Cambria"/>
                <w:color w:val="000000"/>
                <w:sz w:val="16"/>
                <w:szCs w:val="16"/>
              </w:rPr>
              <w:t>Ленинском</w:t>
            </w:r>
            <w:r w:rsidRPr="006A199E">
              <w:rPr>
                <w:rFonts w:ascii="Cambria" w:hAnsi="Cambria"/>
                <w:color w:val="000000"/>
                <w:sz w:val="16"/>
                <w:szCs w:val="16"/>
              </w:rPr>
              <w:t xml:space="preserve"> районе г. Красноярска</w:t>
            </w:r>
          </w:p>
        </w:tc>
      </w:tr>
      <w:tr w:rsidR="00510FEB" w:rsidRPr="006A199E" w:rsidTr="009E33BE">
        <w:trPr>
          <w:cantSplit/>
          <w:trHeight w:val="170"/>
        </w:trPr>
        <w:tc>
          <w:tcPr>
            <w:tcW w:w="1455" w:type="pct"/>
            <w:shd w:val="clear" w:color="auto" w:fill="auto"/>
            <w:vAlign w:val="center"/>
            <w:hideMark/>
          </w:tcPr>
          <w:p w:rsidR="00510FEB" w:rsidRPr="006A199E" w:rsidRDefault="00510FEB" w:rsidP="006A199E">
            <w:pPr>
              <w:rPr>
                <w:rFonts w:ascii="Cambria" w:hAnsi="Cambria"/>
                <w:color w:val="000000"/>
                <w:sz w:val="16"/>
                <w:szCs w:val="16"/>
              </w:rPr>
            </w:pPr>
            <w:r w:rsidRPr="006A199E">
              <w:rPr>
                <w:rFonts w:ascii="Cambria" w:hAnsi="Cambria"/>
                <w:color w:val="000000"/>
                <w:sz w:val="16"/>
                <w:szCs w:val="16"/>
              </w:rPr>
              <w:t>Стоимость продажи, руб. 1 кв.м.</w:t>
            </w:r>
          </w:p>
        </w:tc>
        <w:tc>
          <w:tcPr>
            <w:tcW w:w="120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21 393</w:t>
            </w:r>
          </w:p>
        </w:tc>
        <w:tc>
          <w:tcPr>
            <w:tcW w:w="2341" w:type="pct"/>
            <w:shd w:val="clear" w:color="auto" w:fill="auto"/>
            <w:vAlign w:val="center"/>
            <w:hideMark/>
          </w:tcPr>
          <w:p w:rsidR="00510FEB" w:rsidRPr="006A199E" w:rsidRDefault="00510FEB" w:rsidP="00991B2D">
            <w:pPr>
              <w:rPr>
                <w:rFonts w:ascii="Cambria" w:hAnsi="Cambria"/>
                <w:color w:val="000000"/>
                <w:sz w:val="16"/>
                <w:szCs w:val="16"/>
              </w:rPr>
            </w:pPr>
            <w:r w:rsidRPr="006A199E">
              <w:rPr>
                <w:rFonts w:ascii="Cambria" w:hAnsi="Cambria"/>
                <w:color w:val="000000"/>
                <w:sz w:val="16"/>
                <w:szCs w:val="16"/>
              </w:rPr>
              <w:t xml:space="preserve">Среднерыночная стоимость продажи </w:t>
            </w:r>
            <w:r w:rsidRPr="006568BA">
              <w:rPr>
                <w:rFonts w:ascii="Cambria" w:hAnsi="Cambria"/>
                <w:color w:val="000000"/>
                <w:sz w:val="16"/>
                <w:szCs w:val="16"/>
              </w:rPr>
              <w:t>объектов ПСН в Ленинском</w:t>
            </w:r>
            <w:r w:rsidRPr="006A199E">
              <w:rPr>
                <w:rFonts w:ascii="Cambria" w:hAnsi="Cambria"/>
                <w:color w:val="000000"/>
                <w:sz w:val="16"/>
                <w:szCs w:val="16"/>
              </w:rPr>
              <w:t xml:space="preserve"> районе г. Красноярска</w:t>
            </w:r>
            <w:r>
              <w:rPr>
                <w:rFonts w:ascii="Cambria" w:hAnsi="Cambria"/>
                <w:color w:val="000000"/>
                <w:sz w:val="16"/>
                <w:szCs w:val="16"/>
              </w:rPr>
              <w:t xml:space="preserve"> </w:t>
            </w:r>
          </w:p>
        </w:tc>
      </w:tr>
      <w:tr w:rsidR="00510FEB" w:rsidRPr="006A199E" w:rsidTr="009E33BE">
        <w:trPr>
          <w:cantSplit/>
          <w:trHeight w:val="170"/>
        </w:trPr>
        <w:tc>
          <w:tcPr>
            <w:tcW w:w="1455" w:type="pct"/>
            <w:shd w:val="clear" w:color="auto" w:fill="auto"/>
            <w:vAlign w:val="center"/>
            <w:hideMark/>
          </w:tcPr>
          <w:p w:rsidR="00510FEB" w:rsidRPr="006A199E" w:rsidRDefault="00510FEB" w:rsidP="006A199E">
            <w:pPr>
              <w:rPr>
                <w:rFonts w:ascii="Cambria" w:hAnsi="Cambria"/>
                <w:color w:val="000000"/>
                <w:sz w:val="16"/>
                <w:szCs w:val="16"/>
              </w:rPr>
            </w:pPr>
            <w:r w:rsidRPr="006A199E">
              <w:rPr>
                <w:rFonts w:ascii="Cambria" w:hAnsi="Cambria"/>
                <w:color w:val="000000"/>
                <w:sz w:val="16"/>
                <w:szCs w:val="16"/>
              </w:rPr>
              <w:t>ПВД от сдачи в аренду</w:t>
            </w:r>
          </w:p>
        </w:tc>
        <w:tc>
          <w:tcPr>
            <w:tcW w:w="120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1 781</w:t>
            </w:r>
          </w:p>
        </w:tc>
        <w:tc>
          <w:tcPr>
            <w:tcW w:w="2341" w:type="pct"/>
            <w:shd w:val="clear" w:color="auto" w:fill="auto"/>
            <w:noWrap/>
            <w:vAlign w:val="center"/>
            <w:hideMark/>
          </w:tcPr>
          <w:p w:rsidR="00510FEB" w:rsidRPr="006A199E" w:rsidRDefault="00510FEB" w:rsidP="00991B2D">
            <w:pPr>
              <w:rPr>
                <w:rFonts w:ascii="Cambria" w:hAnsi="Cambria"/>
                <w:color w:val="000000"/>
                <w:sz w:val="16"/>
                <w:szCs w:val="16"/>
              </w:rPr>
            </w:pPr>
            <w:r w:rsidRPr="006A199E">
              <w:rPr>
                <w:rFonts w:ascii="Cambria" w:hAnsi="Cambria"/>
                <w:color w:val="000000"/>
                <w:sz w:val="16"/>
                <w:szCs w:val="16"/>
              </w:rPr>
              <w:t>Расчет формулы см. пункт 5.5.5.</w:t>
            </w:r>
          </w:p>
        </w:tc>
      </w:tr>
      <w:tr w:rsidR="00510FEB" w:rsidRPr="006A199E" w:rsidTr="009E33BE">
        <w:trPr>
          <w:cantSplit/>
          <w:trHeight w:val="170"/>
        </w:trPr>
        <w:tc>
          <w:tcPr>
            <w:tcW w:w="1455" w:type="pct"/>
            <w:shd w:val="clear" w:color="auto" w:fill="auto"/>
            <w:vAlign w:val="center"/>
            <w:hideMark/>
          </w:tcPr>
          <w:p w:rsidR="00510FEB" w:rsidRPr="006A199E" w:rsidRDefault="00510FEB" w:rsidP="006A199E">
            <w:pPr>
              <w:rPr>
                <w:rFonts w:ascii="Cambria" w:hAnsi="Cambria"/>
                <w:color w:val="000000"/>
                <w:sz w:val="16"/>
                <w:szCs w:val="16"/>
              </w:rPr>
            </w:pPr>
            <w:r w:rsidRPr="006A199E">
              <w:rPr>
                <w:rFonts w:ascii="Cambria" w:hAnsi="Cambria"/>
                <w:color w:val="000000"/>
                <w:sz w:val="16"/>
                <w:szCs w:val="16"/>
              </w:rPr>
              <w:t>ДВД</w:t>
            </w:r>
          </w:p>
        </w:tc>
        <w:tc>
          <w:tcPr>
            <w:tcW w:w="120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1 549</w:t>
            </w:r>
          </w:p>
        </w:tc>
        <w:tc>
          <w:tcPr>
            <w:tcW w:w="2341" w:type="pct"/>
            <w:shd w:val="clear" w:color="auto" w:fill="auto"/>
            <w:noWrap/>
            <w:vAlign w:val="center"/>
            <w:hideMark/>
          </w:tcPr>
          <w:p w:rsidR="00510FEB" w:rsidRPr="006A199E" w:rsidRDefault="00510FEB" w:rsidP="00991B2D">
            <w:pPr>
              <w:rPr>
                <w:rFonts w:ascii="Cambria" w:hAnsi="Cambria"/>
                <w:color w:val="000000"/>
                <w:sz w:val="16"/>
                <w:szCs w:val="16"/>
              </w:rPr>
            </w:pPr>
            <w:r w:rsidRPr="006A199E">
              <w:rPr>
                <w:rFonts w:ascii="Cambria" w:hAnsi="Cambria"/>
                <w:color w:val="000000"/>
                <w:sz w:val="16"/>
                <w:szCs w:val="16"/>
              </w:rPr>
              <w:t>Расчет формулы см. пункт 5.5.5.</w:t>
            </w:r>
          </w:p>
        </w:tc>
      </w:tr>
      <w:tr w:rsidR="00510FEB" w:rsidRPr="006A199E" w:rsidTr="009E33BE">
        <w:trPr>
          <w:cantSplit/>
          <w:trHeight w:val="170"/>
        </w:trPr>
        <w:tc>
          <w:tcPr>
            <w:tcW w:w="1455" w:type="pct"/>
            <w:shd w:val="clear" w:color="auto" w:fill="auto"/>
            <w:noWrap/>
            <w:vAlign w:val="center"/>
            <w:hideMark/>
          </w:tcPr>
          <w:p w:rsidR="00510FEB" w:rsidRPr="006A199E" w:rsidRDefault="00510FEB" w:rsidP="006A199E">
            <w:pPr>
              <w:rPr>
                <w:rFonts w:ascii="Cambria" w:hAnsi="Cambria"/>
                <w:color w:val="000000"/>
                <w:sz w:val="16"/>
                <w:szCs w:val="16"/>
              </w:rPr>
            </w:pPr>
            <w:r w:rsidRPr="006A199E">
              <w:rPr>
                <w:rFonts w:ascii="Cambria" w:hAnsi="Cambria"/>
                <w:color w:val="000000"/>
                <w:sz w:val="16"/>
                <w:szCs w:val="16"/>
              </w:rPr>
              <w:t>ЧОД</w:t>
            </w:r>
          </w:p>
        </w:tc>
        <w:tc>
          <w:tcPr>
            <w:tcW w:w="120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1270,35</w:t>
            </w:r>
          </w:p>
        </w:tc>
        <w:tc>
          <w:tcPr>
            <w:tcW w:w="2341" w:type="pct"/>
            <w:shd w:val="clear" w:color="auto" w:fill="auto"/>
            <w:noWrap/>
            <w:vAlign w:val="center"/>
            <w:hideMark/>
          </w:tcPr>
          <w:p w:rsidR="00510FEB" w:rsidRPr="006A199E" w:rsidRDefault="00510FEB" w:rsidP="00991B2D">
            <w:pPr>
              <w:rPr>
                <w:rFonts w:ascii="Cambria" w:hAnsi="Cambria"/>
                <w:color w:val="000000"/>
                <w:sz w:val="16"/>
                <w:szCs w:val="16"/>
              </w:rPr>
            </w:pPr>
            <w:r w:rsidRPr="006A199E">
              <w:rPr>
                <w:rFonts w:ascii="Cambria" w:hAnsi="Cambria"/>
                <w:color w:val="000000"/>
                <w:sz w:val="16"/>
                <w:szCs w:val="16"/>
              </w:rPr>
              <w:t> </w:t>
            </w:r>
          </w:p>
        </w:tc>
      </w:tr>
      <w:tr w:rsidR="00510FEB" w:rsidRPr="006A199E" w:rsidTr="009E33BE">
        <w:trPr>
          <w:cantSplit/>
          <w:trHeight w:val="170"/>
        </w:trPr>
        <w:tc>
          <w:tcPr>
            <w:tcW w:w="1455" w:type="pct"/>
            <w:shd w:val="clear" w:color="auto" w:fill="auto"/>
            <w:noWrap/>
            <w:vAlign w:val="center"/>
            <w:hideMark/>
          </w:tcPr>
          <w:p w:rsidR="00510FEB" w:rsidRPr="006A199E" w:rsidRDefault="00510FEB" w:rsidP="006A199E">
            <w:pPr>
              <w:rPr>
                <w:rFonts w:ascii="Cambria" w:hAnsi="Cambria"/>
                <w:color w:val="000000"/>
                <w:sz w:val="16"/>
                <w:szCs w:val="16"/>
              </w:rPr>
            </w:pPr>
            <w:r w:rsidRPr="006A199E">
              <w:rPr>
                <w:rFonts w:ascii="Cambria" w:hAnsi="Cambria"/>
                <w:color w:val="000000"/>
                <w:sz w:val="16"/>
                <w:szCs w:val="16"/>
              </w:rPr>
              <w:t>Ставка дохода</w:t>
            </w:r>
          </w:p>
        </w:tc>
        <w:tc>
          <w:tcPr>
            <w:tcW w:w="120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5,94%</w:t>
            </w:r>
          </w:p>
        </w:tc>
        <w:tc>
          <w:tcPr>
            <w:tcW w:w="2341" w:type="pct"/>
            <w:shd w:val="clear" w:color="auto" w:fill="auto"/>
            <w:noWrap/>
            <w:vAlign w:val="center"/>
            <w:hideMark/>
          </w:tcPr>
          <w:p w:rsidR="00510FEB" w:rsidRPr="006A199E" w:rsidRDefault="00510FEB" w:rsidP="00991B2D">
            <w:pPr>
              <w:rPr>
                <w:rFonts w:ascii="Cambria" w:hAnsi="Cambria"/>
                <w:color w:val="000000"/>
                <w:sz w:val="16"/>
                <w:szCs w:val="16"/>
              </w:rPr>
            </w:pPr>
            <w:r w:rsidRPr="006A199E">
              <w:rPr>
                <w:rFonts w:ascii="Cambria" w:hAnsi="Cambria"/>
                <w:color w:val="000000"/>
                <w:sz w:val="16"/>
                <w:szCs w:val="16"/>
              </w:rPr>
              <w:t>Расчет. С=</w:t>
            </w:r>
            <w:r>
              <w:rPr>
                <w:rFonts w:ascii="Cambria" w:hAnsi="Cambria"/>
                <w:color w:val="000000"/>
                <w:sz w:val="16"/>
                <w:szCs w:val="16"/>
              </w:rPr>
              <w:t>1270,35/21393</w:t>
            </w:r>
          </w:p>
        </w:tc>
      </w:tr>
      <w:tr w:rsidR="00510FEB" w:rsidRPr="006A199E" w:rsidTr="009E33BE">
        <w:trPr>
          <w:cantSplit/>
          <w:trHeight w:val="188"/>
        </w:trPr>
        <w:tc>
          <w:tcPr>
            <w:tcW w:w="1455" w:type="pct"/>
            <w:vMerge w:val="restart"/>
            <w:shd w:val="clear" w:color="auto" w:fill="auto"/>
            <w:vAlign w:val="center"/>
            <w:hideMark/>
          </w:tcPr>
          <w:p w:rsidR="00510FEB" w:rsidRPr="006A199E" w:rsidRDefault="00510FEB" w:rsidP="006A199E">
            <w:pPr>
              <w:rPr>
                <w:rFonts w:ascii="Cambria" w:hAnsi="Cambria"/>
                <w:color w:val="000000"/>
                <w:sz w:val="16"/>
                <w:szCs w:val="16"/>
              </w:rPr>
            </w:pPr>
            <w:r w:rsidRPr="006A199E">
              <w:rPr>
                <w:rFonts w:ascii="Cambria" w:hAnsi="Cambria"/>
                <w:color w:val="000000"/>
                <w:sz w:val="16"/>
                <w:szCs w:val="16"/>
              </w:rPr>
              <w:t>Норма возврата капитала, %</w:t>
            </w:r>
          </w:p>
        </w:tc>
        <w:tc>
          <w:tcPr>
            <w:tcW w:w="1204" w:type="pct"/>
            <w:vMerge w:val="restar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4,32%</w:t>
            </w:r>
          </w:p>
        </w:tc>
        <w:tc>
          <w:tcPr>
            <w:tcW w:w="2341" w:type="pct"/>
            <w:vMerge w:val="restart"/>
            <w:shd w:val="clear" w:color="auto" w:fill="auto"/>
            <w:noWrap/>
            <w:vAlign w:val="center"/>
            <w:hideMark/>
          </w:tcPr>
          <w:p w:rsidR="00510FEB" w:rsidRPr="004C496B" w:rsidRDefault="00510FEB" w:rsidP="00991B2D">
            <w:pPr>
              <w:rPr>
                <w:rFonts w:asciiTheme="majorHAnsi" w:hAnsiTheme="majorHAnsi"/>
                <w:color w:val="000000"/>
                <w:sz w:val="16"/>
                <w:szCs w:val="16"/>
              </w:rPr>
            </w:pPr>
            <w:r w:rsidRPr="004C496B">
              <w:rPr>
                <w:rFonts w:asciiTheme="majorHAnsi" w:hAnsiTheme="majorHAnsi"/>
                <w:color w:val="000000"/>
                <w:sz w:val="16"/>
                <w:szCs w:val="16"/>
              </w:rPr>
              <w:t xml:space="preserve">Расчет по формуле:  </w:t>
            </w:r>
            <m:oMath>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норм</m:t>
                  </m:r>
                  <w:proofErr w:type="gramStart"/>
                  <m:r>
                    <w:rPr>
                      <w:rFonts w:ascii="Cambria Math" w:hAnsi="Cambria Math"/>
                      <w:color w:val="000000"/>
                      <w:sz w:val="16"/>
                      <w:szCs w:val="16"/>
                    </w:rPr>
                    <m:t>.в</m:t>
                  </m:r>
                  <w:proofErr w:type="gramEnd"/>
                  <m:r>
                    <w:rPr>
                      <w:rFonts w:ascii="Cambria Math" w:hAnsi="Cambria Math"/>
                      <w:color w:val="000000"/>
                      <w:sz w:val="16"/>
                      <w:szCs w:val="16"/>
                    </w:rPr>
                    <m:t>озвр</m:t>
                  </m:r>
                </m:sub>
              </m:sSub>
              <m:r>
                <w:rPr>
                  <w:rFonts w:ascii="Cambria Math" w:hAnsi="Cambria Math"/>
                  <w:color w:val="000000"/>
                  <w:sz w:val="16"/>
                  <w:szCs w:val="16"/>
                </w:rPr>
                <m:t xml:space="preserve">= </m:t>
              </m:r>
              <m:f>
                <m:fPr>
                  <m:ctrlPr>
                    <w:rPr>
                      <w:rFonts w:ascii="Cambria Math" w:hAnsi="Cambria Math"/>
                      <w:i/>
                      <w:color w:val="000000"/>
                      <w:sz w:val="16"/>
                      <w:szCs w:val="16"/>
                      <w:lang w:val="en-US"/>
                    </w:rPr>
                  </m:ctrlPr>
                </m:fPr>
                <m:num>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num>
                <m:den>
                  <m:r>
                    <w:rPr>
                      <w:rFonts w:ascii="Cambria Math" w:hAnsi="Cambria Math"/>
                      <w:color w:val="000000"/>
                      <w:sz w:val="16"/>
                      <w:szCs w:val="16"/>
                    </w:rPr>
                    <m:t>(</m:t>
                  </m:r>
                  <m:sSup>
                    <m:sSupPr>
                      <m:ctrlPr>
                        <w:rPr>
                          <w:rFonts w:ascii="Cambria Math" w:hAnsi="Cambria Math"/>
                          <w:i/>
                          <w:color w:val="000000"/>
                          <w:sz w:val="16"/>
                          <w:szCs w:val="16"/>
                          <w:lang w:val="en-US"/>
                        </w:rPr>
                      </m:ctrlPr>
                    </m:sSupPr>
                    <m:e>
                      <m:r>
                        <w:rPr>
                          <w:rFonts w:ascii="Cambria Math" w:hAnsi="Cambria Math"/>
                          <w:color w:val="000000"/>
                          <w:sz w:val="16"/>
                          <w:szCs w:val="16"/>
                        </w:rPr>
                        <m:t>1+</m:t>
                      </m:r>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r>
                        <w:rPr>
                          <w:rFonts w:ascii="Cambria Math" w:hAnsi="Cambria Math"/>
                          <w:color w:val="000000"/>
                          <w:sz w:val="16"/>
                          <w:szCs w:val="16"/>
                        </w:rPr>
                        <m:t>)</m:t>
                      </m:r>
                    </m:e>
                    <m:sup>
                      <m:r>
                        <w:rPr>
                          <w:rFonts w:ascii="Cambria Math" w:hAnsi="Cambria Math"/>
                          <w:color w:val="000000"/>
                          <w:sz w:val="16"/>
                          <w:szCs w:val="16"/>
                          <w:lang w:val="en-US"/>
                        </w:rPr>
                        <m:t>n</m:t>
                      </m:r>
                    </m:sup>
                  </m:sSup>
                  <m:r>
                    <w:rPr>
                      <w:rFonts w:ascii="Cambria Math" w:hAnsi="Cambria Math"/>
                      <w:color w:val="000000"/>
                      <w:sz w:val="16"/>
                      <w:szCs w:val="16"/>
                    </w:rPr>
                    <m:t>-1</m:t>
                  </m:r>
                </m:den>
              </m:f>
            </m:oMath>
          </w:p>
        </w:tc>
      </w:tr>
      <w:tr w:rsidR="00510FEB" w:rsidRPr="006A199E" w:rsidTr="009E33BE">
        <w:trPr>
          <w:cantSplit/>
          <w:trHeight w:val="188"/>
        </w:trPr>
        <w:tc>
          <w:tcPr>
            <w:tcW w:w="1455" w:type="pct"/>
            <w:vMerge/>
            <w:vAlign w:val="center"/>
            <w:hideMark/>
          </w:tcPr>
          <w:p w:rsidR="00510FEB" w:rsidRPr="006A199E" w:rsidRDefault="00510FEB" w:rsidP="006A199E">
            <w:pPr>
              <w:rPr>
                <w:rFonts w:ascii="Cambria" w:hAnsi="Cambria"/>
                <w:color w:val="000000"/>
                <w:sz w:val="16"/>
                <w:szCs w:val="16"/>
              </w:rPr>
            </w:pPr>
          </w:p>
        </w:tc>
        <w:tc>
          <w:tcPr>
            <w:tcW w:w="1204" w:type="pct"/>
            <w:vMerge/>
            <w:vAlign w:val="center"/>
            <w:hideMark/>
          </w:tcPr>
          <w:p w:rsidR="00510FEB" w:rsidRPr="006A199E" w:rsidRDefault="00510FEB" w:rsidP="006A199E">
            <w:pPr>
              <w:rPr>
                <w:rFonts w:ascii="Cambria" w:hAnsi="Cambria"/>
                <w:color w:val="000000"/>
                <w:sz w:val="16"/>
                <w:szCs w:val="16"/>
              </w:rPr>
            </w:pPr>
          </w:p>
        </w:tc>
        <w:tc>
          <w:tcPr>
            <w:tcW w:w="2341" w:type="pct"/>
            <w:vMerge/>
            <w:vAlign w:val="center"/>
            <w:hideMark/>
          </w:tcPr>
          <w:p w:rsidR="00510FEB" w:rsidRPr="006A199E" w:rsidRDefault="00510FEB" w:rsidP="006A199E">
            <w:pPr>
              <w:rPr>
                <w:rFonts w:ascii="Cambria" w:hAnsi="Cambria"/>
                <w:color w:val="000000"/>
                <w:sz w:val="16"/>
                <w:szCs w:val="16"/>
              </w:rPr>
            </w:pPr>
          </w:p>
        </w:tc>
      </w:tr>
      <w:tr w:rsidR="00510FEB" w:rsidRPr="006A199E" w:rsidTr="009E33BE">
        <w:trPr>
          <w:cantSplit/>
          <w:trHeight w:val="170"/>
        </w:trPr>
        <w:tc>
          <w:tcPr>
            <w:tcW w:w="1455" w:type="pct"/>
            <w:shd w:val="clear" w:color="auto" w:fill="auto"/>
            <w:vAlign w:val="center"/>
            <w:hideMark/>
          </w:tcPr>
          <w:p w:rsidR="00510FEB" w:rsidRPr="006A199E" w:rsidRDefault="00510FEB" w:rsidP="006A199E">
            <w:pPr>
              <w:rPr>
                <w:rFonts w:ascii="Cambria" w:hAnsi="Cambria"/>
                <w:color w:val="000000"/>
                <w:sz w:val="16"/>
                <w:szCs w:val="16"/>
              </w:rPr>
            </w:pPr>
            <w:r w:rsidRPr="006A199E">
              <w:rPr>
                <w:rFonts w:ascii="Cambria" w:hAnsi="Cambria"/>
                <w:color w:val="000000"/>
                <w:sz w:val="16"/>
                <w:szCs w:val="16"/>
              </w:rPr>
              <w:t>Коэффициент капитализации, %</w:t>
            </w:r>
          </w:p>
        </w:tc>
        <w:tc>
          <w:tcPr>
            <w:tcW w:w="1204" w:type="pct"/>
            <w:shd w:val="clear" w:color="auto" w:fill="auto"/>
            <w:noWrap/>
            <w:vAlign w:val="center"/>
            <w:hideMark/>
          </w:tcPr>
          <w:p w:rsidR="00510FEB" w:rsidRDefault="00510FEB" w:rsidP="00991B2D">
            <w:pPr>
              <w:jc w:val="center"/>
              <w:rPr>
                <w:rFonts w:ascii="Cambria" w:hAnsi="Cambria"/>
                <w:color w:val="000000"/>
                <w:sz w:val="16"/>
                <w:szCs w:val="16"/>
              </w:rPr>
            </w:pPr>
            <w:r>
              <w:rPr>
                <w:rFonts w:ascii="Cambria" w:hAnsi="Cambria"/>
                <w:color w:val="000000"/>
                <w:sz w:val="16"/>
                <w:szCs w:val="16"/>
              </w:rPr>
              <w:t>10,25%</w:t>
            </w:r>
          </w:p>
        </w:tc>
        <w:tc>
          <w:tcPr>
            <w:tcW w:w="2341" w:type="pct"/>
            <w:shd w:val="clear" w:color="auto" w:fill="auto"/>
            <w:noWrap/>
            <w:vAlign w:val="center"/>
            <w:hideMark/>
          </w:tcPr>
          <w:p w:rsidR="00510FEB" w:rsidRPr="004C496B" w:rsidRDefault="00510FEB" w:rsidP="00991B2D">
            <w:pPr>
              <w:rPr>
                <w:rFonts w:asciiTheme="majorHAnsi" w:hAnsiTheme="majorHAnsi"/>
                <w:color w:val="000000"/>
                <w:sz w:val="16"/>
                <w:szCs w:val="16"/>
              </w:rPr>
            </w:pPr>
            <w:r w:rsidRPr="004C496B">
              <w:rPr>
                <w:rFonts w:asciiTheme="majorHAnsi" w:hAnsiTheme="majorHAnsi"/>
                <w:color w:val="000000"/>
                <w:sz w:val="16"/>
                <w:szCs w:val="16"/>
              </w:rPr>
              <w:t xml:space="preserve">Расчет по формуле:  </w:t>
            </w:r>
            <m:oMath>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норм</m:t>
                  </m:r>
                  <w:proofErr w:type="gramStart"/>
                  <m:r>
                    <w:rPr>
                      <w:rFonts w:ascii="Cambria Math" w:hAnsi="Cambria Math"/>
                      <w:color w:val="000000"/>
                      <w:sz w:val="16"/>
                      <w:szCs w:val="16"/>
                    </w:rPr>
                    <m:t>.в</m:t>
                  </m:r>
                  <w:proofErr w:type="gramEnd"/>
                  <m:r>
                    <w:rPr>
                      <w:rFonts w:ascii="Cambria Math" w:hAnsi="Cambria Math"/>
                      <w:color w:val="000000"/>
                      <w:sz w:val="16"/>
                      <w:szCs w:val="16"/>
                    </w:rPr>
                    <m:t>озвр</m:t>
                  </m:r>
                </m:sub>
              </m:sSub>
              <m:r>
                <w:rPr>
                  <w:rFonts w:ascii="Cambria Math" w:hAnsi="Cambria Math"/>
                  <w:color w:val="000000"/>
                  <w:sz w:val="16"/>
                  <w:szCs w:val="16"/>
                </w:rPr>
                <m:t xml:space="preserve">= </m:t>
              </m:r>
              <m:f>
                <m:fPr>
                  <m:ctrlPr>
                    <w:rPr>
                      <w:rFonts w:ascii="Cambria Math" w:hAnsi="Cambria Math"/>
                      <w:i/>
                      <w:color w:val="000000"/>
                      <w:sz w:val="16"/>
                      <w:szCs w:val="16"/>
                      <w:lang w:val="en-US"/>
                    </w:rPr>
                  </m:ctrlPr>
                </m:fPr>
                <m:num>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num>
                <m:den>
                  <m:r>
                    <w:rPr>
                      <w:rFonts w:ascii="Cambria Math" w:hAnsi="Cambria Math"/>
                      <w:color w:val="000000"/>
                      <w:sz w:val="16"/>
                      <w:szCs w:val="16"/>
                    </w:rPr>
                    <m:t>(</m:t>
                  </m:r>
                  <m:sSup>
                    <m:sSupPr>
                      <m:ctrlPr>
                        <w:rPr>
                          <w:rFonts w:ascii="Cambria Math" w:hAnsi="Cambria Math"/>
                          <w:i/>
                          <w:color w:val="000000"/>
                          <w:sz w:val="16"/>
                          <w:szCs w:val="16"/>
                          <w:lang w:val="en-US"/>
                        </w:rPr>
                      </m:ctrlPr>
                    </m:sSupPr>
                    <m:e>
                      <m:r>
                        <w:rPr>
                          <w:rFonts w:ascii="Cambria Math" w:hAnsi="Cambria Math"/>
                          <w:color w:val="000000"/>
                          <w:sz w:val="16"/>
                          <w:szCs w:val="16"/>
                        </w:rPr>
                        <m:t>1+</m:t>
                      </m:r>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r>
                        <w:rPr>
                          <w:rFonts w:ascii="Cambria Math" w:hAnsi="Cambria Math"/>
                          <w:color w:val="000000"/>
                          <w:sz w:val="16"/>
                          <w:szCs w:val="16"/>
                        </w:rPr>
                        <m:t>)</m:t>
                      </m:r>
                    </m:e>
                    <m:sup>
                      <m:r>
                        <w:rPr>
                          <w:rFonts w:ascii="Cambria Math" w:hAnsi="Cambria Math"/>
                          <w:color w:val="000000"/>
                          <w:sz w:val="16"/>
                          <w:szCs w:val="16"/>
                          <w:lang w:val="en-US"/>
                        </w:rPr>
                        <m:t>n</m:t>
                      </m:r>
                    </m:sup>
                  </m:sSup>
                  <m:r>
                    <w:rPr>
                      <w:rFonts w:ascii="Cambria Math" w:hAnsi="Cambria Math"/>
                      <w:color w:val="000000"/>
                      <w:sz w:val="16"/>
                      <w:szCs w:val="16"/>
                    </w:rPr>
                    <m:t>-1</m:t>
                  </m:r>
                </m:den>
              </m:f>
            </m:oMath>
          </w:p>
        </w:tc>
      </w:tr>
    </w:tbl>
    <w:p w:rsidR="006A199E" w:rsidRPr="006A199E" w:rsidRDefault="006A199E" w:rsidP="006A199E">
      <w:pPr>
        <w:keepNext/>
        <w:spacing w:before="120" w:after="120"/>
        <w:outlineLvl w:val="2"/>
        <w:rPr>
          <w:rFonts w:ascii="Bookman Old Style" w:hAnsi="Bookman Old Style"/>
          <w:b/>
          <w:bCs/>
          <w:sz w:val="20"/>
          <w:szCs w:val="20"/>
        </w:rPr>
      </w:pPr>
      <w:bookmarkStart w:id="312" w:name="_Toc330465467"/>
      <w:bookmarkStart w:id="313" w:name="_Toc348605202"/>
      <w:bookmarkStart w:id="314" w:name="_Toc359256077"/>
      <w:bookmarkStart w:id="315" w:name="_Toc419473038"/>
      <w:bookmarkStart w:id="316" w:name="_Toc461375612"/>
      <w:r w:rsidRPr="006A199E">
        <w:rPr>
          <w:rFonts w:ascii="Bookman Old Style" w:hAnsi="Bookman Old Style"/>
          <w:b/>
          <w:bCs/>
          <w:sz w:val="20"/>
          <w:szCs w:val="20"/>
        </w:rPr>
        <w:t>5.5.5. Расчет рыночной стоимости доходным подходом</w:t>
      </w:r>
      <w:bookmarkEnd w:id="312"/>
      <w:bookmarkEnd w:id="313"/>
      <w:bookmarkEnd w:id="314"/>
      <w:bookmarkEnd w:id="315"/>
      <w:bookmarkEnd w:id="316"/>
    </w:p>
    <w:p w:rsidR="00510FEB" w:rsidRPr="006A199E" w:rsidRDefault="00510FEB" w:rsidP="00510FEB">
      <w:pPr>
        <w:spacing w:before="120"/>
        <w:jc w:val="both"/>
        <w:rPr>
          <w:rFonts w:ascii="Bookman Old Style" w:hAnsi="Bookman Old Style"/>
          <w:sz w:val="20"/>
          <w:szCs w:val="20"/>
        </w:rPr>
      </w:pPr>
      <w:r w:rsidRPr="006A199E">
        <w:rPr>
          <w:rFonts w:ascii="Bookman Old Style" w:hAnsi="Bookman Old Style"/>
          <w:sz w:val="20"/>
          <w:szCs w:val="20"/>
        </w:rPr>
        <w:tab/>
        <w:t>После проведения расчета рыночного уровня арендной платы, ставки капитализации помещений, исследования возможности элемента Объекта оценки приносить поток доходов в будущем, проведен расчет стоимости доходным подходом по формуле:</w:t>
      </w:r>
    </w:p>
    <w:p w:rsidR="00510FEB" w:rsidRPr="006A199E" w:rsidRDefault="00510FEB" w:rsidP="00510FEB">
      <w:pPr>
        <w:spacing w:before="120"/>
        <w:jc w:val="center"/>
        <w:rPr>
          <w:rFonts w:ascii="Bookman Old Style" w:hAnsi="Bookman Old Style"/>
          <w:sz w:val="20"/>
          <w:szCs w:val="20"/>
        </w:rPr>
      </w:pPr>
      <m:oMathPara>
        <m:oMath>
          <m:sSub>
            <m:sSubPr>
              <m:ctrlPr>
                <w:rPr>
                  <w:rFonts w:ascii="Cambria Math" w:hAnsi="Cambria Math"/>
                  <w:i/>
                  <w:sz w:val="20"/>
                  <w:szCs w:val="20"/>
                </w:rPr>
              </m:ctrlPr>
            </m:sSubPr>
            <m:e>
              <m:r>
                <w:rPr>
                  <w:rFonts w:ascii="Cambria Math" w:hAnsi="Cambria Math"/>
                  <w:sz w:val="20"/>
                  <w:szCs w:val="20"/>
                </w:rPr>
                <m:t>С</m:t>
              </m:r>
            </m:e>
            <m:sub>
              <m:r>
                <w:rPr>
                  <w:rFonts w:ascii="Cambria Math" w:hAnsi="Cambria Math"/>
                  <w:sz w:val="20"/>
                  <w:szCs w:val="20"/>
                </w:rPr>
                <m:t xml:space="preserve">р </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lang w:val="en-US"/>
                </w:rPr>
                <m:t>S×ДВД</m:t>
              </m:r>
            </m:num>
            <m:den>
              <m:r>
                <w:rPr>
                  <w:rFonts w:ascii="Cambria Math" w:hAnsi="Cambria Math"/>
                  <w:sz w:val="20"/>
                  <w:szCs w:val="20"/>
                  <w:lang w:val="en-US"/>
                </w:rPr>
                <m:t>R</m:t>
              </m:r>
            </m:den>
          </m:f>
        </m:oMath>
      </m:oMathPara>
    </w:p>
    <w:p w:rsidR="00510FEB" w:rsidRPr="006A199E" w:rsidRDefault="00510FEB" w:rsidP="00510FEB">
      <w:pPr>
        <w:spacing w:before="120"/>
        <w:jc w:val="both"/>
        <w:rPr>
          <w:rFonts w:ascii="Bookman Old Style" w:hAnsi="Bookman Old Style"/>
          <w:sz w:val="20"/>
          <w:szCs w:val="20"/>
        </w:rPr>
      </w:pPr>
      <w:r w:rsidRPr="006A199E">
        <w:rPr>
          <w:rFonts w:ascii="Bookman Old Style" w:hAnsi="Bookman Old Style"/>
          <w:sz w:val="20"/>
          <w:szCs w:val="20"/>
        </w:rPr>
        <w:t>Где:</w:t>
      </w:r>
    </w:p>
    <w:p w:rsidR="00510FEB" w:rsidRPr="006A199E" w:rsidRDefault="00510FEB" w:rsidP="00510FEB">
      <w:pPr>
        <w:spacing w:before="120"/>
        <w:jc w:val="both"/>
        <w:rPr>
          <w:rFonts w:ascii="Bookman Old Style" w:hAnsi="Bookman Old Style"/>
          <w:sz w:val="20"/>
          <w:szCs w:val="20"/>
        </w:rPr>
      </w:pPr>
      <w:proofErr w:type="gramStart"/>
      <w:r w:rsidRPr="006A199E">
        <w:rPr>
          <w:rFonts w:ascii="Bookman Old Style" w:hAnsi="Bookman Old Style"/>
          <w:sz w:val="20"/>
          <w:szCs w:val="20"/>
        </w:rPr>
        <w:t>С</w:t>
      </w:r>
      <w:r w:rsidRPr="006A199E">
        <w:rPr>
          <w:rFonts w:ascii="Bookman Old Style" w:hAnsi="Bookman Old Style"/>
          <w:sz w:val="20"/>
          <w:szCs w:val="20"/>
          <w:vertAlign w:val="subscript"/>
        </w:rPr>
        <w:t>р</w:t>
      </w:r>
      <w:proofErr w:type="gramEnd"/>
      <w:r w:rsidRPr="006A199E">
        <w:rPr>
          <w:rFonts w:ascii="Bookman Old Style" w:hAnsi="Bookman Old Style"/>
          <w:sz w:val="20"/>
          <w:szCs w:val="20"/>
        </w:rPr>
        <w:t xml:space="preserve"> - Стоимость объекта оценки, руб.</w:t>
      </w:r>
    </w:p>
    <w:p w:rsidR="00510FEB" w:rsidRPr="006A199E" w:rsidRDefault="00510FEB" w:rsidP="00510FEB">
      <w:pPr>
        <w:spacing w:before="120"/>
        <w:jc w:val="both"/>
        <w:rPr>
          <w:rFonts w:ascii="Bookman Old Style" w:hAnsi="Bookman Old Style"/>
          <w:sz w:val="20"/>
          <w:szCs w:val="20"/>
        </w:rPr>
      </w:pPr>
      <w:r w:rsidRPr="006A199E">
        <w:rPr>
          <w:rFonts w:ascii="Bookman Old Style" w:hAnsi="Bookman Old Style"/>
          <w:sz w:val="20"/>
          <w:szCs w:val="20"/>
          <w:lang w:val="en-US"/>
        </w:rPr>
        <w:t>S</w:t>
      </w:r>
      <w:r w:rsidRPr="006A199E">
        <w:rPr>
          <w:rFonts w:ascii="Bookman Old Style" w:hAnsi="Bookman Old Style"/>
          <w:sz w:val="20"/>
          <w:szCs w:val="20"/>
        </w:rPr>
        <w:t xml:space="preserve"> – Площадь объекта оценки, кв.м. </w:t>
      </w:r>
    </w:p>
    <w:p w:rsidR="00510FEB" w:rsidRPr="006A199E" w:rsidRDefault="00510FEB" w:rsidP="00510FEB">
      <w:pPr>
        <w:spacing w:before="120"/>
        <w:jc w:val="both"/>
        <w:rPr>
          <w:rFonts w:ascii="Bookman Old Style" w:hAnsi="Bookman Old Style"/>
          <w:sz w:val="20"/>
          <w:szCs w:val="20"/>
        </w:rPr>
      </w:pPr>
      <w:r w:rsidRPr="006A199E">
        <w:rPr>
          <w:rFonts w:ascii="Bookman Old Style" w:hAnsi="Bookman Old Style"/>
          <w:sz w:val="20"/>
          <w:szCs w:val="20"/>
        </w:rPr>
        <w:t xml:space="preserve">ДВД – Действительный валовый доход с 1 кв.м. </w:t>
      </w:r>
    </w:p>
    <w:p w:rsidR="00510FEB" w:rsidRPr="006A199E" w:rsidRDefault="00510FEB" w:rsidP="00510FEB">
      <w:pPr>
        <w:spacing w:before="120"/>
        <w:jc w:val="both"/>
        <w:rPr>
          <w:rFonts w:ascii="Bookman Old Style" w:hAnsi="Bookman Old Style"/>
          <w:sz w:val="20"/>
          <w:szCs w:val="20"/>
        </w:rPr>
      </w:pPr>
      <w:r w:rsidRPr="006A199E">
        <w:rPr>
          <w:rFonts w:ascii="Bookman Old Style" w:hAnsi="Bookman Old Style"/>
          <w:sz w:val="20"/>
          <w:szCs w:val="20"/>
          <w:lang w:val="en-US"/>
        </w:rPr>
        <w:t>R</w:t>
      </w:r>
      <w:r w:rsidRPr="006A199E">
        <w:rPr>
          <w:rFonts w:ascii="Bookman Old Style" w:hAnsi="Bookman Old Style"/>
          <w:sz w:val="20"/>
          <w:szCs w:val="20"/>
        </w:rPr>
        <w:t xml:space="preserve"> – Коэффициент капитализации, %.</w:t>
      </w:r>
    </w:p>
    <w:p w:rsidR="00510FEB" w:rsidRPr="006A199E" w:rsidRDefault="00510FEB" w:rsidP="00510FEB">
      <w:pPr>
        <w:spacing w:before="120" w:after="120"/>
        <w:ind w:firstLine="709"/>
        <w:jc w:val="both"/>
        <w:rPr>
          <w:rFonts w:ascii="Bookman Old Style" w:hAnsi="Bookman Old Style"/>
          <w:sz w:val="20"/>
          <w:szCs w:val="20"/>
        </w:rPr>
      </w:pPr>
      <w:r w:rsidRPr="006A199E">
        <w:rPr>
          <w:rFonts w:ascii="Bookman Old Style" w:hAnsi="Bookman Old Style"/>
          <w:sz w:val="20"/>
          <w:szCs w:val="20"/>
        </w:rPr>
        <w:t>Действительный валовый доход (ДВД) рассчитывается по формуле:</w:t>
      </w:r>
    </w:p>
    <w:p w:rsidR="00510FEB" w:rsidRPr="006A199E" w:rsidRDefault="00510FEB" w:rsidP="00510FEB">
      <w:pPr>
        <w:spacing w:before="120"/>
        <w:jc w:val="center"/>
        <w:rPr>
          <w:rFonts w:ascii="Bookman Old Style" w:hAnsi="Bookman Old Style"/>
          <w:sz w:val="20"/>
          <w:szCs w:val="20"/>
        </w:rPr>
      </w:pPr>
      <m:oMathPara>
        <m:oMath>
          <m:r>
            <w:rPr>
              <w:rFonts w:ascii="Cambria Math" w:hAnsi="Cambria Math"/>
              <w:sz w:val="20"/>
              <w:szCs w:val="20"/>
            </w:rPr>
            <m:t>ПВД=</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a</m:t>
              </m:r>
            </m:sub>
          </m:sSub>
          <m:r>
            <w:rPr>
              <w:rFonts w:ascii="Cambria Math" w:hAnsi="Cambria Math"/>
              <w:sz w:val="20"/>
              <w:szCs w:val="20"/>
            </w:rPr>
            <m:t>×12</m:t>
          </m:r>
        </m:oMath>
      </m:oMathPara>
    </w:p>
    <w:p w:rsidR="00510FEB" w:rsidRDefault="00510FEB" w:rsidP="00510FEB">
      <w:pPr>
        <w:spacing w:before="120"/>
        <w:jc w:val="both"/>
        <w:rPr>
          <w:rFonts w:ascii="Bookman Old Style" w:hAnsi="Bookman Old Style"/>
          <w:sz w:val="20"/>
          <w:szCs w:val="20"/>
        </w:rPr>
      </w:pPr>
    </w:p>
    <w:p w:rsidR="00510FEB" w:rsidRPr="006A199E" w:rsidRDefault="00510FEB" w:rsidP="00510FEB">
      <w:pPr>
        <w:spacing w:before="120"/>
        <w:jc w:val="both"/>
        <w:rPr>
          <w:rFonts w:ascii="Bookman Old Style" w:hAnsi="Bookman Old Style"/>
          <w:sz w:val="20"/>
          <w:szCs w:val="20"/>
        </w:rPr>
      </w:pPr>
      <w:r w:rsidRPr="006A199E">
        <w:rPr>
          <w:rFonts w:ascii="Bookman Old Style" w:hAnsi="Bookman Old Style"/>
          <w:sz w:val="20"/>
          <w:szCs w:val="20"/>
        </w:rPr>
        <w:t>где:</w:t>
      </w:r>
    </w:p>
    <w:p w:rsidR="00510FEB" w:rsidRPr="006A199E" w:rsidRDefault="00510FEB" w:rsidP="00510FEB">
      <w:pPr>
        <w:spacing w:before="120"/>
        <w:jc w:val="both"/>
        <w:rPr>
          <w:rFonts w:ascii="Bookman Old Style" w:hAnsi="Bookman Old Style"/>
          <w:sz w:val="20"/>
          <w:szCs w:val="20"/>
        </w:rPr>
      </w:pPr>
      <w:r w:rsidRPr="006A199E">
        <w:rPr>
          <w:rFonts w:ascii="Bookman Old Style" w:hAnsi="Bookman Old Style"/>
          <w:sz w:val="20"/>
          <w:szCs w:val="20"/>
        </w:rPr>
        <w:object w:dxaOrig="5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pt;height:18.4pt" o:ole="">
            <v:imagedata r:id="rId34" o:title=""/>
          </v:shape>
          <o:OLEObject Type="Embed" ProgID="Equation.3" ShapeID="_x0000_i1025" DrawAspect="Content" ObjectID="_1535118657" r:id="rId35"/>
        </w:object>
      </w:r>
      <w:r w:rsidRPr="006A199E">
        <w:rPr>
          <w:rFonts w:ascii="Bookman Old Style" w:hAnsi="Bookman Old Style"/>
          <w:sz w:val="20"/>
          <w:szCs w:val="20"/>
        </w:rPr>
        <w:t xml:space="preserve">арендная ставка за </w:t>
      </w:r>
      <w:smartTag w:uri="urn:schemas-microsoft-com:office:smarttags" w:element="metricconverter">
        <w:smartTagPr>
          <w:attr w:name="ProductID" w:val="1 м2"/>
        </w:smartTagPr>
        <w:r w:rsidRPr="006A199E">
          <w:rPr>
            <w:rFonts w:ascii="Bookman Old Style" w:hAnsi="Bookman Old Style"/>
            <w:sz w:val="20"/>
            <w:szCs w:val="20"/>
          </w:rPr>
          <w:t>1 м</w:t>
        </w:r>
        <w:proofErr w:type="gramStart"/>
        <w:r w:rsidRPr="006A199E">
          <w:rPr>
            <w:rFonts w:ascii="Bookman Old Style" w:hAnsi="Bookman Old Style"/>
            <w:sz w:val="20"/>
            <w:szCs w:val="20"/>
            <w:vertAlign w:val="superscript"/>
          </w:rPr>
          <w:t>2</w:t>
        </w:r>
      </w:smartTag>
      <w:proofErr w:type="gramEnd"/>
      <w:r w:rsidRPr="006A199E">
        <w:rPr>
          <w:rFonts w:ascii="Bookman Old Style" w:hAnsi="Bookman Old Style"/>
          <w:sz w:val="20"/>
          <w:szCs w:val="20"/>
        </w:rPr>
        <w:t>.</w:t>
      </w:r>
    </w:p>
    <w:p w:rsidR="00510FEB" w:rsidRPr="006A199E" w:rsidRDefault="00510FEB" w:rsidP="00510FEB">
      <w:pPr>
        <w:spacing w:before="120" w:after="120"/>
        <w:ind w:firstLine="709"/>
        <w:jc w:val="both"/>
        <w:rPr>
          <w:rFonts w:ascii="Bookman Old Style" w:hAnsi="Bookman Old Style"/>
          <w:bCs/>
          <w:sz w:val="20"/>
          <w:szCs w:val="20"/>
        </w:rPr>
      </w:pPr>
      <w:r w:rsidRPr="006A199E">
        <w:rPr>
          <w:rFonts w:ascii="Bookman Old Style" w:hAnsi="Bookman Old Style"/>
          <w:bCs/>
          <w:sz w:val="20"/>
          <w:szCs w:val="20"/>
        </w:rPr>
        <w:t>Потенциальный валовый доход рассчитывается по формуле:</w:t>
      </w:r>
    </w:p>
    <w:p w:rsidR="00510FEB" w:rsidRPr="006A199E" w:rsidRDefault="00510FEB" w:rsidP="00510FEB">
      <w:pPr>
        <w:spacing w:before="120"/>
        <w:jc w:val="center"/>
        <w:rPr>
          <w:rFonts w:ascii="Bookman Old Style" w:hAnsi="Bookman Old Style"/>
          <w:bCs/>
          <w:sz w:val="20"/>
          <w:szCs w:val="20"/>
        </w:rPr>
      </w:pPr>
      <m:oMathPara>
        <m:oMath>
          <m:r>
            <w:rPr>
              <w:rFonts w:ascii="Cambria Math" w:hAnsi="Cambria Math"/>
              <w:sz w:val="20"/>
              <w:szCs w:val="20"/>
            </w:rPr>
            <m:t xml:space="preserve">ДВД=ПВД*(1- </m:t>
          </m:r>
          <m:sSub>
            <m:sSubPr>
              <m:ctrlPr>
                <w:rPr>
                  <w:rFonts w:ascii="Cambria Math" w:hAnsi="Cambria Math"/>
                  <w:bCs/>
                  <w:i/>
                  <w:sz w:val="20"/>
                  <w:szCs w:val="20"/>
                </w:rPr>
              </m:ctrlPr>
            </m:sSubPr>
            <m:e>
              <m:r>
                <w:rPr>
                  <w:rFonts w:ascii="Cambria Math" w:hAnsi="Cambria Math"/>
                  <w:sz w:val="20"/>
                  <w:szCs w:val="20"/>
                </w:rPr>
                <m:t>К</m:t>
              </m:r>
            </m:e>
            <m:sub>
              <m:r>
                <w:rPr>
                  <w:rFonts w:ascii="Cambria Math" w:hAnsi="Cambria Math"/>
                  <w:sz w:val="20"/>
                  <w:szCs w:val="20"/>
                </w:rPr>
                <m:t>недозагр</m:t>
              </m:r>
            </m:sub>
          </m:sSub>
          <m:r>
            <w:rPr>
              <w:rFonts w:ascii="Cambria Math" w:hAnsi="Cambria Math"/>
              <w:sz w:val="20"/>
              <w:szCs w:val="20"/>
            </w:rPr>
            <m:t>)</m:t>
          </m:r>
        </m:oMath>
      </m:oMathPara>
    </w:p>
    <w:p w:rsidR="00510FEB" w:rsidRPr="006A199E" w:rsidRDefault="00510FEB" w:rsidP="00510FEB">
      <w:pPr>
        <w:spacing w:before="120"/>
        <w:jc w:val="both"/>
        <w:rPr>
          <w:rFonts w:ascii="Bookman Old Style" w:hAnsi="Bookman Old Style"/>
          <w:bCs/>
          <w:sz w:val="20"/>
          <w:szCs w:val="20"/>
        </w:rPr>
      </w:pPr>
      <w:r w:rsidRPr="006A199E">
        <w:rPr>
          <w:rFonts w:ascii="Bookman Old Style" w:hAnsi="Bookman Old Style"/>
          <w:bCs/>
          <w:sz w:val="20"/>
          <w:szCs w:val="20"/>
        </w:rPr>
        <w:t>где:</w:t>
      </w:r>
    </w:p>
    <w:p w:rsidR="00510FEB" w:rsidRPr="006A199E" w:rsidRDefault="00510FEB" w:rsidP="00510FEB">
      <w:pPr>
        <w:spacing w:before="120"/>
        <w:jc w:val="both"/>
        <w:rPr>
          <w:rFonts w:ascii="Bookman Old Style" w:hAnsi="Bookman Old Style"/>
          <w:bCs/>
          <w:sz w:val="20"/>
          <w:szCs w:val="20"/>
        </w:rPr>
      </w:pPr>
      <w:r w:rsidRPr="006A199E">
        <w:rPr>
          <w:rFonts w:ascii="Bookman Old Style" w:hAnsi="Bookman Old Style"/>
          <w:bCs/>
          <w:sz w:val="20"/>
          <w:szCs w:val="20"/>
        </w:rPr>
        <w:object w:dxaOrig="1100" w:dyaOrig="380">
          <v:shape id="_x0000_i1026" type="#_x0000_t75" style="width:54.4pt;height:17.6pt" o:ole="">
            <v:imagedata r:id="rId36" o:title=""/>
          </v:shape>
          <o:OLEObject Type="Embed" ProgID="Equation.3" ShapeID="_x0000_i1026" DrawAspect="Content" ObjectID="_1535118658" r:id="rId37"/>
        </w:object>
      </w:r>
      <w:r w:rsidRPr="006A199E">
        <w:rPr>
          <w:rFonts w:ascii="Bookman Old Style" w:hAnsi="Bookman Old Style"/>
          <w:bCs/>
          <w:sz w:val="20"/>
          <w:szCs w:val="20"/>
        </w:rPr>
        <w:t>коэффициент недозагрузки.</w:t>
      </w:r>
    </w:p>
    <w:p w:rsidR="00510FEB" w:rsidRPr="006A199E" w:rsidRDefault="00510FEB" w:rsidP="00510FEB">
      <w:pPr>
        <w:spacing w:before="120" w:after="120"/>
        <w:ind w:firstLine="709"/>
        <w:jc w:val="both"/>
        <w:rPr>
          <w:rFonts w:ascii="Bookman Old Style" w:hAnsi="Bookman Old Style"/>
          <w:bCs/>
          <w:sz w:val="20"/>
          <w:szCs w:val="20"/>
        </w:rPr>
      </w:pPr>
      <w:r w:rsidRPr="006A199E">
        <w:rPr>
          <w:rFonts w:ascii="Bookman Old Style" w:hAnsi="Bookman Old Style"/>
          <w:bCs/>
          <w:sz w:val="20"/>
          <w:szCs w:val="20"/>
        </w:rPr>
        <w:t>Коэффициент недозагрузки определялся на основании данных «Справочник оценщика недвижимости»</w:t>
      </w:r>
      <w:r>
        <w:rPr>
          <w:rFonts w:ascii="Bookman Old Style" w:hAnsi="Bookman Old Style"/>
          <w:bCs/>
          <w:sz w:val="20"/>
          <w:szCs w:val="20"/>
        </w:rPr>
        <w:t xml:space="preserve"> для активного рынка для объектов надвижимости ПСН</w:t>
      </w:r>
      <w:r w:rsidRPr="006A199E">
        <w:rPr>
          <w:rFonts w:ascii="Bookman Old Style" w:hAnsi="Bookman Old Style"/>
          <w:bCs/>
          <w:sz w:val="20"/>
          <w:szCs w:val="20"/>
        </w:rPr>
        <w:t xml:space="preserve"> выбрано значение 1</w:t>
      </w:r>
      <w:r>
        <w:rPr>
          <w:rFonts w:ascii="Bookman Old Style" w:hAnsi="Bookman Old Style"/>
          <w:bCs/>
          <w:sz w:val="20"/>
          <w:szCs w:val="20"/>
        </w:rPr>
        <w:t>3</w:t>
      </w:r>
      <w:r w:rsidRPr="006A199E">
        <w:rPr>
          <w:rFonts w:ascii="Bookman Old Style" w:hAnsi="Bookman Old Style"/>
          <w:bCs/>
          <w:sz w:val="20"/>
          <w:szCs w:val="20"/>
        </w:rPr>
        <w:t>%</w:t>
      </w:r>
      <w:r w:rsidRPr="006A199E">
        <w:rPr>
          <w:rFonts w:ascii="Bookman Old Style" w:hAnsi="Bookman Old Style"/>
          <w:bCs/>
          <w:sz w:val="20"/>
          <w:szCs w:val="20"/>
          <w:vertAlign w:val="superscript"/>
        </w:rPr>
        <w:footnoteReference w:id="59"/>
      </w:r>
      <w:r w:rsidRPr="006A199E">
        <w:rPr>
          <w:rFonts w:ascii="Bookman Old Style" w:hAnsi="Bookman Old Style"/>
          <w:bCs/>
          <w:sz w:val="20"/>
          <w:szCs w:val="20"/>
        </w:rPr>
        <w:t>.</w:t>
      </w:r>
    </w:p>
    <w:p w:rsidR="006A199E" w:rsidRDefault="006A199E" w:rsidP="006A199E">
      <w:pPr>
        <w:spacing w:before="120" w:after="120"/>
        <w:jc w:val="right"/>
        <w:rPr>
          <w:rFonts w:ascii="Bookman Old Style" w:hAnsi="Bookman Old Style"/>
          <w:b/>
          <w:sz w:val="20"/>
          <w:szCs w:val="20"/>
        </w:rPr>
      </w:pPr>
      <w:r w:rsidRPr="006A199E">
        <w:rPr>
          <w:rFonts w:ascii="Bookman Old Style" w:hAnsi="Bookman Old Style"/>
          <w:b/>
          <w:sz w:val="20"/>
          <w:szCs w:val="20"/>
        </w:rPr>
        <w:t xml:space="preserve">Таблица 5.5.5.1. Расчет стоимости </w:t>
      </w:r>
      <w:r>
        <w:rPr>
          <w:rFonts w:ascii="Bookman Old Style" w:hAnsi="Bookman Old Style"/>
          <w:b/>
          <w:sz w:val="20"/>
          <w:szCs w:val="20"/>
        </w:rPr>
        <w:t xml:space="preserve">элементов </w:t>
      </w:r>
      <w:r w:rsidRPr="006A199E">
        <w:rPr>
          <w:rFonts w:ascii="Bookman Old Style" w:hAnsi="Bookman Old Style"/>
          <w:b/>
          <w:sz w:val="20"/>
          <w:szCs w:val="20"/>
        </w:rPr>
        <w:t>Объекта оценки</w:t>
      </w:r>
    </w:p>
    <w:tbl>
      <w:tblPr>
        <w:tblW w:w="5000" w:type="pct"/>
        <w:tblLook w:val="04A0" w:firstRow="1" w:lastRow="0" w:firstColumn="1" w:lastColumn="0" w:noHBand="0" w:noVBand="1"/>
      </w:tblPr>
      <w:tblGrid>
        <w:gridCol w:w="5536"/>
        <w:gridCol w:w="4885"/>
      </w:tblGrid>
      <w:tr w:rsidR="00510FEB" w:rsidRPr="006568BA" w:rsidTr="00510FEB">
        <w:trPr>
          <w:cantSplit/>
          <w:trHeight w:val="170"/>
        </w:trPr>
        <w:tc>
          <w:tcPr>
            <w:tcW w:w="265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10FEB" w:rsidRPr="006568BA" w:rsidRDefault="00510FEB" w:rsidP="00991B2D">
            <w:pPr>
              <w:jc w:val="center"/>
              <w:rPr>
                <w:rFonts w:ascii="Cambria" w:hAnsi="Cambria"/>
                <w:sz w:val="16"/>
                <w:szCs w:val="16"/>
              </w:rPr>
            </w:pPr>
            <w:r w:rsidRPr="006568BA">
              <w:rPr>
                <w:rFonts w:ascii="Cambria" w:hAnsi="Cambria"/>
                <w:sz w:val="16"/>
                <w:szCs w:val="16"/>
              </w:rPr>
              <w:t>Показатель</w:t>
            </w:r>
          </w:p>
        </w:tc>
        <w:tc>
          <w:tcPr>
            <w:tcW w:w="2344" w:type="pct"/>
            <w:tcBorders>
              <w:top w:val="single" w:sz="4" w:space="0" w:color="auto"/>
              <w:left w:val="nil"/>
              <w:bottom w:val="single" w:sz="4" w:space="0" w:color="auto"/>
              <w:right w:val="single" w:sz="4" w:space="0" w:color="auto"/>
            </w:tcBorders>
            <w:shd w:val="clear" w:color="000000" w:fill="F2F2F2"/>
            <w:vAlign w:val="center"/>
            <w:hideMark/>
          </w:tcPr>
          <w:p w:rsidR="00510FEB" w:rsidRPr="006568BA" w:rsidRDefault="00510FEB" w:rsidP="00991B2D">
            <w:pPr>
              <w:jc w:val="center"/>
              <w:rPr>
                <w:rFonts w:ascii="Cambria" w:hAnsi="Cambria"/>
                <w:sz w:val="16"/>
                <w:szCs w:val="16"/>
              </w:rPr>
            </w:pPr>
            <w:r w:rsidRPr="00510FEB">
              <w:rPr>
                <w:rFonts w:ascii="Cambria" w:hAnsi="Cambria"/>
                <w:sz w:val="16"/>
                <w:szCs w:val="16"/>
              </w:rPr>
              <w:t>Помещение, назначение: нежилое, общая площадь 525,6 кв.м., этаж №1, адрес:  г. Красноярск,  ул. Айвазовского 37 «А», стр. 2, пом. 1, Кадастровый номер: 24:50:0500203:461</w:t>
            </w:r>
          </w:p>
        </w:tc>
      </w:tr>
      <w:tr w:rsidR="00510FEB" w:rsidRPr="006568BA" w:rsidTr="00510FEB">
        <w:trPr>
          <w:cantSplit/>
          <w:trHeight w:val="170"/>
        </w:trPr>
        <w:tc>
          <w:tcPr>
            <w:tcW w:w="2656" w:type="pct"/>
            <w:tcBorders>
              <w:top w:val="nil"/>
              <w:left w:val="single" w:sz="4" w:space="0" w:color="auto"/>
              <w:bottom w:val="single" w:sz="4" w:space="0" w:color="auto"/>
              <w:right w:val="single" w:sz="4" w:space="0" w:color="auto"/>
            </w:tcBorders>
            <w:shd w:val="clear" w:color="auto" w:fill="auto"/>
            <w:noWrap/>
            <w:vAlign w:val="center"/>
            <w:hideMark/>
          </w:tcPr>
          <w:p w:rsidR="00510FEB" w:rsidRPr="006568BA" w:rsidRDefault="00510FEB" w:rsidP="00991B2D">
            <w:pPr>
              <w:rPr>
                <w:rFonts w:ascii="Cambria" w:hAnsi="Cambria"/>
                <w:color w:val="000000"/>
                <w:sz w:val="16"/>
                <w:szCs w:val="16"/>
              </w:rPr>
            </w:pPr>
            <w:r w:rsidRPr="006568BA">
              <w:rPr>
                <w:rFonts w:ascii="Cambria" w:hAnsi="Cambria"/>
                <w:color w:val="000000"/>
                <w:sz w:val="16"/>
                <w:szCs w:val="16"/>
              </w:rPr>
              <w:t>Площадь, кв.м.</w:t>
            </w:r>
          </w:p>
        </w:tc>
        <w:tc>
          <w:tcPr>
            <w:tcW w:w="2344" w:type="pct"/>
            <w:tcBorders>
              <w:top w:val="nil"/>
              <w:left w:val="nil"/>
              <w:bottom w:val="single" w:sz="4" w:space="0" w:color="auto"/>
              <w:right w:val="single" w:sz="4" w:space="0" w:color="auto"/>
            </w:tcBorders>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526</w:t>
            </w:r>
          </w:p>
        </w:tc>
      </w:tr>
      <w:tr w:rsidR="00510FEB" w:rsidRPr="006568BA" w:rsidTr="00510FEB">
        <w:trPr>
          <w:cantSplit/>
          <w:trHeight w:val="170"/>
        </w:trPr>
        <w:tc>
          <w:tcPr>
            <w:tcW w:w="2656" w:type="pct"/>
            <w:tcBorders>
              <w:top w:val="nil"/>
              <w:left w:val="single" w:sz="4" w:space="0" w:color="auto"/>
              <w:bottom w:val="single" w:sz="4" w:space="0" w:color="auto"/>
              <w:right w:val="single" w:sz="4" w:space="0" w:color="auto"/>
            </w:tcBorders>
            <w:shd w:val="clear" w:color="auto" w:fill="auto"/>
            <w:vAlign w:val="center"/>
            <w:hideMark/>
          </w:tcPr>
          <w:p w:rsidR="00510FEB" w:rsidRPr="006568BA" w:rsidRDefault="00510FEB" w:rsidP="00991B2D">
            <w:pPr>
              <w:rPr>
                <w:rFonts w:ascii="Cambria" w:hAnsi="Cambria"/>
                <w:color w:val="000000"/>
                <w:sz w:val="16"/>
                <w:szCs w:val="16"/>
              </w:rPr>
            </w:pPr>
            <w:r w:rsidRPr="006568BA">
              <w:rPr>
                <w:rFonts w:ascii="Cambria" w:hAnsi="Cambria"/>
                <w:color w:val="000000"/>
                <w:sz w:val="16"/>
                <w:szCs w:val="16"/>
              </w:rPr>
              <w:t>Арендная ставка за 1 м</w:t>
            </w:r>
            <w:proofErr w:type="gramStart"/>
            <w:r w:rsidRPr="006568BA">
              <w:rPr>
                <w:rFonts w:ascii="Cambria" w:hAnsi="Cambria"/>
                <w:color w:val="000000"/>
                <w:sz w:val="16"/>
                <w:szCs w:val="16"/>
              </w:rPr>
              <w:t>2</w:t>
            </w:r>
            <w:proofErr w:type="gramEnd"/>
            <w:r w:rsidRPr="006568BA">
              <w:rPr>
                <w:rFonts w:ascii="Cambria" w:hAnsi="Cambria"/>
                <w:color w:val="000000"/>
                <w:sz w:val="16"/>
                <w:szCs w:val="16"/>
              </w:rPr>
              <w:t>, руб. в месяц</w:t>
            </w:r>
          </w:p>
        </w:tc>
        <w:tc>
          <w:tcPr>
            <w:tcW w:w="2344" w:type="pct"/>
            <w:tcBorders>
              <w:top w:val="nil"/>
              <w:left w:val="nil"/>
              <w:bottom w:val="single" w:sz="4" w:space="0" w:color="auto"/>
              <w:right w:val="single" w:sz="4" w:space="0" w:color="auto"/>
            </w:tcBorders>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160</w:t>
            </w:r>
          </w:p>
        </w:tc>
      </w:tr>
      <w:tr w:rsidR="00510FEB" w:rsidRPr="006568BA" w:rsidTr="00510FEB">
        <w:trPr>
          <w:cantSplit/>
          <w:trHeight w:val="170"/>
        </w:trPr>
        <w:tc>
          <w:tcPr>
            <w:tcW w:w="2656" w:type="pct"/>
            <w:tcBorders>
              <w:top w:val="nil"/>
              <w:left w:val="single" w:sz="4" w:space="0" w:color="auto"/>
              <w:bottom w:val="single" w:sz="4" w:space="0" w:color="auto"/>
              <w:right w:val="single" w:sz="4" w:space="0" w:color="auto"/>
            </w:tcBorders>
            <w:shd w:val="clear" w:color="auto" w:fill="auto"/>
            <w:noWrap/>
            <w:vAlign w:val="center"/>
            <w:hideMark/>
          </w:tcPr>
          <w:p w:rsidR="00510FEB" w:rsidRPr="006568BA" w:rsidRDefault="00510FEB" w:rsidP="00991B2D">
            <w:pPr>
              <w:rPr>
                <w:rFonts w:ascii="Cambria" w:hAnsi="Cambria"/>
                <w:color w:val="000000"/>
                <w:sz w:val="16"/>
                <w:szCs w:val="16"/>
              </w:rPr>
            </w:pPr>
            <w:r w:rsidRPr="006568BA">
              <w:rPr>
                <w:rFonts w:ascii="Cambria" w:hAnsi="Cambria"/>
                <w:color w:val="000000"/>
                <w:sz w:val="16"/>
                <w:szCs w:val="16"/>
              </w:rPr>
              <w:t xml:space="preserve">ПВД, </w:t>
            </w:r>
            <w:proofErr w:type="spellStart"/>
            <w:r w:rsidRPr="006568BA">
              <w:rPr>
                <w:rFonts w:ascii="Cambria" w:hAnsi="Cambria"/>
                <w:color w:val="000000"/>
                <w:sz w:val="16"/>
                <w:szCs w:val="16"/>
              </w:rPr>
              <w:t>руб</w:t>
            </w:r>
            <w:proofErr w:type="spellEnd"/>
          </w:p>
        </w:tc>
        <w:tc>
          <w:tcPr>
            <w:tcW w:w="2344" w:type="pct"/>
            <w:tcBorders>
              <w:top w:val="nil"/>
              <w:left w:val="nil"/>
              <w:bottom w:val="single" w:sz="4" w:space="0" w:color="auto"/>
              <w:right w:val="single" w:sz="4" w:space="0" w:color="auto"/>
            </w:tcBorders>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1 009 152</w:t>
            </w:r>
          </w:p>
        </w:tc>
      </w:tr>
      <w:tr w:rsidR="00510FEB" w:rsidRPr="006568BA" w:rsidTr="00510FEB">
        <w:trPr>
          <w:cantSplit/>
          <w:trHeight w:val="170"/>
        </w:trPr>
        <w:tc>
          <w:tcPr>
            <w:tcW w:w="2656" w:type="pct"/>
            <w:tcBorders>
              <w:top w:val="nil"/>
              <w:left w:val="single" w:sz="4" w:space="0" w:color="auto"/>
              <w:bottom w:val="single" w:sz="4" w:space="0" w:color="auto"/>
              <w:right w:val="single" w:sz="4" w:space="0" w:color="auto"/>
            </w:tcBorders>
            <w:shd w:val="clear" w:color="auto" w:fill="auto"/>
            <w:noWrap/>
            <w:vAlign w:val="center"/>
            <w:hideMark/>
          </w:tcPr>
          <w:p w:rsidR="00510FEB" w:rsidRPr="006568BA" w:rsidRDefault="00510FEB" w:rsidP="00991B2D">
            <w:pPr>
              <w:rPr>
                <w:rFonts w:ascii="Cambria" w:hAnsi="Cambria"/>
                <w:color w:val="000000"/>
                <w:sz w:val="16"/>
                <w:szCs w:val="16"/>
              </w:rPr>
            </w:pPr>
            <w:r w:rsidRPr="006568BA">
              <w:rPr>
                <w:rFonts w:ascii="Cambria" w:hAnsi="Cambria"/>
                <w:color w:val="000000"/>
                <w:sz w:val="16"/>
                <w:szCs w:val="16"/>
              </w:rPr>
              <w:t xml:space="preserve">ДВД, </w:t>
            </w:r>
            <w:proofErr w:type="spellStart"/>
            <w:r w:rsidRPr="006568BA">
              <w:rPr>
                <w:rFonts w:ascii="Cambria" w:hAnsi="Cambria"/>
                <w:color w:val="000000"/>
                <w:sz w:val="16"/>
                <w:szCs w:val="16"/>
              </w:rPr>
              <w:t>руб</w:t>
            </w:r>
            <w:proofErr w:type="spellEnd"/>
          </w:p>
        </w:tc>
        <w:tc>
          <w:tcPr>
            <w:tcW w:w="2344" w:type="pct"/>
            <w:tcBorders>
              <w:top w:val="nil"/>
              <w:left w:val="nil"/>
              <w:bottom w:val="single" w:sz="4" w:space="0" w:color="auto"/>
              <w:right w:val="single" w:sz="4" w:space="0" w:color="auto"/>
            </w:tcBorders>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877 962</w:t>
            </w:r>
          </w:p>
        </w:tc>
      </w:tr>
      <w:tr w:rsidR="00510FEB" w:rsidRPr="006568BA" w:rsidTr="00510FEB">
        <w:trPr>
          <w:cantSplit/>
          <w:trHeight w:val="170"/>
        </w:trPr>
        <w:tc>
          <w:tcPr>
            <w:tcW w:w="2656" w:type="pct"/>
            <w:tcBorders>
              <w:top w:val="nil"/>
              <w:left w:val="single" w:sz="4" w:space="0" w:color="auto"/>
              <w:bottom w:val="single" w:sz="4" w:space="0" w:color="auto"/>
              <w:right w:val="single" w:sz="4" w:space="0" w:color="auto"/>
            </w:tcBorders>
            <w:shd w:val="clear" w:color="auto" w:fill="auto"/>
            <w:noWrap/>
            <w:vAlign w:val="center"/>
            <w:hideMark/>
          </w:tcPr>
          <w:p w:rsidR="00510FEB" w:rsidRPr="006568BA" w:rsidRDefault="00510FEB" w:rsidP="00991B2D">
            <w:pPr>
              <w:rPr>
                <w:rFonts w:ascii="Cambria" w:hAnsi="Cambria"/>
                <w:color w:val="000000"/>
                <w:sz w:val="16"/>
                <w:szCs w:val="16"/>
              </w:rPr>
            </w:pPr>
            <w:r w:rsidRPr="006568BA">
              <w:rPr>
                <w:rFonts w:ascii="Cambria" w:hAnsi="Cambria"/>
                <w:color w:val="000000"/>
                <w:sz w:val="16"/>
                <w:szCs w:val="16"/>
              </w:rPr>
              <w:t>ЧОД</w:t>
            </w:r>
          </w:p>
        </w:tc>
        <w:tc>
          <w:tcPr>
            <w:tcW w:w="2344" w:type="pct"/>
            <w:tcBorders>
              <w:top w:val="nil"/>
              <w:left w:val="nil"/>
              <w:bottom w:val="single" w:sz="4" w:space="0" w:color="auto"/>
              <w:right w:val="single" w:sz="4" w:space="0" w:color="auto"/>
            </w:tcBorders>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719 929</w:t>
            </w:r>
          </w:p>
        </w:tc>
      </w:tr>
      <w:tr w:rsidR="00510FEB" w:rsidRPr="006568BA" w:rsidTr="00510FEB">
        <w:trPr>
          <w:cantSplit/>
          <w:trHeight w:val="170"/>
        </w:trPr>
        <w:tc>
          <w:tcPr>
            <w:tcW w:w="2656" w:type="pct"/>
            <w:tcBorders>
              <w:top w:val="nil"/>
              <w:left w:val="single" w:sz="4" w:space="0" w:color="auto"/>
              <w:bottom w:val="single" w:sz="4" w:space="0" w:color="auto"/>
              <w:right w:val="single" w:sz="4" w:space="0" w:color="auto"/>
            </w:tcBorders>
            <w:shd w:val="clear" w:color="auto" w:fill="auto"/>
            <w:noWrap/>
            <w:vAlign w:val="center"/>
            <w:hideMark/>
          </w:tcPr>
          <w:p w:rsidR="00510FEB" w:rsidRPr="006568BA" w:rsidRDefault="00510FEB" w:rsidP="00991B2D">
            <w:pPr>
              <w:rPr>
                <w:rFonts w:ascii="Cambria" w:hAnsi="Cambria"/>
                <w:color w:val="000000"/>
                <w:sz w:val="16"/>
                <w:szCs w:val="16"/>
              </w:rPr>
            </w:pPr>
            <w:r w:rsidRPr="006568BA">
              <w:rPr>
                <w:rFonts w:ascii="Cambria" w:hAnsi="Cambria"/>
                <w:color w:val="000000"/>
                <w:sz w:val="16"/>
                <w:szCs w:val="16"/>
              </w:rPr>
              <w:t>Коэффициент капитализации, R, %</w:t>
            </w:r>
          </w:p>
        </w:tc>
        <w:tc>
          <w:tcPr>
            <w:tcW w:w="2344" w:type="pct"/>
            <w:tcBorders>
              <w:top w:val="nil"/>
              <w:left w:val="nil"/>
              <w:bottom w:val="single" w:sz="4" w:space="0" w:color="auto"/>
              <w:right w:val="single" w:sz="4" w:space="0" w:color="auto"/>
            </w:tcBorders>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0</w:t>
            </w:r>
          </w:p>
        </w:tc>
      </w:tr>
      <w:tr w:rsidR="00510FEB" w:rsidRPr="006568BA" w:rsidTr="00510FEB">
        <w:trPr>
          <w:cantSplit/>
          <w:trHeight w:val="170"/>
        </w:trPr>
        <w:tc>
          <w:tcPr>
            <w:tcW w:w="2656" w:type="pct"/>
            <w:tcBorders>
              <w:top w:val="nil"/>
              <w:left w:val="single" w:sz="4" w:space="0" w:color="auto"/>
              <w:bottom w:val="single" w:sz="4" w:space="0" w:color="auto"/>
              <w:right w:val="single" w:sz="4" w:space="0" w:color="auto"/>
            </w:tcBorders>
            <w:shd w:val="clear" w:color="auto" w:fill="auto"/>
            <w:vAlign w:val="center"/>
            <w:hideMark/>
          </w:tcPr>
          <w:p w:rsidR="00510FEB" w:rsidRPr="006568BA" w:rsidRDefault="00510FEB" w:rsidP="00991B2D">
            <w:pPr>
              <w:rPr>
                <w:rFonts w:ascii="Cambria" w:hAnsi="Cambria"/>
                <w:color w:val="000000"/>
                <w:sz w:val="16"/>
                <w:szCs w:val="16"/>
              </w:rPr>
            </w:pPr>
            <w:r w:rsidRPr="006568BA">
              <w:rPr>
                <w:rFonts w:ascii="Cambria" w:hAnsi="Cambria"/>
                <w:color w:val="000000"/>
                <w:sz w:val="16"/>
                <w:szCs w:val="16"/>
              </w:rPr>
              <w:t>Стоимость объекта доходным подхом, руб.</w:t>
            </w:r>
          </w:p>
        </w:tc>
        <w:tc>
          <w:tcPr>
            <w:tcW w:w="2344" w:type="pct"/>
            <w:tcBorders>
              <w:top w:val="nil"/>
              <w:left w:val="nil"/>
              <w:bottom w:val="single" w:sz="4" w:space="0" w:color="auto"/>
              <w:right w:val="single" w:sz="4" w:space="0" w:color="auto"/>
            </w:tcBorders>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7 020 534</w:t>
            </w:r>
          </w:p>
        </w:tc>
      </w:tr>
      <w:tr w:rsidR="00510FEB" w:rsidRPr="006568BA" w:rsidTr="00510FEB">
        <w:trPr>
          <w:cantSplit/>
          <w:trHeight w:val="170"/>
        </w:trPr>
        <w:tc>
          <w:tcPr>
            <w:tcW w:w="2656" w:type="pct"/>
            <w:tcBorders>
              <w:top w:val="nil"/>
              <w:left w:val="single" w:sz="4" w:space="0" w:color="auto"/>
              <w:bottom w:val="single" w:sz="4" w:space="0" w:color="auto"/>
              <w:right w:val="single" w:sz="4" w:space="0" w:color="auto"/>
            </w:tcBorders>
            <w:shd w:val="clear" w:color="auto" w:fill="auto"/>
            <w:vAlign w:val="center"/>
            <w:hideMark/>
          </w:tcPr>
          <w:p w:rsidR="00510FEB" w:rsidRPr="006568BA" w:rsidRDefault="00510FEB" w:rsidP="00991B2D">
            <w:pPr>
              <w:rPr>
                <w:rFonts w:ascii="Cambria" w:hAnsi="Cambria"/>
                <w:color w:val="000000"/>
                <w:sz w:val="16"/>
                <w:szCs w:val="16"/>
              </w:rPr>
            </w:pPr>
            <w:r w:rsidRPr="006568BA">
              <w:rPr>
                <w:rFonts w:ascii="Cambria" w:hAnsi="Cambria"/>
                <w:color w:val="000000"/>
                <w:sz w:val="16"/>
                <w:szCs w:val="16"/>
              </w:rPr>
              <w:t xml:space="preserve">Стоимость нежилого здания доходным подходом (округл), </w:t>
            </w:r>
            <w:proofErr w:type="spellStart"/>
            <w:r w:rsidRPr="006568BA">
              <w:rPr>
                <w:rFonts w:ascii="Cambria" w:hAnsi="Cambria"/>
                <w:color w:val="000000"/>
                <w:sz w:val="16"/>
                <w:szCs w:val="16"/>
              </w:rPr>
              <w:t>руб</w:t>
            </w:r>
            <w:proofErr w:type="spellEnd"/>
          </w:p>
        </w:tc>
        <w:tc>
          <w:tcPr>
            <w:tcW w:w="2344" w:type="pct"/>
            <w:tcBorders>
              <w:top w:val="nil"/>
              <w:left w:val="nil"/>
              <w:bottom w:val="single" w:sz="4" w:space="0" w:color="auto"/>
              <w:right w:val="single" w:sz="4" w:space="0" w:color="auto"/>
            </w:tcBorders>
            <w:shd w:val="clear" w:color="auto" w:fill="auto"/>
            <w:noWrap/>
            <w:vAlign w:val="center"/>
            <w:hideMark/>
          </w:tcPr>
          <w:p w:rsidR="00510FEB" w:rsidRDefault="00510FEB">
            <w:pPr>
              <w:jc w:val="center"/>
              <w:rPr>
                <w:rFonts w:ascii="Cambria" w:hAnsi="Cambria"/>
                <w:color w:val="000000"/>
                <w:sz w:val="16"/>
                <w:szCs w:val="16"/>
              </w:rPr>
            </w:pPr>
            <w:r>
              <w:rPr>
                <w:rFonts w:ascii="Cambria" w:hAnsi="Cambria"/>
                <w:color w:val="000000"/>
                <w:sz w:val="16"/>
                <w:szCs w:val="16"/>
              </w:rPr>
              <w:t>7 020 500</w:t>
            </w:r>
          </w:p>
        </w:tc>
      </w:tr>
    </w:tbl>
    <w:p w:rsidR="00510FEB" w:rsidRDefault="00510FEB" w:rsidP="006A199E">
      <w:pPr>
        <w:spacing w:before="120" w:after="120"/>
        <w:jc w:val="right"/>
        <w:rPr>
          <w:rFonts w:ascii="Bookman Old Style" w:hAnsi="Bookman Old Style"/>
          <w:b/>
          <w:sz w:val="20"/>
          <w:szCs w:val="20"/>
        </w:rPr>
      </w:pPr>
    </w:p>
    <w:p w:rsidR="00510FEB" w:rsidRDefault="00510FEB" w:rsidP="006A199E">
      <w:pPr>
        <w:spacing w:before="120" w:after="120"/>
        <w:jc w:val="right"/>
        <w:rPr>
          <w:rFonts w:ascii="Bookman Old Style" w:hAnsi="Bookman Old Style"/>
          <w:b/>
          <w:sz w:val="20"/>
          <w:szCs w:val="20"/>
        </w:rPr>
      </w:pPr>
    </w:p>
    <w:p w:rsidR="006A199E" w:rsidRPr="006A199E" w:rsidRDefault="006A199E" w:rsidP="005F04AC">
      <w:pPr>
        <w:numPr>
          <w:ilvl w:val="0"/>
          <w:numId w:val="48"/>
        </w:numPr>
        <w:spacing w:before="120" w:after="120"/>
        <w:ind w:left="714" w:hanging="357"/>
        <w:rPr>
          <w:rFonts w:ascii="Bookman Old Style" w:eastAsia="Calibri" w:hAnsi="Bookman Old Style"/>
          <w:sz w:val="20"/>
          <w:szCs w:val="20"/>
        </w:rPr>
      </w:pPr>
      <w:r w:rsidRPr="006A199E">
        <w:rPr>
          <w:rFonts w:ascii="Bookman Old Style" w:eastAsia="Calibri" w:hAnsi="Bookman Old Style"/>
          <w:sz w:val="20"/>
          <w:szCs w:val="20"/>
        </w:rPr>
        <w:lastRenderedPageBreak/>
        <w:t>Потенциальный валовый доход – представляет собой общий доход от эксплуатации объекта недвижимости.</w:t>
      </w:r>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rPr>
        <w:t>Расчет потенциального годового валового дохода, проведен по формуле:</w:t>
      </w:r>
    </w:p>
    <w:p w:rsidR="006A199E" w:rsidRPr="006A199E" w:rsidRDefault="006A199E" w:rsidP="006A199E">
      <w:pPr>
        <w:spacing w:before="120" w:after="120"/>
        <w:ind w:left="714"/>
        <w:rPr>
          <w:rFonts w:ascii="Bookman Old Style" w:eastAsia="Calibri" w:hAnsi="Bookman Old Style"/>
          <w:sz w:val="20"/>
          <w:szCs w:val="20"/>
        </w:rPr>
      </w:pPr>
      <m:oMathPara>
        <m:oMath>
          <m:r>
            <w:rPr>
              <w:rFonts w:ascii="Cambria Math" w:eastAsia="Calibri" w:hAnsi="Cambria Math"/>
              <w:sz w:val="20"/>
              <w:szCs w:val="20"/>
            </w:rPr>
            <m:t>ПВД=</m:t>
          </m:r>
          <m:sSub>
            <m:sSubPr>
              <m:ctrlPr>
                <w:rPr>
                  <w:rFonts w:ascii="Cambria Math" w:eastAsia="Calibri" w:hAnsi="Cambria Math"/>
                  <w:i/>
                  <w:sz w:val="20"/>
                  <w:szCs w:val="20"/>
                </w:rPr>
              </m:ctrlPr>
            </m:sSubPr>
            <m:e>
              <m:r>
                <w:rPr>
                  <w:rFonts w:ascii="Cambria Math" w:eastAsia="Calibri" w:hAnsi="Cambria Math"/>
                  <w:sz w:val="20"/>
                  <w:szCs w:val="20"/>
                </w:rPr>
                <m:t>С</m:t>
              </m:r>
            </m:e>
            <m:sub>
              <m:r>
                <w:rPr>
                  <w:rFonts w:ascii="Cambria Math" w:eastAsia="Calibri" w:hAnsi="Cambria Math"/>
                  <w:sz w:val="20"/>
                  <w:szCs w:val="20"/>
                </w:rPr>
                <m:t>а</m:t>
              </m:r>
            </m:sub>
          </m:sSub>
          <m:r>
            <w:rPr>
              <w:rFonts w:ascii="Cambria Math" w:eastAsia="Calibri" w:hAnsi="Cambria Math"/>
              <w:sz w:val="20"/>
              <w:szCs w:val="20"/>
            </w:rPr>
            <m:t>×</m:t>
          </m:r>
          <m:sSub>
            <m:sSubPr>
              <m:ctrlPr>
                <w:rPr>
                  <w:rFonts w:ascii="Cambria Math" w:eastAsia="Calibri" w:hAnsi="Cambria Math"/>
                  <w:i/>
                  <w:sz w:val="20"/>
                  <w:szCs w:val="20"/>
                </w:rPr>
              </m:ctrlPr>
            </m:sSubPr>
            <m:e>
              <m:r>
                <w:rPr>
                  <w:rFonts w:ascii="Cambria Math" w:eastAsia="Calibri" w:hAnsi="Cambria Math"/>
                  <w:sz w:val="20"/>
                  <w:szCs w:val="20"/>
                  <w:lang w:val="en-US"/>
                </w:rPr>
                <m:t>S</m:t>
              </m:r>
            </m:e>
            <m:sub>
              <m:r>
                <w:rPr>
                  <w:rFonts w:ascii="Cambria Math" w:eastAsia="Calibri" w:hAnsi="Cambria Math"/>
                  <w:sz w:val="20"/>
                  <w:szCs w:val="20"/>
                </w:rPr>
                <m:t>объекта</m:t>
              </m:r>
            </m:sub>
          </m:sSub>
          <m:r>
            <w:rPr>
              <w:rFonts w:ascii="Cambria Math" w:eastAsia="Calibri" w:hAnsi="Cambria Math"/>
              <w:sz w:val="20"/>
              <w:szCs w:val="20"/>
            </w:rPr>
            <m:t>×12</m:t>
          </m:r>
        </m:oMath>
      </m:oMathPara>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rPr>
        <w:t>Где:</w:t>
      </w:r>
    </w:p>
    <w:p w:rsidR="006A199E" w:rsidRPr="006A199E" w:rsidRDefault="006A199E" w:rsidP="006A199E">
      <w:pPr>
        <w:spacing w:before="120" w:after="120"/>
        <w:ind w:left="714"/>
        <w:rPr>
          <w:rFonts w:ascii="Bookman Old Style" w:eastAsia="Calibri" w:hAnsi="Bookman Old Style"/>
          <w:sz w:val="20"/>
          <w:szCs w:val="20"/>
        </w:rPr>
      </w:pPr>
      <w:proofErr w:type="spellStart"/>
      <w:r w:rsidRPr="006A199E">
        <w:rPr>
          <w:rFonts w:ascii="Bookman Old Style" w:eastAsia="Calibri" w:hAnsi="Bookman Old Style"/>
          <w:sz w:val="20"/>
          <w:szCs w:val="20"/>
        </w:rPr>
        <w:t>С</w:t>
      </w:r>
      <w:r w:rsidRPr="006A199E">
        <w:rPr>
          <w:rFonts w:ascii="Bookman Old Style" w:eastAsia="Calibri" w:hAnsi="Bookman Old Style"/>
          <w:sz w:val="20"/>
          <w:szCs w:val="20"/>
          <w:vertAlign w:val="subscript"/>
        </w:rPr>
        <w:t>а</w:t>
      </w:r>
      <w:proofErr w:type="spellEnd"/>
      <w:r w:rsidRPr="006A199E">
        <w:rPr>
          <w:rFonts w:ascii="Bookman Old Style" w:eastAsia="Calibri" w:hAnsi="Bookman Old Style"/>
          <w:sz w:val="20"/>
          <w:szCs w:val="20"/>
        </w:rPr>
        <w:t xml:space="preserve"> – годовая арендная плата элемента Объекта оценки в зависимости от группы, руб.;</w:t>
      </w:r>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lang w:val="en-US"/>
        </w:rPr>
        <w:t>S</w:t>
      </w:r>
      <w:r w:rsidRPr="006A199E">
        <w:rPr>
          <w:rFonts w:ascii="Bookman Old Style" w:eastAsia="Calibri" w:hAnsi="Bookman Old Style"/>
          <w:sz w:val="20"/>
          <w:szCs w:val="20"/>
          <w:vertAlign w:val="subscript"/>
        </w:rPr>
        <w:t>объекта</w:t>
      </w:r>
      <w:r w:rsidRPr="006A199E">
        <w:rPr>
          <w:rFonts w:ascii="Bookman Old Style" w:eastAsia="Calibri" w:hAnsi="Bookman Old Style"/>
          <w:sz w:val="20"/>
          <w:szCs w:val="20"/>
        </w:rPr>
        <w:t xml:space="preserve"> – общая площадь элемента Объекта оценки, кв.м</w:t>
      </w:r>
      <w:proofErr w:type="gramStart"/>
      <w:r w:rsidRPr="006A199E">
        <w:rPr>
          <w:rFonts w:ascii="Bookman Old Style" w:eastAsia="Calibri" w:hAnsi="Bookman Old Style"/>
          <w:sz w:val="20"/>
          <w:szCs w:val="20"/>
        </w:rPr>
        <w:t>.;</w:t>
      </w:r>
      <w:proofErr w:type="gramEnd"/>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rPr>
        <w:t>12 - количество месяцев в году.</w:t>
      </w:r>
    </w:p>
    <w:p w:rsidR="006A199E" w:rsidRPr="006A199E" w:rsidRDefault="006A199E" w:rsidP="005F04AC">
      <w:pPr>
        <w:numPr>
          <w:ilvl w:val="0"/>
          <w:numId w:val="48"/>
        </w:numPr>
        <w:spacing w:before="120" w:after="120"/>
        <w:jc w:val="both"/>
        <w:rPr>
          <w:rFonts w:ascii="Bookman Old Style" w:eastAsia="Calibri" w:hAnsi="Bookman Old Style"/>
          <w:sz w:val="20"/>
          <w:szCs w:val="20"/>
        </w:rPr>
      </w:pPr>
      <w:r w:rsidRPr="006A199E">
        <w:rPr>
          <w:rFonts w:ascii="Bookman Old Style" w:eastAsia="Calibri" w:hAnsi="Bookman Old Style"/>
          <w:sz w:val="20"/>
          <w:szCs w:val="20"/>
        </w:rPr>
        <w:t>Далее спрогнозирован чистый операционный доход (ЧОД). Для учета всех расходов связанных с эксплуатацией объекта недвижимости, например таких как: платежи за коммунальные услуги, уборка, электричество, интернет, охрана, среднегодовые затраты на текущий ремонт, расходы на управление недвижимостью, расходы на замещение и т.п., применяют коэффициент операционных расходов. Наиболее удобный расчет коэффициента операционных расходов осуществляется по каждому типу объектов соответствующего сегмента рынка недвижимости.</w:t>
      </w:r>
    </w:p>
    <w:p w:rsidR="006A199E" w:rsidRPr="006A199E" w:rsidRDefault="006A199E" w:rsidP="006A199E">
      <w:pPr>
        <w:spacing w:before="120" w:after="120"/>
        <w:ind w:left="720"/>
        <w:jc w:val="both"/>
        <w:rPr>
          <w:rFonts w:ascii="Bookman Old Style" w:eastAsia="Calibri" w:hAnsi="Bookman Old Style"/>
          <w:sz w:val="20"/>
          <w:szCs w:val="20"/>
        </w:rPr>
      </w:pPr>
      <w:r w:rsidRPr="006A199E">
        <w:rPr>
          <w:rFonts w:ascii="Bookman Old Style" w:eastAsia="Calibri" w:hAnsi="Bookman Old Style"/>
          <w:sz w:val="20"/>
          <w:szCs w:val="20"/>
        </w:rPr>
        <w:t>Коэффициент операционных доходов при расчете чистого о</w:t>
      </w:r>
      <w:r>
        <w:rPr>
          <w:rFonts w:ascii="Bookman Old Style" w:eastAsia="Calibri" w:hAnsi="Bookman Old Style"/>
          <w:sz w:val="20"/>
          <w:szCs w:val="20"/>
        </w:rPr>
        <w:t>перационного дохода составляет 18</w:t>
      </w:r>
      <w:r w:rsidRPr="006A199E">
        <w:rPr>
          <w:rFonts w:ascii="Bookman Old Style" w:eastAsia="Calibri" w:hAnsi="Bookman Old Style"/>
          <w:sz w:val="20"/>
          <w:szCs w:val="20"/>
        </w:rPr>
        <w:t>%.</w:t>
      </w:r>
      <w:r w:rsidRPr="006A199E">
        <w:rPr>
          <w:rFonts w:ascii="Bookman Old Style" w:hAnsi="Bookman Old Style"/>
          <w:bCs/>
          <w:sz w:val="20"/>
          <w:szCs w:val="20"/>
          <w:vertAlign w:val="superscript"/>
        </w:rPr>
        <w:footnoteReference w:id="60"/>
      </w:r>
      <w:r w:rsidRPr="006A199E">
        <w:rPr>
          <w:rFonts w:ascii="Bookman Old Style" w:hAnsi="Bookman Old Style"/>
          <w:bCs/>
          <w:sz w:val="20"/>
          <w:szCs w:val="20"/>
        </w:rPr>
        <w:t>.</w:t>
      </w:r>
    </w:p>
    <w:p w:rsidR="006A199E" w:rsidRPr="006A199E" w:rsidRDefault="006A199E" w:rsidP="005F04AC">
      <w:pPr>
        <w:numPr>
          <w:ilvl w:val="0"/>
          <w:numId w:val="48"/>
        </w:numPr>
        <w:spacing w:before="120" w:after="120"/>
        <w:jc w:val="both"/>
        <w:rPr>
          <w:rFonts w:ascii="Bookman Old Style" w:hAnsi="Bookman Old Style"/>
          <w:sz w:val="20"/>
          <w:szCs w:val="20"/>
        </w:rPr>
      </w:pPr>
      <w:r w:rsidRPr="006A199E">
        <w:rPr>
          <w:rFonts w:ascii="Bookman Old Style" w:hAnsi="Bookman Old Style"/>
          <w:sz w:val="20"/>
          <w:szCs w:val="20"/>
        </w:rPr>
        <w:t>Используя сведения о ЧОД от эксплуатации элементов Объекта оценки, и данные о коэффициенте капитализации, определена рыночная стоимость элементов Объекта оценки.</w:t>
      </w:r>
    </w:p>
    <w:p w:rsidR="006A199E" w:rsidRPr="006A199E" w:rsidRDefault="006A199E" w:rsidP="006A199E">
      <w:pPr>
        <w:spacing w:before="120" w:after="120"/>
        <w:ind w:left="720"/>
        <w:jc w:val="both"/>
        <w:rPr>
          <w:rFonts w:ascii="Bookman Old Style" w:hAnsi="Bookman Old Style"/>
          <w:sz w:val="20"/>
          <w:szCs w:val="20"/>
        </w:rPr>
      </w:pPr>
      <w:r w:rsidRPr="006A199E">
        <w:rPr>
          <w:rFonts w:ascii="Bookman Old Style" w:hAnsi="Bookman Old Style"/>
          <w:sz w:val="20"/>
          <w:szCs w:val="20"/>
        </w:rPr>
        <w:t xml:space="preserve">Коэффициент чистого дохода составляет </w:t>
      </w:r>
    </w:p>
    <w:p w:rsidR="006A199E" w:rsidRPr="006A199E" w:rsidRDefault="006A199E" w:rsidP="006A199E">
      <w:pPr>
        <w:spacing w:before="120" w:after="120"/>
        <w:ind w:left="720"/>
        <w:jc w:val="both"/>
        <w:rPr>
          <w:rFonts w:ascii="Bookman Old Style" w:hAnsi="Bookman Old Style"/>
          <w:sz w:val="20"/>
          <w:szCs w:val="20"/>
        </w:rPr>
      </w:pPr>
      <w:r w:rsidRPr="006A199E">
        <w:rPr>
          <w:rFonts w:ascii="Bookman Old Style" w:hAnsi="Bookman Old Style"/>
          <w:sz w:val="20"/>
          <w:szCs w:val="20"/>
        </w:rPr>
        <w:t>Расчет проведен по формуле:</w:t>
      </w:r>
    </w:p>
    <w:p w:rsidR="006A199E" w:rsidRPr="006A199E" w:rsidRDefault="006A199E" w:rsidP="006A199E">
      <w:pPr>
        <w:spacing w:before="120" w:after="120"/>
        <w:jc w:val="center"/>
        <w:rPr>
          <w:rFonts w:ascii="Bookman Old Style" w:hAnsi="Bookman Old Style"/>
          <w:sz w:val="20"/>
          <w:szCs w:val="20"/>
        </w:rPr>
      </w:pPr>
      <m:oMathPara>
        <m:oMath>
          <m:r>
            <w:rPr>
              <w:rFonts w:ascii="Cambria Math" w:hAnsi="Cambria Math"/>
              <w:sz w:val="20"/>
              <w:szCs w:val="20"/>
            </w:rPr>
            <m:t>V=</m:t>
          </m:r>
          <m:f>
            <m:fPr>
              <m:ctrlPr>
                <w:rPr>
                  <w:rFonts w:ascii="Cambria Math" w:hAnsi="Cambria Math"/>
                  <w:i/>
                </w:rPr>
              </m:ctrlPr>
            </m:fPr>
            <m:num>
              <m:r>
                <w:rPr>
                  <w:rFonts w:ascii="Cambria Math" w:hAnsi="Cambria Math"/>
                  <w:sz w:val="20"/>
                  <w:szCs w:val="20"/>
                </w:rPr>
                <m:t>I</m:t>
              </m:r>
            </m:num>
            <m:den>
              <m:r>
                <w:rPr>
                  <w:rFonts w:ascii="Cambria Math" w:hAnsi="Cambria Math"/>
                  <w:sz w:val="20"/>
                  <w:szCs w:val="20"/>
                  <w:lang w:val="en-US"/>
                </w:rPr>
                <m:t>R</m:t>
              </m:r>
            </m:den>
          </m:f>
        </m:oMath>
      </m:oMathPara>
    </w:p>
    <w:p w:rsidR="006A199E" w:rsidRPr="006A199E" w:rsidRDefault="006A199E" w:rsidP="006A199E">
      <w:pPr>
        <w:spacing w:before="120" w:after="120"/>
        <w:ind w:left="720"/>
        <w:jc w:val="both"/>
        <w:rPr>
          <w:rFonts w:ascii="Bookman Old Style" w:hAnsi="Bookman Old Style"/>
          <w:sz w:val="20"/>
          <w:szCs w:val="20"/>
        </w:rPr>
      </w:pPr>
      <w:r w:rsidRPr="006A199E">
        <w:rPr>
          <w:rFonts w:ascii="Bookman Old Style" w:hAnsi="Bookman Old Style"/>
          <w:sz w:val="20"/>
          <w:szCs w:val="20"/>
        </w:rPr>
        <w:t xml:space="preserve">Где: </w:t>
      </w:r>
    </w:p>
    <w:p w:rsidR="006A199E" w:rsidRPr="006A199E" w:rsidRDefault="006A199E" w:rsidP="006A199E">
      <w:pPr>
        <w:spacing w:before="120" w:after="120"/>
        <w:ind w:left="720"/>
        <w:rPr>
          <w:rFonts w:ascii="Bookman Old Style" w:hAnsi="Bookman Old Style"/>
          <w:sz w:val="20"/>
          <w:szCs w:val="20"/>
        </w:rPr>
      </w:pPr>
      <w:r w:rsidRPr="006A199E">
        <w:rPr>
          <w:rFonts w:ascii="Bookman Old Style" w:hAnsi="Bookman Old Style"/>
          <w:sz w:val="20"/>
          <w:szCs w:val="20"/>
          <w:lang w:val="en-US"/>
        </w:rPr>
        <w:t>V</w:t>
      </w:r>
      <w:r w:rsidRPr="006A199E">
        <w:rPr>
          <w:rFonts w:ascii="Bookman Old Style" w:hAnsi="Bookman Old Style"/>
          <w:sz w:val="20"/>
          <w:szCs w:val="20"/>
        </w:rPr>
        <w:t xml:space="preserve"> – </w:t>
      </w:r>
      <w:proofErr w:type="gramStart"/>
      <w:r w:rsidRPr="006A199E">
        <w:rPr>
          <w:rFonts w:ascii="Bookman Old Style" w:hAnsi="Bookman Old Style"/>
          <w:sz w:val="20"/>
          <w:szCs w:val="20"/>
        </w:rPr>
        <w:t>стоимость</w:t>
      </w:r>
      <w:proofErr w:type="gramEnd"/>
      <w:r w:rsidRPr="006A199E">
        <w:rPr>
          <w:rFonts w:ascii="Bookman Old Style" w:hAnsi="Bookman Old Style"/>
          <w:sz w:val="20"/>
          <w:szCs w:val="20"/>
        </w:rPr>
        <w:t xml:space="preserve"> оцениваемого объекта;</w:t>
      </w:r>
    </w:p>
    <w:p w:rsidR="006A199E" w:rsidRPr="006A199E" w:rsidRDefault="006A199E" w:rsidP="006A199E">
      <w:pPr>
        <w:spacing w:before="120" w:after="120"/>
        <w:ind w:left="720"/>
        <w:rPr>
          <w:rFonts w:ascii="Bookman Old Style" w:hAnsi="Bookman Old Style"/>
          <w:sz w:val="20"/>
          <w:szCs w:val="20"/>
        </w:rPr>
      </w:pPr>
      <w:r w:rsidRPr="006A199E">
        <w:rPr>
          <w:rFonts w:ascii="Bookman Old Style" w:hAnsi="Bookman Old Style"/>
          <w:sz w:val="20"/>
          <w:szCs w:val="20"/>
          <w:lang w:val="en-US"/>
        </w:rPr>
        <w:t>I</w:t>
      </w:r>
      <w:r w:rsidRPr="006A199E">
        <w:rPr>
          <w:rFonts w:ascii="Bookman Old Style" w:hAnsi="Bookman Old Style"/>
          <w:sz w:val="20"/>
          <w:szCs w:val="20"/>
        </w:rPr>
        <w:t xml:space="preserve"> – чистый операционный доход от эксплуатации недвижимости;</w:t>
      </w:r>
    </w:p>
    <w:p w:rsidR="006A199E" w:rsidRPr="006A199E" w:rsidRDefault="006A199E" w:rsidP="006A199E">
      <w:pPr>
        <w:spacing w:before="120" w:after="120"/>
        <w:ind w:left="720"/>
        <w:rPr>
          <w:rFonts w:ascii="Bookman Old Style" w:hAnsi="Bookman Old Style"/>
          <w:sz w:val="20"/>
          <w:szCs w:val="20"/>
        </w:rPr>
      </w:pPr>
      <w:r w:rsidRPr="006A199E">
        <w:rPr>
          <w:rFonts w:ascii="Bookman Old Style" w:hAnsi="Bookman Old Style"/>
          <w:sz w:val="20"/>
          <w:szCs w:val="20"/>
          <w:lang w:val="en-US"/>
        </w:rPr>
        <w:t>R</w:t>
      </w:r>
      <w:r w:rsidRPr="006A199E">
        <w:rPr>
          <w:rFonts w:ascii="Bookman Old Style" w:hAnsi="Bookman Old Style"/>
          <w:sz w:val="20"/>
          <w:szCs w:val="20"/>
        </w:rPr>
        <w:t xml:space="preserve"> – </w:t>
      </w:r>
      <w:proofErr w:type="gramStart"/>
      <w:r w:rsidRPr="006A199E">
        <w:rPr>
          <w:rFonts w:ascii="Bookman Old Style" w:hAnsi="Bookman Old Style"/>
          <w:sz w:val="20"/>
          <w:szCs w:val="20"/>
        </w:rPr>
        <w:t>модельный</w:t>
      </w:r>
      <w:proofErr w:type="gramEnd"/>
      <w:r w:rsidRPr="006A199E">
        <w:rPr>
          <w:rFonts w:ascii="Bookman Old Style" w:hAnsi="Bookman Old Style"/>
          <w:sz w:val="20"/>
          <w:szCs w:val="20"/>
        </w:rPr>
        <w:t xml:space="preserve"> коэффициент капитализации.</w:t>
      </w:r>
    </w:p>
    <w:p w:rsid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В результате проведенного расчета определена рыночная стоимость элементов Объекта оценки методом доходного подхода.</w:t>
      </w:r>
    </w:p>
    <w:p w:rsidR="00510FEB" w:rsidRDefault="00510FEB" w:rsidP="00510FEB">
      <w:pPr>
        <w:keepNext/>
        <w:spacing w:before="120" w:after="120"/>
        <w:jc w:val="both"/>
        <w:outlineLvl w:val="1"/>
        <w:rPr>
          <w:rFonts w:ascii="Bookman Old Style" w:hAnsi="Bookman Old Style"/>
          <w:b/>
          <w:sz w:val="20"/>
          <w:szCs w:val="20"/>
        </w:rPr>
      </w:pPr>
      <w:bookmarkStart w:id="317" w:name="_Toc461206417"/>
      <w:bookmarkStart w:id="318" w:name="_Toc461375613"/>
      <w:r w:rsidRPr="006A199E">
        <w:rPr>
          <w:rFonts w:ascii="Bookman Old Style" w:hAnsi="Bookman Old Style"/>
          <w:b/>
          <w:sz w:val="20"/>
          <w:szCs w:val="20"/>
        </w:rPr>
        <w:t>5.</w:t>
      </w:r>
      <w:r>
        <w:rPr>
          <w:rFonts w:ascii="Bookman Old Style" w:hAnsi="Bookman Old Style"/>
          <w:b/>
          <w:sz w:val="20"/>
          <w:szCs w:val="20"/>
        </w:rPr>
        <w:t>6.</w:t>
      </w:r>
      <w:r w:rsidRPr="006A199E">
        <w:rPr>
          <w:rFonts w:ascii="Bookman Old Style" w:hAnsi="Bookman Old Style"/>
          <w:b/>
          <w:sz w:val="20"/>
          <w:szCs w:val="20"/>
        </w:rPr>
        <w:t xml:space="preserve"> ОПРЕДЕЛЕНИЕ СТОИМОСТИ ИМУЩЕСТВА </w:t>
      </w:r>
      <w:r>
        <w:rPr>
          <w:rFonts w:ascii="Bookman Old Style" w:hAnsi="Bookman Old Style"/>
          <w:b/>
          <w:sz w:val="20"/>
          <w:szCs w:val="20"/>
        </w:rPr>
        <w:t>ЗАТРАТНЫМ</w:t>
      </w:r>
      <w:r w:rsidRPr="006A199E">
        <w:rPr>
          <w:rFonts w:ascii="Bookman Old Style" w:hAnsi="Bookman Old Style"/>
          <w:b/>
          <w:sz w:val="20"/>
          <w:szCs w:val="20"/>
        </w:rPr>
        <w:t xml:space="preserve"> ПОДХОДОМ</w:t>
      </w:r>
      <w:bookmarkEnd w:id="317"/>
      <w:bookmarkEnd w:id="318"/>
    </w:p>
    <w:p w:rsidR="0070748F" w:rsidRPr="006A199E" w:rsidRDefault="0070748F" w:rsidP="0070748F">
      <w:pPr>
        <w:keepNext/>
        <w:spacing w:before="120" w:after="120"/>
        <w:jc w:val="both"/>
        <w:outlineLvl w:val="1"/>
        <w:rPr>
          <w:rFonts w:ascii="Bookman Old Style" w:hAnsi="Bookman Old Style"/>
          <w:b/>
          <w:sz w:val="20"/>
          <w:szCs w:val="20"/>
        </w:rPr>
      </w:pPr>
      <w:bookmarkStart w:id="319" w:name="_Toc461375614"/>
      <w:r w:rsidRPr="006A199E">
        <w:rPr>
          <w:rFonts w:ascii="Bookman Old Style" w:hAnsi="Bookman Old Style"/>
          <w:b/>
          <w:sz w:val="20"/>
          <w:szCs w:val="20"/>
        </w:rPr>
        <w:t>5.</w:t>
      </w:r>
      <w:r>
        <w:rPr>
          <w:rFonts w:ascii="Bookman Old Style" w:hAnsi="Bookman Old Style"/>
          <w:b/>
          <w:sz w:val="20"/>
          <w:szCs w:val="20"/>
        </w:rPr>
        <w:t>6</w:t>
      </w:r>
      <w:r>
        <w:rPr>
          <w:rFonts w:ascii="Bookman Old Style" w:hAnsi="Bookman Old Style"/>
          <w:b/>
          <w:sz w:val="20"/>
          <w:szCs w:val="20"/>
        </w:rPr>
        <w:t>.1</w:t>
      </w:r>
      <w:r>
        <w:rPr>
          <w:rFonts w:ascii="Bookman Old Style" w:hAnsi="Bookman Old Style"/>
          <w:b/>
          <w:sz w:val="20"/>
          <w:szCs w:val="20"/>
        </w:rPr>
        <w:t>.</w:t>
      </w:r>
      <w:r w:rsidRPr="006A199E">
        <w:rPr>
          <w:rFonts w:ascii="Bookman Old Style" w:hAnsi="Bookman Old Style"/>
          <w:b/>
          <w:sz w:val="20"/>
          <w:szCs w:val="20"/>
        </w:rPr>
        <w:t xml:space="preserve"> </w:t>
      </w:r>
      <w:r w:rsidRPr="0070748F">
        <w:rPr>
          <w:rFonts w:ascii="Bookman Old Style" w:hAnsi="Bookman Old Style"/>
          <w:b/>
          <w:sz w:val="20"/>
          <w:szCs w:val="20"/>
        </w:rPr>
        <w:t>Определение рыночной стоимости затратным подходом</w:t>
      </w:r>
      <w:bookmarkEnd w:id="319"/>
    </w:p>
    <w:p w:rsidR="00510FEB" w:rsidRPr="00510FEB" w:rsidRDefault="00510FEB" w:rsidP="00510FEB">
      <w:pPr>
        <w:spacing w:before="120" w:after="120"/>
        <w:ind w:firstLine="709"/>
        <w:jc w:val="both"/>
        <w:rPr>
          <w:rFonts w:ascii="Bookman Old Style" w:hAnsi="Bookman Old Style"/>
          <w:sz w:val="20"/>
          <w:szCs w:val="20"/>
        </w:rPr>
      </w:pPr>
      <w:r w:rsidRPr="00510FEB">
        <w:rPr>
          <w:rFonts w:ascii="Bookman Old Style" w:hAnsi="Bookman Old Style"/>
          <w:sz w:val="20"/>
          <w:szCs w:val="20"/>
        </w:rPr>
        <w:t>ФСО № 1, статья 3, пункт 15: «Затратный подход – совокупность методов оценки стоимости объекта оценки, основанных на определении затрат, необходимых для воспроизводства либо замещения объекта оценки с учетом износа и устареваний».</w:t>
      </w:r>
    </w:p>
    <w:p w:rsidR="00510FEB" w:rsidRPr="00510FEB" w:rsidRDefault="00510FEB" w:rsidP="00510FEB">
      <w:pPr>
        <w:spacing w:before="120" w:after="120"/>
        <w:ind w:firstLine="709"/>
        <w:jc w:val="both"/>
        <w:rPr>
          <w:rFonts w:ascii="Bookman Old Style" w:hAnsi="Bookman Old Style"/>
          <w:sz w:val="20"/>
          <w:szCs w:val="20"/>
        </w:rPr>
      </w:pPr>
      <w:r w:rsidRPr="00510FEB">
        <w:rPr>
          <w:rFonts w:ascii="Bookman Old Style" w:hAnsi="Bookman Old Style"/>
          <w:sz w:val="20"/>
          <w:szCs w:val="20"/>
        </w:rPr>
        <w:t>Логика затратного подхода заключается в принципе замещения: благоразумный покупатель не будет платить за имущество больше стоимости приобретения замещающего имущества эквивалентной полезности.</w:t>
      </w:r>
    </w:p>
    <w:p w:rsidR="00510FEB" w:rsidRPr="00510FEB" w:rsidRDefault="00510FEB" w:rsidP="00510FEB">
      <w:pPr>
        <w:spacing w:before="120" w:after="120"/>
        <w:jc w:val="both"/>
        <w:rPr>
          <w:rFonts w:ascii="Bookman Old Style" w:hAnsi="Bookman Old Style"/>
          <w:b/>
          <w:bCs/>
          <w:sz w:val="20"/>
          <w:szCs w:val="20"/>
        </w:rPr>
      </w:pPr>
      <w:bookmarkStart w:id="320" w:name="_Toc404275184"/>
      <w:bookmarkStart w:id="321" w:name="_Toc433887950"/>
      <w:bookmarkStart w:id="322" w:name="_Toc447021008"/>
      <w:bookmarkStart w:id="323" w:name="_Toc449529995"/>
      <w:bookmarkStart w:id="324" w:name="_Toc460764370"/>
      <w:r w:rsidRPr="00510FEB">
        <w:rPr>
          <w:rFonts w:ascii="Bookman Old Style" w:hAnsi="Bookman Old Style"/>
          <w:b/>
          <w:bCs/>
          <w:sz w:val="20"/>
          <w:szCs w:val="20"/>
        </w:rPr>
        <w:t>5.</w:t>
      </w:r>
      <w:r>
        <w:rPr>
          <w:rFonts w:ascii="Bookman Old Style" w:hAnsi="Bookman Old Style"/>
          <w:b/>
          <w:bCs/>
          <w:sz w:val="20"/>
          <w:szCs w:val="20"/>
        </w:rPr>
        <w:t>6</w:t>
      </w:r>
      <w:r w:rsidRPr="00510FEB">
        <w:rPr>
          <w:rFonts w:ascii="Bookman Old Style" w:hAnsi="Bookman Old Style"/>
          <w:b/>
          <w:bCs/>
          <w:sz w:val="20"/>
          <w:szCs w:val="20"/>
        </w:rPr>
        <w:t>.1.1. Расчет стоимости затрат</w:t>
      </w:r>
      <w:bookmarkEnd w:id="320"/>
      <w:bookmarkEnd w:id="321"/>
      <w:bookmarkEnd w:id="322"/>
      <w:bookmarkEnd w:id="323"/>
      <w:bookmarkEnd w:id="324"/>
      <w:r w:rsidRPr="00510FEB">
        <w:rPr>
          <w:rFonts w:ascii="Bookman Old Style" w:hAnsi="Bookman Old Style"/>
          <w:b/>
          <w:bCs/>
          <w:sz w:val="20"/>
          <w:szCs w:val="20"/>
        </w:rPr>
        <w:t xml:space="preserve"> </w:t>
      </w:r>
    </w:p>
    <w:p w:rsidR="00510FEB" w:rsidRPr="00510FEB" w:rsidRDefault="00510FEB" w:rsidP="00510FEB">
      <w:pPr>
        <w:spacing w:before="120" w:after="120"/>
        <w:ind w:firstLine="709"/>
        <w:jc w:val="both"/>
        <w:rPr>
          <w:rFonts w:ascii="Bookman Old Style" w:hAnsi="Bookman Old Style"/>
          <w:sz w:val="20"/>
          <w:szCs w:val="20"/>
        </w:rPr>
      </w:pPr>
      <w:r w:rsidRPr="00510FEB">
        <w:rPr>
          <w:rFonts w:ascii="Bookman Old Style" w:hAnsi="Bookman Old Style"/>
          <w:sz w:val="20"/>
          <w:szCs w:val="20"/>
        </w:rPr>
        <w:t xml:space="preserve">ФСО № 1, статья 3, пункт 18: </w:t>
      </w:r>
    </w:p>
    <w:p w:rsidR="00510FEB" w:rsidRPr="00510FEB" w:rsidRDefault="00510FEB" w:rsidP="00510FEB">
      <w:pPr>
        <w:spacing w:before="120" w:after="120"/>
        <w:ind w:firstLine="709"/>
        <w:jc w:val="both"/>
        <w:rPr>
          <w:rFonts w:ascii="Bookman Old Style" w:hAnsi="Bookman Old Style"/>
          <w:sz w:val="20"/>
          <w:szCs w:val="20"/>
        </w:rPr>
      </w:pPr>
      <w:r w:rsidRPr="00510FEB">
        <w:rPr>
          <w:rFonts w:ascii="Bookman Old Style" w:hAnsi="Bookman Old Style"/>
          <w:sz w:val="20"/>
          <w:szCs w:val="20"/>
        </w:rPr>
        <w:t>«Затраты на воспроизводство машин и оборудования (без учета износа и устареваний) определяются на основе сравнения с затратами на создание или производство либо приобретение точной копии объекта оценки. Затраты на замещение машин и оборудования (без учета износа и устареваний) определяются на основе сравнения с затратами на создание или производство либо приобретение объекта, имеющего аналогичные полезные свойства</w:t>
      </w:r>
      <w:proofErr w:type="gramStart"/>
      <w:r w:rsidRPr="00510FEB">
        <w:rPr>
          <w:rFonts w:ascii="Bookman Old Style" w:hAnsi="Bookman Old Style"/>
          <w:sz w:val="20"/>
          <w:szCs w:val="20"/>
        </w:rPr>
        <w:t>.»</w:t>
      </w:r>
      <w:proofErr w:type="gramEnd"/>
    </w:p>
    <w:p w:rsidR="00510FEB" w:rsidRPr="00510FEB" w:rsidRDefault="00510FEB" w:rsidP="00510FEB">
      <w:pPr>
        <w:spacing w:before="120" w:after="120"/>
        <w:ind w:firstLine="709"/>
        <w:jc w:val="both"/>
        <w:rPr>
          <w:rFonts w:ascii="Bookman Old Style" w:hAnsi="Bookman Old Style"/>
          <w:sz w:val="20"/>
          <w:szCs w:val="20"/>
        </w:rPr>
      </w:pPr>
      <w:r w:rsidRPr="00510FEB">
        <w:rPr>
          <w:rFonts w:ascii="Bookman Old Style" w:hAnsi="Bookman Old Style"/>
          <w:sz w:val="20"/>
          <w:szCs w:val="20"/>
        </w:rPr>
        <w:t>В настоящей оценочной работе применен метод:</w:t>
      </w:r>
    </w:p>
    <w:p w:rsidR="00510FEB" w:rsidRPr="00510FEB" w:rsidRDefault="00510FEB" w:rsidP="00510FEB">
      <w:pPr>
        <w:numPr>
          <w:ilvl w:val="0"/>
          <w:numId w:val="63"/>
        </w:numPr>
        <w:spacing w:before="120" w:after="120"/>
        <w:jc w:val="both"/>
        <w:rPr>
          <w:rFonts w:ascii="Bookman Old Style" w:hAnsi="Bookman Old Style"/>
          <w:sz w:val="20"/>
          <w:szCs w:val="20"/>
        </w:rPr>
      </w:pPr>
      <w:r w:rsidRPr="00510FEB">
        <w:rPr>
          <w:rFonts w:ascii="Bookman Old Style" w:hAnsi="Bookman Old Style"/>
          <w:sz w:val="20"/>
          <w:szCs w:val="20"/>
        </w:rPr>
        <w:lastRenderedPageBreak/>
        <w:t>Метод расчета по цене однородного объекта.</w:t>
      </w:r>
    </w:p>
    <w:p w:rsidR="00510FEB" w:rsidRPr="00510FEB" w:rsidRDefault="00510FEB" w:rsidP="00510FEB">
      <w:pPr>
        <w:spacing w:before="120" w:after="120"/>
        <w:ind w:firstLine="709"/>
        <w:jc w:val="both"/>
        <w:rPr>
          <w:rFonts w:ascii="Bookman Old Style" w:hAnsi="Bookman Old Style"/>
          <w:sz w:val="20"/>
          <w:szCs w:val="20"/>
        </w:rPr>
      </w:pPr>
      <w:r w:rsidRPr="00510FEB">
        <w:rPr>
          <w:rFonts w:ascii="Bookman Old Style" w:hAnsi="Bookman Old Style"/>
          <w:sz w:val="20"/>
          <w:szCs w:val="20"/>
        </w:rPr>
        <w:t>Сущность метода заключается в том, что для оцениваемого объекта, если объект не сложный и конструктивно однородный, подбирают конструктивно и технологически однородный объект. При этом предполагают, что полная себестоимость изготовления однородного объекта близка к себестоимости изготовления оцениваемого объекта.</w:t>
      </w:r>
    </w:p>
    <w:p w:rsidR="00510FEB" w:rsidRPr="00510FEB" w:rsidRDefault="00510FEB" w:rsidP="00510FEB">
      <w:pPr>
        <w:spacing w:before="120" w:after="120"/>
        <w:ind w:firstLine="709"/>
        <w:jc w:val="both"/>
        <w:rPr>
          <w:rFonts w:ascii="Bookman Old Style" w:hAnsi="Bookman Old Style"/>
          <w:sz w:val="20"/>
          <w:szCs w:val="20"/>
        </w:rPr>
      </w:pPr>
      <w:r w:rsidRPr="00510FEB">
        <w:rPr>
          <w:rFonts w:ascii="Bookman Old Style" w:hAnsi="Bookman Old Style"/>
          <w:sz w:val="20"/>
          <w:szCs w:val="20"/>
        </w:rPr>
        <w:t>Сущность метода заключается в том, что для оцениваемого объекта, если объект не сложный и конструктивно однородный, или для определенного агрегата в составе сложного объекта подбирают технологически однородный объект, который похож на оцениваемый объект по конструкции, используемым в конструкции материалам и технологии изготовления. Причем технологически однородный объект может иметь другое назначение и применяться в другой отрасли. Однородный объект должен пользоваться спросом, и его цена должна быть известна. При этом предполагают, что полная себестоимость изготовления однородного объекта близка к себестоимости изготовления оцениваемого объекта и находится под влиянием общих для сравниваемых объектов производственных факторов.</w:t>
      </w:r>
    </w:p>
    <w:p w:rsidR="00510FEB" w:rsidRPr="00510FEB" w:rsidRDefault="00510FEB" w:rsidP="00510FEB">
      <w:pPr>
        <w:spacing w:before="120" w:after="120"/>
        <w:ind w:firstLine="709"/>
        <w:jc w:val="both"/>
        <w:rPr>
          <w:rFonts w:ascii="Bookman Old Style" w:hAnsi="Bookman Old Style"/>
          <w:sz w:val="20"/>
          <w:szCs w:val="20"/>
        </w:rPr>
      </w:pPr>
      <w:r w:rsidRPr="00510FEB">
        <w:rPr>
          <w:rFonts w:ascii="Bookman Old Style" w:hAnsi="Bookman Old Style"/>
          <w:sz w:val="20"/>
          <w:szCs w:val="20"/>
        </w:rPr>
        <w:t>В результате анализа первичного рынка оборудования были подобраны аналоги  для элемента Объекта оценки</w:t>
      </w:r>
      <w:r w:rsidRPr="00510FEB">
        <w:rPr>
          <w:rFonts w:ascii="Bookman Old Style" w:hAnsi="Bookman Old Style"/>
          <w:sz w:val="20"/>
          <w:szCs w:val="20"/>
          <w:vertAlign w:val="superscript"/>
        </w:rPr>
        <w:t xml:space="preserve"> </w:t>
      </w:r>
      <w:r w:rsidRPr="00510FEB">
        <w:rPr>
          <w:rFonts w:ascii="Bookman Old Style" w:hAnsi="Bookman Old Style"/>
          <w:sz w:val="20"/>
          <w:szCs w:val="20"/>
          <w:vertAlign w:val="superscript"/>
        </w:rPr>
        <w:footnoteReference w:id="61"/>
      </w:r>
      <w:r w:rsidRPr="00510FEB">
        <w:rPr>
          <w:rFonts w:ascii="Bookman Old Style" w:hAnsi="Bookman Old Style"/>
          <w:sz w:val="20"/>
          <w:szCs w:val="20"/>
        </w:rPr>
        <w:t>.</w:t>
      </w:r>
    </w:p>
    <w:p w:rsidR="00510FEB" w:rsidRPr="00510FEB" w:rsidRDefault="00510FEB" w:rsidP="00510FEB">
      <w:pPr>
        <w:spacing w:before="120" w:after="120"/>
        <w:jc w:val="right"/>
        <w:rPr>
          <w:rFonts w:ascii="Bookman Old Style" w:hAnsi="Bookman Old Style"/>
          <w:b/>
          <w:sz w:val="20"/>
          <w:szCs w:val="20"/>
        </w:rPr>
      </w:pPr>
      <w:r>
        <w:rPr>
          <w:rFonts w:ascii="Bookman Old Style" w:hAnsi="Bookman Old Style"/>
          <w:b/>
          <w:sz w:val="20"/>
          <w:szCs w:val="20"/>
        </w:rPr>
        <w:t>Таблица 5.6</w:t>
      </w:r>
      <w:r w:rsidRPr="00510FEB">
        <w:rPr>
          <w:rFonts w:ascii="Bookman Old Style" w:hAnsi="Bookman Old Style"/>
          <w:b/>
          <w:sz w:val="20"/>
          <w:szCs w:val="20"/>
        </w:rPr>
        <w:t>.1.1.1. Расчет стоимости затрат</w:t>
      </w:r>
    </w:p>
    <w:tbl>
      <w:tblPr>
        <w:tblW w:w="5000" w:type="pct"/>
        <w:tblLook w:val="04A0" w:firstRow="1" w:lastRow="0" w:firstColumn="1" w:lastColumn="0" w:noHBand="0" w:noVBand="1"/>
      </w:tblPr>
      <w:tblGrid>
        <w:gridCol w:w="519"/>
        <w:gridCol w:w="2876"/>
        <w:gridCol w:w="769"/>
        <w:gridCol w:w="888"/>
        <w:gridCol w:w="1207"/>
        <w:gridCol w:w="2238"/>
        <w:gridCol w:w="1924"/>
      </w:tblGrid>
      <w:tr w:rsidR="00510FEB" w:rsidRPr="00510FEB" w:rsidTr="00510FEB">
        <w:trPr>
          <w:cantSplit/>
          <w:trHeight w:val="420"/>
        </w:trPr>
        <w:tc>
          <w:tcPr>
            <w:tcW w:w="249"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 xml:space="preserve">№ </w:t>
            </w:r>
            <w:proofErr w:type="gramStart"/>
            <w:r w:rsidRPr="00510FEB">
              <w:rPr>
                <w:rFonts w:ascii="Cambria" w:hAnsi="Cambria"/>
                <w:color w:val="000000"/>
                <w:sz w:val="16"/>
                <w:szCs w:val="16"/>
              </w:rPr>
              <w:t>п</w:t>
            </w:r>
            <w:proofErr w:type="gramEnd"/>
            <w:r w:rsidRPr="00510FEB">
              <w:rPr>
                <w:rFonts w:ascii="Cambria" w:hAnsi="Cambria"/>
                <w:color w:val="000000"/>
                <w:sz w:val="16"/>
                <w:szCs w:val="16"/>
              </w:rPr>
              <w:t>/п</w:t>
            </w:r>
          </w:p>
        </w:tc>
        <w:tc>
          <w:tcPr>
            <w:tcW w:w="1380"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Наименование элемента Объекта оценки</w:t>
            </w:r>
          </w:p>
        </w:tc>
        <w:tc>
          <w:tcPr>
            <w:tcW w:w="369"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Ед. изм.</w:t>
            </w:r>
          </w:p>
        </w:tc>
        <w:tc>
          <w:tcPr>
            <w:tcW w:w="426"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Кол-во</w:t>
            </w:r>
          </w:p>
        </w:tc>
        <w:tc>
          <w:tcPr>
            <w:tcW w:w="579"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Стоимость аналога, руб.</w:t>
            </w:r>
          </w:p>
        </w:tc>
        <w:tc>
          <w:tcPr>
            <w:tcW w:w="1074"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Аналог</w:t>
            </w:r>
          </w:p>
        </w:tc>
        <w:tc>
          <w:tcPr>
            <w:tcW w:w="923"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Источник информации</w:t>
            </w:r>
          </w:p>
        </w:tc>
      </w:tr>
      <w:tr w:rsidR="00510FEB" w:rsidRPr="00510FEB" w:rsidTr="00510FEB">
        <w:trPr>
          <w:trHeight w:val="420"/>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10FEB" w:rsidRPr="00510FEB" w:rsidRDefault="00510FEB" w:rsidP="00510FEB">
            <w:pPr>
              <w:jc w:val="right"/>
              <w:rPr>
                <w:rFonts w:ascii="Cambria" w:hAnsi="Cambria"/>
                <w:sz w:val="16"/>
                <w:szCs w:val="16"/>
              </w:rPr>
            </w:pPr>
            <w:r w:rsidRPr="00510FEB">
              <w:rPr>
                <w:rFonts w:ascii="Cambria" w:hAnsi="Cambria"/>
                <w:sz w:val="16"/>
                <w:szCs w:val="16"/>
              </w:rPr>
              <w:t>1</w:t>
            </w:r>
          </w:p>
        </w:tc>
        <w:tc>
          <w:tcPr>
            <w:tcW w:w="1380"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rPr>
                <w:rFonts w:ascii="Cambria" w:hAnsi="Cambria"/>
                <w:sz w:val="16"/>
                <w:szCs w:val="16"/>
                <w:lang w:val="en-US"/>
              </w:rPr>
            </w:pPr>
            <w:r w:rsidRPr="00510FEB">
              <w:rPr>
                <w:rFonts w:ascii="Cambria" w:hAnsi="Cambria"/>
                <w:sz w:val="16"/>
                <w:szCs w:val="16"/>
              </w:rPr>
              <w:t>Стойка</w:t>
            </w:r>
            <w:r w:rsidRPr="00510FEB">
              <w:rPr>
                <w:rFonts w:ascii="Cambria" w:hAnsi="Cambria"/>
                <w:sz w:val="16"/>
                <w:szCs w:val="16"/>
                <w:lang w:val="en-US"/>
              </w:rPr>
              <w:t xml:space="preserve"> 150 </w:t>
            </w:r>
            <w:r w:rsidRPr="00510FEB">
              <w:rPr>
                <w:rFonts w:ascii="Cambria" w:hAnsi="Cambria"/>
                <w:sz w:val="16"/>
                <w:szCs w:val="16"/>
              </w:rPr>
              <w:t>мм</w:t>
            </w:r>
            <w:r w:rsidRPr="00510FEB">
              <w:rPr>
                <w:rFonts w:ascii="Cambria" w:hAnsi="Cambria"/>
                <w:sz w:val="16"/>
                <w:szCs w:val="16"/>
                <w:lang w:val="en-US"/>
              </w:rPr>
              <w:t>*4</w:t>
            </w:r>
            <w:r w:rsidRPr="00510FEB">
              <w:rPr>
                <w:rFonts w:ascii="Cambria" w:hAnsi="Cambria"/>
                <w:sz w:val="16"/>
                <w:szCs w:val="16"/>
              </w:rPr>
              <w:t>м</w:t>
            </w:r>
            <w:r w:rsidRPr="00510FEB">
              <w:rPr>
                <w:rFonts w:ascii="Cambria" w:hAnsi="Cambria"/>
                <w:sz w:val="16"/>
                <w:szCs w:val="16"/>
                <w:lang w:val="en-US"/>
              </w:rPr>
              <w:t xml:space="preserve">, </w:t>
            </w:r>
            <w:proofErr w:type="spellStart"/>
            <w:r w:rsidRPr="00510FEB">
              <w:rPr>
                <w:rFonts w:ascii="Cambria" w:hAnsi="Cambria"/>
                <w:sz w:val="16"/>
                <w:szCs w:val="16"/>
                <w:lang w:val="en-US"/>
              </w:rPr>
              <w:t>Naturall</w:t>
            </w:r>
            <w:proofErr w:type="spellEnd"/>
            <w:r w:rsidRPr="00510FEB">
              <w:rPr>
                <w:rFonts w:ascii="Cambria" w:hAnsi="Cambria"/>
                <w:sz w:val="16"/>
                <w:szCs w:val="16"/>
                <w:lang w:val="en-US"/>
              </w:rPr>
              <w:t xml:space="preserve"> </w:t>
            </w:r>
            <w:proofErr w:type="spellStart"/>
            <w:r w:rsidRPr="00510FEB">
              <w:rPr>
                <w:rFonts w:ascii="Cambria" w:hAnsi="Cambria"/>
                <w:sz w:val="16"/>
                <w:szCs w:val="16"/>
                <w:lang w:val="en-US"/>
              </w:rPr>
              <w:t>Noce</w:t>
            </w:r>
            <w:proofErr w:type="spellEnd"/>
            <w:r w:rsidRPr="00510FEB">
              <w:rPr>
                <w:rFonts w:ascii="Cambria" w:hAnsi="Cambria"/>
                <w:sz w:val="16"/>
                <w:szCs w:val="16"/>
                <w:lang w:val="en-US"/>
              </w:rPr>
              <w:t xml:space="preserve"> </w:t>
            </w:r>
            <w:proofErr w:type="spellStart"/>
            <w:r w:rsidRPr="00510FEB">
              <w:rPr>
                <w:rFonts w:ascii="Cambria" w:hAnsi="Cambria"/>
                <w:sz w:val="16"/>
                <w:szCs w:val="16"/>
                <w:lang w:val="en-US"/>
              </w:rPr>
              <w:t>Scuro</w:t>
            </w:r>
            <w:proofErr w:type="spellEnd"/>
          </w:p>
        </w:tc>
        <w:tc>
          <w:tcPr>
            <w:tcW w:w="369"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center"/>
              <w:rPr>
                <w:rFonts w:ascii="Cambria" w:hAnsi="Cambria"/>
                <w:sz w:val="16"/>
                <w:szCs w:val="16"/>
              </w:rPr>
            </w:pPr>
            <w:r w:rsidRPr="00510FEB">
              <w:rPr>
                <w:rFonts w:ascii="Cambria" w:hAnsi="Cambria"/>
                <w:sz w:val="16"/>
                <w:szCs w:val="16"/>
              </w:rPr>
              <w:t>шт</w:t>
            </w:r>
          </w:p>
        </w:tc>
        <w:tc>
          <w:tcPr>
            <w:tcW w:w="426"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center"/>
              <w:rPr>
                <w:rFonts w:ascii="Cambria" w:hAnsi="Cambria"/>
                <w:sz w:val="16"/>
                <w:szCs w:val="16"/>
              </w:rPr>
            </w:pPr>
            <w:r w:rsidRPr="00510FEB">
              <w:rPr>
                <w:rFonts w:ascii="Cambria" w:hAnsi="Cambria"/>
                <w:sz w:val="16"/>
                <w:szCs w:val="16"/>
              </w:rPr>
              <w:t>200</w:t>
            </w:r>
          </w:p>
        </w:tc>
        <w:tc>
          <w:tcPr>
            <w:tcW w:w="579"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right"/>
              <w:rPr>
                <w:rFonts w:ascii="Cambria" w:hAnsi="Cambria"/>
                <w:sz w:val="16"/>
                <w:szCs w:val="16"/>
              </w:rPr>
            </w:pPr>
            <w:r w:rsidRPr="00510FEB">
              <w:rPr>
                <w:rFonts w:ascii="Cambria" w:hAnsi="Cambria"/>
                <w:sz w:val="16"/>
                <w:szCs w:val="16"/>
              </w:rPr>
              <w:t>314 800</w:t>
            </w:r>
          </w:p>
        </w:tc>
        <w:tc>
          <w:tcPr>
            <w:tcW w:w="1074"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rPr>
                <w:rFonts w:ascii="Cambria" w:hAnsi="Cambria"/>
                <w:sz w:val="16"/>
                <w:szCs w:val="16"/>
              </w:rPr>
            </w:pPr>
            <w:r w:rsidRPr="00510FEB">
              <w:rPr>
                <w:rFonts w:ascii="Cambria" w:hAnsi="Cambria"/>
                <w:sz w:val="16"/>
                <w:szCs w:val="16"/>
              </w:rPr>
              <w:t>Усиленная стойка витража 800м</w:t>
            </w:r>
          </w:p>
        </w:tc>
        <w:tc>
          <w:tcPr>
            <w:tcW w:w="923" w:type="pct"/>
            <w:tcBorders>
              <w:top w:val="nil"/>
              <w:left w:val="nil"/>
              <w:bottom w:val="single" w:sz="4" w:space="0" w:color="auto"/>
              <w:right w:val="single" w:sz="4" w:space="0" w:color="auto"/>
            </w:tcBorders>
            <w:shd w:val="clear" w:color="auto" w:fill="auto"/>
            <w:noWrap/>
            <w:vAlign w:val="center"/>
            <w:hideMark/>
          </w:tcPr>
          <w:p w:rsidR="00510FEB" w:rsidRPr="00510FEB" w:rsidRDefault="00510FEB" w:rsidP="00510FEB">
            <w:pPr>
              <w:rPr>
                <w:rFonts w:ascii="Cambria" w:hAnsi="Cambria"/>
                <w:sz w:val="16"/>
                <w:szCs w:val="16"/>
                <w:u w:val="single"/>
              </w:rPr>
            </w:pPr>
            <w:hyperlink r:id="rId38" w:history="1">
              <w:r w:rsidRPr="00510FEB">
                <w:rPr>
                  <w:rFonts w:ascii="Cambria" w:hAnsi="Cambria"/>
                  <w:sz w:val="16"/>
                  <w:szCs w:val="16"/>
                  <w:u w:val="single"/>
                </w:rPr>
                <w:t>http://kp-chel.ru/</w:t>
              </w:r>
            </w:hyperlink>
          </w:p>
        </w:tc>
      </w:tr>
    </w:tbl>
    <w:p w:rsidR="00510FEB" w:rsidRPr="002A52AD" w:rsidRDefault="00510FEB" w:rsidP="0070748F">
      <w:pPr>
        <w:keepNext/>
        <w:spacing w:before="120" w:after="120"/>
        <w:outlineLvl w:val="0"/>
        <w:rPr>
          <w:rFonts w:ascii="Bookman Old Style" w:hAnsi="Bookman Old Style"/>
          <w:b/>
          <w:bCs/>
          <w:sz w:val="20"/>
          <w:szCs w:val="20"/>
        </w:rPr>
      </w:pPr>
      <w:bookmarkStart w:id="325" w:name="_Toc411006082"/>
      <w:bookmarkStart w:id="326" w:name="_Toc460764371"/>
      <w:bookmarkStart w:id="327" w:name="_Toc461375615"/>
      <w:r w:rsidRPr="002A52AD">
        <w:rPr>
          <w:rFonts w:ascii="Bookman Old Style" w:hAnsi="Bookman Old Style"/>
          <w:b/>
          <w:bCs/>
          <w:sz w:val="20"/>
          <w:szCs w:val="20"/>
        </w:rPr>
        <w:t>5.</w:t>
      </w:r>
      <w:r w:rsidR="0070748F">
        <w:rPr>
          <w:rFonts w:ascii="Bookman Old Style" w:hAnsi="Bookman Old Style"/>
          <w:b/>
          <w:bCs/>
          <w:sz w:val="20"/>
          <w:szCs w:val="20"/>
        </w:rPr>
        <w:t>6</w:t>
      </w:r>
      <w:r w:rsidRPr="002A52AD">
        <w:rPr>
          <w:rFonts w:ascii="Bookman Old Style" w:hAnsi="Bookman Old Style"/>
          <w:b/>
          <w:bCs/>
          <w:sz w:val="20"/>
          <w:szCs w:val="20"/>
        </w:rPr>
        <w:t>.1.</w:t>
      </w:r>
      <w:r>
        <w:rPr>
          <w:rFonts w:ascii="Bookman Old Style" w:hAnsi="Bookman Old Style"/>
          <w:b/>
          <w:bCs/>
          <w:sz w:val="20"/>
          <w:szCs w:val="20"/>
        </w:rPr>
        <w:t>2</w:t>
      </w:r>
      <w:r w:rsidRPr="002A52AD">
        <w:rPr>
          <w:rFonts w:ascii="Bookman Old Style" w:hAnsi="Bookman Old Style"/>
          <w:b/>
          <w:bCs/>
          <w:sz w:val="20"/>
          <w:szCs w:val="20"/>
        </w:rPr>
        <w:t>. Расчет физического износа</w:t>
      </w:r>
      <w:bookmarkEnd w:id="325"/>
      <w:bookmarkEnd w:id="326"/>
      <w:bookmarkEnd w:id="327"/>
      <w:r w:rsidRPr="002A52AD">
        <w:rPr>
          <w:rFonts w:ascii="Bookman Old Style" w:hAnsi="Bookman Old Style"/>
          <w:b/>
          <w:bCs/>
          <w:sz w:val="20"/>
          <w:szCs w:val="20"/>
        </w:rPr>
        <w:t xml:space="preserve"> </w:t>
      </w:r>
    </w:p>
    <w:p w:rsidR="00510FEB" w:rsidRPr="002A52AD" w:rsidRDefault="00510FEB" w:rsidP="00510FEB">
      <w:pPr>
        <w:spacing w:before="120" w:after="120"/>
        <w:ind w:firstLine="709"/>
        <w:jc w:val="both"/>
        <w:rPr>
          <w:rFonts w:ascii="Bookman Old Style" w:hAnsi="Bookman Old Style"/>
          <w:sz w:val="20"/>
          <w:szCs w:val="20"/>
        </w:rPr>
      </w:pPr>
      <w:r w:rsidRPr="002A52AD">
        <w:rPr>
          <w:rFonts w:ascii="Bookman Old Style" w:hAnsi="Bookman Old Style"/>
          <w:sz w:val="20"/>
          <w:szCs w:val="20"/>
        </w:rPr>
        <w:t xml:space="preserve">Физический износ – представляет собой потерю стоимости или полезности имущества в результате использования или истечения срока его службы, вызванного износом, ухудшением, подверженностью воздействию различных факторов, физическими нагрузками и другими подобными факторами. </w:t>
      </w:r>
    </w:p>
    <w:p w:rsidR="00510FEB" w:rsidRPr="002A52AD" w:rsidRDefault="00510FEB" w:rsidP="00510FEB">
      <w:pPr>
        <w:spacing w:before="120" w:after="120"/>
        <w:ind w:firstLine="709"/>
        <w:jc w:val="both"/>
        <w:rPr>
          <w:rFonts w:ascii="Bookman Old Style" w:hAnsi="Bookman Old Style"/>
          <w:sz w:val="20"/>
          <w:szCs w:val="20"/>
        </w:rPr>
      </w:pPr>
      <w:r w:rsidRPr="002A52AD">
        <w:rPr>
          <w:rFonts w:ascii="Bookman Old Style" w:hAnsi="Bookman Old Style"/>
          <w:sz w:val="20"/>
          <w:szCs w:val="20"/>
        </w:rPr>
        <w:t xml:space="preserve">Для расчета величин физического износа элементов Объекта оценки, использовался метод экспертных оценок. </w:t>
      </w:r>
    </w:p>
    <w:p w:rsidR="00510FEB" w:rsidRPr="002A52AD" w:rsidRDefault="00510FEB" w:rsidP="00510FEB">
      <w:pPr>
        <w:spacing w:before="120" w:after="120"/>
        <w:ind w:firstLine="709"/>
        <w:jc w:val="both"/>
        <w:rPr>
          <w:rFonts w:ascii="Bookman Old Style" w:hAnsi="Bookman Old Style"/>
          <w:sz w:val="20"/>
          <w:szCs w:val="20"/>
        </w:rPr>
      </w:pPr>
      <w:r w:rsidRPr="002A52AD">
        <w:rPr>
          <w:rFonts w:ascii="Bookman Old Style" w:hAnsi="Bookman Old Style"/>
          <w:sz w:val="20"/>
          <w:szCs w:val="20"/>
        </w:rPr>
        <w:t>Суть данного метода сводится к следующему:</w:t>
      </w:r>
    </w:p>
    <w:p w:rsidR="00510FEB" w:rsidRPr="002A52AD" w:rsidRDefault="00510FEB" w:rsidP="00510FEB">
      <w:pPr>
        <w:spacing w:before="120" w:after="120"/>
        <w:ind w:firstLine="709"/>
        <w:jc w:val="both"/>
        <w:rPr>
          <w:rFonts w:ascii="Bookman Old Style" w:hAnsi="Bookman Old Style"/>
          <w:sz w:val="20"/>
          <w:szCs w:val="20"/>
        </w:rPr>
      </w:pPr>
      <w:r w:rsidRPr="002A52AD">
        <w:rPr>
          <w:rFonts w:ascii="Bookman Old Style" w:hAnsi="Bookman Old Style"/>
          <w:sz w:val="20"/>
          <w:szCs w:val="20"/>
        </w:rPr>
        <w:t>На основании шкалы экспертных оценок определяется техническое состояние элемента Объекта оценки. Далее присваиваются весовые значения мнениям привлеченных специалистов, и определяется физический износ объекта оценки, по формуле:</w:t>
      </w:r>
    </w:p>
    <w:p w:rsidR="00510FEB" w:rsidRPr="002A52AD" w:rsidRDefault="00510FEB" w:rsidP="00510FEB">
      <w:pPr>
        <w:spacing w:before="120" w:after="120"/>
        <w:ind w:left="360"/>
        <w:jc w:val="both"/>
        <w:rPr>
          <w:rFonts w:ascii="Bookman Old Style" w:hAnsi="Bookman Old Style"/>
          <w:sz w:val="20"/>
          <w:szCs w:val="20"/>
          <w:lang w:val="en-GB"/>
        </w:rPr>
      </w:pPr>
      <m:oMathPara>
        <m:oMath>
          <m:sSub>
            <m:sSubPr>
              <m:ctrlPr>
                <w:rPr>
                  <w:rFonts w:ascii="Cambria Math" w:hAnsi="Bookman Old Style"/>
                  <w:sz w:val="20"/>
                  <w:szCs w:val="20"/>
                </w:rPr>
              </m:ctrlPr>
            </m:sSubPr>
            <m:e>
              <m:r>
                <m:rPr>
                  <m:sty m:val="p"/>
                </m:rPr>
                <w:rPr>
                  <w:rFonts w:ascii="Cambria Math" w:hAnsi="Bookman Old Style"/>
                  <w:sz w:val="20"/>
                  <w:szCs w:val="20"/>
                </w:rPr>
                <m:t>И</m:t>
              </m:r>
            </m:e>
            <m:sub>
              <m:r>
                <m:rPr>
                  <m:sty m:val="p"/>
                </m:rPr>
                <w:rPr>
                  <w:rFonts w:ascii="Cambria Math" w:hAnsi="Bookman Old Style"/>
                  <w:sz w:val="20"/>
                  <w:szCs w:val="20"/>
                </w:rPr>
                <m:t>физ</m:t>
              </m:r>
            </m:sub>
          </m:sSub>
          <m:r>
            <w:rPr>
              <w:rFonts w:ascii="Cambria Math" w:hAnsi="Bookman Old Style"/>
              <w:sz w:val="20"/>
              <w:szCs w:val="20"/>
            </w:rPr>
            <m:t>=</m:t>
          </m:r>
          <m:nary>
            <m:naryPr>
              <m:chr m:val="∑"/>
              <m:limLoc m:val="undOvr"/>
              <m:subHide m:val="1"/>
              <m:supHide m:val="1"/>
              <m:ctrlPr>
                <w:rPr>
                  <w:rFonts w:ascii="Cambria Math" w:hAnsi="Bookman Old Style"/>
                  <w:i/>
                  <w:sz w:val="20"/>
                  <w:szCs w:val="20"/>
                </w:rPr>
              </m:ctrlPr>
            </m:naryPr>
            <m:sub/>
            <m:sup/>
            <m:e>
              <m:d>
                <m:dPr>
                  <m:ctrlPr>
                    <w:rPr>
                      <w:rFonts w:ascii="Cambria Math" w:hAnsi="Bookman Old Style"/>
                      <w:i/>
                      <w:sz w:val="20"/>
                      <w:szCs w:val="20"/>
                    </w:rPr>
                  </m:ctrlPr>
                </m:dPr>
                <m:e>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Bookman Old Style"/>
                          <w:sz w:val="20"/>
                          <w:szCs w:val="20"/>
                          <w:lang w:val="en-GB"/>
                        </w:rPr>
                        <m:t>1</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Bookman Old Style"/>
                          <w:sz w:val="20"/>
                          <w:szCs w:val="20"/>
                          <w:lang w:val="en-GB"/>
                        </w:rPr>
                        <m:t>1</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Bookman Old Style"/>
                          <w:sz w:val="20"/>
                          <w:szCs w:val="20"/>
                          <w:lang w:val="en-GB"/>
                        </w:rPr>
                        <m:t>2</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Bookman Old Style"/>
                          <w:sz w:val="20"/>
                          <w:szCs w:val="20"/>
                          <w:lang w:val="en-GB"/>
                        </w:rPr>
                        <m:t>2</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n</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Cambria Math"/>
                          <w:sz w:val="20"/>
                          <w:szCs w:val="20"/>
                          <w:lang w:val="en-GB"/>
                        </w:rPr>
                        <m:t>n</m:t>
                      </m:r>
                    </m:sub>
                  </m:sSub>
                </m:e>
              </m:d>
            </m:e>
          </m:nary>
        </m:oMath>
      </m:oMathPara>
    </w:p>
    <w:p w:rsidR="00510FEB" w:rsidRPr="002A52AD" w:rsidRDefault="00510FEB" w:rsidP="00510FEB">
      <w:pPr>
        <w:tabs>
          <w:tab w:val="left" w:pos="960"/>
        </w:tabs>
        <w:ind w:left="360"/>
        <w:rPr>
          <w:rFonts w:ascii="Bookman Old Style" w:hAnsi="Bookman Old Style"/>
          <w:sz w:val="20"/>
          <w:szCs w:val="20"/>
        </w:rPr>
      </w:pPr>
      <w:r w:rsidRPr="002A52AD">
        <w:rPr>
          <w:rFonts w:ascii="Bookman Old Style" w:hAnsi="Bookman Old Style"/>
          <w:sz w:val="20"/>
          <w:szCs w:val="20"/>
        </w:rPr>
        <w:t>где:</w:t>
      </w:r>
    </w:p>
    <w:p w:rsidR="00510FEB" w:rsidRPr="002A52AD" w:rsidRDefault="00510FEB" w:rsidP="00510FEB">
      <w:pPr>
        <w:tabs>
          <w:tab w:val="left" w:pos="960"/>
        </w:tabs>
        <w:spacing w:before="120" w:after="120"/>
        <w:ind w:left="360"/>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физ</w:t>
      </w:r>
      <w:proofErr w:type="spellEnd"/>
      <w:r w:rsidRPr="002A52AD">
        <w:rPr>
          <w:rFonts w:ascii="Bookman Old Style" w:hAnsi="Bookman Old Style"/>
          <w:sz w:val="20"/>
          <w:szCs w:val="20"/>
        </w:rPr>
        <w:t xml:space="preserve"> – физический износ элемента объекта оценки;</w:t>
      </w:r>
    </w:p>
    <w:p w:rsidR="00510FEB" w:rsidRPr="002A52AD" w:rsidRDefault="00510FEB" w:rsidP="00510FEB">
      <w:pPr>
        <w:tabs>
          <w:tab w:val="left" w:pos="960"/>
        </w:tabs>
        <w:spacing w:before="120" w:after="120"/>
        <w:ind w:left="360"/>
        <w:rPr>
          <w:rFonts w:ascii="Bookman Old Style" w:hAnsi="Bookman Old Style"/>
          <w:sz w:val="20"/>
          <w:szCs w:val="20"/>
        </w:rPr>
      </w:pPr>
      <w:r w:rsidRPr="002A52AD">
        <w:rPr>
          <w:rFonts w:ascii="Bookman Old Style" w:hAnsi="Bookman Old Style"/>
          <w:sz w:val="20"/>
          <w:szCs w:val="20"/>
          <w:lang w:val="en-GB"/>
        </w:rPr>
        <w:t>I</w:t>
      </w:r>
      <w:r w:rsidRPr="002A52AD">
        <w:rPr>
          <w:rFonts w:ascii="Bookman Old Style" w:hAnsi="Bookman Old Style"/>
          <w:sz w:val="20"/>
          <w:szCs w:val="20"/>
          <w:vertAlign w:val="subscript"/>
        </w:rPr>
        <w:t>1</w:t>
      </w:r>
      <w:proofErr w:type="gramStart"/>
      <w:r w:rsidRPr="002A52AD">
        <w:rPr>
          <w:rFonts w:ascii="Bookman Old Style" w:hAnsi="Bookman Old Style"/>
          <w:sz w:val="20"/>
          <w:szCs w:val="20"/>
          <w:vertAlign w:val="subscript"/>
        </w:rPr>
        <w:t>..</w:t>
      </w:r>
      <w:proofErr w:type="gramEnd"/>
      <w:r w:rsidRPr="002A52AD">
        <w:rPr>
          <w:rFonts w:ascii="Bookman Old Style" w:hAnsi="Bookman Old Style"/>
          <w:sz w:val="20"/>
          <w:szCs w:val="20"/>
          <w:vertAlign w:val="subscript"/>
          <w:lang w:val="en-US"/>
        </w:rPr>
        <w:t>n</w:t>
      </w:r>
      <w:r w:rsidRPr="002A52AD">
        <w:rPr>
          <w:rFonts w:ascii="Bookman Old Style" w:hAnsi="Bookman Old Style"/>
          <w:sz w:val="20"/>
          <w:szCs w:val="20"/>
        </w:rPr>
        <w:t xml:space="preserve"> – </w:t>
      </w:r>
      <w:proofErr w:type="gramStart"/>
      <w:r w:rsidRPr="002A52AD">
        <w:rPr>
          <w:rFonts w:ascii="Bookman Old Style" w:hAnsi="Bookman Old Style"/>
          <w:sz w:val="20"/>
          <w:szCs w:val="20"/>
        </w:rPr>
        <w:t>износ</w:t>
      </w:r>
      <w:proofErr w:type="gramEnd"/>
      <w:r w:rsidRPr="002A52AD">
        <w:rPr>
          <w:rFonts w:ascii="Bookman Old Style" w:hAnsi="Bookman Old Style"/>
          <w:sz w:val="20"/>
          <w:szCs w:val="20"/>
        </w:rPr>
        <w:t xml:space="preserve"> присвоенный объекту оценки экспертом;</w:t>
      </w:r>
    </w:p>
    <w:p w:rsidR="00510FEB" w:rsidRPr="002A52AD" w:rsidRDefault="00510FEB" w:rsidP="00510FEB">
      <w:pPr>
        <w:tabs>
          <w:tab w:val="left" w:pos="960"/>
        </w:tabs>
        <w:spacing w:before="120" w:after="120"/>
        <w:ind w:left="360"/>
        <w:rPr>
          <w:rFonts w:ascii="Bookman Old Style" w:hAnsi="Bookman Old Style"/>
          <w:sz w:val="20"/>
          <w:szCs w:val="20"/>
        </w:rPr>
      </w:pPr>
      <w:r w:rsidRPr="002A52AD">
        <w:rPr>
          <w:rFonts w:ascii="Bookman Old Style" w:hAnsi="Bookman Old Style"/>
          <w:sz w:val="20"/>
          <w:szCs w:val="20"/>
          <w:lang w:val="en-US"/>
        </w:rPr>
        <w:t>V</w:t>
      </w:r>
      <w:r w:rsidRPr="002A52AD">
        <w:rPr>
          <w:rFonts w:ascii="Bookman Old Style" w:hAnsi="Bookman Old Style"/>
          <w:sz w:val="20"/>
          <w:szCs w:val="20"/>
          <w:vertAlign w:val="subscript"/>
        </w:rPr>
        <w:t>1</w:t>
      </w:r>
      <w:proofErr w:type="gramStart"/>
      <w:r w:rsidRPr="002A52AD">
        <w:rPr>
          <w:rFonts w:ascii="Bookman Old Style" w:hAnsi="Bookman Old Style"/>
          <w:sz w:val="20"/>
          <w:szCs w:val="20"/>
          <w:vertAlign w:val="subscript"/>
        </w:rPr>
        <w:t>..</w:t>
      </w:r>
      <w:proofErr w:type="gramEnd"/>
      <w:r w:rsidRPr="002A52AD">
        <w:rPr>
          <w:rFonts w:ascii="Bookman Old Style" w:hAnsi="Bookman Old Style"/>
          <w:sz w:val="20"/>
          <w:szCs w:val="20"/>
          <w:vertAlign w:val="subscript"/>
          <w:lang w:val="en-US"/>
        </w:rPr>
        <w:t>n</w:t>
      </w:r>
      <w:r w:rsidRPr="002A52AD">
        <w:rPr>
          <w:rFonts w:ascii="Bookman Old Style" w:hAnsi="Bookman Old Style"/>
          <w:sz w:val="20"/>
          <w:szCs w:val="20"/>
        </w:rPr>
        <w:t xml:space="preserve"> – </w:t>
      </w:r>
      <w:proofErr w:type="gramStart"/>
      <w:r w:rsidRPr="002A52AD">
        <w:rPr>
          <w:rFonts w:ascii="Bookman Old Style" w:hAnsi="Bookman Old Style"/>
          <w:sz w:val="20"/>
          <w:szCs w:val="20"/>
        </w:rPr>
        <w:t>весовое</w:t>
      </w:r>
      <w:proofErr w:type="gramEnd"/>
      <w:r w:rsidRPr="002A52AD">
        <w:rPr>
          <w:rFonts w:ascii="Bookman Old Style" w:hAnsi="Bookman Old Style"/>
          <w:sz w:val="20"/>
          <w:szCs w:val="20"/>
        </w:rPr>
        <w:t xml:space="preserve"> значение мнению привлеченного специалиста, сумма весовых значений присвоенных мнениям экспертов должна равняться 1,00;</w:t>
      </w:r>
    </w:p>
    <w:p w:rsidR="00510FEB" w:rsidRPr="002A52AD" w:rsidRDefault="00510FEB" w:rsidP="00510FEB">
      <w:pPr>
        <w:spacing w:before="120" w:after="120"/>
        <w:ind w:left="720"/>
        <w:jc w:val="right"/>
        <w:rPr>
          <w:rFonts w:ascii="Bookman Old Style" w:hAnsi="Bookman Old Style"/>
          <w:b/>
          <w:bCs/>
          <w:sz w:val="20"/>
          <w:szCs w:val="20"/>
        </w:rPr>
      </w:pPr>
      <w:r w:rsidRPr="002A52AD">
        <w:rPr>
          <w:rFonts w:ascii="Bookman Old Style" w:hAnsi="Bookman Old Style"/>
          <w:b/>
          <w:bCs/>
          <w:sz w:val="20"/>
          <w:szCs w:val="20"/>
        </w:rPr>
        <w:t>Таблица 5.4.1.</w:t>
      </w:r>
      <w:r>
        <w:rPr>
          <w:rFonts w:ascii="Bookman Old Style" w:hAnsi="Bookman Old Style"/>
          <w:b/>
          <w:bCs/>
          <w:sz w:val="20"/>
          <w:szCs w:val="20"/>
        </w:rPr>
        <w:t>2</w:t>
      </w:r>
      <w:r w:rsidRPr="002A52AD">
        <w:rPr>
          <w:rFonts w:ascii="Bookman Old Style" w:hAnsi="Bookman Old Style"/>
          <w:b/>
          <w:bCs/>
          <w:sz w:val="20"/>
          <w:szCs w:val="20"/>
        </w:rPr>
        <w:t>.1. Шкала экспертных оценок</w:t>
      </w:r>
      <w:r w:rsidRPr="002A52AD">
        <w:rPr>
          <w:rFonts w:ascii="Bookman Old Style" w:hAnsi="Bookman Old Style"/>
          <w:b/>
          <w:sz w:val="20"/>
          <w:szCs w:val="20"/>
          <w:vertAlign w:val="superscript"/>
        </w:rPr>
        <w:footnoteReference w:id="62"/>
      </w:r>
    </w:p>
    <w:tbl>
      <w:tblPr>
        <w:tblW w:w="10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0"/>
        <w:gridCol w:w="6804"/>
        <w:gridCol w:w="1404"/>
      </w:tblGrid>
      <w:tr w:rsidR="00510FEB" w:rsidRPr="002A52AD" w:rsidTr="00991B2D">
        <w:trPr>
          <w:trHeight w:val="227"/>
        </w:trPr>
        <w:tc>
          <w:tcPr>
            <w:tcW w:w="2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rsidR="00510FEB" w:rsidRPr="002A52AD" w:rsidRDefault="00510FEB" w:rsidP="00991B2D">
            <w:pPr>
              <w:jc w:val="center"/>
              <w:rPr>
                <w:rFonts w:ascii="Cambria" w:hAnsi="Cambria"/>
                <w:b/>
                <w:bCs/>
                <w:sz w:val="16"/>
                <w:szCs w:val="16"/>
              </w:rPr>
            </w:pPr>
            <w:r w:rsidRPr="002A52AD">
              <w:rPr>
                <w:rFonts w:ascii="Cambria" w:hAnsi="Cambria"/>
                <w:b/>
                <w:bCs/>
                <w:sz w:val="16"/>
                <w:szCs w:val="16"/>
              </w:rPr>
              <w:t xml:space="preserve">Состояние </w:t>
            </w:r>
          </w:p>
          <w:p w:rsidR="00510FEB" w:rsidRPr="002A52AD" w:rsidRDefault="00510FEB" w:rsidP="00991B2D">
            <w:pPr>
              <w:jc w:val="center"/>
              <w:rPr>
                <w:rFonts w:ascii="Cambria" w:hAnsi="Cambria"/>
                <w:b/>
                <w:bCs/>
                <w:sz w:val="16"/>
                <w:szCs w:val="16"/>
              </w:rPr>
            </w:pPr>
            <w:r w:rsidRPr="002A52AD">
              <w:rPr>
                <w:rFonts w:ascii="Cambria" w:hAnsi="Cambria"/>
                <w:b/>
                <w:bCs/>
                <w:sz w:val="16"/>
                <w:szCs w:val="16"/>
              </w:rPr>
              <w:t>оборудования</w:t>
            </w:r>
          </w:p>
        </w:tc>
        <w:tc>
          <w:tcPr>
            <w:tcW w:w="6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rsidR="00510FEB" w:rsidRPr="002A52AD" w:rsidRDefault="00510FEB" w:rsidP="00991B2D">
            <w:pPr>
              <w:jc w:val="center"/>
              <w:rPr>
                <w:rFonts w:ascii="Cambria" w:hAnsi="Cambria"/>
                <w:b/>
                <w:bCs/>
                <w:sz w:val="16"/>
                <w:szCs w:val="16"/>
              </w:rPr>
            </w:pPr>
            <w:r w:rsidRPr="002A52AD">
              <w:rPr>
                <w:rFonts w:ascii="Cambria" w:hAnsi="Cambria"/>
                <w:b/>
                <w:bCs/>
                <w:sz w:val="16"/>
                <w:szCs w:val="16"/>
              </w:rPr>
              <w:t>Характеристика физического состояния</w:t>
            </w:r>
          </w:p>
        </w:tc>
        <w:tc>
          <w:tcPr>
            <w:tcW w:w="14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rsidR="00510FEB" w:rsidRPr="002A52AD" w:rsidRDefault="00510FEB" w:rsidP="00991B2D">
            <w:pPr>
              <w:jc w:val="center"/>
              <w:rPr>
                <w:rFonts w:ascii="Cambria" w:hAnsi="Cambria"/>
                <w:b/>
                <w:bCs/>
                <w:sz w:val="16"/>
                <w:szCs w:val="16"/>
              </w:rPr>
            </w:pPr>
            <w:r w:rsidRPr="002A52AD">
              <w:rPr>
                <w:rFonts w:ascii="Cambria" w:hAnsi="Cambria"/>
                <w:b/>
                <w:bCs/>
                <w:sz w:val="16"/>
                <w:szCs w:val="16"/>
              </w:rPr>
              <w:t>Диапазон коэффициентов износа, %</w:t>
            </w:r>
          </w:p>
        </w:tc>
      </w:tr>
      <w:tr w:rsidR="00510FEB" w:rsidRPr="002A52AD" w:rsidTr="00991B2D">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bCs/>
                <w:sz w:val="16"/>
                <w:szCs w:val="16"/>
              </w:rPr>
            </w:pPr>
            <w:r w:rsidRPr="002A52AD">
              <w:rPr>
                <w:rFonts w:ascii="Cambria" w:hAnsi="Cambria"/>
                <w:bCs/>
                <w:sz w:val="16"/>
                <w:szCs w:val="16"/>
              </w:rPr>
              <w:t>Новое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ind w:left="127" w:right="126"/>
              <w:jc w:val="center"/>
              <w:rPr>
                <w:rFonts w:ascii="Cambria" w:hAnsi="Cambria"/>
                <w:sz w:val="16"/>
                <w:szCs w:val="16"/>
              </w:rPr>
            </w:pPr>
            <w:r w:rsidRPr="002A52AD">
              <w:rPr>
                <w:rFonts w:ascii="Cambria" w:hAnsi="Cambria"/>
                <w:sz w:val="16"/>
                <w:szCs w:val="16"/>
              </w:rPr>
              <w:t>Новое, практически не эксплуатировавшееся оборудование в отличном состоянии</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sz w:val="16"/>
                <w:szCs w:val="16"/>
              </w:rPr>
            </w:pPr>
            <w:r w:rsidRPr="002A52AD">
              <w:rPr>
                <w:rFonts w:ascii="Cambria" w:hAnsi="Cambria"/>
                <w:sz w:val="16"/>
                <w:szCs w:val="16"/>
              </w:rPr>
              <w:t>0-5</w:t>
            </w:r>
          </w:p>
        </w:tc>
      </w:tr>
      <w:tr w:rsidR="00510FEB" w:rsidRPr="002A52AD" w:rsidTr="00991B2D">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bCs/>
                <w:sz w:val="16"/>
                <w:szCs w:val="16"/>
              </w:rPr>
            </w:pPr>
            <w:r w:rsidRPr="002A52AD">
              <w:rPr>
                <w:rFonts w:ascii="Cambria" w:hAnsi="Cambria"/>
                <w:bCs/>
                <w:sz w:val="16"/>
                <w:szCs w:val="16"/>
              </w:rPr>
              <w:t>Очень хорошее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ind w:left="127" w:right="126"/>
              <w:jc w:val="center"/>
              <w:rPr>
                <w:rFonts w:ascii="Cambria" w:hAnsi="Cambria"/>
                <w:sz w:val="16"/>
                <w:szCs w:val="16"/>
              </w:rPr>
            </w:pPr>
            <w:r w:rsidRPr="002A52AD">
              <w:rPr>
                <w:rFonts w:ascii="Cambria" w:hAnsi="Cambria"/>
                <w:sz w:val="16"/>
                <w:szCs w:val="16"/>
              </w:rPr>
              <w:t>Новое или полностью отремонтированное (реконструированное) оборудование, бывшее в эксплуатации. В отличном состоянии</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sz w:val="16"/>
                <w:szCs w:val="16"/>
              </w:rPr>
            </w:pPr>
            <w:r w:rsidRPr="002A52AD">
              <w:rPr>
                <w:rFonts w:ascii="Cambria" w:hAnsi="Cambria"/>
                <w:sz w:val="16"/>
                <w:szCs w:val="16"/>
              </w:rPr>
              <w:t>5-15</w:t>
            </w:r>
          </w:p>
        </w:tc>
      </w:tr>
      <w:tr w:rsidR="00510FEB" w:rsidRPr="002A52AD" w:rsidTr="00991B2D">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bCs/>
                <w:sz w:val="16"/>
                <w:szCs w:val="16"/>
              </w:rPr>
            </w:pPr>
            <w:r w:rsidRPr="002A52AD">
              <w:rPr>
                <w:rFonts w:ascii="Cambria" w:hAnsi="Cambria"/>
                <w:bCs/>
                <w:sz w:val="16"/>
                <w:szCs w:val="16"/>
              </w:rPr>
              <w:t>Хорошее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ind w:left="127" w:right="126"/>
              <w:jc w:val="center"/>
              <w:rPr>
                <w:rFonts w:ascii="Cambria" w:hAnsi="Cambria"/>
                <w:sz w:val="16"/>
                <w:szCs w:val="16"/>
              </w:rPr>
            </w:pPr>
            <w:r w:rsidRPr="002A52AD">
              <w:rPr>
                <w:rFonts w:ascii="Cambria" w:hAnsi="Cambria"/>
                <w:sz w:val="16"/>
                <w:szCs w:val="16"/>
              </w:rPr>
              <w:t>Бывшее в эксплуатации оборудование, находящееся в хорошем состоянии. Имеющиеся дефекты и неисправности носят незначительный характер</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sz w:val="16"/>
                <w:szCs w:val="16"/>
              </w:rPr>
            </w:pPr>
            <w:r w:rsidRPr="002A52AD">
              <w:rPr>
                <w:rFonts w:ascii="Cambria" w:hAnsi="Cambria"/>
                <w:sz w:val="16"/>
                <w:szCs w:val="16"/>
              </w:rPr>
              <w:t>15-35</w:t>
            </w:r>
          </w:p>
        </w:tc>
      </w:tr>
      <w:tr w:rsidR="00510FEB" w:rsidRPr="002A52AD" w:rsidTr="00991B2D">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bCs/>
                <w:sz w:val="16"/>
                <w:szCs w:val="16"/>
              </w:rPr>
            </w:pPr>
            <w:r w:rsidRPr="002A52AD">
              <w:rPr>
                <w:rFonts w:ascii="Cambria" w:hAnsi="Cambria"/>
                <w:bCs/>
                <w:sz w:val="16"/>
                <w:szCs w:val="16"/>
              </w:rPr>
              <w:t>Удовлетворительное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ind w:left="127" w:right="126"/>
              <w:jc w:val="center"/>
              <w:rPr>
                <w:rFonts w:ascii="Cambria" w:hAnsi="Cambria"/>
                <w:sz w:val="16"/>
                <w:szCs w:val="16"/>
              </w:rPr>
            </w:pPr>
            <w:proofErr w:type="gramStart"/>
            <w:r w:rsidRPr="002A52AD">
              <w:rPr>
                <w:rFonts w:ascii="Cambria" w:hAnsi="Cambria"/>
                <w:sz w:val="16"/>
                <w:szCs w:val="16"/>
              </w:rPr>
              <w:t>Бывшее</w:t>
            </w:r>
            <w:proofErr w:type="gramEnd"/>
            <w:r w:rsidRPr="002A52AD">
              <w:rPr>
                <w:rFonts w:ascii="Cambria" w:hAnsi="Cambria"/>
                <w:sz w:val="16"/>
                <w:szCs w:val="16"/>
              </w:rPr>
              <w:t xml:space="preserve"> в эксплуатации, находящееся в удовлетворительном состоянии, пригодное для эксплуатации, но требующее текущего ремонта или замены неосновных узлов, элементов</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sz w:val="16"/>
                <w:szCs w:val="16"/>
              </w:rPr>
            </w:pPr>
            <w:r>
              <w:rPr>
                <w:rFonts w:ascii="Cambria" w:hAnsi="Cambria"/>
                <w:sz w:val="16"/>
                <w:szCs w:val="16"/>
              </w:rPr>
              <w:t>40-60</w:t>
            </w:r>
          </w:p>
        </w:tc>
      </w:tr>
      <w:tr w:rsidR="00510FEB" w:rsidRPr="002A52AD" w:rsidTr="00991B2D">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bCs/>
                <w:sz w:val="16"/>
                <w:szCs w:val="16"/>
              </w:rPr>
            </w:pPr>
            <w:r w:rsidRPr="002A52AD">
              <w:rPr>
                <w:rFonts w:ascii="Cambria" w:hAnsi="Cambria"/>
                <w:bCs/>
                <w:sz w:val="16"/>
                <w:szCs w:val="16"/>
              </w:rPr>
              <w:lastRenderedPageBreak/>
              <w:t>Условно пригодное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ind w:left="127" w:right="126"/>
              <w:jc w:val="center"/>
              <w:rPr>
                <w:rFonts w:ascii="Cambria" w:hAnsi="Cambria"/>
                <w:sz w:val="16"/>
                <w:szCs w:val="16"/>
              </w:rPr>
            </w:pPr>
            <w:r w:rsidRPr="002A52AD">
              <w:rPr>
                <w:rFonts w:ascii="Cambria" w:hAnsi="Cambria"/>
                <w:sz w:val="16"/>
                <w:szCs w:val="16"/>
              </w:rPr>
              <w:t>Бывшее в эксплуатации оборудование в состоянии, пригодном для дальнейшей эксплуатации, но требующее капитального ремонта или замены основных узлов, элементов</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sz w:val="16"/>
                <w:szCs w:val="16"/>
              </w:rPr>
            </w:pPr>
            <w:r>
              <w:rPr>
                <w:rFonts w:ascii="Cambria" w:hAnsi="Cambria"/>
                <w:sz w:val="16"/>
                <w:szCs w:val="16"/>
              </w:rPr>
              <w:t>65-80</w:t>
            </w:r>
          </w:p>
        </w:tc>
      </w:tr>
      <w:tr w:rsidR="00510FEB" w:rsidRPr="002A52AD" w:rsidTr="00991B2D">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bCs/>
                <w:sz w:val="16"/>
                <w:szCs w:val="16"/>
              </w:rPr>
            </w:pPr>
            <w:r w:rsidRPr="002A52AD">
              <w:rPr>
                <w:rFonts w:ascii="Cambria" w:hAnsi="Cambria"/>
                <w:bCs/>
                <w:sz w:val="16"/>
                <w:szCs w:val="16"/>
              </w:rPr>
              <w:t>Неудовлетворительное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ind w:left="127" w:right="126"/>
              <w:jc w:val="center"/>
              <w:rPr>
                <w:rFonts w:ascii="Cambria" w:hAnsi="Cambria"/>
                <w:sz w:val="16"/>
                <w:szCs w:val="16"/>
              </w:rPr>
            </w:pPr>
            <w:r w:rsidRPr="002A52AD">
              <w:rPr>
                <w:rFonts w:ascii="Cambria" w:hAnsi="Cambria"/>
                <w:sz w:val="16"/>
                <w:szCs w:val="16"/>
              </w:rPr>
              <w:t>Оборудование, подлежащей полной реконструкции для продолжения эксплуатации</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sz w:val="16"/>
                <w:szCs w:val="16"/>
              </w:rPr>
            </w:pPr>
            <w:r>
              <w:rPr>
                <w:rFonts w:ascii="Cambria" w:hAnsi="Cambria"/>
                <w:sz w:val="16"/>
                <w:szCs w:val="16"/>
              </w:rPr>
              <w:t>85-90</w:t>
            </w:r>
          </w:p>
        </w:tc>
      </w:tr>
      <w:tr w:rsidR="00510FEB" w:rsidRPr="002A52AD" w:rsidTr="00991B2D">
        <w:trPr>
          <w:trHeight w:val="376"/>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bCs/>
                <w:sz w:val="16"/>
                <w:szCs w:val="16"/>
              </w:rPr>
            </w:pPr>
            <w:proofErr w:type="gramStart"/>
            <w:r w:rsidRPr="002A52AD">
              <w:rPr>
                <w:rFonts w:ascii="Cambria" w:hAnsi="Cambria"/>
                <w:bCs/>
                <w:sz w:val="16"/>
                <w:szCs w:val="16"/>
              </w:rPr>
              <w:t>Негодное</w:t>
            </w:r>
            <w:proofErr w:type="gramEnd"/>
            <w:r w:rsidRPr="002A52AD">
              <w:rPr>
                <w:rFonts w:ascii="Cambria" w:hAnsi="Cambria"/>
                <w:bCs/>
                <w:sz w:val="16"/>
                <w:szCs w:val="16"/>
              </w:rPr>
              <w:t xml:space="preserve"> к применению или лом</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ind w:left="127" w:right="126"/>
              <w:jc w:val="center"/>
              <w:rPr>
                <w:rFonts w:ascii="Cambria" w:hAnsi="Cambria"/>
                <w:sz w:val="16"/>
                <w:szCs w:val="16"/>
              </w:rPr>
            </w:pPr>
            <w:r w:rsidRPr="002A52AD">
              <w:rPr>
                <w:rFonts w:ascii="Cambria" w:hAnsi="Cambria"/>
                <w:sz w:val="16"/>
                <w:szCs w:val="16"/>
              </w:rPr>
              <w:t>Оборудование, в отношении которого нет разумных перспектив на продажу, кроме как по стоимости материалов</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510FEB" w:rsidRPr="002A52AD" w:rsidRDefault="00510FEB" w:rsidP="00991B2D">
            <w:pPr>
              <w:jc w:val="center"/>
              <w:rPr>
                <w:rFonts w:ascii="Cambria" w:hAnsi="Cambria"/>
                <w:sz w:val="16"/>
                <w:szCs w:val="16"/>
              </w:rPr>
            </w:pPr>
            <w:r w:rsidRPr="002A52AD">
              <w:rPr>
                <w:rFonts w:ascii="Cambria" w:hAnsi="Cambria"/>
                <w:sz w:val="16"/>
                <w:szCs w:val="16"/>
              </w:rPr>
              <w:t>97,5 - 100</w:t>
            </w:r>
          </w:p>
        </w:tc>
      </w:tr>
    </w:tbl>
    <w:p w:rsidR="00510FEB" w:rsidRPr="002A52AD" w:rsidRDefault="00510FEB" w:rsidP="00510FEB">
      <w:pPr>
        <w:spacing w:before="120" w:after="120"/>
        <w:ind w:firstLine="709"/>
        <w:jc w:val="both"/>
        <w:rPr>
          <w:rFonts w:ascii="Bookman Old Style" w:hAnsi="Bookman Old Style"/>
          <w:sz w:val="20"/>
          <w:szCs w:val="20"/>
        </w:rPr>
      </w:pPr>
      <w:r w:rsidRPr="002A52AD">
        <w:rPr>
          <w:rFonts w:ascii="Bookman Old Style" w:hAnsi="Bookman Old Style"/>
          <w:sz w:val="20"/>
          <w:szCs w:val="20"/>
        </w:rPr>
        <w:t>При составлении настоящего отчета, для определения качественного состояния имущества, использован Акт осмотра,</w:t>
      </w:r>
      <w:r w:rsidRPr="002A52AD">
        <w:rPr>
          <w:rFonts w:ascii="Calibri" w:hAnsi="Calibri"/>
          <w:sz w:val="22"/>
          <w:szCs w:val="22"/>
        </w:rPr>
        <w:t xml:space="preserve"> </w:t>
      </w:r>
      <w:r w:rsidRPr="002A52AD">
        <w:rPr>
          <w:rFonts w:ascii="Bookman Old Style" w:hAnsi="Bookman Old Style"/>
          <w:sz w:val="20"/>
          <w:szCs w:val="20"/>
        </w:rPr>
        <w:t xml:space="preserve">идентификации и определения технического состояния имущества подлежащего оценке. </w:t>
      </w:r>
    </w:p>
    <w:p w:rsidR="00510FEB" w:rsidRPr="002A52AD" w:rsidRDefault="00510FEB" w:rsidP="00510FEB">
      <w:pPr>
        <w:spacing w:before="120" w:after="120"/>
        <w:ind w:firstLine="709"/>
        <w:jc w:val="both"/>
        <w:rPr>
          <w:rFonts w:ascii="Bookman Old Style" w:hAnsi="Bookman Old Style"/>
          <w:sz w:val="20"/>
          <w:szCs w:val="20"/>
        </w:rPr>
      </w:pPr>
      <w:r w:rsidRPr="002A52AD">
        <w:rPr>
          <w:rFonts w:ascii="Bookman Old Style" w:hAnsi="Bookman Old Style"/>
          <w:sz w:val="20"/>
          <w:szCs w:val="20"/>
        </w:rPr>
        <w:t>В результате расчета, по указанной в настоящем разделе формуле, получено значение физического износа элемента Объекта оценки, для мнения экспертов присвоены одинаковые весовые значения.</w:t>
      </w:r>
    </w:p>
    <w:p w:rsidR="00510FEB" w:rsidRPr="002A52AD" w:rsidRDefault="00510FEB" w:rsidP="00510FEB">
      <w:pPr>
        <w:spacing w:before="120" w:after="120"/>
        <w:ind w:firstLine="709"/>
        <w:rPr>
          <w:rFonts w:ascii="Bookman Old Style" w:hAnsi="Bookman Old Style"/>
          <w:sz w:val="20"/>
          <w:szCs w:val="20"/>
        </w:rPr>
      </w:pPr>
      <w:r w:rsidRPr="002A52AD">
        <w:rPr>
          <w:rFonts w:ascii="Bookman Old Style" w:hAnsi="Bookman Old Style"/>
          <w:sz w:val="20"/>
          <w:szCs w:val="20"/>
        </w:rPr>
        <w:t>Результаты расчета физического износа в пункте 5.4.1.</w:t>
      </w:r>
      <w:r>
        <w:rPr>
          <w:rFonts w:ascii="Bookman Old Style" w:hAnsi="Bookman Old Style"/>
          <w:sz w:val="20"/>
          <w:szCs w:val="20"/>
        </w:rPr>
        <w:t>6</w:t>
      </w:r>
      <w:r w:rsidRPr="002A52AD">
        <w:rPr>
          <w:rFonts w:ascii="Bookman Old Style" w:hAnsi="Bookman Old Style"/>
          <w:sz w:val="20"/>
          <w:szCs w:val="20"/>
        </w:rPr>
        <w:t>.</w:t>
      </w:r>
    </w:p>
    <w:p w:rsidR="00510FEB" w:rsidRPr="002A52AD" w:rsidRDefault="00510FEB" w:rsidP="00510FEB">
      <w:pPr>
        <w:keepNext/>
        <w:spacing w:before="120"/>
        <w:jc w:val="both"/>
        <w:outlineLvl w:val="2"/>
        <w:rPr>
          <w:rFonts w:ascii="Bookman Old Style" w:hAnsi="Bookman Old Style"/>
          <w:b/>
          <w:bCs/>
          <w:sz w:val="20"/>
          <w:szCs w:val="20"/>
        </w:rPr>
      </w:pPr>
      <w:bookmarkStart w:id="328" w:name="_Toc320767145"/>
      <w:bookmarkStart w:id="329" w:name="_Toc319330040"/>
      <w:bookmarkStart w:id="330" w:name="_Toc411006083"/>
      <w:bookmarkStart w:id="331" w:name="_Toc460764372"/>
      <w:bookmarkStart w:id="332" w:name="_Toc461375616"/>
      <w:r w:rsidRPr="002A52AD">
        <w:rPr>
          <w:rFonts w:ascii="Bookman Old Style" w:hAnsi="Bookman Old Style"/>
          <w:b/>
          <w:bCs/>
          <w:sz w:val="20"/>
          <w:szCs w:val="20"/>
        </w:rPr>
        <w:t>5.</w:t>
      </w:r>
      <w:r w:rsidR="0070748F">
        <w:rPr>
          <w:rFonts w:ascii="Bookman Old Style" w:hAnsi="Bookman Old Style"/>
          <w:b/>
          <w:bCs/>
          <w:sz w:val="20"/>
          <w:szCs w:val="20"/>
        </w:rPr>
        <w:t>6</w:t>
      </w:r>
      <w:r w:rsidRPr="002A52AD">
        <w:rPr>
          <w:rFonts w:ascii="Bookman Old Style" w:hAnsi="Bookman Old Style"/>
          <w:b/>
          <w:bCs/>
          <w:sz w:val="20"/>
          <w:szCs w:val="20"/>
        </w:rPr>
        <w:t>.1.</w:t>
      </w:r>
      <w:r>
        <w:rPr>
          <w:rFonts w:ascii="Bookman Old Style" w:hAnsi="Bookman Old Style"/>
          <w:b/>
          <w:bCs/>
          <w:sz w:val="20"/>
          <w:szCs w:val="20"/>
        </w:rPr>
        <w:t>3</w:t>
      </w:r>
      <w:r w:rsidRPr="002A52AD">
        <w:rPr>
          <w:rFonts w:ascii="Bookman Old Style" w:hAnsi="Bookman Old Style"/>
          <w:b/>
          <w:bCs/>
          <w:sz w:val="20"/>
          <w:szCs w:val="20"/>
        </w:rPr>
        <w:t xml:space="preserve"> Расчет функционального устаревания</w:t>
      </w:r>
      <w:bookmarkEnd w:id="328"/>
      <w:bookmarkEnd w:id="329"/>
      <w:bookmarkEnd w:id="330"/>
      <w:bookmarkEnd w:id="331"/>
      <w:bookmarkEnd w:id="332"/>
    </w:p>
    <w:p w:rsidR="00510FEB" w:rsidRPr="002A52AD" w:rsidRDefault="00510FEB" w:rsidP="00510FEB">
      <w:pPr>
        <w:spacing w:before="120" w:after="120"/>
        <w:ind w:firstLine="720"/>
        <w:jc w:val="both"/>
        <w:rPr>
          <w:rFonts w:ascii="Bookman Old Style" w:hAnsi="Bookman Old Style"/>
          <w:bCs/>
          <w:sz w:val="20"/>
          <w:szCs w:val="20"/>
        </w:rPr>
      </w:pPr>
      <w:bookmarkStart w:id="333" w:name="_Toc320767146"/>
      <w:bookmarkStart w:id="334" w:name="_Toc319330041"/>
      <w:r w:rsidRPr="002A52AD">
        <w:rPr>
          <w:rFonts w:ascii="Bookman Old Style" w:hAnsi="Bookman Old Style"/>
          <w:bCs/>
          <w:sz w:val="20"/>
          <w:szCs w:val="20"/>
        </w:rPr>
        <w:t xml:space="preserve">Функциональное устаревание – представляет собой потерю стоимости или полезности имущества, вызванную неэффективностью или неадекватностью самого имущества по сравнению с более эффективным или менее дорогостоящим замещающим имуществом, появившимся в результате развития новых технологий. </w:t>
      </w:r>
    </w:p>
    <w:p w:rsidR="00510FEB" w:rsidRPr="002A52AD" w:rsidRDefault="00510FEB" w:rsidP="00510FEB">
      <w:pPr>
        <w:shd w:val="clear" w:color="auto" w:fill="FFFFFF" w:themeFill="background1"/>
        <w:spacing w:before="120" w:after="120"/>
        <w:ind w:firstLine="720"/>
        <w:jc w:val="both"/>
        <w:rPr>
          <w:rFonts w:ascii="Bookman Old Style" w:hAnsi="Bookman Old Style"/>
          <w:bCs/>
          <w:sz w:val="20"/>
          <w:szCs w:val="20"/>
        </w:rPr>
      </w:pPr>
      <w:r w:rsidRPr="002A52AD">
        <w:rPr>
          <w:rFonts w:ascii="Bookman Old Style" w:hAnsi="Bookman Old Style"/>
          <w:bCs/>
          <w:sz w:val="20"/>
          <w:szCs w:val="20"/>
        </w:rPr>
        <w:t>Признаками позволяющими предположить наличие функционального устаревания являются избыточные капитальные затраты, чрезмерные операционные издержки, избыточные мощности, неадекватность, отсутствие полезности и т.п.</w:t>
      </w:r>
    </w:p>
    <w:p w:rsidR="00510FEB" w:rsidRPr="002A52AD" w:rsidRDefault="00510FEB" w:rsidP="00510FEB">
      <w:pPr>
        <w:shd w:val="clear" w:color="auto" w:fill="FFFFFF" w:themeFill="background1"/>
        <w:spacing w:before="120" w:after="120"/>
        <w:jc w:val="both"/>
        <w:rPr>
          <w:rFonts w:ascii="Bookman Old Style" w:hAnsi="Bookman Old Style"/>
          <w:sz w:val="20"/>
          <w:szCs w:val="20"/>
        </w:rPr>
      </w:pPr>
      <w:r w:rsidRPr="002A52AD">
        <w:rPr>
          <w:rFonts w:ascii="Bookman Old Style" w:hAnsi="Bookman Old Style"/>
          <w:sz w:val="20"/>
          <w:szCs w:val="20"/>
        </w:rPr>
        <w:tab/>
        <w:t>Необходимо отметить, что при расчете стоимости затрат, определена величина затрат на замещение элементов Объекта оценки, соответственно учет функционального устаревания не требуется.</w:t>
      </w:r>
    </w:p>
    <w:p w:rsidR="00510FEB" w:rsidRPr="002A52AD" w:rsidRDefault="00510FEB" w:rsidP="00510FEB">
      <w:pPr>
        <w:keepNext/>
        <w:spacing w:before="120"/>
        <w:jc w:val="both"/>
        <w:outlineLvl w:val="2"/>
        <w:rPr>
          <w:rFonts w:ascii="Bookman Old Style" w:hAnsi="Bookman Old Style"/>
          <w:b/>
          <w:bCs/>
          <w:sz w:val="20"/>
          <w:szCs w:val="20"/>
        </w:rPr>
      </w:pPr>
      <w:bookmarkStart w:id="335" w:name="_Toc411006084"/>
      <w:bookmarkStart w:id="336" w:name="_Toc460764373"/>
      <w:bookmarkStart w:id="337" w:name="_Toc461375617"/>
      <w:r w:rsidRPr="002A52AD">
        <w:rPr>
          <w:rFonts w:ascii="Bookman Old Style" w:hAnsi="Bookman Old Style"/>
          <w:b/>
          <w:bCs/>
          <w:sz w:val="20"/>
          <w:szCs w:val="20"/>
        </w:rPr>
        <w:t>5.</w:t>
      </w:r>
      <w:r w:rsidR="0070748F">
        <w:rPr>
          <w:rFonts w:ascii="Bookman Old Style" w:hAnsi="Bookman Old Style"/>
          <w:b/>
          <w:bCs/>
          <w:sz w:val="20"/>
          <w:szCs w:val="20"/>
        </w:rPr>
        <w:t>6</w:t>
      </w:r>
      <w:r w:rsidRPr="002A52AD">
        <w:rPr>
          <w:rFonts w:ascii="Bookman Old Style" w:hAnsi="Bookman Old Style"/>
          <w:b/>
          <w:bCs/>
          <w:sz w:val="20"/>
          <w:szCs w:val="20"/>
        </w:rPr>
        <w:t>.1.</w:t>
      </w:r>
      <w:r>
        <w:rPr>
          <w:rFonts w:ascii="Bookman Old Style" w:hAnsi="Bookman Old Style"/>
          <w:b/>
          <w:bCs/>
          <w:sz w:val="20"/>
          <w:szCs w:val="20"/>
        </w:rPr>
        <w:t>4</w:t>
      </w:r>
      <w:r w:rsidRPr="002A52AD">
        <w:rPr>
          <w:rFonts w:ascii="Bookman Old Style" w:hAnsi="Bookman Old Style"/>
          <w:b/>
          <w:bCs/>
          <w:sz w:val="20"/>
          <w:szCs w:val="20"/>
        </w:rPr>
        <w:t>. Расчет внешнего устаревания</w:t>
      </w:r>
      <w:bookmarkEnd w:id="333"/>
      <w:bookmarkEnd w:id="334"/>
      <w:bookmarkEnd w:id="335"/>
      <w:bookmarkEnd w:id="336"/>
      <w:bookmarkEnd w:id="337"/>
    </w:p>
    <w:p w:rsidR="00510FEB" w:rsidRPr="002A52AD" w:rsidRDefault="00510FEB" w:rsidP="00510FEB">
      <w:pPr>
        <w:autoSpaceDE w:val="0"/>
        <w:autoSpaceDN w:val="0"/>
        <w:adjustRightInd w:val="0"/>
        <w:spacing w:before="120" w:after="120"/>
        <w:ind w:firstLine="708"/>
        <w:jc w:val="both"/>
        <w:rPr>
          <w:rFonts w:ascii="Bookman Old Style" w:hAnsi="Bookman Old Style"/>
          <w:bCs/>
          <w:sz w:val="20"/>
          <w:szCs w:val="20"/>
        </w:rPr>
      </w:pPr>
      <w:proofErr w:type="gramStart"/>
      <w:r w:rsidRPr="002A52AD">
        <w:rPr>
          <w:rFonts w:ascii="Bookman Old Style" w:hAnsi="Bookman Old Style"/>
          <w:bCs/>
          <w:sz w:val="20"/>
          <w:szCs w:val="20"/>
        </w:rPr>
        <w:t>Экономическое устаревание – представляет собой утрату стоимости или полезности имущества, вызываемую факторами, внешними по отношению у имуществу, такими как повышение стоимости сырья, труда, снижения спроса на продукцию, увеличения конкуренции, изменения в различных правилах, инфляция или высокие процентные ставки, другие подобные факторы.</w:t>
      </w:r>
      <w:proofErr w:type="gramEnd"/>
    </w:p>
    <w:p w:rsidR="00510FEB" w:rsidRPr="002A52AD" w:rsidRDefault="00510FEB" w:rsidP="00510FEB">
      <w:pPr>
        <w:autoSpaceDE w:val="0"/>
        <w:autoSpaceDN w:val="0"/>
        <w:adjustRightInd w:val="0"/>
        <w:spacing w:before="120" w:after="120"/>
        <w:ind w:firstLine="708"/>
        <w:jc w:val="both"/>
        <w:rPr>
          <w:rFonts w:ascii="Bookman Old Style" w:hAnsi="Bookman Old Style"/>
          <w:bCs/>
          <w:sz w:val="20"/>
          <w:szCs w:val="20"/>
        </w:rPr>
      </w:pPr>
      <w:r w:rsidRPr="002A52AD">
        <w:rPr>
          <w:rFonts w:ascii="Bookman Old Style" w:hAnsi="Bookman Old Style"/>
          <w:bCs/>
          <w:sz w:val="20"/>
          <w:szCs w:val="20"/>
        </w:rPr>
        <w:t xml:space="preserve">Основными </w:t>
      </w:r>
      <w:proofErr w:type="gramStart"/>
      <w:r w:rsidRPr="002A52AD">
        <w:rPr>
          <w:rFonts w:ascii="Bookman Old Style" w:hAnsi="Bookman Old Style"/>
          <w:bCs/>
          <w:sz w:val="20"/>
          <w:szCs w:val="20"/>
        </w:rPr>
        <w:t>причинами</w:t>
      </w:r>
      <w:proofErr w:type="gramEnd"/>
      <w:r w:rsidRPr="002A52AD">
        <w:rPr>
          <w:rFonts w:ascii="Bookman Old Style" w:hAnsi="Bookman Old Style"/>
          <w:bCs/>
          <w:sz w:val="20"/>
          <w:szCs w:val="20"/>
        </w:rPr>
        <w:t xml:space="preserve"> вызывающими устаревание могут быть:</w:t>
      </w:r>
    </w:p>
    <w:p w:rsidR="00510FEB" w:rsidRPr="002A52AD" w:rsidRDefault="00510FEB" w:rsidP="00510FEB">
      <w:pPr>
        <w:numPr>
          <w:ilvl w:val="0"/>
          <w:numId w:val="64"/>
        </w:numPr>
        <w:autoSpaceDE w:val="0"/>
        <w:autoSpaceDN w:val="0"/>
        <w:adjustRightInd w:val="0"/>
        <w:spacing w:before="120" w:after="120"/>
        <w:jc w:val="both"/>
        <w:rPr>
          <w:rFonts w:ascii="Bookman Old Style" w:hAnsi="Bookman Old Style"/>
          <w:bCs/>
          <w:sz w:val="20"/>
          <w:szCs w:val="20"/>
        </w:rPr>
      </w:pPr>
      <w:r w:rsidRPr="002A52AD">
        <w:rPr>
          <w:rFonts w:ascii="Bookman Old Style" w:hAnsi="Bookman Old Style"/>
          <w:bCs/>
          <w:sz w:val="20"/>
          <w:szCs w:val="20"/>
        </w:rPr>
        <w:t>Сократившийся спрос на продукцию.</w:t>
      </w:r>
    </w:p>
    <w:p w:rsidR="00510FEB" w:rsidRPr="002A52AD" w:rsidRDefault="00510FEB" w:rsidP="00510FEB">
      <w:pPr>
        <w:numPr>
          <w:ilvl w:val="0"/>
          <w:numId w:val="64"/>
        </w:numPr>
        <w:autoSpaceDE w:val="0"/>
        <w:autoSpaceDN w:val="0"/>
        <w:adjustRightInd w:val="0"/>
        <w:spacing w:before="120" w:after="120"/>
        <w:jc w:val="both"/>
        <w:rPr>
          <w:rFonts w:ascii="Bookman Old Style" w:hAnsi="Bookman Old Style"/>
          <w:bCs/>
          <w:sz w:val="20"/>
          <w:szCs w:val="20"/>
        </w:rPr>
      </w:pPr>
      <w:r w:rsidRPr="002A52AD">
        <w:rPr>
          <w:rFonts w:ascii="Bookman Old Style" w:hAnsi="Bookman Old Style"/>
          <w:bCs/>
          <w:sz w:val="20"/>
          <w:szCs w:val="20"/>
        </w:rPr>
        <w:t>Возросшая конкуренция с импортными изделиями.</w:t>
      </w:r>
    </w:p>
    <w:p w:rsidR="00510FEB" w:rsidRPr="002A52AD" w:rsidRDefault="00510FEB" w:rsidP="00510FEB">
      <w:pPr>
        <w:numPr>
          <w:ilvl w:val="0"/>
          <w:numId w:val="64"/>
        </w:numPr>
        <w:autoSpaceDE w:val="0"/>
        <w:autoSpaceDN w:val="0"/>
        <w:adjustRightInd w:val="0"/>
        <w:spacing w:before="120" w:after="120"/>
        <w:jc w:val="both"/>
        <w:rPr>
          <w:rFonts w:ascii="Bookman Old Style" w:hAnsi="Bookman Old Style"/>
          <w:bCs/>
          <w:sz w:val="20"/>
          <w:szCs w:val="20"/>
        </w:rPr>
      </w:pPr>
      <w:r w:rsidRPr="002A52AD">
        <w:rPr>
          <w:rFonts w:ascii="Bookman Old Style" w:hAnsi="Bookman Old Style"/>
          <w:bCs/>
          <w:sz w:val="20"/>
          <w:szCs w:val="20"/>
        </w:rPr>
        <w:t>Затруднения в снабжении сырьем или комплектующими изделиями.</w:t>
      </w:r>
    </w:p>
    <w:p w:rsidR="00510FEB" w:rsidRPr="002A52AD" w:rsidRDefault="00510FEB" w:rsidP="00510FEB">
      <w:pPr>
        <w:tabs>
          <w:tab w:val="left" w:pos="851"/>
          <w:tab w:val="left" w:pos="1545"/>
        </w:tabs>
        <w:spacing w:before="120" w:after="120"/>
        <w:ind w:firstLine="709"/>
        <w:jc w:val="both"/>
        <w:rPr>
          <w:rFonts w:ascii="Bookman Old Style" w:hAnsi="Bookman Old Style"/>
          <w:sz w:val="20"/>
          <w:szCs w:val="20"/>
        </w:rPr>
      </w:pPr>
      <w:r w:rsidRPr="002A52AD">
        <w:rPr>
          <w:rFonts w:ascii="Bookman Old Style" w:hAnsi="Bookman Old Style"/>
          <w:sz w:val="20"/>
          <w:szCs w:val="20"/>
        </w:rPr>
        <w:t xml:space="preserve">Признаков внешнего устаревания </w:t>
      </w:r>
      <w:r w:rsidRPr="002A52AD">
        <w:rPr>
          <w:rFonts w:ascii="Bookman Old Style" w:hAnsi="Bookman Old Style"/>
          <w:bCs/>
          <w:sz w:val="20"/>
          <w:szCs w:val="20"/>
        </w:rPr>
        <w:t xml:space="preserve">элементов Объекта оценки </w:t>
      </w:r>
      <w:r w:rsidRPr="002A52AD">
        <w:rPr>
          <w:rFonts w:ascii="Bookman Old Style" w:hAnsi="Bookman Old Style"/>
          <w:sz w:val="20"/>
          <w:szCs w:val="20"/>
        </w:rPr>
        <w:t>в ходе проведения оценки выявлено не было.</w:t>
      </w:r>
    </w:p>
    <w:p w:rsidR="00510FEB" w:rsidRPr="002A52AD" w:rsidRDefault="00510FEB" w:rsidP="00510FEB">
      <w:pPr>
        <w:keepNext/>
        <w:spacing w:before="120"/>
        <w:jc w:val="both"/>
        <w:outlineLvl w:val="2"/>
        <w:rPr>
          <w:rFonts w:ascii="Bookman Old Style" w:hAnsi="Bookman Old Style"/>
          <w:b/>
          <w:bCs/>
          <w:sz w:val="20"/>
          <w:szCs w:val="20"/>
        </w:rPr>
      </w:pPr>
      <w:bookmarkStart w:id="338" w:name="_Toc320767147"/>
      <w:bookmarkStart w:id="339" w:name="_Toc319330042"/>
      <w:bookmarkStart w:id="340" w:name="_Toc411006085"/>
      <w:bookmarkStart w:id="341" w:name="_Toc460764374"/>
      <w:bookmarkStart w:id="342" w:name="_Toc461375618"/>
      <w:r w:rsidRPr="002A52AD">
        <w:rPr>
          <w:rFonts w:ascii="Bookman Old Style" w:hAnsi="Bookman Old Style"/>
          <w:b/>
          <w:bCs/>
          <w:sz w:val="20"/>
          <w:szCs w:val="20"/>
        </w:rPr>
        <w:t>5.</w:t>
      </w:r>
      <w:r w:rsidR="0070748F">
        <w:rPr>
          <w:rFonts w:ascii="Bookman Old Style" w:hAnsi="Bookman Old Style"/>
          <w:b/>
          <w:bCs/>
          <w:sz w:val="20"/>
          <w:szCs w:val="20"/>
        </w:rPr>
        <w:t>6</w:t>
      </w:r>
      <w:r w:rsidRPr="002A52AD">
        <w:rPr>
          <w:rFonts w:ascii="Bookman Old Style" w:hAnsi="Bookman Old Style"/>
          <w:b/>
          <w:bCs/>
          <w:sz w:val="20"/>
          <w:szCs w:val="20"/>
        </w:rPr>
        <w:t>.1.</w:t>
      </w:r>
      <w:r>
        <w:rPr>
          <w:rFonts w:ascii="Bookman Old Style" w:hAnsi="Bookman Old Style"/>
          <w:b/>
          <w:bCs/>
          <w:sz w:val="20"/>
          <w:szCs w:val="20"/>
        </w:rPr>
        <w:t>5.</w:t>
      </w:r>
      <w:r w:rsidRPr="002A52AD">
        <w:rPr>
          <w:rFonts w:ascii="Bookman Old Style" w:hAnsi="Bookman Old Style"/>
          <w:b/>
          <w:bCs/>
          <w:sz w:val="20"/>
          <w:szCs w:val="20"/>
        </w:rPr>
        <w:t xml:space="preserve"> Расчет уменьшения стоимости</w:t>
      </w:r>
      <w:bookmarkEnd w:id="338"/>
      <w:bookmarkEnd w:id="339"/>
      <w:bookmarkEnd w:id="340"/>
      <w:bookmarkEnd w:id="341"/>
      <w:bookmarkEnd w:id="342"/>
    </w:p>
    <w:p w:rsidR="00510FEB" w:rsidRPr="002A52AD" w:rsidRDefault="00510FEB" w:rsidP="00510FEB">
      <w:pPr>
        <w:widowControl w:val="0"/>
        <w:autoSpaceDE w:val="0"/>
        <w:autoSpaceDN w:val="0"/>
        <w:adjustRightInd w:val="0"/>
        <w:spacing w:before="120" w:after="120"/>
        <w:ind w:firstLine="708"/>
        <w:jc w:val="both"/>
        <w:rPr>
          <w:rFonts w:ascii="Bookman Old Style" w:hAnsi="Bookman Old Style"/>
          <w:bCs/>
          <w:sz w:val="20"/>
          <w:szCs w:val="20"/>
        </w:rPr>
      </w:pPr>
      <w:r w:rsidRPr="002A52AD">
        <w:rPr>
          <w:rFonts w:ascii="Bookman Old Style" w:hAnsi="Bookman Old Style"/>
          <w:bCs/>
          <w:sz w:val="20"/>
          <w:szCs w:val="20"/>
        </w:rPr>
        <w:t>После расчета физического износа, функционального и внешнего устареваний, определено уменьшение стоимости элементов Объекта оценки вследствие указанных видов воздействий.</w:t>
      </w:r>
    </w:p>
    <w:p w:rsidR="00510FEB" w:rsidRPr="002A52AD" w:rsidRDefault="00510FEB" w:rsidP="00510FEB">
      <w:pPr>
        <w:spacing w:before="120" w:after="120"/>
        <w:ind w:firstLine="708"/>
        <w:jc w:val="both"/>
        <w:rPr>
          <w:rFonts w:ascii="Bookman Old Style" w:hAnsi="Bookman Old Style"/>
          <w:sz w:val="20"/>
          <w:szCs w:val="20"/>
        </w:rPr>
      </w:pPr>
      <w:r w:rsidRPr="002A52AD">
        <w:rPr>
          <w:rFonts w:ascii="Bookman Old Style" w:hAnsi="Bookman Old Style"/>
          <w:sz w:val="20"/>
          <w:szCs w:val="20"/>
        </w:rPr>
        <w:t>Уменьшение стоимости элемента Объекта оценки определяется по формуле:</w:t>
      </w:r>
    </w:p>
    <w:p w:rsidR="00510FEB" w:rsidRPr="002A52AD" w:rsidRDefault="00510FEB" w:rsidP="00510FEB">
      <w:pPr>
        <w:spacing w:before="120" w:after="120"/>
        <w:jc w:val="both"/>
        <w:rPr>
          <w:rFonts w:asciiTheme="majorHAnsi" w:hAnsiTheme="majorHAnsi"/>
          <w:sz w:val="20"/>
          <w:szCs w:val="20"/>
        </w:rPr>
      </w:pPr>
      <m:oMathPara>
        <m:oMath>
          <m:sSub>
            <m:sSubPr>
              <m:ctrlPr>
                <w:rPr>
                  <w:rFonts w:ascii="Cambria Math" w:hAnsiTheme="majorHAnsi"/>
                  <w:sz w:val="24"/>
                  <w:szCs w:val="24"/>
                </w:rPr>
              </m:ctrlPr>
            </m:sSubPr>
            <m:e>
              <m:r>
                <m:rPr>
                  <m:sty m:val="p"/>
                </m:rPr>
                <w:rPr>
                  <w:rFonts w:ascii="Cambria Math" w:hAnsi="Cambria Math"/>
                  <w:sz w:val="20"/>
                  <w:szCs w:val="20"/>
                </w:rPr>
                <m:t>И</m:t>
              </m:r>
            </m:e>
            <m:sub>
              <m:r>
                <m:rPr>
                  <m:sty m:val="p"/>
                </m:rPr>
                <w:rPr>
                  <w:rFonts w:ascii="Cambria Math" w:hAnsi="Cambria Math"/>
                  <w:sz w:val="20"/>
                  <w:szCs w:val="20"/>
                </w:rPr>
                <m:t>с</m:t>
              </m:r>
            </m:sub>
          </m:sSub>
          <m:r>
            <m:rPr>
              <m:sty m:val="p"/>
            </m:rPr>
            <w:rPr>
              <w:rFonts w:ascii="Cambria Math" w:hAnsiTheme="majorHAnsi"/>
              <w:sz w:val="20"/>
              <w:szCs w:val="20"/>
            </w:rPr>
            <m:t>=1</m:t>
          </m:r>
          <m:r>
            <m:rPr>
              <m:sty m:val="p"/>
            </m:rPr>
            <w:rPr>
              <w:rFonts w:ascii="Cambria Math" w:hAnsi="Cambria Math"/>
              <w:sz w:val="20"/>
              <w:szCs w:val="20"/>
            </w:rPr>
            <m:t>-</m:t>
          </m:r>
          <m:d>
            <m:dPr>
              <m:ctrlPr>
                <w:rPr>
                  <w:rFonts w:ascii="Cambria Math" w:hAnsiTheme="majorHAnsi"/>
                  <w:sz w:val="24"/>
                  <w:szCs w:val="24"/>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4"/>
                      <w:szCs w:val="24"/>
                    </w:rPr>
                  </m:ctrlPr>
                </m:sSubPr>
                <m:e>
                  <m:r>
                    <m:rPr>
                      <m:sty m:val="p"/>
                    </m:rPr>
                    <w:rPr>
                      <w:rFonts w:ascii="Cambria Math" w:hAnsi="Cambria Math"/>
                      <w:sz w:val="20"/>
                      <w:szCs w:val="20"/>
                    </w:rPr>
                    <m:t>И</m:t>
                  </m:r>
                </m:e>
                <m:sub>
                  <m:r>
                    <m:rPr>
                      <m:sty m:val="p"/>
                    </m:rPr>
                    <w:rPr>
                      <w:rFonts w:ascii="Cambria Math" w:hAnsi="Cambria Math"/>
                      <w:sz w:val="20"/>
                      <w:szCs w:val="20"/>
                    </w:rPr>
                    <m:t>физ</m:t>
                  </m:r>
                </m:sub>
              </m:sSub>
            </m:e>
          </m:d>
          <m:r>
            <m:rPr>
              <m:sty m:val="p"/>
            </m:rPr>
            <w:rPr>
              <w:rFonts w:ascii="Cambria Math" w:hAnsi="Cambria Math"/>
              <w:sz w:val="20"/>
              <w:szCs w:val="20"/>
            </w:rPr>
            <m:t>×</m:t>
          </m:r>
          <m:d>
            <m:dPr>
              <m:ctrlPr>
                <w:rPr>
                  <w:rFonts w:ascii="Cambria Math" w:hAnsiTheme="majorHAnsi"/>
                  <w:sz w:val="24"/>
                  <w:szCs w:val="24"/>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4"/>
                      <w:szCs w:val="24"/>
                    </w:rPr>
                  </m:ctrlPr>
                </m:sSubPr>
                <m:e>
                  <m:r>
                    <m:rPr>
                      <m:sty m:val="p"/>
                    </m:rPr>
                    <w:rPr>
                      <w:rFonts w:ascii="Cambria Math" w:hAnsi="Cambria Math"/>
                      <w:sz w:val="20"/>
                      <w:szCs w:val="20"/>
                    </w:rPr>
                    <m:t>И</m:t>
                  </m:r>
                </m:e>
                <m:sub>
                  <m:r>
                    <m:rPr>
                      <m:sty m:val="p"/>
                    </m:rPr>
                    <w:rPr>
                      <w:rFonts w:ascii="Cambria Math" w:hAnsi="Cambria Math"/>
                      <w:sz w:val="20"/>
                      <w:szCs w:val="20"/>
                    </w:rPr>
                    <m:t>функц</m:t>
                  </m:r>
                </m:sub>
              </m:sSub>
            </m:e>
          </m:d>
          <m:r>
            <m:rPr>
              <m:sty m:val="p"/>
            </m:rPr>
            <w:rPr>
              <w:rFonts w:ascii="Cambria Math" w:hAnsi="Cambria Math"/>
              <w:sz w:val="20"/>
              <w:szCs w:val="20"/>
            </w:rPr>
            <m:t>×</m:t>
          </m:r>
          <m:d>
            <m:dPr>
              <m:ctrlPr>
                <w:rPr>
                  <w:rFonts w:ascii="Cambria Math" w:hAnsiTheme="majorHAnsi"/>
                  <w:sz w:val="24"/>
                  <w:szCs w:val="24"/>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4"/>
                      <w:szCs w:val="24"/>
                    </w:rPr>
                  </m:ctrlPr>
                </m:sSubPr>
                <m:e>
                  <m:r>
                    <m:rPr>
                      <m:sty m:val="p"/>
                    </m:rPr>
                    <w:rPr>
                      <w:rFonts w:ascii="Cambria Math" w:hAnsi="Cambria Math"/>
                      <w:sz w:val="20"/>
                      <w:szCs w:val="20"/>
                    </w:rPr>
                    <m:t>И</m:t>
                  </m:r>
                </m:e>
                <m:sub>
                  <m:r>
                    <m:rPr>
                      <m:sty m:val="p"/>
                    </m:rPr>
                    <w:rPr>
                      <w:rFonts w:ascii="Cambria Math" w:hAnsi="Cambria Math"/>
                      <w:sz w:val="20"/>
                      <w:szCs w:val="20"/>
                    </w:rPr>
                    <m:t>внеш</m:t>
                  </m:r>
                </m:sub>
              </m:sSub>
            </m:e>
          </m:d>
        </m:oMath>
      </m:oMathPara>
    </w:p>
    <w:p w:rsidR="00510FEB" w:rsidRPr="002A52AD" w:rsidRDefault="00510FEB" w:rsidP="00510FEB">
      <w:pPr>
        <w:spacing w:before="120" w:after="120"/>
        <w:ind w:left="709"/>
        <w:jc w:val="both"/>
        <w:rPr>
          <w:rFonts w:ascii="Bookman Old Style" w:hAnsi="Bookman Old Style"/>
          <w:sz w:val="20"/>
          <w:szCs w:val="20"/>
        </w:rPr>
      </w:pPr>
      <w:r w:rsidRPr="002A52AD">
        <w:rPr>
          <w:rFonts w:ascii="Bookman Old Style" w:hAnsi="Bookman Old Style"/>
          <w:sz w:val="20"/>
          <w:szCs w:val="20"/>
        </w:rPr>
        <w:t>где:</w:t>
      </w:r>
    </w:p>
    <w:p w:rsidR="00510FEB" w:rsidRPr="002A52AD" w:rsidRDefault="00510FEB" w:rsidP="00510FEB">
      <w:pPr>
        <w:spacing w:before="120" w:after="120"/>
        <w:ind w:left="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с</w:t>
      </w:r>
      <w:proofErr w:type="spellEnd"/>
      <w:r w:rsidRPr="002A52AD">
        <w:rPr>
          <w:rFonts w:ascii="Bookman Old Style" w:hAnsi="Bookman Old Style"/>
          <w:sz w:val="20"/>
          <w:szCs w:val="20"/>
          <w:vertAlign w:val="subscript"/>
        </w:rPr>
        <w:t xml:space="preserve"> </w:t>
      </w:r>
      <w:r w:rsidRPr="002A52AD">
        <w:rPr>
          <w:rFonts w:ascii="Bookman Old Style" w:hAnsi="Bookman Old Style"/>
          <w:sz w:val="20"/>
          <w:szCs w:val="20"/>
        </w:rPr>
        <w:t>– величина уменьшения стоимости элемента;</w:t>
      </w:r>
    </w:p>
    <w:p w:rsidR="00510FEB" w:rsidRPr="002A52AD" w:rsidRDefault="00510FEB" w:rsidP="00510FEB">
      <w:pPr>
        <w:spacing w:before="120" w:after="120"/>
        <w:ind w:left="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физ</w:t>
      </w:r>
      <w:proofErr w:type="spellEnd"/>
      <w:r w:rsidRPr="002A52AD">
        <w:rPr>
          <w:rFonts w:ascii="Bookman Old Style" w:hAnsi="Bookman Old Style"/>
          <w:sz w:val="20"/>
          <w:szCs w:val="20"/>
        </w:rPr>
        <w:t xml:space="preserve"> – физический износ элемента;</w:t>
      </w:r>
    </w:p>
    <w:p w:rsidR="00510FEB" w:rsidRPr="002A52AD" w:rsidRDefault="00510FEB" w:rsidP="00510FEB">
      <w:pPr>
        <w:spacing w:before="120" w:after="120"/>
        <w:ind w:left="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функц</w:t>
      </w:r>
      <w:proofErr w:type="spellEnd"/>
      <w:r w:rsidRPr="002A52AD">
        <w:rPr>
          <w:rFonts w:ascii="Bookman Old Style" w:hAnsi="Bookman Old Style"/>
          <w:sz w:val="20"/>
          <w:szCs w:val="20"/>
        </w:rPr>
        <w:t xml:space="preserve"> – функциональное устаревание элемента;</w:t>
      </w:r>
    </w:p>
    <w:p w:rsidR="00510FEB" w:rsidRPr="002A52AD" w:rsidRDefault="00510FEB" w:rsidP="00510FEB">
      <w:pPr>
        <w:spacing w:before="120" w:after="120"/>
        <w:ind w:left="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внеш</w:t>
      </w:r>
      <w:proofErr w:type="spellEnd"/>
      <w:r w:rsidRPr="002A52AD">
        <w:rPr>
          <w:rFonts w:ascii="Bookman Old Style" w:hAnsi="Bookman Old Style"/>
          <w:sz w:val="20"/>
          <w:szCs w:val="20"/>
        </w:rPr>
        <w:t xml:space="preserve"> – внешнее устаревание элемента.</w:t>
      </w:r>
    </w:p>
    <w:p w:rsidR="00510FEB" w:rsidRPr="002A52AD" w:rsidRDefault="00510FEB" w:rsidP="00510FEB">
      <w:pPr>
        <w:spacing w:before="120" w:after="120"/>
        <w:jc w:val="both"/>
        <w:rPr>
          <w:rFonts w:ascii="Bookman Old Style" w:hAnsi="Bookman Old Style"/>
          <w:sz w:val="20"/>
          <w:szCs w:val="20"/>
        </w:rPr>
      </w:pPr>
      <w:r w:rsidRPr="002A52AD">
        <w:rPr>
          <w:rFonts w:ascii="Bookman Old Style" w:hAnsi="Bookman Old Style"/>
          <w:sz w:val="20"/>
          <w:szCs w:val="20"/>
        </w:rPr>
        <w:tab/>
        <w:t>В результате расчета по формуле, определено общее уменьшения стоимости, вызванное: физическим состоянием, функциональным и внешним устареванием.</w:t>
      </w:r>
    </w:p>
    <w:p w:rsidR="00510FEB" w:rsidRPr="002A52AD" w:rsidRDefault="00510FEB" w:rsidP="00510FEB">
      <w:pPr>
        <w:spacing w:before="120" w:after="120"/>
        <w:ind w:firstLine="709"/>
        <w:rPr>
          <w:rFonts w:ascii="Bookman Old Style" w:hAnsi="Bookman Old Style"/>
          <w:sz w:val="20"/>
          <w:szCs w:val="20"/>
        </w:rPr>
      </w:pPr>
      <w:r w:rsidRPr="002A52AD">
        <w:rPr>
          <w:rFonts w:ascii="Bookman Old Style" w:hAnsi="Bookman Old Style"/>
          <w:sz w:val="20"/>
          <w:szCs w:val="20"/>
        </w:rPr>
        <w:t xml:space="preserve">Результаты расчета в пункте </w:t>
      </w:r>
      <w:r>
        <w:rPr>
          <w:rFonts w:ascii="Bookman Old Style" w:hAnsi="Bookman Old Style"/>
          <w:sz w:val="20"/>
          <w:szCs w:val="20"/>
        </w:rPr>
        <w:t>5.4.1.6</w:t>
      </w:r>
      <w:r w:rsidRPr="002A52AD">
        <w:rPr>
          <w:rFonts w:ascii="Bookman Old Style" w:hAnsi="Bookman Old Style"/>
          <w:sz w:val="20"/>
          <w:szCs w:val="20"/>
        </w:rPr>
        <w:t>.</w:t>
      </w:r>
    </w:p>
    <w:p w:rsidR="00510FEB" w:rsidRPr="002A52AD" w:rsidRDefault="00510FEB" w:rsidP="00510FEB">
      <w:pPr>
        <w:keepNext/>
        <w:spacing w:before="120"/>
        <w:outlineLvl w:val="2"/>
        <w:rPr>
          <w:rFonts w:ascii="Bookman Old Style" w:hAnsi="Bookman Old Style"/>
          <w:b/>
          <w:bCs/>
          <w:sz w:val="20"/>
          <w:szCs w:val="20"/>
        </w:rPr>
      </w:pPr>
      <w:bookmarkStart w:id="343" w:name="_Toc320767148"/>
      <w:bookmarkStart w:id="344" w:name="_Toc319330043"/>
      <w:bookmarkStart w:id="345" w:name="_Toc411006086"/>
      <w:bookmarkStart w:id="346" w:name="_Toc460764375"/>
      <w:bookmarkStart w:id="347" w:name="_Toc461375619"/>
      <w:r w:rsidRPr="002A52AD">
        <w:rPr>
          <w:rFonts w:ascii="Bookman Old Style" w:hAnsi="Bookman Old Style"/>
          <w:b/>
          <w:bCs/>
          <w:sz w:val="20"/>
          <w:szCs w:val="20"/>
        </w:rPr>
        <w:lastRenderedPageBreak/>
        <w:t>5.</w:t>
      </w:r>
      <w:r w:rsidR="0070748F">
        <w:rPr>
          <w:rFonts w:ascii="Bookman Old Style" w:hAnsi="Bookman Old Style"/>
          <w:b/>
          <w:bCs/>
          <w:sz w:val="20"/>
          <w:szCs w:val="20"/>
        </w:rPr>
        <w:t>6</w:t>
      </w:r>
      <w:r w:rsidRPr="002A52AD">
        <w:rPr>
          <w:rFonts w:ascii="Bookman Old Style" w:hAnsi="Bookman Old Style"/>
          <w:b/>
          <w:bCs/>
          <w:sz w:val="20"/>
          <w:szCs w:val="20"/>
        </w:rPr>
        <w:t>.1.</w:t>
      </w:r>
      <w:r>
        <w:rPr>
          <w:rFonts w:ascii="Bookman Old Style" w:hAnsi="Bookman Old Style"/>
          <w:b/>
          <w:bCs/>
          <w:sz w:val="20"/>
          <w:szCs w:val="20"/>
        </w:rPr>
        <w:t>6.</w:t>
      </w:r>
      <w:r w:rsidRPr="002A52AD">
        <w:rPr>
          <w:rFonts w:ascii="Bookman Old Style" w:hAnsi="Bookman Old Style"/>
          <w:b/>
          <w:bCs/>
          <w:sz w:val="20"/>
          <w:szCs w:val="20"/>
        </w:rPr>
        <w:t xml:space="preserve"> Рыночная стоимость элемента Объекта оценки затратным подходом</w:t>
      </w:r>
      <w:bookmarkEnd w:id="343"/>
      <w:bookmarkEnd w:id="344"/>
      <w:bookmarkEnd w:id="345"/>
      <w:bookmarkEnd w:id="346"/>
      <w:bookmarkEnd w:id="347"/>
    </w:p>
    <w:p w:rsidR="00510FEB" w:rsidRPr="002A52AD" w:rsidRDefault="00510FEB" w:rsidP="00510FEB">
      <w:pPr>
        <w:widowControl w:val="0"/>
        <w:autoSpaceDE w:val="0"/>
        <w:autoSpaceDN w:val="0"/>
        <w:adjustRightInd w:val="0"/>
        <w:spacing w:before="120" w:after="120"/>
        <w:ind w:firstLine="708"/>
        <w:jc w:val="both"/>
        <w:rPr>
          <w:rFonts w:ascii="Bookman Old Style" w:hAnsi="Bookman Old Style"/>
          <w:bCs/>
          <w:sz w:val="20"/>
          <w:szCs w:val="20"/>
        </w:rPr>
      </w:pPr>
      <w:r w:rsidRPr="002A52AD">
        <w:rPr>
          <w:rFonts w:ascii="Bookman Old Style" w:hAnsi="Bookman Old Style"/>
          <w:bCs/>
          <w:sz w:val="20"/>
          <w:szCs w:val="20"/>
        </w:rPr>
        <w:t>После определения стоимости затрат на замещение и воспроизводство элементов Объекта оценки, расчета величин физического износа, функционального и внешнего устаревания, была определена рыночная стоимость элементов Объекта оценки.</w:t>
      </w:r>
    </w:p>
    <w:p w:rsidR="00510FEB" w:rsidRPr="002A52AD" w:rsidRDefault="00510FEB" w:rsidP="00510FEB">
      <w:pPr>
        <w:widowControl w:val="0"/>
        <w:autoSpaceDE w:val="0"/>
        <w:autoSpaceDN w:val="0"/>
        <w:adjustRightInd w:val="0"/>
        <w:spacing w:before="120" w:after="120"/>
        <w:ind w:firstLine="708"/>
        <w:jc w:val="both"/>
        <w:rPr>
          <w:rFonts w:ascii="Bookman Old Style" w:hAnsi="Bookman Old Style"/>
          <w:bCs/>
          <w:sz w:val="20"/>
          <w:szCs w:val="20"/>
        </w:rPr>
      </w:pPr>
    </w:p>
    <w:p w:rsidR="00510FEB" w:rsidRPr="002A52AD" w:rsidRDefault="00510FEB" w:rsidP="00510FEB">
      <w:pPr>
        <w:widowControl w:val="0"/>
        <w:autoSpaceDE w:val="0"/>
        <w:autoSpaceDN w:val="0"/>
        <w:adjustRightInd w:val="0"/>
        <w:spacing w:before="120" w:after="120"/>
        <w:ind w:firstLine="708"/>
        <w:jc w:val="both"/>
        <w:rPr>
          <w:rFonts w:asciiTheme="majorHAnsi" w:hAnsiTheme="majorHAnsi"/>
          <w:bCs/>
          <w:sz w:val="20"/>
          <w:szCs w:val="20"/>
        </w:rPr>
      </w:pPr>
      <m:oMathPara>
        <m:oMath>
          <m:sSub>
            <m:sSubPr>
              <m:ctrlPr>
                <w:rPr>
                  <w:rFonts w:ascii="Cambria Math" w:hAnsiTheme="majorHAnsi"/>
                  <w:bCs/>
                  <w:sz w:val="24"/>
                  <w:szCs w:val="24"/>
                </w:rPr>
              </m:ctrlPr>
            </m:sSubPr>
            <m:e>
              <m:r>
                <m:rPr>
                  <m:sty m:val="p"/>
                </m:rPr>
                <w:rPr>
                  <w:rFonts w:ascii="Cambria Math" w:hAnsi="Cambria Math"/>
                  <w:sz w:val="20"/>
                  <w:szCs w:val="20"/>
                </w:rPr>
                <m:t>С</m:t>
              </m:r>
            </m:e>
            <m:sub>
              <m:r>
                <m:rPr>
                  <m:sty m:val="p"/>
                </m:rPr>
                <w:rPr>
                  <w:rFonts w:ascii="Cambria Math" w:hAnsi="Cambria Math"/>
                  <w:sz w:val="20"/>
                  <w:szCs w:val="20"/>
                </w:rPr>
                <m:t>объекта</m:t>
              </m:r>
            </m:sub>
          </m:sSub>
          <m:r>
            <m:rPr>
              <m:sty m:val="p"/>
            </m:rPr>
            <w:rPr>
              <w:rFonts w:ascii="Cambria Math" w:hAnsiTheme="majorHAnsi"/>
              <w:sz w:val="20"/>
              <w:szCs w:val="20"/>
            </w:rPr>
            <m:t>=</m:t>
          </m:r>
          <m:sSub>
            <m:sSubPr>
              <m:ctrlPr>
                <w:rPr>
                  <w:rFonts w:ascii="Cambria Math" w:hAnsiTheme="majorHAnsi"/>
                  <w:bCs/>
                  <w:sz w:val="24"/>
                  <w:szCs w:val="24"/>
                </w:rPr>
              </m:ctrlPr>
            </m:sSubPr>
            <m:e>
              <m:r>
                <m:rPr>
                  <m:sty m:val="p"/>
                </m:rPr>
                <w:rPr>
                  <w:rFonts w:ascii="Cambria Math" w:hAnsi="Cambria Math"/>
                  <w:sz w:val="20"/>
                  <w:szCs w:val="20"/>
                </w:rPr>
                <m:t>С</m:t>
              </m:r>
            </m:e>
            <m:sub>
              <m:r>
                <m:rPr>
                  <m:sty m:val="p"/>
                </m:rPr>
                <w:rPr>
                  <w:rFonts w:ascii="Cambria Math" w:hAnsi="Cambria Math"/>
                  <w:sz w:val="20"/>
                  <w:szCs w:val="20"/>
                </w:rPr>
                <m:t>аналога</m:t>
              </m:r>
            </m:sub>
          </m:sSub>
          <m:r>
            <m:rPr>
              <m:sty m:val="p"/>
            </m:rPr>
            <w:rPr>
              <w:rFonts w:ascii="Cambria Math" w:hAnsi="Cambria Math"/>
              <w:sz w:val="20"/>
              <w:szCs w:val="20"/>
            </w:rPr>
            <m:t>×</m:t>
          </m:r>
          <m:d>
            <m:dPr>
              <m:ctrlPr>
                <w:rPr>
                  <w:rFonts w:ascii="Cambria Math" w:hAnsiTheme="majorHAnsi"/>
                  <w:bCs/>
                  <w:sz w:val="24"/>
                  <w:szCs w:val="24"/>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bCs/>
                      <w:sz w:val="24"/>
                      <w:szCs w:val="24"/>
                    </w:rPr>
                  </m:ctrlPr>
                </m:sSubPr>
                <m:e>
                  <m:r>
                    <m:rPr>
                      <m:sty m:val="p"/>
                    </m:rPr>
                    <w:rPr>
                      <w:rFonts w:ascii="Cambria Math" w:hAnsi="Cambria Math"/>
                      <w:sz w:val="20"/>
                      <w:szCs w:val="20"/>
                    </w:rPr>
                    <m:t>И</m:t>
                  </m:r>
                </m:e>
                <m:sub>
                  <m:r>
                    <m:rPr>
                      <m:sty m:val="p"/>
                    </m:rPr>
                    <w:rPr>
                      <w:rFonts w:ascii="Cambria Math" w:hAnsi="Cambria Math"/>
                      <w:sz w:val="20"/>
                      <w:szCs w:val="20"/>
                    </w:rPr>
                    <m:t>с</m:t>
                  </m:r>
                </m:sub>
              </m:sSub>
            </m:e>
          </m:d>
        </m:oMath>
      </m:oMathPara>
    </w:p>
    <w:p w:rsidR="00510FEB" w:rsidRPr="002A52AD" w:rsidRDefault="00510FEB" w:rsidP="00510FEB">
      <w:pPr>
        <w:spacing w:before="120" w:after="120"/>
        <w:ind w:left="708"/>
        <w:jc w:val="both"/>
        <w:rPr>
          <w:rFonts w:ascii="Bookman Old Style" w:hAnsi="Bookman Old Style"/>
          <w:sz w:val="20"/>
          <w:szCs w:val="20"/>
        </w:rPr>
      </w:pPr>
      <w:r w:rsidRPr="002A52AD">
        <w:rPr>
          <w:rFonts w:ascii="Bookman Old Style" w:hAnsi="Bookman Old Style"/>
          <w:sz w:val="20"/>
          <w:szCs w:val="20"/>
        </w:rPr>
        <w:t>Где:</w:t>
      </w:r>
    </w:p>
    <w:p w:rsidR="00510FEB" w:rsidRPr="002A52AD" w:rsidRDefault="00510FEB" w:rsidP="00510FEB">
      <w:pPr>
        <w:spacing w:before="120" w:after="120"/>
        <w:ind w:left="708"/>
        <w:jc w:val="both"/>
        <w:rPr>
          <w:rFonts w:ascii="Bookman Old Style" w:hAnsi="Bookman Old Style"/>
          <w:sz w:val="20"/>
          <w:szCs w:val="20"/>
        </w:rPr>
      </w:pPr>
      <w:proofErr w:type="spellStart"/>
      <w:r w:rsidRPr="002A52AD">
        <w:rPr>
          <w:rFonts w:ascii="Bookman Old Style" w:hAnsi="Bookman Old Style"/>
          <w:sz w:val="20"/>
          <w:szCs w:val="20"/>
        </w:rPr>
        <w:t>С</w:t>
      </w:r>
      <w:r w:rsidRPr="002A52AD">
        <w:rPr>
          <w:rFonts w:ascii="Bookman Old Style" w:hAnsi="Bookman Old Style"/>
          <w:sz w:val="20"/>
          <w:szCs w:val="20"/>
          <w:vertAlign w:val="subscript"/>
        </w:rPr>
        <w:t>объекта</w:t>
      </w:r>
      <w:proofErr w:type="spellEnd"/>
      <w:r w:rsidRPr="002A52AD">
        <w:rPr>
          <w:rFonts w:ascii="Bookman Old Style" w:hAnsi="Bookman Old Style"/>
          <w:sz w:val="20"/>
          <w:szCs w:val="20"/>
        </w:rPr>
        <w:t xml:space="preserve"> – рыночная стоимость элемента Объекта оценки;</w:t>
      </w:r>
    </w:p>
    <w:p w:rsidR="00510FEB" w:rsidRPr="002A52AD" w:rsidRDefault="00510FEB" w:rsidP="00510FEB">
      <w:pPr>
        <w:spacing w:before="120" w:after="120"/>
        <w:ind w:left="708"/>
        <w:jc w:val="both"/>
        <w:rPr>
          <w:rFonts w:ascii="Bookman Old Style" w:hAnsi="Bookman Old Style"/>
          <w:sz w:val="20"/>
          <w:szCs w:val="20"/>
        </w:rPr>
      </w:pPr>
      <w:proofErr w:type="spellStart"/>
      <w:r w:rsidRPr="002A52AD">
        <w:rPr>
          <w:rFonts w:ascii="Bookman Old Style" w:hAnsi="Bookman Old Style"/>
          <w:sz w:val="20"/>
          <w:szCs w:val="20"/>
        </w:rPr>
        <w:t>С</w:t>
      </w:r>
      <w:r w:rsidRPr="002A52AD">
        <w:rPr>
          <w:rFonts w:ascii="Bookman Old Style" w:hAnsi="Bookman Old Style"/>
          <w:sz w:val="20"/>
          <w:szCs w:val="20"/>
          <w:vertAlign w:val="subscript"/>
        </w:rPr>
        <w:t>аналога</w:t>
      </w:r>
      <w:proofErr w:type="spellEnd"/>
      <w:r w:rsidRPr="002A52AD">
        <w:rPr>
          <w:rFonts w:ascii="Bookman Old Style" w:hAnsi="Bookman Old Style"/>
          <w:sz w:val="20"/>
          <w:szCs w:val="20"/>
        </w:rPr>
        <w:t xml:space="preserve"> –  стоимость затрат на замещение элемента Объекта оценки;</w:t>
      </w:r>
    </w:p>
    <w:p w:rsidR="00510FEB" w:rsidRPr="002A52AD" w:rsidRDefault="00510FEB" w:rsidP="00510FEB">
      <w:pPr>
        <w:spacing w:before="120" w:after="120"/>
        <w:ind w:left="708"/>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с</w:t>
      </w:r>
      <w:proofErr w:type="spellEnd"/>
      <w:r w:rsidRPr="002A52AD">
        <w:rPr>
          <w:rFonts w:ascii="Bookman Old Style" w:hAnsi="Bookman Old Style"/>
          <w:sz w:val="20"/>
          <w:szCs w:val="20"/>
        </w:rPr>
        <w:t xml:space="preserve"> – уменьшение стоимости элемента, вызванное физическим состоянием, функциональным и внешним устареванием.</w:t>
      </w:r>
    </w:p>
    <w:p w:rsidR="00510FEB" w:rsidRPr="002A52AD" w:rsidRDefault="00510FEB" w:rsidP="00510FEB">
      <w:pPr>
        <w:spacing w:before="120"/>
        <w:jc w:val="right"/>
        <w:rPr>
          <w:rFonts w:ascii="Bookman Old Style" w:hAnsi="Bookman Old Style"/>
          <w:b/>
          <w:sz w:val="20"/>
          <w:szCs w:val="20"/>
        </w:rPr>
      </w:pPr>
      <w:r w:rsidRPr="002A52AD">
        <w:rPr>
          <w:rFonts w:ascii="Bookman Old Style" w:hAnsi="Bookman Old Style"/>
          <w:b/>
          <w:sz w:val="20"/>
          <w:szCs w:val="20"/>
        </w:rPr>
        <w:t>Таблица 5.4.1.</w:t>
      </w:r>
      <w:r>
        <w:rPr>
          <w:rFonts w:ascii="Bookman Old Style" w:hAnsi="Bookman Old Style"/>
          <w:b/>
          <w:sz w:val="20"/>
          <w:szCs w:val="20"/>
        </w:rPr>
        <w:t>6</w:t>
      </w:r>
      <w:r w:rsidRPr="002A52AD">
        <w:rPr>
          <w:rFonts w:ascii="Bookman Old Style" w:hAnsi="Bookman Old Style"/>
          <w:b/>
          <w:sz w:val="20"/>
          <w:szCs w:val="20"/>
        </w:rPr>
        <w:t>.1. Рыночная стоимость элемента Объекта оценки</w:t>
      </w:r>
    </w:p>
    <w:tbl>
      <w:tblPr>
        <w:tblW w:w="5000" w:type="pct"/>
        <w:tblLook w:val="04A0" w:firstRow="1" w:lastRow="0" w:firstColumn="1" w:lastColumn="0" w:noHBand="0" w:noVBand="1"/>
      </w:tblPr>
      <w:tblGrid>
        <w:gridCol w:w="735"/>
        <w:gridCol w:w="3368"/>
        <w:gridCol w:w="734"/>
        <w:gridCol w:w="734"/>
        <w:gridCol w:w="1134"/>
        <w:gridCol w:w="1025"/>
        <w:gridCol w:w="959"/>
        <w:gridCol w:w="734"/>
        <w:gridCol w:w="998"/>
      </w:tblGrid>
      <w:tr w:rsidR="00510FEB" w:rsidRPr="00510FEB" w:rsidTr="00510FEB">
        <w:trPr>
          <w:trHeight w:val="585"/>
        </w:trPr>
        <w:tc>
          <w:tcPr>
            <w:tcW w:w="353"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5"/>
                <w:szCs w:val="15"/>
              </w:rPr>
            </w:pPr>
            <w:r w:rsidRPr="00510FEB">
              <w:rPr>
                <w:rFonts w:ascii="Cambria" w:hAnsi="Cambria"/>
                <w:color w:val="000000"/>
                <w:sz w:val="15"/>
                <w:szCs w:val="15"/>
              </w:rPr>
              <w:t xml:space="preserve">№ </w:t>
            </w:r>
            <w:proofErr w:type="gramStart"/>
            <w:r w:rsidRPr="00510FEB">
              <w:rPr>
                <w:rFonts w:ascii="Cambria" w:hAnsi="Cambria"/>
                <w:color w:val="000000"/>
                <w:sz w:val="15"/>
                <w:szCs w:val="15"/>
              </w:rPr>
              <w:t>п</w:t>
            </w:r>
            <w:proofErr w:type="gramEnd"/>
            <w:r w:rsidRPr="00510FEB">
              <w:rPr>
                <w:rFonts w:ascii="Cambria" w:hAnsi="Cambria"/>
                <w:color w:val="000000"/>
                <w:sz w:val="15"/>
                <w:szCs w:val="15"/>
              </w:rPr>
              <w:t>/п</w:t>
            </w:r>
          </w:p>
        </w:tc>
        <w:tc>
          <w:tcPr>
            <w:tcW w:w="1616"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5"/>
                <w:szCs w:val="15"/>
              </w:rPr>
            </w:pPr>
            <w:r w:rsidRPr="00510FEB">
              <w:rPr>
                <w:rFonts w:ascii="Cambria" w:hAnsi="Cambria"/>
                <w:color w:val="000000"/>
                <w:sz w:val="15"/>
                <w:szCs w:val="15"/>
              </w:rPr>
              <w:t>Наименование элемента Объекта оценки</w:t>
            </w:r>
          </w:p>
        </w:tc>
        <w:tc>
          <w:tcPr>
            <w:tcW w:w="352"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5"/>
                <w:szCs w:val="15"/>
              </w:rPr>
            </w:pPr>
            <w:r w:rsidRPr="00510FEB">
              <w:rPr>
                <w:rFonts w:ascii="Cambria" w:hAnsi="Cambria"/>
                <w:color w:val="000000"/>
                <w:sz w:val="15"/>
                <w:szCs w:val="15"/>
              </w:rPr>
              <w:t>Ед. изм.</w:t>
            </w:r>
          </w:p>
        </w:tc>
        <w:tc>
          <w:tcPr>
            <w:tcW w:w="352"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5"/>
                <w:szCs w:val="15"/>
              </w:rPr>
            </w:pPr>
            <w:r w:rsidRPr="00510FEB">
              <w:rPr>
                <w:rFonts w:ascii="Cambria" w:hAnsi="Cambria"/>
                <w:color w:val="000000"/>
                <w:sz w:val="15"/>
                <w:szCs w:val="15"/>
              </w:rPr>
              <w:t>Кол-во</w:t>
            </w:r>
          </w:p>
        </w:tc>
        <w:tc>
          <w:tcPr>
            <w:tcW w:w="544"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5"/>
                <w:szCs w:val="15"/>
              </w:rPr>
            </w:pPr>
            <w:r w:rsidRPr="00510FEB">
              <w:rPr>
                <w:rFonts w:ascii="Cambria" w:hAnsi="Cambria"/>
                <w:color w:val="000000"/>
                <w:sz w:val="15"/>
                <w:szCs w:val="15"/>
              </w:rPr>
              <w:t xml:space="preserve">Стоимость затрат, руб. </w:t>
            </w:r>
          </w:p>
        </w:tc>
        <w:tc>
          <w:tcPr>
            <w:tcW w:w="492"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 xml:space="preserve">И </w:t>
            </w:r>
            <w:proofErr w:type="spellStart"/>
            <w:proofErr w:type="gramStart"/>
            <w:r w:rsidRPr="00510FEB">
              <w:rPr>
                <w:rFonts w:ascii="Cambria" w:hAnsi="Cambria"/>
                <w:color w:val="000000"/>
                <w:sz w:val="16"/>
                <w:szCs w:val="16"/>
                <w:vertAlign w:val="subscript"/>
              </w:rPr>
              <w:t>физ</w:t>
            </w:r>
            <w:proofErr w:type="spellEnd"/>
            <w:proofErr w:type="gramEnd"/>
            <w:r w:rsidRPr="00510FEB">
              <w:rPr>
                <w:rFonts w:ascii="Cambria" w:hAnsi="Cambria"/>
                <w:color w:val="000000"/>
                <w:sz w:val="16"/>
                <w:szCs w:val="16"/>
              </w:rPr>
              <w:t>, %</w:t>
            </w:r>
          </w:p>
        </w:tc>
        <w:tc>
          <w:tcPr>
            <w:tcW w:w="460" w:type="pct"/>
            <w:tcBorders>
              <w:top w:val="single" w:sz="4" w:space="0" w:color="auto"/>
              <w:left w:val="nil"/>
              <w:bottom w:val="single" w:sz="4" w:space="0" w:color="auto"/>
              <w:right w:val="single" w:sz="4" w:space="0" w:color="auto"/>
            </w:tcBorders>
            <w:shd w:val="clear" w:color="000000" w:fill="F2F2F2"/>
            <w:noWrap/>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 xml:space="preserve">И </w:t>
            </w:r>
            <w:proofErr w:type="spellStart"/>
            <w:r w:rsidRPr="00510FEB">
              <w:rPr>
                <w:rFonts w:ascii="Cambria" w:hAnsi="Cambria"/>
                <w:color w:val="000000"/>
                <w:sz w:val="16"/>
                <w:szCs w:val="16"/>
                <w:vertAlign w:val="subscript"/>
              </w:rPr>
              <w:t>функц</w:t>
            </w:r>
            <w:proofErr w:type="spellEnd"/>
            <w:r w:rsidRPr="00510FEB">
              <w:rPr>
                <w:rFonts w:ascii="Cambria" w:hAnsi="Cambria"/>
                <w:color w:val="000000"/>
                <w:sz w:val="16"/>
                <w:szCs w:val="16"/>
              </w:rPr>
              <w:t>, %</w:t>
            </w:r>
          </w:p>
        </w:tc>
        <w:tc>
          <w:tcPr>
            <w:tcW w:w="352" w:type="pct"/>
            <w:tcBorders>
              <w:top w:val="single" w:sz="4" w:space="0" w:color="auto"/>
              <w:left w:val="nil"/>
              <w:bottom w:val="single" w:sz="4" w:space="0" w:color="auto"/>
              <w:right w:val="single" w:sz="4" w:space="0" w:color="auto"/>
            </w:tcBorders>
            <w:shd w:val="clear" w:color="000000" w:fill="F2F2F2"/>
            <w:noWrap/>
            <w:vAlign w:val="center"/>
            <w:hideMark/>
          </w:tcPr>
          <w:p w:rsidR="00510FEB" w:rsidRPr="00510FEB" w:rsidRDefault="00510FEB" w:rsidP="00510FEB">
            <w:pPr>
              <w:jc w:val="center"/>
              <w:rPr>
                <w:rFonts w:ascii="Cambria" w:hAnsi="Cambria"/>
                <w:color w:val="000000"/>
                <w:sz w:val="16"/>
                <w:szCs w:val="16"/>
              </w:rPr>
            </w:pPr>
            <w:r w:rsidRPr="00510FEB">
              <w:rPr>
                <w:rFonts w:ascii="Cambria" w:hAnsi="Cambria"/>
                <w:color w:val="000000"/>
                <w:sz w:val="16"/>
                <w:szCs w:val="16"/>
              </w:rPr>
              <w:t xml:space="preserve">И </w:t>
            </w:r>
            <w:proofErr w:type="spellStart"/>
            <w:r w:rsidRPr="00510FEB">
              <w:rPr>
                <w:rFonts w:ascii="Cambria" w:hAnsi="Cambria"/>
                <w:color w:val="000000"/>
                <w:sz w:val="16"/>
                <w:szCs w:val="16"/>
                <w:vertAlign w:val="subscript"/>
              </w:rPr>
              <w:t>вн</w:t>
            </w:r>
            <w:proofErr w:type="spellEnd"/>
            <w:r w:rsidRPr="00510FEB">
              <w:rPr>
                <w:rFonts w:ascii="Cambria" w:hAnsi="Cambria"/>
                <w:color w:val="000000"/>
                <w:sz w:val="16"/>
                <w:szCs w:val="16"/>
              </w:rPr>
              <w:t>, %</w:t>
            </w:r>
          </w:p>
        </w:tc>
        <w:tc>
          <w:tcPr>
            <w:tcW w:w="479" w:type="pct"/>
            <w:tcBorders>
              <w:top w:val="single" w:sz="4" w:space="0" w:color="auto"/>
              <w:left w:val="nil"/>
              <w:bottom w:val="single" w:sz="4" w:space="0" w:color="auto"/>
              <w:right w:val="single" w:sz="4" w:space="0" w:color="auto"/>
            </w:tcBorders>
            <w:shd w:val="clear" w:color="000000" w:fill="F2F2F2"/>
            <w:vAlign w:val="center"/>
            <w:hideMark/>
          </w:tcPr>
          <w:p w:rsidR="00510FEB" w:rsidRPr="00510FEB" w:rsidRDefault="00510FEB" w:rsidP="00510FEB">
            <w:pPr>
              <w:jc w:val="center"/>
              <w:rPr>
                <w:rFonts w:ascii="Cambria" w:hAnsi="Cambria"/>
                <w:color w:val="000000"/>
                <w:sz w:val="15"/>
                <w:szCs w:val="15"/>
              </w:rPr>
            </w:pPr>
            <w:r w:rsidRPr="00510FEB">
              <w:rPr>
                <w:rFonts w:ascii="Cambria" w:hAnsi="Cambria"/>
                <w:color w:val="000000"/>
                <w:sz w:val="15"/>
                <w:szCs w:val="15"/>
              </w:rPr>
              <w:t>Стоимость элемента (округл), руб.</w:t>
            </w:r>
          </w:p>
        </w:tc>
      </w:tr>
      <w:tr w:rsidR="00510FEB" w:rsidRPr="00510FEB" w:rsidTr="00510FEB">
        <w:trPr>
          <w:trHeight w:val="420"/>
        </w:trPr>
        <w:tc>
          <w:tcPr>
            <w:tcW w:w="353" w:type="pct"/>
            <w:tcBorders>
              <w:top w:val="nil"/>
              <w:left w:val="single" w:sz="4" w:space="0" w:color="auto"/>
              <w:bottom w:val="single" w:sz="4" w:space="0" w:color="auto"/>
              <w:right w:val="single" w:sz="4" w:space="0" w:color="auto"/>
            </w:tcBorders>
            <w:shd w:val="clear" w:color="auto" w:fill="auto"/>
            <w:vAlign w:val="center"/>
            <w:hideMark/>
          </w:tcPr>
          <w:p w:rsidR="00510FEB" w:rsidRPr="00510FEB" w:rsidRDefault="00510FEB" w:rsidP="00510FEB">
            <w:pPr>
              <w:jc w:val="right"/>
              <w:rPr>
                <w:rFonts w:ascii="Cambria" w:hAnsi="Cambria"/>
                <w:sz w:val="16"/>
                <w:szCs w:val="16"/>
              </w:rPr>
            </w:pPr>
            <w:r w:rsidRPr="00510FEB">
              <w:rPr>
                <w:rFonts w:ascii="Cambria" w:hAnsi="Cambria"/>
                <w:sz w:val="16"/>
                <w:szCs w:val="16"/>
              </w:rPr>
              <w:t>1</w:t>
            </w:r>
          </w:p>
        </w:tc>
        <w:tc>
          <w:tcPr>
            <w:tcW w:w="1616"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rPr>
                <w:rFonts w:ascii="Cambria" w:hAnsi="Cambria"/>
                <w:sz w:val="16"/>
                <w:szCs w:val="16"/>
                <w:lang w:val="en-US"/>
              </w:rPr>
            </w:pPr>
            <w:r w:rsidRPr="00510FEB">
              <w:rPr>
                <w:rFonts w:ascii="Cambria" w:hAnsi="Cambria"/>
                <w:sz w:val="16"/>
                <w:szCs w:val="16"/>
              </w:rPr>
              <w:t>Стойка</w:t>
            </w:r>
            <w:r w:rsidRPr="00510FEB">
              <w:rPr>
                <w:rFonts w:ascii="Cambria" w:hAnsi="Cambria"/>
                <w:sz w:val="16"/>
                <w:szCs w:val="16"/>
                <w:lang w:val="en-US"/>
              </w:rPr>
              <w:t xml:space="preserve"> 150 </w:t>
            </w:r>
            <w:r w:rsidRPr="00510FEB">
              <w:rPr>
                <w:rFonts w:ascii="Cambria" w:hAnsi="Cambria"/>
                <w:sz w:val="16"/>
                <w:szCs w:val="16"/>
              </w:rPr>
              <w:t>мм</w:t>
            </w:r>
            <w:r w:rsidRPr="00510FEB">
              <w:rPr>
                <w:rFonts w:ascii="Cambria" w:hAnsi="Cambria"/>
                <w:sz w:val="16"/>
                <w:szCs w:val="16"/>
                <w:lang w:val="en-US"/>
              </w:rPr>
              <w:t>*4</w:t>
            </w:r>
            <w:r w:rsidRPr="00510FEB">
              <w:rPr>
                <w:rFonts w:ascii="Cambria" w:hAnsi="Cambria"/>
                <w:sz w:val="16"/>
                <w:szCs w:val="16"/>
              </w:rPr>
              <w:t>м</w:t>
            </w:r>
            <w:r w:rsidRPr="00510FEB">
              <w:rPr>
                <w:rFonts w:ascii="Cambria" w:hAnsi="Cambria"/>
                <w:sz w:val="16"/>
                <w:szCs w:val="16"/>
                <w:lang w:val="en-US"/>
              </w:rPr>
              <w:t xml:space="preserve">, </w:t>
            </w:r>
            <w:proofErr w:type="spellStart"/>
            <w:r w:rsidRPr="00510FEB">
              <w:rPr>
                <w:rFonts w:ascii="Cambria" w:hAnsi="Cambria"/>
                <w:sz w:val="16"/>
                <w:szCs w:val="16"/>
                <w:lang w:val="en-US"/>
              </w:rPr>
              <w:t>Naturall</w:t>
            </w:r>
            <w:proofErr w:type="spellEnd"/>
            <w:r w:rsidRPr="00510FEB">
              <w:rPr>
                <w:rFonts w:ascii="Cambria" w:hAnsi="Cambria"/>
                <w:sz w:val="16"/>
                <w:szCs w:val="16"/>
                <w:lang w:val="en-US"/>
              </w:rPr>
              <w:t xml:space="preserve"> </w:t>
            </w:r>
            <w:proofErr w:type="spellStart"/>
            <w:r w:rsidRPr="00510FEB">
              <w:rPr>
                <w:rFonts w:ascii="Cambria" w:hAnsi="Cambria"/>
                <w:sz w:val="16"/>
                <w:szCs w:val="16"/>
                <w:lang w:val="en-US"/>
              </w:rPr>
              <w:t>Noce</w:t>
            </w:r>
            <w:proofErr w:type="spellEnd"/>
            <w:r w:rsidRPr="00510FEB">
              <w:rPr>
                <w:rFonts w:ascii="Cambria" w:hAnsi="Cambria"/>
                <w:sz w:val="16"/>
                <w:szCs w:val="16"/>
                <w:lang w:val="en-US"/>
              </w:rPr>
              <w:t xml:space="preserve"> </w:t>
            </w:r>
            <w:proofErr w:type="spellStart"/>
            <w:r w:rsidRPr="00510FEB">
              <w:rPr>
                <w:rFonts w:ascii="Cambria" w:hAnsi="Cambria"/>
                <w:sz w:val="16"/>
                <w:szCs w:val="16"/>
                <w:lang w:val="en-US"/>
              </w:rPr>
              <w:t>Scuro</w:t>
            </w:r>
            <w:proofErr w:type="spellEnd"/>
          </w:p>
        </w:tc>
        <w:tc>
          <w:tcPr>
            <w:tcW w:w="352"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center"/>
              <w:rPr>
                <w:rFonts w:ascii="Cambria" w:hAnsi="Cambria"/>
                <w:sz w:val="16"/>
                <w:szCs w:val="16"/>
              </w:rPr>
            </w:pPr>
            <w:r w:rsidRPr="00510FEB">
              <w:rPr>
                <w:rFonts w:ascii="Cambria" w:hAnsi="Cambria"/>
                <w:sz w:val="16"/>
                <w:szCs w:val="16"/>
              </w:rPr>
              <w:t>шт</w:t>
            </w:r>
          </w:p>
        </w:tc>
        <w:tc>
          <w:tcPr>
            <w:tcW w:w="352"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center"/>
              <w:rPr>
                <w:rFonts w:ascii="Cambria" w:hAnsi="Cambria"/>
                <w:sz w:val="16"/>
                <w:szCs w:val="16"/>
              </w:rPr>
            </w:pPr>
            <w:r w:rsidRPr="00510FEB">
              <w:rPr>
                <w:rFonts w:ascii="Cambria" w:hAnsi="Cambria"/>
                <w:sz w:val="16"/>
                <w:szCs w:val="16"/>
              </w:rPr>
              <w:t>200</w:t>
            </w:r>
          </w:p>
        </w:tc>
        <w:tc>
          <w:tcPr>
            <w:tcW w:w="544"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right"/>
              <w:rPr>
                <w:rFonts w:ascii="Cambria" w:hAnsi="Cambria"/>
                <w:sz w:val="16"/>
                <w:szCs w:val="16"/>
              </w:rPr>
            </w:pPr>
            <w:r w:rsidRPr="00510FEB">
              <w:rPr>
                <w:rFonts w:ascii="Cambria" w:hAnsi="Cambria"/>
                <w:sz w:val="16"/>
                <w:szCs w:val="16"/>
              </w:rPr>
              <w:t>314 800</w:t>
            </w:r>
          </w:p>
        </w:tc>
        <w:tc>
          <w:tcPr>
            <w:tcW w:w="492"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right"/>
              <w:rPr>
                <w:rFonts w:ascii="Cambria" w:hAnsi="Cambria"/>
                <w:sz w:val="16"/>
                <w:szCs w:val="16"/>
              </w:rPr>
            </w:pPr>
            <w:r w:rsidRPr="00510FEB">
              <w:rPr>
                <w:rFonts w:ascii="Cambria" w:hAnsi="Cambria"/>
                <w:sz w:val="16"/>
                <w:szCs w:val="16"/>
              </w:rPr>
              <w:t>50%</w:t>
            </w:r>
          </w:p>
        </w:tc>
        <w:tc>
          <w:tcPr>
            <w:tcW w:w="460"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center"/>
              <w:rPr>
                <w:rFonts w:ascii="Cambria" w:hAnsi="Cambria"/>
                <w:sz w:val="16"/>
                <w:szCs w:val="16"/>
              </w:rPr>
            </w:pPr>
            <w:r w:rsidRPr="00510FEB">
              <w:rPr>
                <w:rFonts w:ascii="Cambria" w:hAnsi="Cambria"/>
                <w:sz w:val="16"/>
                <w:szCs w:val="16"/>
              </w:rPr>
              <w:t>0,0%</w:t>
            </w:r>
          </w:p>
        </w:tc>
        <w:tc>
          <w:tcPr>
            <w:tcW w:w="352"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center"/>
              <w:rPr>
                <w:rFonts w:ascii="Cambria" w:hAnsi="Cambria"/>
                <w:sz w:val="16"/>
                <w:szCs w:val="16"/>
              </w:rPr>
            </w:pPr>
            <w:r w:rsidRPr="00510FEB">
              <w:rPr>
                <w:rFonts w:ascii="Cambria" w:hAnsi="Cambria"/>
                <w:sz w:val="16"/>
                <w:szCs w:val="16"/>
              </w:rPr>
              <w:t>0,0%</w:t>
            </w:r>
          </w:p>
        </w:tc>
        <w:tc>
          <w:tcPr>
            <w:tcW w:w="479" w:type="pct"/>
            <w:tcBorders>
              <w:top w:val="nil"/>
              <w:left w:val="nil"/>
              <w:bottom w:val="single" w:sz="4" w:space="0" w:color="auto"/>
              <w:right w:val="single" w:sz="4" w:space="0" w:color="auto"/>
            </w:tcBorders>
            <w:shd w:val="clear" w:color="auto" w:fill="auto"/>
            <w:vAlign w:val="center"/>
            <w:hideMark/>
          </w:tcPr>
          <w:p w:rsidR="00510FEB" w:rsidRPr="00510FEB" w:rsidRDefault="00510FEB" w:rsidP="00510FEB">
            <w:pPr>
              <w:jc w:val="right"/>
              <w:rPr>
                <w:rFonts w:ascii="Cambria" w:hAnsi="Cambria"/>
                <w:sz w:val="16"/>
                <w:szCs w:val="16"/>
              </w:rPr>
            </w:pPr>
            <w:r w:rsidRPr="00510FEB">
              <w:rPr>
                <w:rFonts w:ascii="Cambria" w:hAnsi="Cambria"/>
                <w:sz w:val="16"/>
                <w:szCs w:val="16"/>
              </w:rPr>
              <w:t>157 400</w:t>
            </w:r>
          </w:p>
        </w:tc>
      </w:tr>
    </w:tbl>
    <w:p w:rsidR="00510FEB" w:rsidRPr="006A199E" w:rsidRDefault="00510FEB" w:rsidP="006A199E">
      <w:pPr>
        <w:spacing w:before="120" w:after="120"/>
        <w:ind w:firstLine="709"/>
        <w:jc w:val="both"/>
        <w:rPr>
          <w:rFonts w:ascii="Bookman Old Style" w:hAnsi="Bookman Old Style"/>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P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F45425">
      <w:pPr>
        <w:spacing w:before="120" w:after="120"/>
        <w:ind w:firstLine="709"/>
        <w:jc w:val="both"/>
        <w:rPr>
          <w:rFonts w:ascii="Bookman Old Style" w:hAnsi="Bookman Old Style"/>
          <w:sz w:val="20"/>
          <w:szCs w:val="20"/>
        </w:rPr>
      </w:pPr>
    </w:p>
    <w:p w:rsidR="00510FEB" w:rsidRDefault="00510FEB" w:rsidP="00F45425">
      <w:pPr>
        <w:spacing w:before="120" w:after="120"/>
        <w:ind w:firstLine="709"/>
        <w:jc w:val="both"/>
        <w:rPr>
          <w:rFonts w:ascii="Bookman Old Style" w:hAnsi="Bookman Old Style"/>
          <w:sz w:val="20"/>
          <w:szCs w:val="20"/>
        </w:rPr>
      </w:pPr>
    </w:p>
    <w:p w:rsidR="00510FEB" w:rsidRDefault="00510FEB" w:rsidP="00F45425">
      <w:pPr>
        <w:spacing w:before="120" w:after="120"/>
        <w:ind w:firstLine="709"/>
        <w:jc w:val="both"/>
        <w:rPr>
          <w:rFonts w:ascii="Bookman Old Style" w:hAnsi="Bookman Old Style"/>
          <w:sz w:val="20"/>
          <w:szCs w:val="20"/>
        </w:rPr>
      </w:pPr>
    </w:p>
    <w:p w:rsidR="00510FEB" w:rsidRDefault="00510FEB" w:rsidP="00F45425">
      <w:pPr>
        <w:spacing w:before="120" w:after="120"/>
        <w:ind w:firstLine="709"/>
        <w:jc w:val="both"/>
        <w:rPr>
          <w:rFonts w:ascii="Bookman Old Style" w:hAnsi="Bookman Old Style"/>
          <w:sz w:val="20"/>
          <w:szCs w:val="20"/>
        </w:rPr>
      </w:pPr>
    </w:p>
    <w:p w:rsidR="006A199E" w:rsidRDefault="006A199E" w:rsidP="00F45425">
      <w:pPr>
        <w:spacing w:before="120" w:after="120"/>
        <w:ind w:firstLine="709"/>
        <w:jc w:val="both"/>
        <w:rPr>
          <w:rFonts w:ascii="Bookman Old Style" w:hAnsi="Bookman Old Style"/>
          <w:sz w:val="20"/>
          <w:szCs w:val="20"/>
        </w:rPr>
      </w:pPr>
    </w:p>
    <w:p w:rsidR="006A199E" w:rsidRPr="00431CC5" w:rsidRDefault="006A199E" w:rsidP="00F45425">
      <w:pPr>
        <w:spacing w:before="120" w:after="120"/>
        <w:ind w:firstLine="709"/>
        <w:jc w:val="both"/>
        <w:rPr>
          <w:rFonts w:ascii="Bookman Old Style" w:hAnsi="Bookman Old Style"/>
          <w:sz w:val="20"/>
          <w:szCs w:val="20"/>
        </w:rPr>
      </w:pPr>
    </w:p>
    <w:p w:rsidR="00F45425" w:rsidRPr="000877E7" w:rsidRDefault="00F45425" w:rsidP="00F45425">
      <w:pPr>
        <w:pStyle w:val="1"/>
        <w:spacing w:before="120" w:after="120"/>
        <w:jc w:val="center"/>
        <w:rPr>
          <w:rFonts w:ascii="Bookman Old Style" w:hAnsi="Bookman Old Style"/>
        </w:rPr>
      </w:pPr>
      <w:bookmarkStart w:id="348" w:name="_Toc461375620"/>
      <w:bookmarkEnd w:id="263"/>
      <w:bookmarkEnd w:id="264"/>
      <w:r w:rsidRPr="00EB1E72">
        <w:rPr>
          <w:rFonts w:ascii="Bookman Old Style" w:hAnsi="Bookman Old Style"/>
        </w:rPr>
        <w:lastRenderedPageBreak/>
        <w:t>6. СОГЛАСОВАНИЕ РЕЗУЛЬТАТОВ</w:t>
      </w:r>
      <w:bookmarkEnd w:id="348"/>
    </w:p>
    <w:p w:rsidR="006A199E" w:rsidRPr="006A199E" w:rsidRDefault="00F45425" w:rsidP="006A199E">
      <w:pPr>
        <w:spacing w:before="120" w:after="120"/>
        <w:ind w:firstLine="708"/>
        <w:jc w:val="both"/>
        <w:rPr>
          <w:rFonts w:ascii="Bookman Old Style" w:hAnsi="Bookman Old Style"/>
          <w:color w:val="000000"/>
          <w:sz w:val="20"/>
          <w:szCs w:val="20"/>
        </w:rPr>
      </w:pPr>
      <w:r w:rsidRPr="004A53BF">
        <w:rPr>
          <w:rFonts w:ascii="Bookman Old Style" w:hAnsi="Bookman Old Style"/>
          <w:sz w:val="20"/>
          <w:szCs w:val="20"/>
        </w:rPr>
        <w:tab/>
      </w:r>
      <w:r w:rsidR="006A199E" w:rsidRPr="006A199E">
        <w:rPr>
          <w:rFonts w:ascii="Bookman Old Style" w:hAnsi="Bookman Old Style"/>
          <w:sz w:val="20"/>
          <w:szCs w:val="20"/>
        </w:rPr>
        <w:t xml:space="preserve">В разделе согласования результатов должно быть проведено согласование </w:t>
      </w:r>
      <w:proofErr w:type="gramStart"/>
      <w:r w:rsidR="006A199E" w:rsidRPr="006A199E">
        <w:rPr>
          <w:rFonts w:ascii="Bookman Old Style" w:hAnsi="Bookman Old Style"/>
          <w:sz w:val="20"/>
          <w:szCs w:val="20"/>
        </w:rPr>
        <w:t>результатов</w:t>
      </w:r>
      <w:proofErr w:type="gramEnd"/>
      <w:r w:rsidR="006A199E" w:rsidRPr="006A199E">
        <w:rPr>
          <w:rFonts w:ascii="Bookman Old Style" w:hAnsi="Bookman Old Style"/>
          <w:sz w:val="20"/>
          <w:szCs w:val="20"/>
        </w:rPr>
        <w:t xml:space="preserve"> </w:t>
      </w:r>
      <w:r w:rsidR="006A199E" w:rsidRPr="006A199E">
        <w:rPr>
          <w:rFonts w:ascii="Bookman Old Style" w:hAnsi="Bookman Old Style"/>
          <w:color w:val="000000"/>
          <w:sz w:val="20"/>
          <w:szCs w:val="20"/>
        </w:rPr>
        <w:t>Рыночная стоимость нежилого здания рассчитана с помощью двух подходов, поэтому необходимо произвести согласование расчетов.</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Метод анализа иерархии (МАИ) применяется для согласования результатов, полученных с использованием различных подходов и методов оценки.</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1. Первым шагом МАИ является структурирование проблемы, согласование результатов в виде иерархии. В наиболее простом виде иерархия строится с вершины, представляющей цель проблемы через промежуточные уровни, обычно являющиеся критерием сравнения к самому нижнему уровню, который в общем случае является набором альтернатив.</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 xml:space="preserve">2. После иерархического воспроизведения проблемы строится матрица сравнения критериев и рассчитывается значение приоритетов критериев. Элемент матрицы - </w:t>
      </w:r>
      <w:proofErr w:type="spellStart"/>
      <w:proofErr w:type="gramStart"/>
      <w:r w:rsidRPr="006A199E">
        <w:rPr>
          <w:rFonts w:ascii="Bookman Old Style" w:hAnsi="Bookman Old Style"/>
          <w:bCs/>
          <w:color w:val="000000"/>
          <w:sz w:val="20"/>
          <w:szCs w:val="20"/>
        </w:rPr>
        <w:t>А</w:t>
      </w:r>
      <w:proofErr w:type="gramEnd"/>
      <w:r w:rsidRPr="006A199E">
        <w:rPr>
          <w:rFonts w:ascii="Bookman Old Style" w:hAnsi="Bookman Old Style"/>
          <w:bCs/>
          <w:color w:val="000000"/>
          <w:sz w:val="20"/>
          <w:szCs w:val="20"/>
        </w:rPr>
        <w:t>ij</w:t>
      </w:r>
      <w:proofErr w:type="spellEnd"/>
      <w:r w:rsidRPr="006A199E">
        <w:rPr>
          <w:rFonts w:ascii="Bookman Old Style" w:hAnsi="Bookman Old Style"/>
          <w:color w:val="000000"/>
          <w:sz w:val="20"/>
          <w:szCs w:val="20"/>
        </w:rPr>
        <w:t xml:space="preserve"> - представляет собой интенсивность элемента иерархии </w:t>
      </w:r>
      <w:r w:rsidRPr="006A199E">
        <w:rPr>
          <w:rFonts w:ascii="Bookman Old Style" w:hAnsi="Bookman Old Style"/>
          <w:bCs/>
          <w:color w:val="000000"/>
          <w:sz w:val="20"/>
          <w:szCs w:val="20"/>
        </w:rPr>
        <w:t>i</w:t>
      </w:r>
      <w:r w:rsidRPr="006A199E">
        <w:rPr>
          <w:rFonts w:ascii="Bookman Old Style" w:hAnsi="Bookman Old Style"/>
          <w:color w:val="000000"/>
          <w:sz w:val="20"/>
          <w:szCs w:val="20"/>
        </w:rPr>
        <w:t xml:space="preserve"> относительно иерархии </w:t>
      </w:r>
      <w:r w:rsidRPr="006A199E">
        <w:rPr>
          <w:rFonts w:ascii="Bookman Old Style" w:hAnsi="Bookman Old Style"/>
          <w:bCs/>
          <w:color w:val="000000"/>
          <w:sz w:val="20"/>
          <w:szCs w:val="20"/>
        </w:rPr>
        <w:t>j</w:t>
      </w:r>
      <w:r w:rsidRPr="006A199E">
        <w:rPr>
          <w:rFonts w:ascii="Bookman Old Style" w:hAnsi="Bookman Old Style"/>
          <w:color w:val="000000"/>
          <w:sz w:val="20"/>
          <w:szCs w:val="20"/>
        </w:rPr>
        <w:t>.</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Интенсивность проявления обычно оценивается по шкале интенсивности в балльных оценках от 1 до 9:</w:t>
      </w:r>
    </w:p>
    <w:tbl>
      <w:tblPr>
        <w:tblW w:w="5000" w:type="pct"/>
        <w:tblLook w:val="04A0" w:firstRow="1" w:lastRow="0" w:firstColumn="1" w:lastColumn="0" w:noHBand="0" w:noVBand="1"/>
      </w:tblPr>
      <w:tblGrid>
        <w:gridCol w:w="7605"/>
        <w:gridCol w:w="2816"/>
      </w:tblGrid>
      <w:tr w:rsidR="006A199E" w:rsidRPr="006A199E" w:rsidTr="00192166">
        <w:trPr>
          <w:cantSplit/>
          <w:trHeight w:val="227"/>
        </w:trPr>
        <w:tc>
          <w:tcPr>
            <w:tcW w:w="3649"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b/>
                <w:sz w:val="16"/>
                <w:szCs w:val="16"/>
              </w:rPr>
            </w:pPr>
            <w:r w:rsidRPr="006A199E">
              <w:rPr>
                <w:rFonts w:asciiTheme="majorHAnsi" w:hAnsiTheme="majorHAnsi"/>
                <w:b/>
                <w:sz w:val="16"/>
                <w:szCs w:val="16"/>
              </w:rPr>
              <w:t>Градация результатов сравнения</w:t>
            </w:r>
          </w:p>
        </w:tc>
        <w:tc>
          <w:tcPr>
            <w:tcW w:w="1351" w:type="pct"/>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6A199E" w:rsidRPr="006A199E" w:rsidRDefault="006A199E" w:rsidP="006A199E">
            <w:pPr>
              <w:jc w:val="center"/>
              <w:rPr>
                <w:rFonts w:asciiTheme="majorHAnsi" w:hAnsiTheme="majorHAnsi"/>
                <w:b/>
                <w:sz w:val="16"/>
                <w:szCs w:val="16"/>
              </w:rPr>
            </w:pPr>
            <w:r w:rsidRPr="006A199E">
              <w:rPr>
                <w:rFonts w:asciiTheme="majorHAnsi" w:hAnsiTheme="majorHAnsi"/>
                <w:b/>
                <w:sz w:val="16"/>
                <w:szCs w:val="16"/>
              </w:rPr>
              <w:t>Значение</w:t>
            </w:r>
          </w:p>
        </w:tc>
      </w:tr>
      <w:tr w:rsidR="006A199E" w:rsidRPr="006A199E" w:rsidTr="00192166">
        <w:trPr>
          <w:cantSplit/>
          <w:trHeight w:val="227"/>
        </w:trPr>
        <w:tc>
          <w:tcPr>
            <w:tcW w:w="3649" w:type="pct"/>
            <w:tcBorders>
              <w:top w:val="single" w:sz="4" w:space="0" w:color="auto"/>
              <w:left w:val="single" w:sz="8" w:space="0" w:color="auto"/>
              <w:bottom w:val="single" w:sz="4"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Равенство</w:t>
            </w:r>
          </w:p>
        </w:tc>
        <w:tc>
          <w:tcPr>
            <w:tcW w:w="1351" w:type="pct"/>
            <w:tcBorders>
              <w:top w:val="single" w:sz="4" w:space="0" w:color="auto"/>
              <w:left w:val="nil"/>
              <w:bottom w:val="single" w:sz="4"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1-2</w:t>
            </w:r>
          </w:p>
        </w:tc>
      </w:tr>
      <w:tr w:rsidR="006A199E" w:rsidRPr="006A199E" w:rsidTr="00192166">
        <w:trPr>
          <w:cantSplit/>
          <w:trHeight w:val="227"/>
        </w:trPr>
        <w:tc>
          <w:tcPr>
            <w:tcW w:w="3649" w:type="pct"/>
            <w:tcBorders>
              <w:top w:val="single" w:sz="4" w:space="0" w:color="auto"/>
              <w:left w:val="single" w:sz="8" w:space="0" w:color="auto"/>
              <w:bottom w:val="single" w:sz="4"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Незначительное преимущество</w:t>
            </w:r>
          </w:p>
        </w:tc>
        <w:tc>
          <w:tcPr>
            <w:tcW w:w="1351" w:type="pct"/>
            <w:tcBorders>
              <w:top w:val="single" w:sz="4" w:space="0" w:color="auto"/>
              <w:left w:val="nil"/>
              <w:bottom w:val="single" w:sz="4"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3-4</w:t>
            </w:r>
          </w:p>
        </w:tc>
      </w:tr>
      <w:tr w:rsidR="006A199E" w:rsidRPr="006A199E" w:rsidTr="00192166">
        <w:trPr>
          <w:cantSplit/>
          <w:trHeight w:val="227"/>
        </w:trPr>
        <w:tc>
          <w:tcPr>
            <w:tcW w:w="3649" w:type="pct"/>
            <w:tcBorders>
              <w:top w:val="single" w:sz="4" w:space="0" w:color="auto"/>
              <w:left w:val="single" w:sz="8" w:space="0" w:color="auto"/>
              <w:bottom w:val="single" w:sz="4"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Значительное преимущество</w:t>
            </w:r>
          </w:p>
        </w:tc>
        <w:tc>
          <w:tcPr>
            <w:tcW w:w="1351" w:type="pct"/>
            <w:tcBorders>
              <w:top w:val="single" w:sz="4" w:space="0" w:color="auto"/>
              <w:left w:val="nil"/>
              <w:bottom w:val="single" w:sz="4"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5-6</w:t>
            </w:r>
          </w:p>
        </w:tc>
      </w:tr>
      <w:tr w:rsidR="006A199E" w:rsidRPr="006A199E" w:rsidTr="00192166">
        <w:trPr>
          <w:cantSplit/>
          <w:trHeight w:val="227"/>
        </w:trPr>
        <w:tc>
          <w:tcPr>
            <w:tcW w:w="3649" w:type="pct"/>
            <w:tcBorders>
              <w:top w:val="single" w:sz="4" w:space="0" w:color="auto"/>
              <w:left w:val="single" w:sz="8" w:space="0" w:color="auto"/>
              <w:bottom w:val="single" w:sz="4"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Явное преимущество</w:t>
            </w:r>
          </w:p>
        </w:tc>
        <w:tc>
          <w:tcPr>
            <w:tcW w:w="1351" w:type="pct"/>
            <w:tcBorders>
              <w:top w:val="single" w:sz="4" w:space="0" w:color="auto"/>
              <w:left w:val="nil"/>
              <w:bottom w:val="single" w:sz="4"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7-8</w:t>
            </w:r>
          </w:p>
        </w:tc>
      </w:tr>
      <w:tr w:rsidR="006A199E" w:rsidRPr="006A199E" w:rsidTr="00192166">
        <w:trPr>
          <w:cantSplit/>
          <w:trHeight w:val="227"/>
        </w:trPr>
        <w:tc>
          <w:tcPr>
            <w:tcW w:w="3649" w:type="pct"/>
            <w:tcBorders>
              <w:top w:val="single" w:sz="4" w:space="0" w:color="auto"/>
              <w:left w:val="single" w:sz="8" w:space="0" w:color="auto"/>
              <w:bottom w:val="single" w:sz="8"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Абсолютное преимущество</w:t>
            </w:r>
          </w:p>
        </w:tc>
        <w:tc>
          <w:tcPr>
            <w:tcW w:w="1351" w:type="pct"/>
            <w:tcBorders>
              <w:top w:val="single" w:sz="4" w:space="0" w:color="auto"/>
              <w:left w:val="nil"/>
              <w:bottom w:val="single" w:sz="8"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9</w:t>
            </w:r>
          </w:p>
        </w:tc>
      </w:tr>
    </w:tbl>
    <w:p w:rsidR="006A199E" w:rsidRPr="006A199E" w:rsidRDefault="006A199E" w:rsidP="006A199E">
      <w:pPr>
        <w:spacing w:before="120" w:after="120"/>
        <w:ind w:firstLine="708"/>
        <w:jc w:val="both"/>
        <w:rPr>
          <w:rFonts w:ascii="Bookman Old Style" w:hAnsi="Bookman Old Style"/>
          <w:bCs/>
          <w:color w:val="000000"/>
          <w:sz w:val="20"/>
          <w:szCs w:val="20"/>
        </w:rPr>
      </w:pPr>
      <w:r w:rsidRPr="006A199E">
        <w:rPr>
          <w:rFonts w:ascii="Bookman Old Style" w:hAnsi="Bookman Old Style"/>
          <w:color w:val="000000"/>
          <w:sz w:val="20"/>
          <w:szCs w:val="20"/>
        </w:rPr>
        <w:t xml:space="preserve">Определяется итоговое значение веса каждой альтернативы путем умножения локальных </w:t>
      </w:r>
      <w:proofErr w:type="gramStart"/>
      <w:r w:rsidRPr="006A199E">
        <w:rPr>
          <w:rFonts w:ascii="Bookman Old Style" w:hAnsi="Bookman Old Style"/>
          <w:color w:val="000000"/>
          <w:sz w:val="20"/>
          <w:szCs w:val="20"/>
        </w:rPr>
        <w:t>приоритетов на приоритет</w:t>
      </w:r>
      <w:proofErr w:type="gramEnd"/>
      <w:r w:rsidRPr="006A199E">
        <w:rPr>
          <w:rFonts w:ascii="Bookman Old Style" w:hAnsi="Bookman Old Style"/>
          <w:color w:val="000000"/>
          <w:sz w:val="20"/>
          <w:szCs w:val="20"/>
        </w:rPr>
        <w:t xml:space="preserve"> соответствия критерия на вышестоящем уровне и дальнейшем суммировании по каждому элементу в соответствии с критерием, на который воздействует элемент.</w:t>
      </w:r>
      <w:bookmarkStart w:id="349" w:name="_Toc81823761"/>
      <w:r w:rsidRPr="006A199E">
        <w:rPr>
          <w:rFonts w:ascii="Bookman Old Style" w:hAnsi="Bookman Old Style"/>
          <w:color w:val="000000"/>
          <w:sz w:val="20"/>
          <w:szCs w:val="20"/>
        </w:rPr>
        <w:t xml:space="preserve"> </w:t>
      </w:r>
      <w:r w:rsidRPr="006A199E">
        <w:rPr>
          <w:rFonts w:ascii="Bookman Old Style" w:hAnsi="Bookman Old Style"/>
          <w:bCs/>
          <w:color w:val="000000"/>
          <w:sz w:val="20"/>
          <w:szCs w:val="20"/>
        </w:rPr>
        <w:t>Структурирование по иерархии</w:t>
      </w:r>
      <w:bookmarkEnd w:id="349"/>
      <w:r w:rsidRPr="006A199E">
        <w:rPr>
          <w:rFonts w:ascii="Bookman Old Style" w:hAnsi="Bookman Old Style"/>
          <w:bCs/>
          <w:color w:val="000000"/>
          <w:sz w:val="20"/>
          <w:szCs w:val="20"/>
        </w:rPr>
        <w:t>.</w:t>
      </w:r>
    </w:p>
    <w:tbl>
      <w:tblPr>
        <w:tblW w:w="5000" w:type="pct"/>
        <w:tblLook w:val="04A0" w:firstRow="1" w:lastRow="0" w:firstColumn="1" w:lastColumn="0" w:noHBand="0" w:noVBand="1"/>
      </w:tblPr>
      <w:tblGrid>
        <w:gridCol w:w="4508"/>
        <w:gridCol w:w="1446"/>
        <w:gridCol w:w="1524"/>
        <w:gridCol w:w="1499"/>
        <w:gridCol w:w="1444"/>
      </w:tblGrid>
      <w:tr w:rsidR="0070748F" w:rsidRPr="006A199E" w:rsidTr="00991B2D">
        <w:trPr>
          <w:cantSplit/>
          <w:trHeight w:val="227"/>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20"/>
                <w:szCs w:val="20"/>
              </w:rPr>
            </w:pPr>
            <w:r w:rsidRPr="006A199E">
              <w:rPr>
                <w:rFonts w:ascii="Bookman Old Style" w:hAnsi="Bookman Old Style"/>
                <w:color w:val="000000"/>
                <w:sz w:val="20"/>
                <w:szCs w:val="20"/>
              </w:rPr>
              <w:t xml:space="preserve">1. Расчет </w:t>
            </w:r>
            <w:proofErr w:type="gramStart"/>
            <w:r w:rsidRPr="006A199E">
              <w:rPr>
                <w:rFonts w:ascii="Bookman Old Style" w:hAnsi="Bookman Old Style"/>
                <w:color w:val="000000"/>
                <w:sz w:val="20"/>
                <w:szCs w:val="20"/>
              </w:rPr>
              <w:t>вектора значимости критериев качества методологии</w:t>
            </w:r>
            <w:proofErr w:type="gramEnd"/>
            <w:r w:rsidRPr="006A199E">
              <w:rPr>
                <w:rFonts w:ascii="Bookman Old Style" w:hAnsi="Bookman Old Style"/>
                <w:color w:val="000000"/>
                <w:sz w:val="20"/>
                <w:szCs w:val="20"/>
              </w:rPr>
              <w:t xml:space="preserve"> оценки (</w:t>
            </w:r>
            <w:proofErr w:type="spellStart"/>
            <w:r w:rsidRPr="006A199E">
              <w:rPr>
                <w:rFonts w:ascii="Bookman Old Style" w:hAnsi="Bookman Old Style"/>
                <w:color w:val="000000"/>
                <w:sz w:val="20"/>
                <w:szCs w:val="20"/>
              </w:rPr>
              <w:t>Wa</w:t>
            </w:r>
            <w:proofErr w:type="spellEnd"/>
            <w:r w:rsidRPr="006A199E">
              <w:rPr>
                <w:rFonts w:ascii="Bookman Old Style" w:hAnsi="Bookman Old Style"/>
                <w:color w:val="000000"/>
                <w:sz w:val="20"/>
                <w:szCs w:val="20"/>
              </w:rPr>
              <w:t>)</w:t>
            </w:r>
          </w:p>
        </w:tc>
      </w:tr>
      <w:tr w:rsidR="0070748F" w:rsidRPr="006A199E" w:rsidTr="00991B2D">
        <w:trPr>
          <w:cantSplit/>
          <w:trHeight w:val="227"/>
        </w:trPr>
        <w:tc>
          <w:tcPr>
            <w:tcW w:w="5000" w:type="pct"/>
            <w:gridSpan w:val="5"/>
            <w:tcBorders>
              <w:top w:val="nil"/>
              <w:left w:val="nil"/>
              <w:bottom w:val="nil"/>
              <w:right w:val="nil"/>
            </w:tcBorders>
            <w:shd w:val="clear" w:color="auto" w:fill="auto"/>
            <w:vAlign w:val="center"/>
            <w:hideMark/>
          </w:tcPr>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2. Влияние на качество методологии расчета</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Учёт принципа наиболее эффективного использования</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Обоснованность выполнения предпосылок выбранного метода расчёта</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Количество и значимость субъективных показателей и предположений</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b/>
                <w:bCs/>
                <w:sz w:val="16"/>
                <w:szCs w:val="16"/>
              </w:rPr>
            </w:pPr>
            <w:proofErr w:type="spellStart"/>
            <w:r w:rsidRPr="006A199E">
              <w:rPr>
                <w:rFonts w:asciiTheme="majorHAnsi" w:hAnsiTheme="majorHAnsi"/>
                <w:b/>
                <w:bCs/>
                <w:sz w:val="16"/>
                <w:szCs w:val="16"/>
              </w:rPr>
              <w:t>Wa</w:t>
            </w:r>
            <w:proofErr w:type="spellEnd"/>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Учёт принципа наиболее эффективного использования</w:t>
            </w:r>
          </w:p>
        </w:tc>
        <w:tc>
          <w:tcPr>
            <w:tcW w:w="694" w:type="pct"/>
            <w:tcBorders>
              <w:top w:val="nil"/>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3,00</w:t>
            </w:r>
          </w:p>
        </w:tc>
        <w:tc>
          <w:tcPr>
            <w:tcW w:w="719" w:type="pct"/>
            <w:tcBorders>
              <w:top w:val="nil"/>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0,50</w:t>
            </w:r>
          </w:p>
        </w:tc>
        <w:tc>
          <w:tcPr>
            <w:tcW w:w="693" w:type="pct"/>
            <w:tcBorders>
              <w:top w:val="nil"/>
              <w:left w:val="nil"/>
              <w:bottom w:val="single" w:sz="4" w:space="0" w:color="auto"/>
              <w:right w:val="single" w:sz="8" w:space="0" w:color="auto"/>
            </w:tcBorders>
            <w:shd w:val="clear" w:color="000000" w:fill="FFFFFF"/>
            <w:vAlign w:val="center"/>
            <w:hideMark/>
          </w:tcPr>
          <w:p w:rsidR="0070748F" w:rsidRPr="006A199E" w:rsidRDefault="0070748F" w:rsidP="00991B2D">
            <w:pPr>
              <w:jc w:val="center"/>
              <w:rPr>
                <w:rFonts w:asciiTheme="majorHAnsi" w:hAnsiTheme="majorHAnsi"/>
                <w:b/>
                <w:bCs/>
                <w:sz w:val="16"/>
                <w:szCs w:val="16"/>
              </w:rPr>
            </w:pPr>
            <w:r w:rsidRPr="006A199E">
              <w:rPr>
                <w:rFonts w:asciiTheme="majorHAnsi" w:hAnsiTheme="majorHAnsi"/>
                <w:b/>
                <w:bCs/>
                <w:sz w:val="16"/>
                <w:szCs w:val="16"/>
              </w:rPr>
              <w:t>0,309</w:t>
            </w:r>
          </w:p>
        </w:tc>
      </w:tr>
      <w:tr w:rsidR="0070748F" w:rsidRPr="006A199E" w:rsidTr="00991B2D">
        <w:trPr>
          <w:cantSplit/>
          <w:trHeight w:val="227"/>
        </w:trPr>
        <w:tc>
          <w:tcPr>
            <w:tcW w:w="216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Обоснованность предпосылок выбранного метода расчёта</w:t>
            </w:r>
          </w:p>
        </w:tc>
        <w:tc>
          <w:tcPr>
            <w:tcW w:w="694" w:type="pct"/>
            <w:tcBorders>
              <w:top w:val="single" w:sz="4" w:space="0" w:color="auto"/>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0,33</w:t>
            </w:r>
          </w:p>
        </w:tc>
        <w:tc>
          <w:tcPr>
            <w:tcW w:w="731" w:type="pct"/>
            <w:tcBorders>
              <w:top w:val="single" w:sz="4" w:space="0" w:color="auto"/>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1,00</w:t>
            </w:r>
          </w:p>
        </w:tc>
        <w:tc>
          <w:tcPr>
            <w:tcW w:w="719" w:type="pct"/>
            <w:tcBorders>
              <w:top w:val="single" w:sz="4" w:space="0" w:color="auto"/>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0,20</w:t>
            </w:r>
          </w:p>
        </w:tc>
        <w:tc>
          <w:tcPr>
            <w:tcW w:w="693" w:type="pct"/>
            <w:tcBorders>
              <w:top w:val="single" w:sz="4" w:space="0" w:color="auto"/>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b/>
                <w:bCs/>
                <w:sz w:val="16"/>
                <w:szCs w:val="16"/>
              </w:rPr>
            </w:pPr>
            <w:r w:rsidRPr="006A199E">
              <w:rPr>
                <w:rFonts w:asciiTheme="majorHAnsi" w:hAnsiTheme="majorHAnsi"/>
                <w:b/>
                <w:bCs/>
                <w:sz w:val="16"/>
                <w:szCs w:val="16"/>
              </w:rPr>
              <w:t>0,109</w:t>
            </w:r>
          </w:p>
        </w:tc>
      </w:tr>
      <w:tr w:rsidR="0070748F" w:rsidRPr="006A199E" w:rsidTr="00991B2D">
        <w:trPr>
          <w:cantSplit/>
          <w:trHeight w:val="241"/>
        </w:trPr>
        <w:tc>
          <w:tcPr>
            <w:tcW w:w="216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Количество и значимость субъективных показателей и предположений</w:t>
            </w:r>
          </w:p>
        </w:tc>
        <w:tc>
          <w:tcPr>
            <w:tcW w:w="694" w:type="pct"/>
            <w:tcBorders>
              <w:top w:val="single" w:sz="4" w:space="0" w:color="auto"/>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2,00</w:t>
            </w:r>
          </w:p>
        </w:tc>
        <w:tc>
          <w:tcPr>
            <w:tcW w:w="731" w:type="pct"/>
            <w:tcBorders>
              <w:top w:val="single" w:sz="4" w:space="0" w:color="auto"/>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5,00</w:t>
            </w:r>
          </w:p>
        </w:tc>
        <w:tc>
          <w:tcPr>
            <w:tcW w:w="719" w:type="pct"/>
            <w:tcBorders>
              <w:top w:val="single" w:sz="4" w:space="0" w:color="auto"/>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1,00</w:t>
            </w:r>
          </w:p>
        </w:tc>
        <w:tc>
          <w:tcPr>
            <w:tcW w:w="693" w:type="pct"/>
            <w:tcBorders>
              <w:top w:val="single" w:sz="4" w:space="0" w:color="auto"/>
              <w:left w:val="nil"/>
              <w:bottom w:val="single" w:sz="4" w:space="0" w:color="auto"/>
              <w:right w:val="single" w:sz="4" w:space="0" w:color="auto"/>
            </w:tcBorders>
            <w:shd w:val="clear" w:color="000000" w:fill="FFFFFF"/>
            <w:vAlign w:val="center"/>
            <w:hideMark/>
          </w:tcPr>
          <w:p w:rsidR="0070748F" w:rsidRPr="006A199E" w:rsidRDefault="0070748F" w:rsidP="00991B2D">
            <w:pPr>
              <w:jc w:val="center"/>
              <w:rPr>
                <w:rFonts w:asciiTheme="majorHAnsi" w:hAnsiTheme="majorHAnsi"/>
                <w:b/>
                <w:bCs/>
                <w:sz w:val="16"/>
                <w:szCs w:val="16"/>
              </w:rPr>
            </w:pPr>
            <w:r w:rsidRPr="006A199E">
              <w:rPr>
                <w:rFonts w:asciiTheme="majorHAnsi" w:hAnsiTheme="majorHAnsi"/>
                <w:b/>
                <w:bCs/>
                <w:sz w:val="16"/>
                <w:szCs w:val="16"/>
              </w:rPr>
              <w:t>0,582</w:t>
            </w:r>
          </w:p>
        </w:tc>
      </w:tr>
      <w:tr w:rsidR="0070748F" w:rsidRPr="006A199E" w:rsidTr="00991B2D">
        <w:trPr>
          <w:cantSplit/>
          <w:trHeight w:val="147"/>
        </w:trPr>
        <w:tc>
          <w:tcPr>
            <w:tcW w:w="5000" w:type="pct"/>
            <w:gridSpan w:val="5"/>
            <w:tcBorders>
              <w:top w:val="nil"/>
              <w:left w:val="nil"/>
              <w:bottom w:val="nil"/>
              <w:right w:val="nil"/>
            </w:tcBorders>
            <w:shd w:val="clear" w:color="auto" w:fill="auto"/>
            <w:noWrap/>
            <w:vAlign w:val="bottom"/>
          </w:tcPr>
          <w:p w:rsidR="0070748F" w:rsidRPr="006A199E" w:rsidRDefault="0070748F" w:rsidP="00991B2D">
            <w:pPr>
              <w:rPr>
                <w:rFonts w:ascii="Bookman Old Style" w:hAnsi="Bookman Old Style"/>
                <w:color w:val="000000"/>
                <w:sz w:val="20"/>
                <w:szCs w:val="20"/>
              </w:rPr>
            </w:pPr>
          </w:p>
        </w:tc>
      </w:tr>
      <w:tr w:rsidR="0070748F" w:rsidRPr="006A199E" w:rsidTr="00991B2D">
        <w:trPr>
          <w:cantSplit/>
          <w:trHeight w:val="80"/>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20"/>
                <w:szCs w:val="20"/>
              </w:rPr>
            </w:pPr>
            <w:r w:rsidRPr="006A199E">
              <w:rPr>
                <w:rFonts w:ascii="Bookman Old Style" w:hAnsi="Bookman Old Style"/>
                <w:color w:val="000000"/>
                <w:sz w:val="20"/>
                <w:szCs w:val="20"/>
              </w:rPr>
              <w:t>2. Расчет вектора значимости критериев качества исходной информации (</w:t>
            </w:r>
            <w:proofErr w:type="spellStart"/>
            <w:r w:rsidRPr="006A199E">
              <w:rPr>
                <w:rFonts w:ascii="Bookman Old Style" w:hAnsi="Bookman Old Style"/>
                <w:color w:val="000000"/>
                <w:sz w:val="20"/>
                <w:szCs w:val="20"/>
              </w:rPr>
              <w:t>Wb</w:t>
            </w:r>
            <w:proofErr w:type="spellEnd"/>
            <w:r w:rsidRPr="006A199E">
              <w:rPr>
                <w:rFonts w:ascii="Bookman Old Style" w:hAnsi="Bookman Old Style"/>
                <w:color w:val="000000"/>
                <w:sz w:val="20"/>
                <w:szCs w:val="20"/>
              </w:rPr>
              <w:t>)</w:t>
            </w: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3. Влияние на качество исходной информации</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Полнота</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Достоверность</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Соответствие требованиям рыночной стоимости</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b/>
                <w:bCs/>
                <w:sz w:val="16"/>
                <w:szCs w:val="16"/>
              </w:rPr>
            </w:pPr>
            <w:proofErr w:type="spellStart"/>
            <w:r w:rsidRPr="006A199E">
              <w:rPr>
                <w:rFonts w:asciiTheme="majorHAnsi" w:hAnsiTheme="majorHAnsi"/>
                <w:b/>
                <w:bCs/>
                <w:sz w:val="16"/>
                <w:szCs w:val="16"/>
              </w:rPr>
              <w:t>Wb</w:t>
            </w:r>
            <w:proofErr w:type="spellEnd"/>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Полнота</w:t>
            </w:r>
          </w:p>
        </w:tc>
        <w:tc>
          <w:tcPr>
            <w:tcW w:w="694"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0,50</w:t>
            </w:r>
          </w:p>
        </w:tc>
        <w:tc>
          <w:tcPr>
            <w:tcW w:w="719"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2,00</w:t>
            </w:r>
          </w:p>
        </w:tc>
        <w:tc>
          <w:tcPr>
            <w:tcW w:w="693" w:type="pct"/>
            <w:tcBorders>
              <w:top w:val="nil"/>
              <w:left w:val="nil"/>
              <w:bottom w:val="single" w:sz="4" w:space="0" w:color="auto"/>
              <w:right w:val="single" w:sz="8" w:space="0" w:color="auto"/>
            </w:tcBorders>
            <w:shd w:val="clear" w:color="000000" w:fill="FFFFFF"/>
            <w:vAlign w:val="center"/>
            <w:hideMark/>
          </w:tcPr>
          <w:p w:rsidR="0070748F" w:rsidRDefault="0070748F" w:rsidP="00991B2D">
            <w:pPr>
              <w:jc w:val="center"/>
              <w:rPr>
                <w:rFonts w:ascii="Cambria" w:hAnsi="Cambria"/>
                <w:b/>
                <w:bCs/>
                <w:sz w:val="16"/>
                <w:szCs w:val="16"/>
              </w:rPr>
            </w:pPr>
            <w:r>
              <w:rPr>
                <w:rFonts w:ascii="Cambria" w:hAnsi="Cambria"/>
                <w:b/>
                <w:bCs/>
                <w:sz w:val="16"/>
                <w:szCs w:val="16"/>
              </w:rPr>
              <w:t>0,286</w:t>
            </w:r>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Достоверность</w:t>
            </w:r>
          </w:p>
        </w:tc>
        <w:tc>
          <w:tcPr>
            <w:tcW w:w="694"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2,00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1,00</w:t>
            </w:r>
          </w:p>
        </w:tc>
        <w:tc>
          <w:tcPr>
            <w:tcW w:w="719"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4,00</w:t>
            </w:r>
          </w:p>
        </w:tc>
        <w:tc>
          <w:tcPr>
            <w:tcW w:w="693" w:type="pct"/>
            <w:tcBorders>
              <w:top w:val="nil"/>
              <w:left w:val="nil"/>
              <w:bottom w:val="single" w:sz="4" w:space="0" w:color="auto"/>
              <w:right w:val="single" w:sz="8" w:space="0" w:color="auto"/>
            </w:tcBorders>
            <w:shd w:val="clear" w:color="000000" w:fill="FFFFFF"/>
            <w:vAlign w:val="center"/>
            <w:hideMark/>
          </w:tcPr>
          <w:p w:rsidR="0070748F" w:rsidRDefault="0070748F" w:rsidP="00991B2D">
            <w:pPr>
              <w:jc w:val="center"/>
              <w:rPr>
                <w:rFonts w:ascii="Cambria" w:hAnsi="Cambria"/>
                <w:b/>
                <w:bCs/>
                <w:sz w:val="16"/>
                <w:szCs w:val="16"/>
              </w:rPr>
            </w:pPr>
            <w:r>
              <w:rPr>
                <w:rFonts w:ascii="Cambria" w:hAnsi="Cambria"/>
                <w:b/>
                <w:bCs/>
                <w:sz w:val="16"/>
                <w:szCs w:val="16"/>
              </w:rPr>
              <w:t>0,571</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Соответствие требованиям рыночной стоимости</w:t>
            </w:r>
          </w:p>
        </w:tc>
        <w:tc>
          <w:tcPr>
            <w:tcW w:w="694"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0,50</w:t>
            </w:r>
          </w:p>
        </w:tc>
        <w:tc>
          <w:tcPr>
            <w:tcW w:w="731"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0,25</w:t>
            </w:r>
          </w:p>
        </w:tc>
        <w:tc>
          <w:tcPr>
            <w:tcW w:w="719"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1,00</w:t>
            </w:r>
          </w:p>
        </w:tc>
        <w:tc>
          <w:tcPr>
            <w:tcW w:w="693" w:type="pct"/>
            <w:tcBorders>
              <w:top w:val="nil"/>
              <w:left w:val="nil"/>
              <w:bottom w:val="single" w:sz="8" w:space="0" w:color="auto"/>
              <w:right w:val="single" w:sz="8" w:space="0" w:color="auto"/>
            </w:tcBorders>
            <w:shd w:val="clear" w:color="000000" w:fill="FFFFFF"/>
            <w:vAlign w:val="center"/>
            <w:hideMark/>
          </w:tcPr>
          <w:p w:rsidR="0070748F" w:rsidRDefault="0070748F" w:rsidP="00991B2D">
            <w:pPr>
              <w:jc w:val="center"/>
              <w:rPr>
                <w:rFonts w:ascii="Cambria" w:hAnsi="Cambria"/>
                <w:b/>
                <w:bCs/>
                <w:sz w:val="16"/>
                <w:szCs w:val="16"/>
              </w:rPr>
            </w:pPr>
            <w:r>
              <w:rPr>
                <w:rFonts w:ascii="Cambria" w:hAnsi="Cambria"/>
                <w:b/>
                <w:bCs/>
                <w:sz w:val="16"/>
                <w:szCs w:val="16"/>
              </w:rPr>
              <w:t>0,143</w:t>
            </w: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20"/>
                <w:szCs w:val="20"/>
              </w:rPr>
            </w:pPr>
            <w:r w:rsidRPr="006A199E">
              <w:rPr>
                <w:rFonts w:ascii="Bookman Old Style" w:hAnsi="Bookman Old Style"/>
                <w:color w:val="000000"/>
                <w:sz w:val="20"/>
                <w:szCs w:val="20"/>
              </w:rPr>
              <w:t>3. Результирующий вектор приоритетов альтернатив (</w:t>
            </w:r>
            <w:proofErr w:type="spellStart"/>
            <w:proofErr w:type="gramStart"/>
            <w:r w:rsidRPr="006A199E">
              <w:rPr>
                <w:rFonts w:ascii="Bookman Old Style" w:hAnsi="Bookman Old Style"/>
                <w:color w:val="000000"/>
                <w:sz w:val="20"/>
                <w:szCs w:val="20"/>
              </w:rPr>
              <w:t>W</w:t>
            </w:r>
            <w:proofErr w:type="gramEnd"/>
            <w:r w:rsidRPr="006A199E">
              <w:rPr>
                <w:rFonts w:ascii="Bookman Old Style" w:hAnsi="Bookman Old Style"/>
                <w:color w:val="000000"/>
                <w:sz w:val="20"/>
                <w:szCs w:val="20"/>
              </w:rPr>
              <w:t>с</w:t>
            </w:r>
            <w:proofErr w:type="spellEnd"/>
            <w:r w:rsidRPr="006A199E">
              <w:rPr>
                <w:rFonts w:ascii="Bookman Old Style" w:hAnsi="Bookman Old Style"/>
                <w:color w:val="000000"/>
                <w:sz w:val="20"/>
                <w:szCs w:val="20"/>
              </w:rPr>
              <w:t>)</w:t>
            </w: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4. Влияние на достоверность величины рыночной стоимости</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Исходные данные</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sz w:val="16"/>
                <w:szCs w:val="16"/>
              </w:rPr>
            </w:pPr>
            <w:r w:rsidRPr="006A199E">
              <w:rPr>
                <w:rFonts w:asciiTheme="majorHAnsi" w:hAnsiTheme="majorHAnsi"/>
                <w:sz w:val="16"/>
                <w:szCs w:val="16"/>
              </w:rPr>
              <w:t>Методология расчета</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70748F" w:rsidRPr="006A199E" w:rsidRDefault="0070748F" w:rsidP="00991B2D">
            <w:pPr>
              <w:jc w:val="center"/>
              <w:rPr>
                <w:rFonts w:asciiTheme="majorHAnsi" w:hAnsiTheme="majorHAnsi"/>
                <w:b/>
                <w:bCs/>
                <w:sz w:val="16"/>
                <w:szCs w:val="16"/>
              </w:rPr>
            </w:pPr>
            <w:proofErr w:type="spellStart"/>
            <w:r w:rsidRPr="006A199E">
              <w:rPr>
                <w:rFonts w:asciiTheme="majorHAnsi" w:hAnsiTheme="majorHAnsi"/>
                <w:b/>
                <w:bCs/>
                <w:sz w:val="16"/>
                <w:szCs w:val="16"/>
              </w:rPr>
              <w:t>Wc</w:t>
            </w:r>
            <w:proofErr w:type="spellEnd"/>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Исходные данные</w:t>
            </w:r>
          </w:p>
        </w:tc>
        <w:tc>
          <w:tcPr>
            <w:tcW w:w="694"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0,33</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0,365</w:t>
            </w:r>
          </w:p>
        </w:tc>
      </w:tr>
      <w:tr w:rsidR="0070748F" w:rsidRPr="006A199E" w:rsidTr="00991B2D">
        <w:trPr>
          <w:cantSplit/>
          <w:trHeight w:val="227"/>
        </w:trPr>
        <w:tc>
          <w:tcPr>
            <w:tcW w:w="216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Theme="majorHAnsi" w:hAnsiTheme="majorHAnsi"/>
                <w:sz w:val="16"/>
                <w:szCs w:val="16"/>
              </w:rPr>
            </w:pPr>
            <w:r w:rsidRPr="006A199E">
              <w:rPr>
                <w:rFonts w:asciiTheme="majorHAnsi" w:hAnsiTheme="majorHAnsi"/>
                <w:sz w:val="16"/>
                <w:szCs w:val="16"/>
              </w:rPr>
              <w:t>Методология расчета</w:t>
            </w:r>
          </w:p>
        </w:tc>
        <w:tc>
          <w:tcPr>
            <w:tcW w:w="694" w:type="pct"/>
            <w:tcBorders>
              <w:top w:val="single" w:sz="4" w:space="0" w:color="auto"/>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1,00</w:t>
            </w:r>
          </w:p>
        </w:tc>
        <w:tc>
          <w:tcPr>
            <w:tcW w:w="731" w:type="pct"/>
            <w:tcBorders>
              <w:top w:val="single" w:sz="4" w:space="0" w:color="auto"/>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1,00</w:t>
            </w:r>
          </w:p>
        </w:tc>
        <w:tc>
          <w:tcPr>
            <w:tcW w:w="1412" w:type="pct"/>
            <w:gridSpan w:val="2"/>
            <w:tcBorders>
              <w:top w:val="single" w:sz="4" w:space="0" w:color="auto"/>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0,635</w:t>
            </w:r>
          </w:p>
        </w:tc>
      </w:tr>
      <w:tr w:rsidR="0070748F" w:rsidRPr="006A199E" w:rsidTr="00991B2D">
        <w:trPr>
          <w:cantSplit/>
          <w:trHeight w:val="227"/>
        </w:trPr>
        <w:tc>
          <w:tcPr>
            <w:tcW w:w="2163" w:type="pct"/>
            <w:tcBorders>
              <w:top w:val="single" w:sz="4" w:space="0" w:color="auto"/>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694" w:type="pct"/>
            <w:tcBorders>
              <w:top w:val="single" w:sz="4" w:space="0" w:color="auto"/>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731" w:type="pct"/>
            <w:tcBorders>
              <w:top w:val="single" w:sz="4" w:space="0" w:color="auto"/>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719" w:type="pct"/>
            <w:tcBorders>
              <w:top w:val="single" w:sz="4" w:space="0" w:color="auto"/>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693" w:type="pct"/>
            <w:tcBorders>
              <w:top w:val="single" w:sz="4" w:space="0" w:color="auto"/>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20"/>
                <w:szCs w:val="20"/>
              </w:rPr>
            </w:pPr>
            <w:r w:rsidRPr="006A199E">
              <w:rPr>
                <w:rFonts w:ascii="Bookman Old Style" w:hAnsi="Bookman Old Style"/>
                <w:color w:val="000000"/>
                <w:sz w:val="20"/>
                <w:szCs w:val="20"/>
              </w:rPr>
              <w:t>4. Расчет векторов приоритетов</w:t>
            </w:r>
          </w:p>
        </w:tc>
      </w:tr>
      <w:tr w:rsidR="0070748F" w:rsidRPr="006A199E" w:rsidTr="00991B2D">
        <w:trPr>
          <w:cantSplit/>
          <w:trHeight w:val="227"/>
        </w:trPr>
        <w:tc>
          <w:tcPr>
            <w:tcW w:w="5000" w:type="pct"/>
            <w:gridSpan w:val="5"/>
            <w:tcBorders>
              <w:top w:val="nil"/>
              <w:left w:val="nil"/>
              <w:bottom w:val="single" w:sz="8" w:space="0" w:color="auto"/>
              <w:right w:val="nil"/>
            </w:tcBorders>
            <w:shd w:val="clear" w:color="auto" w:fill="auto"/>
            <w:noWrap/>
            <w:vAlign w:val="bottom"/>
            <w:hideMark/>
          </w:tcPr>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5. Учет принципа наиболее эффективного использования</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b/>
                <w:bCs/>
                <w:sz w:val="16"/>
                <w:szCs w:val="16"/>
              </w:rPr>
            </w:pPr>
            <w:r w:rsidRPr="006A199E">
              <w:rPr>
                <w:rFonts w:ascii="Cambria" w:hAnsi="Cambria"/>
                <w:b/>
                <w:bCs/>
                <w:sz w:val="16"/>
                <w:szCs w:val="16"/>
              </w:rPr>
              <w:t>W1</w:t>
            </w:r>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1,00</w:t>
            </w:r>
          </w:p>
        </w:tc>
        <w:tc>
          <w:tcPr>
            <w:tcW w:w="1412" w:type="pct"/>
            <w:gridSpan w:val="2"/>
            <w:tcBorders>
              <w:top w:val="single" w:sz="4" w:space="0" w:color="auto"/>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0,449</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1,50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0,551</w:t>
            </w:r>
          </w:p>
        </w:tc>
      </w:tr>
      <w:tr w:rsidR="0070748F" w:rsidRPr="006A199E" w:rsidTr="00991B2D">
        <w:trPr>
          <w:cantSplit/>
          <w:trHeight w:val="227"/>
        </w:trPr>
        <w:tc>
          <w:tcPr>
            <w:tcW w:w="2163" w:type="pct"/>
            <w:tcBorders>
              <w:top w:val="nil"/>
              <w:left w:val="nil"/>
              <w:bottom w:val="nil"/>
              <w:right w:val="nil"/>
            </w:tcBorders>
            <w:shd w:val="clear" w:color="000000" w:fill="FFFFFF"/>
            <w:vAlign w:val="center"/>
            <w:hideMark/>
          </w:tcPr>
          <w:p w:rsidR="0070748F" w:rsidRPr="006A199E" w:rsidRDefault="0070748F" w:rsidP="00991B2D">
            <w:pPr>
              <w:rPr>
                <w:rFonts w:ascii="Bookman Old Style" w:hAnsi="Bookman Old Style"/>
                <w:sz w:val="2"/>
                <w:szCs w:val="2"/>
              </w:rPr>
            </w:pPr>
            <w:r w:rsidRPr="006A199E">
              <w:rPr>
                <w:rFonts w:ascii="Bookman Old Style" w:hAnsi="Bookman Old Style"/>
                <w:sz w:val="14"/>
                <w:szCs w:val="14"/>
              </w:rPr>
              <w:t> </w:t>
            </w:r>
          </w:p>
        </w:tc>
        <w:tc>
          <w:tcPr>
            <w:tcW w:w="694" w:type="pct"/>
            <w:tcBorders>
              <w:top w:val="nil"/>
              <w:left w:val="nil"/>
              <w:bottom w:val="nil"/>
              <w:right w:val="nil"/>
            </w:tcBorders>
            <w:shd w:val="clear" w:color="000000" w:fill="FFFFFF"/>
            <w:vAlign w:val="bottom"/>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731" w:type="pct"/>
            <w:tcBorders>
              <w:top w:val="nil"/>
              <w:left w:val="nil"/>
              <w:bottom w:val="nil"/>
              <w:right w:val="nil"/>
            </w:tcBorders>
            <w:shd w:val="clear" w:color="000000" w:fill="FFFFFF"/>
            <w:vAlign w:val="bottom"/>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719" w:type="pct"/>
            <w:tcBorders>
              <w:top w:val="nil"/>
              <w:left w:val="nil"/>
              <w:bottom w:val="nil"/>
              <w:right w:val="nil"/>
            </w:tcBorders>
            <w:shd w:val="clear" w:color="000000" w:fill="FFFFFF"/>
            <w:vAlign w:val="bottom"/>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693" w:type="pct"/>
            <w:tcBorders>
              <w:top w:val="nil"/>
              <w:left w:val="nil"/>
              <w:bottom w:val="nil"/>
              <w:right w:val="nil"/>
            </w:tcBorders>
            <w:shd w:val="clear" w:color="000000" w:fill="FFFFFF"/>
            <w:vAlign w:val="bottom"/>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jc w:val="right"/>
              <w:rPr>
                <w:rFonts w:ascii="Bookman Old Style" w:hAnsi="Bookman Old Style"/>
                <w:color w:val="000000"/>
                <w:sz w:val="20"/>
                <w:szCs w:val="20"/>
              </w:rPr>
            </w:pPr>
          </w:p>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6. Обоснованность выполнения предпосылок выбранного метода расчёта</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70748F" w:rsidRPr="006A199E" w:rsidRDefault="0070748F" w:rsidP="00991B2D">
            <w:pPr>
              <w:jc w:val="center"/>
              <w:rPr>
                <w:rFonts w:ascii="Cambria" w:hAnsi="Cambria"/>
                <w:b/>
                <w:bCs/>
                <w:sz w:val="16"/>
                <w:szCs w:val="16"/>
              </w:rPr>
            </w:pPr>
            <w:r w:rsidRPr="006A199E">
              <w:rPr>
                <w:rFonts w:ascii="Cambria" w:hAnsi="Cambria"/>
                <w:b/>
                <w:bCs/>
                <w:sz w:val="16"/>
                <w:szCs w:val="16"/>
              </w:rPr>
              <w:t>W2</w:t>
            </w:r>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2,50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0,477</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3,00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0,523</w:t>
            </w:r>
          </w:p>
        </w:tc>
      </w:tr>
      <w:tr w:rsidR="0070748F" w:rsidRPr="006A199E" w:rsidTr="00991B2D">
        <w:trPr>
          <w:cantSplit/>
          <w:trHeight w:val="227"/>
        </w:trPr>
        <w:tc>
          <w:tcPr>
            <w:tcW w:w="2163" w:type="pct"/>
            <w:tcBorders>
              <w:top w:val="nil"/>
              <w:left w:val="nil"/>
              <w:bottom w:val="nil"/>
              <w:right w:val="nil"/>
            </w:tcBorders>
            <w:shd w:val="clear" w:color="000000" w:fill="FFFFFF"/>
            <w:vAlign w:val="center"/>
            <w:hideMark/>
          </w:tcPr>
          <w:p w:rsidR="0070748F" w:rsidRPr="006A199E" w:rsidRDefault="0070748F" w:rsidP="00991B2D">
            <w:pPr>
              <w:rPr>
                <w:rFonts w:ascii="Bookman Old Style" w:hAnsi="Bookman Old Style"/>
                <w:sz w:val="14"/>
                <w:szCs w:val="14"/>
              </w:rPr>
            </w:pPr>
            <w:r w:rsidRPr="006A199E">
              <w:rPr>
                <w:rFonts w:ascii="Bookman Old Style" w:hAnsi="Bookman Old Style"/>
                <w:sz w:val="14"/>
                <w:szCs w:val="14"/>
              </w:rPr>
              <w:t> </w:t>
            </w:r>
          </w:p>
        </w:tc>
        <w:tc>
          <w:tcPr>
            <w:tcW w:w="694"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731"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719"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b/>
                <w:bCs/>
                <w:sz w:val="14"/>
                <w:szCs w:val="14"/>
              </w:rPr>
            </w:pPr>
          </w:p>
        </w:tc>
        <w:tc>
          <w:tcPr>
            <w:tcW w:w="693"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7. Количество и значимость субъективных показателей и предположений</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70748F" w:rsidRPr="006A199E" w:rsidRDefault="0070748F" w:rsidP="00991B2D">
            <w:pPr>
              <w:jc w:val="center"/>
              <w:rPr>
                <w:rFonts w:ascii="Cambria" w:hAnsi="Cambria"/>
                <w:b/>
                <w:bCs/>
                <w:sz w:val="16"/>
                <w:szCs w:val="16"/>
              </w:rPr>
            </w:pPr>
            <w:r w:rsidRPr="006A199E">
              <w:rPr>
                <w:rFonts w:ascii="Cambria" w:hAnsi="Cambria"/>
                <w:b/>
                <w:bCs/>
                <w:sz w:val="16"/>
                <w:szCs w:val="16"/>
              </w:rPr>
              <w:t>W3</w:t>
            </w:r>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2,00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0,500</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2,00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0,500</w:t>
            </w:r>
          </w:p>
        </w:tc>
      </w:tr>
      <w:tr w:rsidR="0070748F" w:rsidRPr="006A199E" w:rsidTr="00991B2D">
        <w:trPr>
          <w:cantSplit/>
          <w:trHeight w:val="227"/>
        </w:trPr>
        <w:tc>
          <w:tcPr>
            <w:tcW w:w="2163" w:type="pct"/>
            <w:tcBorders>
              <w:top w:val="nil"/>
              <w:left w:val="nil"/>
              <w:bottom w:val="nil"/>
              <w:right w:val="nil"/>
            </w:tcBorders>
            <w:shd w:val="clear" w:color="000000" w:fill="FFFFFF"/>
            <w:noWrap/>
            <w:vAlign w:val="bottom"/>
            <w:hideMark/>
          </w:tcPr>
          <w:p w:rsidR="0070748F" w:rsidRPr="006A199E" w:rsidRDefault="0070748F" w:rsidP="00991B2D">
            <w:pPr>
              <w:rPr>
                <w:rFonts w:ascii="Bookman Old Style" w:hAnsi="Bookman Old Style"/>
                <w:color w:val="000000"/>
                <w:sz w:val="16"/>
                <w:szCs w:val="16"/>
              </w:rPr>
            </w:pPr>
            <w:r w:rsidRPr="006A199E">
              <w:rPr>
                <w:rFonts w:ascii="Bookman Old Style" w:hAnsi="Bookman Old Style"/>
                <w:color w:val="000000"/>
                <w:sz w:val="16"/>
                <w:szCs w:val="16"/>
              </w:rPr>
              <w:t> </w:t>
            </w:r>
          </w:p>
        </w:tc>
        <w:tc>
          <w:tcPr>
            <w:tcW w:w="694" w:type="pct"/>
            <w:tcBorders>
              <w:top w:val="nil"/>
              <w:left w:val="nil"/>
              <w:bottom w:val="nil"/>
              <w:right w:val="nil"/>
            </w:tcBorders>
            <w:shd w:val="clear" w:color="000000" w:fill="FFFFFF"/>
            <w:noWrap/>
            <w:vAlign w:val="bottom"/>
            <w:hideMark/>
          </w:tcPr>
          <w:p w:rsidR="0070748F" w:rsidRPr="006A199E" w:rsidRDefault="0070748F" w:rsidP="00991B2D">
            <w:pPr>
              <w:rPr>
                <w:rFonts w:ascii="Bookman Old Style" w:hAnsi="Bookman Old Style"/>
                <w:color w:val="000000"/>
                <w:sz w:val="16"/>
                <w:szCs w:val="16"/>
              </w:rPr>
            </w:pPr>
            <w:r w:rsidRPr="006A199E">
              <w:rPr>
                <w:rFonts w:ascii="Bookman Old Style" w:hAnsi="Bookman Old Style"/>
                <w:color w:val="000000"/>
                <w:sz w:val="16"/>
                <w:szCs w:val="16"/>
              </w:rPr>
              <w:t> </w:t>
            </w:r>
          </w:p>
        </w:tc>
        <w:tc>
          <w:tcPr>
            <w:tcW w:w="731" w:type="pct"/>
            <w:tcBorders>
              <w:top w:val="nil"/>
              <w:left w:val="nil"/>
              <w:bottom w:val="nil"/>
              <w:right w:val="nil"/>
            </w:tcBorders>
            <w:shd w:val="clear" w:color="000000" w:fill="FFFFFF"/>
            <w:noWrap/>
            <w:vAlign w:val="bottom"/>
            <w:hideMark/>
          </w:tcPr>
          <w:p w:rsidR="0070748F" w:rsidRPr="006A199E" w:rsidRDefault="0070748F" w:rsidP="00991B2D">
            <w:pPr>
              <w:jc w:val="center"/>
              <w:rPr>
                <w:rFonts w:ascii="Bookman Old Style" w:hAnsi="Bookman Old Style"/>
                <w:color w:val="000000"/>
                <w:sz w:val="16"/>
                <w:szCs w:val="16"/>
              </w:rPr>
            </w:pPr>
            <w:r w:rsidRPr="006A199E">
              <w:rPr>
                <w:rFonts w:ascii="Bookman Old Style" w:hAnsi="Bookman Old Style"/>
                <w:color w:val="000000"/>
                <w:sz w:val="16"/>
                <w:szCs w:val="16"/>
              </w:rPr>
              <w:t> </w:t>
            </w:r>
          </w:p>
        </w:tc>
        <w:tc>
          <w:tcPr>
            <w:tcW w:w="719" w:type="pct"/>
            <w:tcBorders>
              <w:top w:val="nil"/>
              <w:left w:val="nil"/>
              <w:bottom w:val="nil"/>
              <w:right w:val="nil"/>
            </w:tcBorders>
            <w:shd w:val="clear" w:color="000000" w:fill="FFFFFF"/>
            <w:noWrap/>
            <w:vAlign w:val="bottom"/>
            <w:hideMark/>
          </w:tcPr>
          <w:p w:rsidR="0070748F" w:rsidRPr="006A199E" w:rsidRDefault="0070748F" w:rsidP="00991B2D">
            <w:pPr>
              <w:jc w:val="center"/>
              <w:rPr>
                <w:rFonts w:ascii="Bookman Old Style" w:hAnsi="Bookman Old Style"/>
                <w:color w:val="000000"/>
                <w:sz w:val="16"/>
                <w:szCs w:val="16"/>
              </w:rPr>
            </w:pPr>
            <w:r w:rsidRPr="006A199E">
              <w:rPr>
                <w:rFonts w:ascii="Bookman Old Style" w:hAnsi="Bookman Old Style"/>
                <w:color w:val="000000"/>
                <w:sz w:val="16"/>
                <w:szCs w:val="16"/>
              </w:rPr>
              <w:t> </w:t>
            </w:r>
          </w:p>
        </w:tc>
        <w:tc>
          <w:tcPr>
            <w:tcW w:w="693" w:type="pct"/>
            <w:tcBorders>
              <w:top w:val="nil"/>
              <w:left w:val="nil"/>
              <w:bottom w:val="nil"/>
              <w:right w:val="nil"/>
            </w:tcBorders>
            <w:shd w:val="clear" w:color="000000" w:fill="FFFFFF"/>
            <w:noWrap/>
            <w:vAlign w:val="bottom"/>
            <w:hideMark/>
          </w:tcPr>
          <w:p w:rsidR="0070748F" w:rsidRPr="006A199E" w:rsidRDefault="0070748F" w:rsidP="00991B2D">
            <w:pPr>
              <w:rPr>
                <w:rFonts w:ascii="Bookman Old Style" w:hAnsi="Bookman Old Style"/>
                <w:color w:val="000000"/>
                <w:sz w:val="16"/>
                <w:szCs w:val="16"/>
              </w:rPr>
            </w:pPr>
            <w:r w:rsidRPr="006A199E">
              <w:rPr>
                <w:rFonts w:ascii="Bookman Old Style" w:hAnsi="Bookman Old Style"/>
                <w:color w:val="000000"/>
                <w:sz w:val="16"/>
                <w:szCs w:val="16"/>
              </w:rPr>
              <w:t> </w:t>
            </w: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bottom"/>
            <w:hideMark/>
          </w:tcPr>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8. Полнота исходной информации</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70748F" w:rsidRPr="006A199E" w:rsidRDefault="0070748F" w:rsidP="00991B2D">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70748F" w:rsidRPr="006A199E" w:rsidRDefault="0070748F" w:rsidP="00991B2D">
            <w:pPr>
              <w:jc w:val="center"/>
              <w:rPr>
                <w:rFonts w:ascii="Cambria" w:hAnsi="Cambria"/>
                <w:b/>
                <w:bCs/>
                <w:sz w:val="16"/>
                <w:szCs w:val="16"/>
              </w:rPr>
            </w:pPr>
            <w:r w:rsidRPr="006A199E">
              <w:rPr>
                <w:rFonts w:ascii="Cambria" w:hAnsi="Cambria"/>
                <w:b/>
                <w:bCs/>
                <w:sz w:val="16"/>
                <w:szCs w:val="16"/>
              </w:rPr>
              <w:t>W4</w:t>
            </w:r>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1,00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0,366</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3,00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0,634</w:t>
            </w:r>
          </w:p>
        </w:tc>
      </w:tr>
      <w:tr w:rsidR="0070748F" w:rsidRPr="006A199E" w:rsidTr="00991B2D">
        <w:trPr>
          <w:cantSplit/>
          <w:trHeight w:val="227"/>
        </w:trPr>
        <w:tc>
          <w:tcPr>
            <w:tcW w:w="2163" w:type="pct"/>
            <w:tcBorders>
              <w:top w:val="nil"/>
              <w:left w:val="nil"/>
              <w:bottom w:val="nil"/>
              <w:right w:val="nil"/>
            </w:tcBorders>
            <w:shd w:val="clear" w:color="000000" w:fill="FFFFFF"/>
            <w:vAlign w:val="center"/>
            <w:hideMark/>
          </w:tcPr>
          <w:p w:rsidR="0070748F" w:rsidRPr="006A199E" w:rsidRDefault="0070748F" w:rsidP="00991B2D">
            <w:pPr>
              <w:rPr>
                <w:rFonts w:ascii="Bookman Old Style" w:hAnsi="Bookman Old Style"/>
                <w:sz w:val="14"/>
                <w:szCs w:val="14"/>
              </w:rPr>
            </w:pPr>
            <w:r w:rsidRPr="006A199E">
              <w:rPr>
                <w:rFonts w:ascii="Bookman Old Style" w:hAnsi="Bookman Old Style"/>
                <w:sz w:val="14"/>
                <w:szCs w:val="14"/>
              </w:rPr>
              <w:t> </w:t>
            </w:r>
          </w:p>
        </w:tc>
        <w:tc>
          <w:tcPr>
            <w:tcW w:w="694"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731"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719"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b/>
                <w:bCs/>
                <w:sz w:val="14"/>
                <w:szCs w:val="14"/>
              </w:rPr>
            </w:pPr>
            <w:r w:rsidRPr="006A199E">
              <w:rPr>
                <w:rFonts w:ascii="Bookman Old Style" w:hAnsi="Bookman Old Style"/>
                <w:b/>
                <w:bCs/>
                <w:sz w:val="14"/>
                <w:szCs w:val="14"/>
              </w:rPr>
              <w:t> </w:t>
            </w:r>
          </w:p>
        </w:tc>
        <w:tc>
          <w:tcPr>
            <w:tcW w:w="693"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center"/>
            <w:hideMark/>
          </w:tcPr>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9. Достоверность исходной информации</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70748F" w:rsidRPr="006A199E" w:rsidRDefault="0070748F" w:rsidP="00991B2D">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70748F" w:rsidRPr="006A199E" w:rsidRDefault="0070748F" w:rsidP="00991B2D">
            <w:pPr>
              <w:jc w:val="center"/>
              <w:rPr>
                <w:rFonts w:ascii="Cambria" w:hAnsi="Cambria"/>
                <w:b/>
                <w:bCs/>
                <w:sz w:val="16"/>
                <w:szCs w:val="16"/>
              </w:rPr>
            </w:pPr>
            <w:r w:rsidRPr="006A199E">
              <w:rPr>
                <w:rFonts w:ascii="Cambria" w:hAnsi="Cambria"/>
                <w:b/>
                <w:bCs/>
                <w:sz w:val="16"/>
                <w:szCs w:val="16"/>
              </w:rPr>
              <w:t>W5</w:t>
            </w:r>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1,50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0,464</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2,00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0,536</w:t>
            </w:r>
          </w:p>
        </w:tc>
      </w:tr>
      <w:tr w:rsidR="0070748F" w:rsidRPr="006A199E" w:rsidTr="00991B2D">
        <w:trPr>
          <w:cantSplit/>
          <w:trHeight w:val="227"/>
        </w:trPr>
        <w:tc>
          <w:tcPr>
            <w:tcW w:w="2163" w:type="pct"/>
            <w:tcBorders>
              <w:top w:val="nil"/>
              <w:left w:val="nil"/>
              <w:bottom w:val="nil"/>
              <w:right w:val="nil"/>
            </w:tcBorders>
            <w:shd w:val="clear" w:color="000000" w:fill="FFFFFF"/>
            <w:vAlign w:val="center"/>
            <w:hideMark/>
          </w:tcPr>
          <w:p w:rsidR="0070748F" w:rsidRPr="006A199E" w:rsidRDefault="0070748F" w:rsidP="00991B2D">
            <w:pPr>
              <w:rPr>
                <w:rFonts w:ascii="Bookman Old Style" w:hAnsi="Bookman Old Style"/>
                <w:sz w:val="14"/>
                <w:szCs w:val="14"/>
              </w:rPr>
            </w:pPr>
            <w:r w:rsidRPr="006A199E">
              <w:rPr>
                <w:rFonts w:ascii="Bookman Old Style" w:hAnsi="Bookman Old Style"/>
                <w:sz w:val="14"/>
                <w:szCs w:val="14"/>
              </w:rPr>
              <w:t> </w:t>
            </w:r>
          </w:p>
        </w:tc>
        <w:tc>
          <w:tcPr>
            <w:tcW w:w="694"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731"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c>
          <w:tcPr>
            <w:tcW w:w="719"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b/>
                <w:bCs/>
                <w:sz w:val="14"/>
                <w:szCs w:val="14"/>
              </w:rPr>
            </w:pPr>
          </w:p>
        </w:tc>
        <w:tc>
          <w:tcPr>
            <w:tcW w:w="693" w:type="pct"/>
            <w:tcBorders>
              <w:top w:val="nil"/>
              <w:left w:val="nil"/>
              <w:bottom w:val="nil"/>
              <w:right w:val="nil"/>
            </w:tcBorders>
            <w:shd w:val="clear" w:color="000000" w:fill="FFFFFF"/>
            <w:vAlign w:val="center"/>
            <w:hideMark/>
          </w:tcPr>
          <w:p w:rsidR="0070748F" w:rsidRPr="006A199E" w:rsidRDefault="0070748F" w:rsidP="00991B2D">
            <w:pPr>
              <w:jc w:val="center"/>
              <w:rPr>
                <w:rFonts w:ascii="Bookman Old Style" w:hAnsi="Bookman Old Style"/>
                <w:sz w:val="14"/>
                <w:szCs w:val="14"/>
              </w:rPr>
            </w:pPr>
            <w:r w:rsidRPr="006A199E">
              <w:rPr>
                <w:rFonts w:ascii="Bookman Old Style" w:hAnsi="Bookman Old Style"/>
                <w:sz w:val="14"/>
                <w:szCs w:val="14"/>
              </w:rPr>
              <w:t> </w:t>
            </w:r>
          </w:p>
        </w:tc>
      </w:tr>
      <w:tr w:rsidR="0070748F" w:rsidRPr="006A199E" w:rsidTr="00991B2D">
        <w:trPr>
          <w:cantSplit/>
          <w:trHeight w:val="227"/>
        </w:trPr>
        <w:tc>
          <w:tcPr>
            <w:tcW w:w="5000" w:type="pct"/>
            <w:gridSpan w:val="5"/>
            <w:tcBorders>
              <w:top w:val="nil"/>
              <w:left w:val="nil"/>
              <w:bottom w:val="nil"/>
              <w:right w:val="nil"/>
            </w:tcBorders>
            <w:shd w:val="clear" w:color="auto" w:fill="auto"/>
            <w:noWrap/>
            <w:vAlign w:val="center"/>
            <w:hideMark/>
          </w:tcPr>
          <w:p w:rsidR="0070748F" w:rsidRPr="006A199E" w:rsidRDefault="0070748F" w:rsidP="00991B2D">
            <w:pPr>
              <w:jc w:val="right"/>
              <w:rPr>
                <w:rFonts w:ascii="Bookman Old Style" w:hAnsi="Bookman Old Style"/>
                <w:color w:val="000000"/>
                <w:sz w:val="20"/>
                <w:szCs w:val="20"/>
              </w:rPr>
            </w:pPr>
            <w:r w:rsidRPr="006A199E">
              <w:rPr>
                <w:rFonts w:ascii="Bookman Old Style" w:hAnsi="Bookman Old Style"/>
                <w:color w:val="000000"/>
                <w:sz w:val="20"/>
                <w:szCs w:val="20"/>
              </w:rPr>
              <w:t>Таблица 10. Соответствие требованиям рыночной стоимости</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70748F" w:rsidRPr="006A199E" w:rsidRDefault="0070748F" w:rsidP="00991B2D">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70748F" w:rsidRPr="006A199E" w:rsidRDefault="0070748F" w:rsidP="00991B2D">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70748F" w:rsidRPr="006A199E" w:rsidRDefault="0070748F" w:rsidP="00991B2D">
            <w:pPr>
              <w:jc w:val="center"/>
              <w:rPr>
                <w:rFonts w:ascii="Cambria" w:hAnsi="Cambria"/>
                <w:b/>
                <w:bCs/>
                <w:sz w:val="16"/>
                <w:szCs w:val="16"/>
              </w:rPr>
            </w:pPr>
            <w:r w:rsidRPr="006A199E">
              <w:rPr>
                <w:rFonts w:ascii="Cambria" w:hAnsi="Cambria"/>
                <w:b/>
                <w:bCs/>
                <w:sz w:val="16"/>
                <w:szCs w:val="16"/>
              </w:rPr>
              <w:t>W6</w:t>
            </w:r>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1,50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0,464</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2,00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70748F" w:rsidRDefault="0070748F" w:rsidP="00991B2D">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70748F" w:rsidRDefault="0070748F" w:rsidP="00991B2D">
            <w:pPr>
              <w:jc w:val="center"/>
              <w:rPr>
                <w:rFonts w:ascii="Cambria" w:hAnsi="Cambria"/>
                <w:sz w:val="16"/>
                <w:szCs w:val="16"/>
              </w:rPr>
            </w:pPr>
            <w:r>
              <w:rPr>
                <w:rFonts w:ascii="Cambria" w:hAnsi="Cambria"/>
                <w:sz w:val="16"/>
                <w:szCs w:val="16"/>
              </w:rPr>
              <w:t>0,536</w:t>
            </w:r>
          </w:p>
        </w:tc>
      </w:tr>
      <w:tr w:rsidR="0070748F" w:rsidRPr="006A199E" w:rsidTr="00991B2D">
        <w:trPr>
          <w:cantSplit/>
          <w:trHeight w:val="227"/>
        </w:trPr>
        <w:tc>
          <w:tcPr>
            <w:tcW w:w="5000" w:type="pct"/>
            <w:gridSpan w:val="5"/>
            <w:tcBorders>
              <w:top w:val="nil"/>
              <w:left w:val="nil"/>
              <w:bottom w:val="nil"/>
              <w:right w:val="nil"/>
            </w:tcBorders>
            <w:shd w:val="clear" w:color="auto" w:fill="auto"/>
            <w:vAlign w:val="center"/>
          </w:tcPr>
          <w:p w:rsidR="0070748F" w:rsidRPr="006A199E" w:rsidRDefault="0070748F" w:rsidP="00991B2D">
            <w:pPr>
              <w:rPr>
                <w:rFonts w:ascii="Bookman Old Style" w:hAnsi="Bookman Old Style"/>
                <w:color w:val="000000"/>
                <w:sz w:val="20"/>
                <w:szCs w:val="20"/>
              </w:rPr>
            </w:pPr>
          </w:p>
        </w:tc>
      </w:tr>
      <w:tr w:rsidR="0070748F" w:rsidRPr="006A199E" w:rsidTr="00991B2D">
        <w:trPr>
          <w:cantSplit/>
          <w:trHeight w:val="227"/>
        </w:trPr>
        <w:tc>
          <w:tcPr>
            <w:tcW w:w="5000" w:type="pct"/>
            <w:gridSpan w:val="5"/>
            <w:tcBorders>
              <w:top w:val="nil"/>
              <w:left w:val="nil"/>
              <w:bottom w:val="nil"/>
              <w:right w:val="nil"/>
            </w:tcBorders>
            <w:shd w:val="clear" w:color="auto" w:fill="auto"/>
            <w:vAlign w:val="center"/>
            <w:hideMark/>
          </w:tcPr>
          <w:p w:rsidR="0070748F" w:rsidRPr="006A199E" w:rsidRDefault="0070748F" w:rsidP="00991B2D">
            <w:pPr>
              <w:rPr>
                <w:rFonts w:ascii="Bookman Old Style" w:hAnsi="Bookman Old Style"/>
                <w:color w:val="000000"/>
                <w:sz w:val="20"/>
                <w:szCs w:val="20"/>
              </w:rPr>
            </w:pPr>
            <w:r w:rsidRPr="006A199E">
              <w:rPr>
                <w:rFonts w:ascii="Bookman Old Style" w:hAnsi="Bookman Old Style"/>
                <w:color w:val="000000"/>
                <w:sz w:val="20"/>
                <w:szCs w:val="20"/>
              </w:rPr>
              <w:t>5. Иерархический синтез в целях определения вектора весовых коэффициентов альтернатив относительно выделенных критериев</w:t>
            </w: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bottom"/>
            <w:hideMark/>
          </w:tcPr>
          <w:p w:rsidR="0070748F" w:rsidRPr="006A199E" w:rsidRDefault="0070748F" w:rsidP="00991B2D">
            <w:pPr>
              <w:rPr>
                <w:rFonts w:asciiTheme="majorHAnsi" w:hAnsiTheme="majorHAnsi"/>
                <w:color w:val="000000"/>
                <w:sz w:val="16"/>
                <w:szCs w:val="16"/>
              </w:rPr>
            </w:pPr>
            <w:r w:rsidRPr="006A199E">
              <w:rPr>
                <w:rFonts w:asciiTheme="majorHAnsi" w:hAnsiTheme="majorHAnsi"/>
                <w:color w:val="000000"/>
                <w:sz w:val="16"/>
                <w:szCs w:val="16"/>
              </w:rPr>
              <w:t> </w:t>
            </w:r>
          </w:p>
          <w:p w:rsidR="0070748F" w:rsidRPr="006A199E" w:rsidRDefault="0070748F" w:rsidP="00991B2D">
            <w:pPr>
              <w:rPr>
                <w:rFonts w:asciiTheme="majorHAnsi" w:hAnsiTheme="majorHAnsi"/>
                <w:color w:val="000000"/>
                <w:sz w:val="16"/>
                <w:szCs w:val="16"/>
              </w:rPr>
            </w:pPr>
          </w:p>
        </w:tc>
        <w:tc>
          <w:tcPr>
            <w:tcW w:w="694"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W1</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W2</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W3</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proofErr w:type="spellStart"/>
            <w:r w:rsidRPr="006A199E">
              <w:rPr>
                <w:rFonts w:asciiTheme="majorHAnsi" w:hAnsiTheme="majorHAnsi"/>
                <w:color w:val="000000"/>
                <w:sz w:val="16"/>
                <w:szCs w:val="16"/>
              </w:rPr>
              <w:t>Wa</w:t>
            </w:r>
            <w:proofErr w:type="spellEnd"/>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0,449</w:t>
            </w:r>
          </w:p>
        </w:tc>
        <w:tc>
          <w:tcPr>
            <w:tcW w:w="731"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0,449</w:t>
            </w:r>
          </w:p>
        </w:tc>
        <w:tc>
          <w:tcPr>
            <w:tcW w:w="719"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0,477</w:t>
            </w:r>
          </w:p>
        </w:tc>
        <w:tc>
          <w:tcPr>
            <w:tcW w:w="693" w:type="pct"/>
            <w:tcBorders>
              <w:top w:val="nil"/>
              <w:left w:val="nil"/>
              <w:bottom w:val="single" w:sz="4" w:space="0" w:color="auto"/>
              <w:right w:val="single" w:sz="8"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0,309</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0,551</w:t>
            </w:r>
          </w:p>
        </w:tc>
        <w:tc>
          <w:tcPr>
            <w:tcW w:w="731"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0,551</w:t>
            </w:r>
          </w:p>
        </w:tc>
        <w:tc>
          <w:tcPr>
            <w:tcW w:w="719"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0,523</w:t>
            </w:r>
          </w:p>
        </w:tc>
        <w:tc>
          <w:tcPr>
            <w:tcW w:w="693" w:type="pct"/>
            <w:tcBorders>
              <w:top w:val="nil"/>
              <w:left w:val="nil"/>
              <w:bottom w:val="single" w:sz="4" w:space="0" w:color="auto"/>
              <w:right w:val="single" w:sz="8"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0,109</w:t>
            </w:r>
          </w:p>
        </w:tc>
      </w:tr>
      <w:tr w:rsidR="0070748F" w:rsidRPr="006A199E" w:rsidTr="00991B2D">
        <w:trPr>
          <w:cantSplit/>
          <w:trHeight w:val="227"/>
        </w:trPr>
        <w:tc>
          <w:tcPr>
            <w:tcW w:w="2163" w:type="pct"/>
            <w:tcBorders>
              <w:top w:val="single" w:sz="4" w:space="0" w:color="auto"/>
              <w:left w:val="single" w:sz="8" w:space="0" w:color="auto"/>
              <w:bottom w:val="single" w:sz="8" w:space="0" w:color="auto"/>
              <w:right w:val="single" w:sz="4" w:space="0" w:color="auto"/>
            </w:tcBorders>
            <w:shd w:val="clear" w:color="auto" w:fill="F2F2F2" w:themeFill="background1" w:themeFillShade="F2"/>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 </w:t>
            </w:r>
          </w:p>
        </w:tc>
        <w:tc>
          <w:tcPr>
            <w:tcW w:w="694" w:type="pct"/>
            <w:tcBorders>
              <w:top w:val="nil"/>
              <w:left w:val="nil"/>
              <w:bottom w:val="single" w:sz="8" w:space="0" w:color="auto"/>
              <w:right w:val="single" w:sz="4" w:space="0" w:color="auto"/>
            </w:tcBorders>
            <w:shd w:val="clear" w:color="auto" w:fill="F2F2F2" w:themeFill="background1" w:themeFillShade="F2"/>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 </w:t>
            </w:r>
          </w:p>
        </w:tc>
        <w:tc>
          <w:tcPr>
            <w:tcW w:w="731" w:type="pct"/>
            <w:tcBorders>
              <w:top w:val="nil"/>
              <w:left w:val="nil"/>
              <w:bottom w:val="single" w:sz="8" w:space="0" w:color="auto"/>
              <w:right w:val="single" w:sz="4" w:space="0" w:color="auto"/>
            </w:tcBorders>
            <w:shd w:val="clear" w:color="auto" w:fill="F2F2F2" w:themeFill="background1" w:themeFillShade="F2"/>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 </w:t>
            </w:r>
          </w:p>
        </w:tc>
        <w:tc>
          <w:tcPr>
            <w:tcW w:w="719" w:type="pct"/>
            <w:tcBorders>
              <w:top w:val="nil"/>
              <w:left w:val="nil"/>
              <w:bottom w:val="single" w:sz="8" w:space="0" w:color="auto"/>
              <w:right w:val="single" w:sz="4" w:space="0" w:color="auto"/>
            </w:tcBorders>
            <w:shd w:val="clear" w:color="auto" w:fill="F2F2F2" w:themeFill="background1" w:themeFillShade="F2"/>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 </w:t>
            </w:r>
          </w:p>
        </w:tc>
        <w:tc>
          <w:tcPr>
            <w:tcW w:w="693" w:type="pct"/>
            <w:tcBorders>
              <w:top w:val="nil"/>
              <w:left w:val="nil"/>
              <w:bottom w:val="single" w:sz="8" w:space="0" w:color="auto"/>
              <w:right w:val="single" w:sz="8"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0,582</w:t>
            </w:r>
          </w:p>
        </w:tc>
      </w:tr>
      <w:tr w:rsidR="0070748F" w:rsidRPr="006A199E" w:rsidTr="00991B2D">
        <w:trPr>
          <w:cantSplit/>
          <w:trHeight w:val="227"/>
        </w:trPr>
        <w:tc>
          <w:tcPr>
            <w:tcW w:w="2163"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694"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731"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719"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693"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W4</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W5</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W6</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color w:val="000000"/>
                <w:sz w:val="16"/>
                <w:szCs w:val="16"/>
              </w:rPr>
            </w:pPr>
            <w:proofErr w:type="spellStart"/>
            <w:r w:rsidRPr="006A199E">
              <w:rPr>
                <w:rFonts w:asciiTheme="majorHAnsi" w:hAnsiTheme="majorHAnsi"/>
                <w:color w:val="000000"/>
                <w:sz w:val="16"/>
                <w:szCs w:val="16"/>
              </w:rPr>
              <w:t>Wb</w:t>
            </w:r>
            <w:proofErr w:type="spellEnd"/>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0,500</w:t>
            </w:r>
          </w:p>
        </w:tc>
        <w:tc>
          <w:tcPr>
            <w:tcW w:w="731"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0,464</w:t>
            </w:r>
          </w:p>
        </w:tc>
        <w:tc>
          <w:tcPr>
            <w:tcW w:w="719"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0,464</w:t>
            </w:r>
          </w:p>
        </w:tc>
        <w:tc>
          <w:tcPr>
            <w:tcW w:w="693" w:type="pct"/>
            <w:tcBorders>
              <w:top w:val="nil"/>
              <w:left w:val="nil"/>
              <w:bottom w:val="single" w:sz="4" w:space="0" w:color="auto"/>
              <w:right w:val="single" w:sz="8"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0,286</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0,500</w:t>
            </w:r>
          </w:p>
        </w:tc>
        <w:tc>
          <w:tcPr>
            <w:tcW w:w="731"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0,536</w:t>
            </w:r>
          </w:p>
        </w:tc>
        <w:tc>
          <w:tcPr>
            <w:tcW w:w="719"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0,536</w:t>
            </w:r>
          </w:p>
        </w:tc>
        <w:tc>
          <w:tcPr>
            <w:tcW w:w="693" w:type="pct"/>
            <w:tcBorders>
              <w:top w:val="nil"/>
              <w:left w:val="nil"/>
              <w:bottom w:val="single" w:sz="4" w:space="0" w:color="auto"/>
              <w:right w:val="single" w:sz="8"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0,571</w:t>
            </w:r>
          </w:p>
        </w:tc>
      </w:tr>
      <w:tr w:rsidR="0070748F" w:rsidRPr="006A199E" w:rsidTr="00991B2D">
        <w:trPr>
          <w:cantSplit/>
          <w:trHeight w:val="227"/>
        </w:trPr>
        <w:tc>
          <w:tcPr>
            <w:tcW w:w="2163" w:type="pct"/>
            <w:tcBorders>
              <w:top w:val="single" w:sz="4" w:space="0" w:color="auto"/>
              <w:left w:val="single" w:sz="8" w:space="0" w:color="auto"/>
              <w:bottom w:val="single" w:sz="8" w:space="0" w:color="auto"/>
              <w:right w:val="single" w:sz="4" w:space="0" w:color="auto"/>
            </w:tcBorders>
            <w:shd w:val="clear" w:color="auto" w:fill="F2F2F2" w:themeFill="background1" w:themeFillShade="F2"/>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 </w:t>
            </w:r>
          </w:p>
        </w:tc>
        <w:tc>
          <w:tcPr>
            <w:tcW w:w="694" w:type="pct"/>
            <w:tcBorders>
              <w:top w:val="nil"/>
              <w:left w:val="nil"/>
              <w:bottom w:val="single" w:sz="8" w:space="0" w:color="auto"/>
              <w:right w:val="single" w:sz="4" w:space="0" w:color="auto"/>
            </w:tcBorders>
            <w:shd w:val="clear" w:color="auto" w:fill="F2F2F2" w:themeFill="background1" w:themeFillShade="F2"/>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 </w:t>
            </w:r>
          </w:p>
        </w:tc>
        <w:tc>
          <w:tcPr>
            <w:tcW w:w="731" w:type="pct"/>
            <w:tcBorders>
              <w:top w:val="nil"/>
              <w:left w:val="nil"/>
              <w:bottom w:val="single" w:sz="8" w:space="0" w:color="auto"/>
              <w:right w:val="single" w:sz="4" w:space="0" w:color="auto"/>
            </w:tcBorders>
            <w:shd w:val="clear" w:color="auto" w:fill="F2F2F2" w:themeFill="background1" w:themeFillShade="F2"/>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 </w:t>
            </w:r>
          </w:p>
        </w:tc>
        <w:tc>
          <w:tcPr>
            <w:tcW w:w="719" w:type="pct"/>
            <w:tcBorders>
              <w:top w:val="nil"/>
              <w:left w:val="nil"/>
              <w:bottom w:val="single" w:sz="8" w:space="0" w:color="auto"/>
              <w:right w:val="single" w:sz="4" w:space="0" w:color="auto"/>
            </w:tcBorders>
            <w:shd w:val="clear" w:color="auto" w:fill="F2F2F2" w:themeFill="background1" w:themeFillShade="F2"/>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 </w:t>
            </w:r>
          </w:p>
        </w:tc>
        <w:tc>
          <w:tcPr>
            <w:tcW w:w="693" w:type="pct"/>
            <w:tcBorders>
              <w:top w:val="nil"/>
              <w:left w:val="nil"/>
              <w:bottom w:val="single" w:sz="8" w:space="0" w:color="auto"/>
              <w:right w:val="single" w:sz="8"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0,143</w:t>
            </w:r>
          </w:p>
        </w:tc>
      </w:tr>
      <w:tr w:rsidR="0070748F" w:rsidRPr="006A199E" w:rsidTr="00991B2D">
        <w:trPr>
          <w:cantSplit/>
          <w:trHeight w:val="227"/>
        </w:trPr>
        <w:tc>
          <w:tcPr>
            <w:tcW w:w="2163"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694"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731"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719"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c>
          <w:tcPr>
            <w:tcW w:w="693" w:type="pct"/>
            <w:tcBorders>
              <w:top w:val="nil"/>
              <w:left w:val="nil"/>
              <w:bottom w:val="nil"/>
              <w:right w:val="nil"/>
            </w:tcBorders>
            <w:shd w:val="clear" w:color="auto" w:fill="auto"/>
            <w:noWrap/>
            <w:vAlign w:val="bottom"/>
            <w:hideMark/>
          </w:tcPr>
          <w:p w:rsidR="0070748F" w:rsidRPr="006A199E" w:rsidRDefault="0070748F" w:rsidP="00991B2D">
            <w:pPr>
              <w:rPr>
                <w:rFonts w:ascii="Bookman Old Style" w:hAnsi="Bookman Old Style"/>
                <w:color w:val="000000"/>
                <w:sz w:val="16"/>
                <w:szCs w:val="16"/>
              </w:rPr>
            </w:pPr>
          </w:p>
        </w:tc>
      </w:tr>
      <w:tr w:rsidR="0070748F" w:rsidRPr="006A199E" w:rsidTr="00991B2D">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b/>
                <w:bCs/>
                <w:color w:val="000000"/>
                <w:sz w:val="16"/>
                <w:szCs w:val="16"/>
              </w:rPr>
            </w:pPr>
            <w:r w:rsidRPr="006A199E">
              <w:rPr>
                <w:rFonts w:asciiTheme="majorHAnsi" w:hAnsiTheme="majorHAnsi"/>
                <w:b/>
                <w:bCs/>
                <w:color w:val="000000"/>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b/>
                <w:bCs/>
                <w:color w:val="000000"/>
                <w:sz w:val="16"/>
                <w:szCs w:val="16"/>
              </w:rPr>
            </w:pPr>
            <w:proofErr w:type="spellStart"/>
            <w:r w:rsidRPr="006A199E">
              <w:rPr>
                <w:rFonts w:asciiTheme="majorHAnsi" w:hAnsiTheme="majorHAnsi"/>
                <w:b/>
                <w:bCs/>
                <w:color w:val="000000"/>
                <w:sz w:val="16"/>
                <w:szCs w:val="16"/>
              </w:rPr>
              <w:t>Wi</w:t>
            </w:r>
            <w:proofErr w:type="spellEnd"/>
          </w:p>
        </w:tc>
        <w:tc>
          <w:tcPr>
            <w:tcW w:w="731"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b/>
                <w:bCs/>
                <w:color w:val="000000"/>
                <w:sz w:val="16"/>
                <w:szCs w:val="16"/>
              </w:rPr>
            </w:pPr>
            <w:proofErr w:type="spellStart"/>
            <w:r w:rsidRPr="006A199E">
              <w:rPr>
                <w:rFonts w:asciiTheme="majorHAnsi" w:hAnsiTheme="majorHAnsi"/>
                <w:b/>
                <w:bCs/>
                <w:color w:val="000000"/>
                <w:sz w:val="16"/>
                <w:szCs w:val="16"/>
              </w:rPr>
              <w:t>Wm</w:t>
            </w:r>
            <w:proofErr w:type="spellEnd"/>
          </w:p>
        </w:tc>
        <w:tc>
          <w:tcPr>
            <w:tcW w:w="719"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70748F" w:rsidRPr="006A199E" w:rsidRDefault="0070748F" w:rsidP="00991B2D">
            <w:pPr>
              <w:jc w:val="center"/>
              <w:rPr>
                <w:rFonts w:asciiTheme="majorHAnsi" w:hAnsiTheme="majorHAnsi"/>
                <w:b/>
                <w:bCs/>
                <w:color w:val="000000"/>
                <w:sz w:val="16"/>
                <w:szCs w:val="16"/>
              </w:rPr>
            </w:pPr>
            <w:proofErr w:type="spellStart"/>
            <w:r w:rsidRPr="006A199E">
              <w:rPr>
                <w:rFonts w:asciiTheme="majorHAnsi" w:hAnsiTheme="majorHAnsi"/>
                <w:b/>
                <w:bCs/>
                <w:color w:val="000000"/>
                <w:sz w:val="16"/>
                <w:szCs w:val="16"/>
              </w:rPr>
              <w:t>Wc</w:t>
            </w:r>
            <w:proofErr w:type="spellEnd"/>
          </w:p>
        </w:tc>
        <w:tc>
          <w:tcPr>
            <w:tcW w:w="693" w:type="pct"/>
            <w:tcBorders>
              <w:top w:val="single" w:sz="8" w:space="0" w:color="auto"/>
              <w:left w:val="nil"/>
              <w:bottom w:val="single" w:sz="4" w:space="0" w:color="auto"/>
              <w:right w:val="single" w:sz="8" w:space="0" w:color="auto"/>
            </w:tcBorders>
            <w:shd w:val="clear" w:color="auto" w:fill="F2F2F2" w:themeFill="background1" w:themeFillShade="F2"/>
            <w:vAlign w:val="center"/>
            <w:hideMark/>
          </w:tcPr>
          <w:p w:rsidR="0070748F" w:rsidRPr="006A199E" w:rsidRDefault="0070748F" w:rsidP="00991B2D">
            <w:pPr>
              <w:jc w:val="center"/>
              <w:rPr>
                <w:rFonts w:asciiTheme="majorHAnsi" w:hAnsiTheme="majorHAnsi"/>
                <w:b/>
                <w:bCs/>
                <w:color w:val="000000"/>
                <w:sz w:val="16"/>
                <w:szCs w:val="16"/>
              </w:rPr>
            </w:pPr>
            <w:r w:rsidRPr="006A199E">
              <w:rPr>
                <w:rFonts w:asciiTheme="majorHAnsi" w:hAnsiTheme="majorHAnsi"/>
                <w:b/>
                <w:bCs/>
                <w:color w:val="000000"/>
                <w:sz w:val="16"/>
                <w:szCs w:val="16"/>
              </w:rPr>
              <w:t>Весовые значения подходов</w:t>
            </w:r>
          </w:p>
        </w:tc>
      </w:tr>
      <w:tr w:rsidR="0070748F" w:rsidRPr="006A199E" w:rsidTr="00991B2D">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0,466</w:t>
            </w:r>
          </w:p>
        </w:tc>
        <w:tc>
          <w:tcPr>
            <w:tcW w:w="731"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0,474</w:t>
            </w:r>
          </w:p>
        </w:tc>
        <w:tc>
          <w:tcPr>
            <w:tcW w:w="719"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0,365</w:t>
            </w:r>
          </w:p>
        </w:tc>
        <w:tc>
          <w:tcPr>
            <w:tcW w:w="693" w:type="pct"/>
            <w:tcBorders>
              <w:top w:val="nil"/>
              <w:left w:val="nil"/>
              <w:bottom w:val="single" w:sz="4" w:space="0" w:color="auto"/>
              <w:right w:val="single" w:sz="8" w:space="0" w:color="auto"/>
            </w:tcBorders>
            <w:shd w:val="clear" w:color="auto" w:fill="auto"/>
            <w:noWrap/>
            <w:vAlign w:val="center"/>
            <w:hideMark/>
          </w:tcPr>
          <w:p w:rsidR="0070748F" w:rsidRDefault="0070748F" w:rsidP="00991B2D">
            <w:pPr>
              <w:jc w:val="center"/>
              <w:rPr>
                <w:rFonts w:ascii="Cambria" w:hAnsi="Cambria"/>
                <w:b/>
                <w:bCs/>
                <w:color w:val="000000"/>
                <w:sz w:val="16"/>
                <w:szCs w:val="16"/>
              </w:rPr>
            </w:pPr>
            <w:r>
              <w:rPr>
                <w:rFonts w:ascii="Cambria" w:hAnsi="Cambria"/>
                <w:b/>
                <w:bCs/>
                <w:color w:val="000000"/>
                <w:sz w:val="16"/>
                <w:szCs w:val="16"/>
              </w:rPr>
              <w:t>0,47</w:t>
            </w:r>
          </w:p>
        </w:tc>
      </w:tr>
      <w:tr w:rsidR="0070748F" w:rsidRPr="006A199E" w:rsidTr="00991B2D">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70748F" w:rsidRPr="006A199E" w:rsidRDefault="0070748F" w:rsidP="00991B2D">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0,534</w:t>
            </w:r>
          </w:p>
        </w:tc>
        <w:tc>
          <w:tcPr>
            <w:tcW w:w="731"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0,526</w:t>
            </w:r>
          </w:p>
        </w:tc>
        <w:tc>
          <w:tcPr>
            <w:tcW w:w="719" w:type="pct"/>
            <w:tcBorders>
              <w:top w:val="nil"/>
              <w:left w:val="nil"/>
              <w:bottom w:val="single" w:sz="4" w:space="0" w:color="auto"/>
              <w:right w:val="single" w:sz="4" w:space="0" w:color="auto"/>
            </w:tcBorders>
            <w:shd w:val="clear" w:color="auto" w:fill="auto"/>
            <w:noWrap/>
            <w:vAlign w:val="center"/>
            <w:hideMark/>
          </w:tcPr>
          <w:p w:rsidR="0070748F" w:rsidRDefault="0070748F" w:rsidP="00991B2D">
            <w:pPr>
              <w:jc w:val="center"/>
              <w:rPr>
                <w:rFonts w:ascii="Cambria" w:hAnsi="Cambria"/>
                <w:color w:val="000000"/>
                <w:sz w:val="16"/>
                <w:szCs w:val="16"/>
              </w:rPr>
            </w:pPr>
            <w:r>
              <w:rPr>
                <w:rFonts w:ascii="Cambria" w:hAnsi="Cambria"/>
                <w:color w:val="000000"/>
                <w:sz w:val="16"/>
                <w:szCs w:val="16"/>
              </w:rPr>
              <w:t>0,635</w:t>
            </w:r>
          </w:p>
        </w:tc>
        <w:tc>
          <w:tcPr>
            <w:tcW w:w="693" w:type="pct"/>
            <w:tcBorders>
              <w:top w:val="nil"/>
              <w:left w:val="nil"/>
              <w:bottom w:val="single" w:sz="4" w:space="0" w:color="auto"/>
              <w:right w:val="single" w:sz="8" w:space="0" w:color="auto"/>
            </w:tcBorders>
            <w:shd w:val="clear" w:color="auto" w:fill="auto"/>
            <w:noWrap/>
            <w:vAlign w:val="center"/>
            <w:hideMark/>
          </w:tcPr>
          <w:p w:rsidR="0070748F" w:rsidRDefault="0070748F" w:rsidP="00991B2D">
            <w:pPr>
              <w:jc w:val="center"/>
              <w:rPr>
                <w:rFonts w:ascii="Cambria" w:hAnsi="Cambria"/>
                <w:b/>
                <w:bCs/>
                <w:color w:val="000000"/>
                <w:sz w:val="16"/>
                <w:szCs w:val="16"/>
              </w:rPr>
            </w:pPr>
            <w:r>
              <w:rPr>
                <w:rFonts w:ascii="Cambria" w:hAnsi="Cambria"/>
                <w:b/>
                <w:bCs/>
                <w:color w:val="000000"/>
                <w:sz w:val="16"/>
                <w:szCs w:val="16"/>
              </w:rPr>
              <w:t>0,53</w:t>
            </w:r>
          </w:p>
        </w:tc>
      </w:tr>
      <w:tr w:rsidR="0070748F" w:rsidRPr="006A199E" w:rsidTr="00991B2D">
        <w:trPr>
          <w:cantSplit/>
          <w:trHeight w:val="227"/>
        </w:trPr>
        <w:tc>
          <w:tcPr>
            <w:tcW w:w="4307" w:type="pct"/>
            <w:gridSpan w:val="4"/>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Сумма весовых значений подходов =</w:t>
            </w:r>
          </w:p>
        </w:tc>
        <w:tc>
          <w:tcPr>
            <w:tcW w:w="693" w:type="pct"/>
            <w:tcBorders>
              <w:top w:val="nil"/>
              <w:left w:val="nil"/>
              <w:bottom w:val="single" w:sz="8" w:space="0" w:color="auto"/>
              <w:right w:val="single" w:sz="8" w:space="0" w:color="auto"/>
            </w:tcBorders>
            <w:shd w:val="clear" w:color="auto" w:fill="auto"/>
            <w:noWrap/>
            <w:vAlign w:val="center"/>
            <w:hideMark/>
          </w:tcPr>
          <w:p w:rsidR="0070748F" w:rsidRPr="006A199E" w:rsidRDefault="0070748F" w:rsidP="00991B2D">
            <w:pPr>
              <w:jc w:val="center"/>
              <w:rPr>
                <w:rFonts w:asciiTheme="majorHAnsi" w:hAnsiTheme="majorHAnsi"/>
                <w:color w:val="000000"/>
                <w:sz w:val="16"/>
                <w:szCs w:val="16"/>
              </w:rPr>
            </w:pPr>
            <w:r w:rsidRPr="006A199E">
              <w:rPr>
                <w:rFonts w:asciiTheme="majorHAnsi" w:hAnsiTheme="majorHAnsi"/>
                <w:color w:val="000000"/>
                <w:sz w:val="16"/>
                <w:szCs w:val="16"/>
              </w:rPr>
              <w:t>1,000</w:t>
            </w:r>
          </w:p>
        </w:tc>
      </w:tr>
    </w:tbl>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Анализ весовых коэффициентов:</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В связи с  тем, что для эксплуатации объекта оценки требуются значительные финансовые вложения, при согласовании рыночной стоимости Объекта оценки наиболее обоснованно применить больший весовой коэффициент доходного подхода, что наиболее соответствует рыночной стоимости объекта</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 xml:space="preserve"> Последним шагом согласования цены объекта оценки является расчет стоимости по формуле:</w:t>
      </w:r>
    </w:p>
    <w:p w:rsidR="006A199E" w:rsidRPr="006A199E" w:rsidRDefault="006A199E" w:rsidP="006A199E">
      <w:pPr>
        <w:spacing w:before="120" w:after="120"/>
        <w:ind w:firstLine="708"/>
        <w:jc w:val="both"/>
        <w:rPr>
          <w:rFonts w:ascii="Bookman Old Style" w:hAnsi="Bookman Old Style"/>
          <w:color w:val="000000"/>
          <w:sz w:val="20"/>
          <w:szCs w:val="20"/>
        </w:rPr>
      </w:pPr>
      <m:oMathPara>
        <m:oMath>
          <m:r>
            <w:rPr>
              <w:rFonts w:ascii="Cambria Math" w:hAnsi="Cambria Math"/>
              <w:color w:val="000000"/>
              <w:sz w:val="20"/>
              <w:szCs w:val="20"/>
            </w:rPr>
            <m:t xml:space="preserve">С= </m:t>
          </m:r>
          <m:d>
            <m:dPr>
              <m:ctrlPr>
                <w:rPr>
                  <w:rFonts w:ascii="Cambria Math" w:hAnsi="Cambria Math"/>
                  <w:i/>
                  <w:color w:val="000000"/>
                  <w:sz w:val="20"/>
                  <w:szCs w:val="20"/>
                </w:rPr>
              </m:ctrlPr>
            </m:dPr>
            <m:e>
              <m:r>
                <w:rPr>
                  <w:rFonts w:ascii="Cambria Math" w:hAnsi="Cambria Math"/>
                  <w:color w:val="000000"/>
                  <w:sz w:val="20"/>
                  <w:szCs w:val="20"/>
                </w:rPr>
                <m:t>ДП ×</m:t>
              </m:r>
              <m:sSub>
                <m:sSubPr>
                  <m:ctrlPr>
                    <w:rPr>
                      <w:rFonts w:ascii="Cambria Math" w:hAnsi="Cambria Math"/>
                      <w:i/>
                      <w:color w:val="000000"/>
                      <w:sz w:val="20"/>
                      <w:szCs w:val="20"/>
                    </w:rPr>
                  </m:ctrlPr>
                </m:sSubPr>
                <m:e>
                  <m:r>
                    <w:rPr>
                      <w:rFonts w:ascii="Cambria Math" w:hAnsi="Cambria Math"/>
                      <w:color w:val="000000"/>
                      <w:sz w:val="20"/>
                      <w:szCs w:val="20"/>
                    </w:rPr>
                    <m:t>Х</m:t>
                  </m:r>
                </m:e>
                <m:sub>
                  <m:r>
                    <w:rPr>
                      <w:rFonts w:ascii="Cambria Math" w:hAnsi="Cambria Math"/>
                      <w:color w:val="000000"/>
                      <w:sz w:val="20"/>
                      <w:szCs w:val="20"/>
                    </w:rPr>
                    <m:t>д</m:t>
                  </m:r>
                </m:sub>
              </m:sSub>
            </m:e>
          </m:d>
          <m:r>
            <w:rPr>
              <w:rFonts w:ascii="Cambria Math" w:hAnsi="Cambria Math"/>
              <w:color w:val="000000"/>
              <w:sz w:val="20"/>
              <w:szCs w:val="20"/>
            </w:rPr>
            <m:t>+</m:t>
          </m:r>
          <m:d>
            <m:dPr>
              <m:ctrlPr>
                <w:rPr>
                  <w:rFonts w:ascii="Cambria Math" w:hAnsi="Cambria Math"/>
                  <w:i/>
                  <w:color w:val="000000"/>
                  <w:sz w:val="20"/>
                  <w:szCs w:val="20"/>
                </w:rPr>
              </m:ctrlPr>
            </m:dPr>
            <m:e>
              <m:r>
                <w:rPr>
                  <w:rFonts w:ascii="Cambria Math" w:hAnsi="Cambria Math"/>
                  <w:color w:val="000000"/>
                  <w:sz w:val="20"/>
                  <w:szCs w:val="20"/>
                </w:rPr>
                <m:t>РП ×</m:t>
              </m:r>
              <m:sSub>
                <m:sSubPr>
                  <m:ctrlPr>
                    <w:rPr>
                      <w:rFonts w:ascii="Cambria Math" w:hAnsi="Cambria Math"/>
                      <w:i/>
                      <w:color w:val="000000"/>
                      <w:sz w:val="20"/>
                      <w:szCs w:val="20"/>
                    </w:rPr>
                  </m:ctrlPr>
                </m:sSubPr>
                <m:e>
                  <m:r>
                    <w:rPr>
                      <w:rFonts w:ascii="Cambria Math" w:hAnsi="Cambria Math"/>
                      <w:color w:val="000000"/>
                      <w:sz w:val="20"/>
                      <w:szCs w:val="20"/>
                    </w:rPr>
                    <m:t>Х</m:t>
                  </m:r>
                </m:e>
                <m:sub>
                  <m:r>
                    <w:rPr>
                      <w:rFonts w:ascii="Cambria Math" w:hAnsi="Cambria Math"/>
                      <w:color w:val="000000"/>
                      <w:sz w:val="20"/>
                      <w:szCs w:val="20"/>
                    </w:rPr>
                    <m:t>р</m:t>
                  </m:r>
                </m:sub>
              </m:sSub>
            </m:e>
          </m:d>
        </m:oMath>
      </m:oMathPara>
    </w:p>
    <w:p w:rsidR="006A199E" w:rsidRPr="006A199E" w:rsidRDefault="006A199E" w:rsidP="006A199E">
      <w:pPr>
        <w:spacing w:before="120" w:after="120"/>
        <w:jc w:val="both"/>
        <w:rPr>
          <w:rFonts w:ascii="Bookman Old Style" w:hAnsi="Bookman Old Style"/>
          <w:color w:val="000000"/>
          <w:sz w:val="20"/>
          <w:szCs w:val="20"/>
        </w:rPr>
      </w:pPr>
      <w:r w:rsidRPr="006A199E">
        <w:rPr>
          <w:rFonts w:ascii="Bookman Old Style" w:hAnsi="Bookman Old Style"/>
          <w:color w:val="000000"/>
          <w:sz w:val="20"/>
          <w:szCs w:val="20"/>
        </w:rPr>
        <w:t>Где:</w:t>
      </w:r>
    </w:p>
    <w:p w:rsidR="006A199E" w:rsidRPr="006A199E" w:rsidRDefault="006A199E" w:rsidP="006A199E">
      <w:pPr>
        <w:spacing w:before="120" w:after="120"/>
        <w:jc w:val="both"/>
        <w:rPr>
          <w:rFonts w:ascii="Bookman Old Style" w:hAnsi="Bookman Old Style"/>
          <w:color w:val="000000"/>
          <w:sz w:val="20"/>
          <w:szCs w:val="20"/>
        </w:rPr>
      </w:pPr>
      <w:proofErr w:type="gramStart"/>
      <w:r w:rsidRPr="006A199E">
        <w:rPr>
          <w:rFonts w:ascii="Bookman Old Style" w:hAnsi="Bookman Old Style"/>
          <w:color w:val="000000"/>
          <w:sz w:val="20"/>
          <w:szCs w:val="20"/>
        </w:rPr>
        <w:t>С</w:t>
      </w:r>
      <w:proofErr w:type="gramEnd"/>
      <w:r w:rsidRPr="006A199E">
        <w:rPr>
          <w:rFonts w:ascii="Bookman Old Style" w:hAnsi="Bookman Old Style"/>
          <w:color w:val="000000"/>
          <w:sz w:val="20"/>
          <w:szCs w:val="20"/>
        </w:rPr>
        <w:t xml:space="preserve"> – </w:t>
      </w:r>
      <w:proofErr w:type="gramStart"/>
      <w:r w:rsidRPr="006A199E">
        <w:rPr>
          <w:rFonts w:ascii="Bookman Old Style" w:hAnsi="Bookman Old Style"/>
          <w:color w:val="000000"/>
          <w:sz w:val="20"/>
          <w:szCs w:val="20"/>
        </w:rPr>
        <w:t>Согласованная</w:t>
      </w:r>
      <w:proofErr w:type="gramEnd"/>
      <w:r w:rsidRPr="006A199E">
        <w:rPr>
          <w:rFonts w:ascii="Bookman Old Style" w:hAnsi="Bookman Old Style"/>
          <w:color w:val="000000"/>
          <w:sz w:val="20"/>
          <w:szCs w:val="20"/>
        </w:rPr>
        <w:t xml:space="preserve"> рыночная стоимость Объекта оценки, руб.</w:t>
      </w:r>
    </w:p>
    <w:p w:rsidR="006A199E" w:rsidRPr="006A199E" w:rsidRDefault="006A199E" w:rsidP="006A199E">
      <w:pPr>
        <w:spacing w:before="120" w:after="120"/>
        <w:jc w:val="both"/>
        <w:rPr>
          <w:rFonts w:ascii="Bookman Old Style" w:hAnsi="Bookman Old Style"/>
          <w:color w:val="000000"/>
          <w:sz w:val="20"/>
          <w:szCs w:val="20"/>
        </w:rPr>
      </w:pPr>
      <w:r w:rsidRPr="006A199E">
        <w:rPr>
          <w:rFonts w:ascii="Bookman Old Style" w:hAnsi="Bookman Old Style"/>
          <w:color w:val="000000"/>
          <w:sz w:val="20"/>
          <w:szCs w:val="20"/>
        </w:rPr>
        <w:t>ЗП – Стоимость объекта оценки, полученная методом затратного подхода;</w:t>
      </w:r>
    </w:p>
    <w:p w:rsidR="006A199E" w:rsidRPr="006A199E" w:rsidRDefault="006A199E" w:rsidP="006A199E">
      <w:pPr>
        <w:spacing w:before="120" w:after="120"/>
        <w:jc w:val="both"/>
        <w:rPr>
          <w:rFonts w:ascii="Bookman Old Style" w:hAnsi="Bookman Old Style"/>
          <w:color w:val="000000"/>
          <w:sz w:val="20"/>
          <w:szCs w:val="20"/>
        </w:rPr>
      </w:pPr>
      <w:r w:rsidRPr="006A199E">
        <w:rPr>
          <w:rFonts w:ascii="Bookman Old Style" w:hAnsi="Bookman Old Style"/>
          <w:color w:val="000000"/>
          <w:sz w:val="20"/>
          <w:szCs w:val="20"/>
        </w:rPr>
        <w:t>РП – Стоимость объекта оценки, полученная методом сравнительного подхода;</w:t>
      </w:r>
    </w:p>
    <w:p w:rsidR="006A199E" w:rsidRPr="006A199E" w:rsidRDefault="006A199E" w:rsidP="006A199E">
      <w:pPr>
        <w:spacing w:before="120" w:after="120"/>
        <w:jc w:val="both"/>
        <w:rPr>
          <w:rFonts w:ascii="Bookman Old Style" w:hAnsi="Bookman Old Style"/>
          <w:color w:val="000000"/>
          <w:sz w:val="20"/>
          <w:szCs w:val="20"/>
        </w:rPr>
      </w:pPr>
      <w:proofErr w:type="spellStart"/>
      <w:proofErr w:type="gramStart"/>
      <w:r w:rsidRPr="006A199E">
        <w:rPr>
          <w:rFonts w:ascii="Bookman Old Style" w:hAnsi="Bookman Old Style"/>
          <w:color w:val="000000"/>
          <w:sz w:val="20"/>
          <w:szCs w:val="20"/>
        </w:rPr>
        <w:lastRenderedPageBreak/>
        <w:t>Хр</w:t>
      </w:r>
      <w:proofErr w:type="spellEnd"/>
      <w:proofErr w:type="gramEnd"/>
      <w:r w:rsidRPr="006A199E">
        <w:rPr>
          <w:rFonts w:ascii="Bookman Old Style" w:hAnsi="Bookman Old Style"/>
          <w:color w:val="000000"/>
          <w:sz w:val="20"/>
          <w:szCs w:val="20"/>
        </w:rPr>
        <w:t xml:space="preserve">, </w:t>
      </w:r>
      <w:proofErr w:type="spellStart"/>
      <w:r w:rsidRPr="006A199E">
        <w:rPr>
          <w:rFonts w:ascii="Bookman Old Style" w:hAnsi="Bookman Old Style"/>
          <w:color w:val="000000"/>
          <w:sz w:val="20"/>
          <w:szCs w:val="20"/>
        </w:rPr>
        <w:t>Хд</w:t>
      </w:r>
      <w:proofErr w:type="spellEnd"/>
      <w:r w:rsidRPr="006A199E">
        <w:rPr>
          <w:rFonts w:ascii="Bookman Old Style" w:hAnsi="Bookman Old Style"/>
          <w:color w:val="000000"/>
          <w:sz w:val="20"/>
          <w:szCs w:val="20"/>
        </w:rPr>
        <w:t xml:space="preserve"> – Вес каждого подхода. </w:t>
      </w:r>
    </w:p>
    <w:p w:rsidR="00F45425" w:rsidRDefault="006A199E" w:rsidP="00510FEB">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Таким образом, в результате проведенных расчетов и согласования полученных результатов получили стоимость </w:t>
      </w:r>
      <w:r w:rsidR="00510FEB">
        <w:rPr>
          <w:rFonts w:ascii="Bookman Old Style" w:hAnsi="Bookman Old Style"/>
          <w:sz w:val="20"/>
          <w:szCs w:val="20"/>
        </w:rPr>
        <w:t>нежилого помещения</w:t>
      </w:r>
      <w:r w:rsidRPr="006A199E">
        <w:rPr>
          <w:rFonts w:ascii="Bookman Old Style" w:hAnsi="Bookman Old Style"/>
          <w:sz w:val="20"/>
          <w:szCs w:val="20"/>
        </w:rPr>
        <w:t>.</w:t>
      </w:r>
    </w:p>
    <w:p w:rsidR="006A199E" w:rsidRDefault="006A199E" w:rsidP="006A199E">
      <w:pPr>
        <w:spacing w:before="120" w:after="120"/>
        <w:jc w:val="right"/>
        <w:rPr>
          <w:rFonts w:ascii="Bookman Old Style" w:hAnsi="Bookman Old Style"/>
          <w:b/>
          <w:sz w:val="20"/>
          <w:szCs w:val="20"/>
        </w:rPr>
      </w:pPr>
      <w:r w:rsidRPr="00577673">
        <w:rPr>
          <w:rFonts w:ascii="Bookman Old Style" w:hAnsi="Bookman Old Style"/>
          <w:b/>
          <w:bCs/>
          <w:sz w:val="20"/>
          <w:szCs w:val="20"/>
        </w:rPr>
        <w:t xml:space="preserve">Таблица </w:t>
      </w:r>
      <w:r>
        <w:rPr>
          <w:rFonts w:ascii="Bookman Old Style" w:hAnsi="Bookman Old Style"/>
          <w:b/>
          <w:bCs/>
          <w:sz w:val="20"/>
          <w:szCs w:val="20"/>
        </w:rPr>
        <w:t>6</w:t>
      </w:r>
      <w:r w:rsidRPr="00577673">
        <w:rPr>
          <w:rFonts w:ascii="Bookman Old Style" w:hAnsi="Bookman Old Style"/>
          <w:b/>
          <w:bCs/>
          <w:sz w:val="20"/>
          <w:szCs w:val="20"/>
        </w:rPr>
        <w:t xml:space="preserve">.1. Итоговая величина рыночной стоимости </w:t>
      </w:r>
      <w:r>
        <w:rPr>
          <w:rFonts w:ascii="Bookman Old Style" w:hAnsi="Bookman Old Style"/>
          <w:b/>
          <w:bCs/>
          <w:sz w:val="20"/>
          <w:szCs w:val="20"/>
        </w:rPr>
        <w:t>недвижимого имущества</w:t>
      </w:r>
    </w:p>
    <w:tbl>
      <w:tblPr>
        <w:tblW w:w="5000" w:type="pct"/>
        <w:tblLook w:val="04A0" w:firstRow="1" w:lastRow="0" w:firstColumn="1" w:lastColumn="0" w:noHBand="0" w:noVBand="1"/>
      </w:tblPr>
      <w:tblGrid>
        <w:gridCol w:w="573"/>
        <w:gridCol w:w="2722"/>
        <w:gridCol w:w="1920"/>
        <w:gridCol w:w="1936"/>
        <w:gridCol w:w="1694"/>
        <w:gridCol w:w="1576"/>
      </w:tblGrid>
      <w:tr w:rsidR="006A199E" w:rsidRPr="006A199E" w:rsidTr="00AA51E2">
        <w:trPr>
          <w:trHeight w:val="840"/>
        </w:trPr>
        <w:tc>
          <w:tcPr>
            <w:tcW w:w="275"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6A199E" w:rsidRPr="006A199E" w:rsidRDefault="00510FEB" w:rsidP="00510FEB">
            <w:pPr>
              <w:jc w:val="center"/>
              <w:rPr>
                <w:rFonts w:ascii="Cambria" w:hAnsi="Cambria"/>
                <w:b/>
                <w:bCs/>
                <w:color w:val="000000"/>
                <w:sz w:val="16"/>
                <w:szCs w:val="16"/>
              </w:rPr>
            </w:pPr>
            <w:r>
              <w:rPr>
                <w:rFonts w:ascii="Cambria" w:hAnsi="Cambria"/>
                <w:b/>
                <w:bCs/>
                <w:color w:val="000000"/>
                <w:sz w:val="16"/>
                <w:szCs w:val="16"/>
              </w:rPr>
              <w:t xml:space="preserve">№ </w:t>
            </w:r>
            <w:proofErr w:type="gramStart"/>
            <w:r>
              <w:rPr>
                <w:rFonts w:ascii="Cambria" w:hAnsi="Cambria"/>
                <w:b/>
                <w:bCs/>
                <w:color w:val="000000"/>
                <w:sz w:val="16"/>
                <w:szCs w:val="16"/>
              </w:rPr>
              <w:t>п</w:t>
            </w:r>
            <w:proofErr w:type="gramEnd"/>
            <w:r>
              <w:rPr>
                <w:rFonts w:ascii="Cambria" w:hAnsi="Cambria"/>
                <w:b/>
                <w:bCs/>
                <w:color w:val="000000"/>
                <w:sz w:val="16"/>
                <w:szCs w:val="16"/>
              </w:rPr>
              <w:t>/п</w:t>
            </w:r>
          </w:p>
        </w:tc>
        <w:tc>
          <w:tcPr>
            <w:tcW w:w="1306"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Наименование объектов оценки</w:t>
            </w:r>
          </w:p>
        </w:tc>
        <w:tc>
          <w:tcPr>
            <w:tcW w:w="921" w:type="pct"/>
            <w:tcBorders>
              <w:top w:val="single" w:sz="4" w:space="0" w:color="auto"/>
              <w:left w:val="nil"/>
              <w:bottom w:val="single" w:sz="4" w:space="0" w:color="auto"/>
              <w:right w:val="single" w:sz="4" w:space="0" w:color="auto"/>
            </w:tcBorders>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Рыночная стоимость, полученная доходным подходом, руб.</w:t>
            </w:r>
          </w:p>
        </w:tc>
        <w:tc>
          <w:tcPr>
            <w:tcW w:w="929" w:type="pct"/>
            <w:tcBorders>
              <w:top w:val="single" w:sz="4" w:space="0" w:color="auto"/>
              <w:left w:val="nil"/>
              <w:bottom w:val="single" w:sz="4" w:space="0" w:color="auto"/>
              <w:right w:val="single" w:sz="4" w:space="0" w:color="auto"/>
            </w:tcBorders>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Рыночная стоимость, полученная сравнительным подходом, руб.</w:t>
            </w:r>
          </w:p>
        </w:tc>
        <w:tc>
          <w:tcPr>
            <w:tcW w:w="813"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Итоговая величина рыночной стоимости Объекта оценки, руб. НДС не облагается</w:t>
            </w:r>
          </w:p>
        </w:tc>
        <w:tc>
          <w:tcPr>
            <w:tcW w:w="756"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Рыночная стоимость Объекта оценки (округл), руб. НДС не облагается</w:t>
            </w:r>
          </w:p>
        </w:tc>
      </w:tr>
      <w:tr w:rsidR="006A199E" w:rsidRPr="006A199E" w:rsidTr="00AA51E2">
        <w:trPr>
          <w:trHeight w:val="240"/>
        </w:trPr>
        <w:tc>
          <w:tcPr>
            <w:tcW w:w="275" w:type="pct"/>
            <w:vMerge/>
            <w:tcBorders>
              <w:top w:val="single" w:sz="4" w:space="0" w:color="auto"/>
              <w:left w:val="single" w:sz="4" w:space="0" w:color="auto"/>
              <w:bottom w:val="single" w:sz="4" w:space="0" w:color="auto"/>
              <w:right w:val="single" w:sz="4" w:space="0" w:color="auto"/>
            </w:tcBorders>
            <w:vAlign w:val="center"/>
            <w:hideMark/>
          </w:tcPr>
          <w:p w:rsidR="006A199E" w:rsidRPr="006A199E" w:rsidRDefault="006A199E" w:rsidP="006A199E">
            <w:pPr>
              <w:rPr>
                <w:rFonts w:ascii="Cambria" w:hAnsi="Cambria"/>
                <w:b/>
                <w:bCs/>
                <w:color w:val="000000"/>
                <w:sz w:val="16"/>
                <w:szCs w:val="16"/>
              </w:rPr>
            </w:pPr>
          </w:p>
        </w:tc>
        <w:tc>
          <w:tcPr>
            <w:tcW w:w="1306" w:type="pct"/>
            <w:vMerge/>
            <w:tcBorders>
              <w:top w:val="single" w:sz="4" w:space="0" w:color="auto"/>
              <w:left w:val="single" w:sz="4" w:space="0" w:color="auto"/>
              <w:bottom w:val="single" w:sz="4" w:space="0" w:color="auto"/>
              <w:right w:val="single" w:sz="4" w:space="0" w:color="auto"/>
            </w:tcBorders>
            <w:vAlign w:val="center"/>
            <w:hideMark/>
          </w:tcPr>
          <w:p w:rsidR="006A199E" w:rsidRPr="006A199E" w:rsidRDefault="006A199E" w:rsidP="006A199E">
            <w:pPr>
              <w:rPr>
                <w:rFonts w:ascii="Cambria" w:hAnsi="Cambria"/>
                <w:b/>
                <w:bCs/>
                <w:color w:val="000000"/>
                <w:sz w:val="16"/>
                <w:szCs w:val="16"/>
              </w:rPr>
            </w:pPr>
          </w:p>
        </w:tc>
        <w:tc>
          <w:tcPr>
            <w:tcW w:w="921" w:type="pct"/>
            <w:tcBorders>
              <w:top w:val="nil"/>
              <w:left w:val="nil"/>
              <w:bottom w:val="single" w:sz="4" w:space="0" w:color="auto"/>
              <w:right w:val="single" w:sz="4" w:space="0" w:color="auto"/>
            </w:tcBorders>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Вес подхода 0,39</w:t>
            </w:r>
          </w:p>
        </w:tc>
        <w:tc>
          <w:tcPr>
            <w:tcW w:w="929" w:type="pct"/>
            <w:tcBorders>
              <w:top w:val="nil"/>
              <w:left w:val="nil"/>
              <w:bottom w:val="single" w:sz="4" w:space="0" w:color="auto"/>
              <w:right w:val="single" w:sz="4" w:space="0" w:color="auto"/>
            </w:tcBorders>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Вес подхода 0,61</w:t>
            </w:r>
          </w:p>
        </w:tc>
        <w:tc>
          <w:tcPr>
            <w:tcW w:w="813" w:type="pct"/>
            <w:vMerge/>
            <w:tcBorders>
              <w:top w:val="single" w:sz="4" w:space="0" w:color="auto"/>
              <w:left w:val="single" w:sz="4" w:space="0" w:color="auto"/>
              <w:bottom w:val="single" w:sz="4" w:space="0" w:color="auto"/>
              <w:right w:val="single" w:sz="4" w:space="0" w:color="auto"/>
            </w:tcBorders>
            <w:vAlign w:val="center"/>
            <w:hideMark/>
          </w:tcPr>
          <w:p w:rsidR="006A199E" w:rsidRPr="006A199E" w:rsidRDefault="006A199E" w:rsidP="006A199E">
            <w:pPr>
              <w:rPr>
                <w:rFonts w:ascii="Cambria" w:hAnsi="Cambria"/>
                <w:b/>
                <w:bCs/>
                <w:color w:val="000000"/>
                <w:sz w:val="16"/>
                <w:szCs w:val="16"/>
              </w:rPr>
            </w:pPr>
          </w:p>
        </w:tc>
        <w:tc>
          <w:tcPr>
            <w:tcW w:w="756" w:type="pct"/>
            <w:vMerge/>
            <w:tcBorders>
              <w:top w:val="single" w:sz="4" w:space="0" w:color="auto"/>
              <w:left w:val="single" w:sz="4" w:space="0" w:color="auto"/>
              <w:bottom w:val="single" w:sz="4" w:space="0" w:color="auto"/>
              <w:right w:val="single" w:sz="4" w:space="0" w:color="auto"/>
            </w:tcBorders>
            <w:vAlign w:val="center"/>
            <w:hideMark/>
          </w:tcPr>
          <w:p w:rsidR="006A199E" w:rsidRPr="006A199E" w:rsidRDefault="006A199E" w:rsidP="006A199E">
            <w:pPr>
              <w:rPr>
                <w:rFonts w:ascii="Cambria" w:hAnsi="Cambria"/>
                <w:b/>
                <w:bCs/>
                <w:color w:val="000000"/>
                <w:sz w:val="16"/>
                <w:szCs w:val="16"/>
              </w:rPr>
            </w:pPr>
          </w:p>
        </w:tc>
      </w:tr>
      <w:tr w:rsidR="00510FEB" w:rsidRPr="006A199E" w:rsidTr="00AA51E2">
        <w:trPr>
          <w:trHeight w:val="855"/>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510FEB" w:rsidRPr="006A199E" w:rsidRDefault="00510FEB" w:rsidP="006A199E">
            <w:pPr>
              <w:jc w:val="center"/>
              <w:rPr>
                <w:rFonts w:ascii="Cambria" w:hAnsi="Cambria"/>
                <w:color w:val="000000"/>
                <w:sz w:val="16"/>
                <w:szCs w:val="16"/>
              </w:rPr>
            </w:pPr>
            <w:r>
              <w:rPr>
                <w:rFonts w:ascii="Cambria" w:hAnsi="Cambria"/>
                <w:color w:val="000000"/>
                <w:sz w:val="16"/>
                <w:szCs w:val="16"/>
              </w:rPr>
              <w:t>1</w:t>
            </w:r>
          </w:p>
        </w:tc>
        <w:tc>
          <w:tcPr>
            <w:tcW w:w="1306" w:type="pct"/>
            <w:tcBorders>
              <w:top w:val="nil"/>
              <w:left w:val="nil"/>
              <w:bottom w:val="single" w:sz="4" w:space="0" w:color="auto"/>
              <w:right w:val="single" w:sz="4" w:space="0" w:color="auto"/>
            </w:tcBorders>
            <w:shd w:val="clear" w:color="auto" w:fill="auto"/>
            <w:vAlign w:val="bottom"/>
            <w:hideMark/>
          </w:tcPr>
          <w:p w:rsidR="00510FEB" w:rsidRPr="006A199E" w:rsidRDefault="00510FEB" w:rsidP="006A199E">
            <w:pPr>
              <w:rPr>
                <w:rFonts w:ascii="Cambria" w:hAnsi="Cambria"/>
                <w:color w:val="000000"/>
                <w:sz w:val="16"/>
                <w:szCs w:val="16"/>
              </w:rPr>
            </w:pPr>
            <w:r w:rsidRPr="00510FEB">
              <w:rPr>
                <w:rFonts w:ascii="Cambria" w:hAnsi="Cambria"/>
                <w:color w:val="000000"/>
                <w:sz w:val="16"/>
                <w:szCs w:val="16"/>
              </w:rPr>
              <w:t>Помещение, назначение: нежилое, общая площадь 525,6 кв.м., этаж №1, адрес:  г. Красноярск,  ул. Айвазовского 37 «А», стр. 2, пом. 1, Кадастровый номер: 24:50:0500203:461</w:t>
            </w:r>
          </w:p>
        </w:tc>
        <w:tc>
          <w:tcPr>
            <w:tcW w:w="921" w:type="pct"/>
            <w:tcBorders>
              <w:top w:val="nil"/>
              <w:left w:val="nil"/>
              <w:bottom w:val="single" w:sz="4" w:space="0" w:color="auto"/>
              <w:right w:val="single" w:sz="4" w:space="0" w:color="auto"/>
            </w:tcBorders>
            <w:shd w:val="clear" w:color="auto" w:fill="auto"/>
            <w:vAlign w:val="center"/>
            <w:hideMark/>
          </w:tcPr>
          <w:p w:rsidR="00510FEB" w:rsidRDefault="00510FEB" w:rsidP="00510FEB">
            <w:pPr>
              <w:jc w:val="right"/>
              <w:rPr>
                <w:rFonts w:ascii="Cambria" w:hAnsi="Cambria"/>
                <w:color w:val="000000"/>
                <w:sz w:val="16"/>
                <w:szCs w:val="16"/>
              </w:rPr>
            </w:pPr>
            <w:r>
              <w:rPr>
                <w:rFonts w:ascii="Cambria" w:hAnsi="Cambria"/>
                <w:color w:val="000000"/>
                <w:sz w:val="16"/>
                <w:szCs w:val="16"/>
              </w:rPr>
              <w:t>7 020 500</w:t>
            </w:r>
          </w:p>
        </w:tc>
        <w:tc>
          <w:tcPr>
            <w:tcW w:w="929" w:type="pct"/>
            <w:tcBorders>
              <w:top w:val="nil"/>
              <w:left w:val="nil"/>
              <w:bottom w:val="single" w:sz="4" w:space="0" w:color="auto"/>
              <w:right w:val="single" w:sz="4" w:space="0" w:color="auto"/>
            </w:tcBorders>
            <w:shd w:val="clear" w:color="auto" w:fill="auto"/>
            <w:vAlign w:val="center"/>
            <w:hideMark/>
          </w:tcPr>
          <w:p w:rsidR="00510FEB" w:rsidRDefault="00510FEB" w:rsidP="00510FEB">
            <w:pPr>
              <w:jc w:val="right"/>
              <w:rPr>
                <w:rFonts w:ascii="Cambria" w:hAnsi="Cambria"/>
                <w:color w:val="000000"/>
                <w:sz w:val="16"/>
                <w:szCs w:val="16"/>
              </w:rPr>
            </w:pPr>
            <w:r>
              <w:rPr>
                <w:rFonts w:ascii="Cambria" w:hAnsi="Cambria"/>
                <w:color w:val="000000"/>
                <w:sz w:val="16"/>
                <w:szCs w:val="16"/>
              </w:rPr>
              <w:t>7 906 900</w:t>
            </w:r>
          </w:p>
        </w:tc>
        <w:tc>
          <w:tcPr>
            <w:tcW w:w="813" w:type="pct"/>
            <w:tcBorders>
              <w:top w:val="nil"/>
              <w:left w:val="nil"/>
              <w:bottom w:val="single" w:sz="4" w:space="0" w:color="auto"/>
              <w:right w:val="single" w:sz="4" w:space="0" w:color="auto"/>
            </w:tcBorders>
            <w:shd w:val="clear" w:color="auto" w:fill="auto"/>
            <w:vAlign w:val="center"/>
            <w:hideMark/>
          </w:tcPr>
          <w:p w:rsidR="00510FEB" w:rsidRDefault="00510FEB" w:rsidP="00510FEB">
            <w:pPr>
              <w:jc w:val="right"/>
              <w:rPr>
                <w:rFonts w:ascii="Cambria" w:hAnsi="Cambria"/>
                <w:color w:val="000000"/>
                <w:sz w:val="16"/>
                <w:szCs w:val="16"/>
              </w:rPr>
            </w:pPr>
            <w:r>
              <w:rPr>
                <w:rFonts w:ascii="Cambria" w:hAnsi="Cambria"/>
                <w:color w:val="000000"/>
                <w:sz w:val="16"/>
                <w:szCs w:val="16"/>
              </w:rPr>
              <w:t>7 490 292</w:t>
            </w:r>
          </w:p>
        </w:tc>
        <w:tc>
          <w:tcPr>
            <w:tcW w:w="756" w:type="pct"/>
            <w:tcBorders>
              <w:top w:val="nil"/>
              <w:left w:val="nil"/>
              <w:bottom w:val="single" w:sz="4" w:space="0" w:color="auto"/>
              <w:right w:val="single" w:sz="4" w:space="0" w:color="auto"/>
            </w:tcBorders>
            <w:shd w:val="clear" w:color="auto" w:fill="auto"/>
            <w:noWrap/>
            <w:vAlign w:val="center"/>
            <w:hideMark/>
          </w:tcPr>
          <w:p w:rsidR="00510FEB" w:rsidRDefault="00510FEB" w:rsidP="00510FEB">
            <w:pPr>
              <w:jc w:val="right"/>
              <w:rPr>
                <w:rFonts w:ascii="Cambria" w:hAnsi="Cambria"/>
                <w:color w:val="000000"/>
                <w:sz w:val="16"/>
                <w:szCs w:val="16"/>
              </w:rPr>
            </w:pPr>
            <w:r>
              <w:rPr>
                <w:rFonts w:ascii="Cambria" w:hAnsi="Cambria"/>
                <w:color w:val="000000"/>
                <w:sz w:val="16"/>
                <w:szCs w:val="16"/>
              </w:rPr>
              <w:t>7 490 300</w:t>
            </w:r>
          </w:p>
        </w:tc>
      </w:tr>
    </w:tbl>
    <w:p w:rsidR="00F45425" w:rsidRDefault="00F45425" w:rsidP="00F45425">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510FEB" w:rsidRDefault="00510FEB" w:rsidP="00F45425">
      <w:pPr>
        <w:spacing w:before="120" w:after="120"/>
        <w:jc w:val="right"/>
        <w:rPr>
          <w:rFonts w:ascii="Bookman Old Style" w:hAnsi="Bookman Old Style"/>
          <w:b/>
          <w:sz w:val="20"/>
          <w:szCs w:val="20"/>
        </w:rPr>
      </w:pPr>
    </w:p>
    <w:p w:rsidR="00510FEB" w:rsidRDefault="00510FEB" w:rsidP="00F45425">
      <w:pPr>
        <w:spacing w:before="120" w:after="120"/>
        <w:jc w:val="right"/>
        <w:rPr>
          <w:rFonts w:ascii="Bookman Old Style" w:hAnsi="Bookman Old Style"/>
          <w:b/>
          <w:sz w:val="20"/>
          <w:szCs w:val="20"/>
        </w:rPr>
      </w:pPr>
    </w:p>
    <w:p w:rsidR="00510FEB" w:rsidRDefault="00510FEB" w:rsidP="00F45425">
      <w:pPr>
        <w:spacing w:before="120" w:after="120"/>
        <w:jc w:val="right"/>
        <w:rPr>
          <w:rFonts w:ascii="Bookman Old Style" w:hAnsi="Bookman Old Style"/>
          <w:b/>
          <w:sz w:val="20"/>
          <w:szCs w:val="20"/>
        </w:rPr>
      </w:pPr>
    </w:p>
    <w:p w:rsidR="00510FEB" w:rsidRDefault="00510FEB" w:rsidP="00F45425">
      <w:pPr>
        <w:spacing w:before="120" w:after="120"/>
        <w:jc w:val="right"/>
        <w:rPr>
          <w:rFonts w:ascii="Bookman Old Style" w:hAnsi="Bookman Old Style"/>
          <w:b/>
          <w:sz w:val="20"/>
          <w:szCs w:val="20"/>
        </w:rPr>
      </w:pPr>
    </w:p>
    <w:p w:rsidR="00510FEB" w:rsidRDefault="00510FEB" w:rsidP="00F45425">
      <w:pPr>
        <w:spacing w:before="120" w:after="120"/>
        <w:jc w:val="right"/>
        <w:rPr>
          <w:rFonts w:ascii="Bookman Old Style" w:hAnsi="Bookman Old Style"/>
          <w:b/>
          <w:sz w:val="20"/>
          <w:szCs w:val="20"/>
        </w:rPr>
      </w:pPr>
    </w:p>
    <w:p w:rsidR="00510FEB" w:rsidRDefault="00510FEB" w:rsidP="00F45425">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CA64E2" w:rsidRDefault="00CA64E2" w:rsidP="00CA64E2"/>
    <w:p w:rsidR="00CA64E2" w:rsidRDefault="00CA64E2" w:rsidP="00CA64E2"/>
    <w:p w:rsidR="00CA64E2" w:rsidRDefault="00CA64E2" w:rsidP="00CA64E2"/>
    <w:p w:rsidR="00CA64E2" w:rsidRDefault="00CA64E2" w:rsidP="00CA64E2"/>
    <w:p w:rsidR="00CA64E2" w:rsidRDefault="00CA64E2" w:rsidP="00CA64E2"/>
    <w:p w:rsidR="008E2317" w:rsidRPr="00106FF2" w:rsidRDefault="00F6041B" w:rsidP="00B42846">
      <w:pPr>
        <w:pStyle w:val="1"/>
        <w:spacing w:before="120" w:after="120"/>
        <w:jc w:val="center"/>
        <w:rPr>
          <w:rFonts w:ascii="Bookman Old Style" w:hAnsi="Bookman Old Style"/>
        </w:rPr>
      </w:pPr>
      <w:bookmarkStart w:id="350" w:name="_Toc170273684"/>
      <w:bookmarkStart w:id="351" w:name="_Toc200193981"/>
      <w:bookmarkStart w:id="352" w:name="_Toc461375621"/>
      <w:bookmarkEnd w:id="249"/>
      <w:bookmarkEnd w:id="250"/>
      <w:bookmarkEnd w:id="265"/>
      <w:bookmarkEnd w:id="266"/>
      <w:r>
        <w:rPr>
          <w:rFonts w:ascii="Bookman Old Style" w:hAnsi="Bookman Old Style"/>
        </w:rPr>
        <w:lastRenderedPageBreak/>
        <w:t>7</w:t>
      </w:r>
      <w:r w:rsidR="001F6EFB" w:rsidRPr="00106FF2">
        <w:rPr>
          <w:rFonts w:ascii="Bookman Old Style" w:hAnsi="Bookman Old Style"/>
        </w:rPr>
        <w:t>. ИТОГОВО</w:t>
      </w:r>
      <w:r w:rsidR="00773C7B" w:rsidRPr="00106FF2">
        <w:rPr>
          <w:rFonts w:ascii="Bookman Old Style" w:hAnsi="Bookman Old Style"/>
        </w:rPr>
        <w:t>Е ЗАКЛЮЧЕНИЕ О</w:t>
      </w:r>
      <w:r w:rsidR="00723C80" w:rsidRPr="00106FF2">
        <w:rPr>
          <w:rFonts w:ascii="Bookman Old Style" w:hAnsi="Bookman Old Style"/>
        </w:rPr>
        <w:t xml:space="preserve"> </w:t>
      </w:r>
      <w:r w:rsidR="00773C7B" w:rsidRPr="00106FF2">
        <w:rPr>
          <w:rFonts w:ascii="Bookman Old Style" w:hAnsi="Bookman Old Style"/>
        </w:rPr>
        <w:t>СТОИМОСТИ ОБЪЕКТ</w:t>
      </w:r>
      <w:r w:rsidR="003460FD">
        <w:rPr>
          <w:rFonts w:ascii="Bookman Old Style" w:hAnsi="Bookman Old Style"/>
        </w:rPr>
        <w:t>А</w:t>
      </w:r>
      <w:r w:rsidR="001F6EFB" w:rsidRPr="00106FF2">
        <w:rPr>
          <w:rFonts w:ascii="Bookman Old Style" w:hAnsi="Bookman Old Style"/>
        </w:rPr>
        <w:t xml:space="preserve"> ОЦЕНКИ</w:t>
      </w:r>
      <w:bookmarkEnd w:id="350"/>
      <w:bookmarkEnd w:id="351"/>
      <w:bookmarkEnd w:id="352"/>
    </w:p>
    <w:p w:rsidR="00486896" w:rsidRPr="00106FF2" w:rsidRDefault="00486896" w:rsidP="00B42846">
      <w:pPr>
        <w:autoSpaceDE w:val="0"/>
        <w:autoSpaceDN w:val="0"/>
        <w:adjustRightInd w:val="0"/>
        <w:spacing w:before="120" w:after="120"/>
        <w:ind w:firstLine="709"/>
        <w:jc w:val="both"/>
        <w:rPr>
          <w:rFonts w:ascii="Bookman Old Style" w:hAnsi="Bookman Old Style"/>
          <w:sz w:val="20"/>
          <w:szCs w:val="20"/>
        </w:rPr>
      </w:pPr>
      <w:r w:rsidRPr="00106FF2">
        <w:rPr>
          <w:rFonts w:ascii="Bookman Old Style" w:hAnsi="Bookman Old Style"/>
          <w:sz w:val="20"/>
          <w:szCs w:val="20"/>
        </w:rPr>
        <w:t>Таким образом, основываясь на полученных и собранных фактах (сведениях, инфор</w:t>
      </w:r>
      <w:r w:rsidR="00E7270E">
        <w:rPr>
          <w:rFonts w:ascii="Bookman Old Style" w:hAnsi="Bookman Old Style"/>
          <w:sz w:val="20"/>
          <w:szCs w:val="20"/>
        </w:rPr>
        <w:t>мации) и проведенных расчетах, о</w:t>
      </w:r>
      <w:r w:rsidRPr="00106FF2">
        <w:rPr>
          <w:rFonts w:ascii="Bookman Old Style" w:hAnsi="Bookman Old Style"/>
          <w:sz w:val="20"/>
          <w:szCs w:val="20"/>
        </w:rPr>
        <w:t xml:space="preserve">ценщик пришёл к следующему заключению: </w:t>
      </w:r>
    </w:p>
    <w:p w:rsidR="00106FF2" w:rsidRDefault="00486896" w:rsidP="00B42846">
      <w:pPr>
        <w:autoSpaceDE w:val="0"/>
        <w:autoSpaceDN w:val="0"/>
        <w:adjustRightInd w:val="0"/>
        <w:spacing w:before="120" w:after="120"/>
        <w:jc w:val="both"/>
        <w:rPr>
          <w:rFonts w:ascii="Bookman Old Style" w:hAnsi="Bookman Old Style"/>
          <w:sz w:val="20"/>
          <w:szCs w:val="20"/>
        </w:rPr>
      </w:pPr>
      <w:r w:rsidRPr="00C9495B">
        <w:rPr>
          <w:rFonts w:ascii="Bookman Old Style" w:hAnsi="Bookman Old Style"/>
          <w:sz w:val="20"/>
          <w:szCs w:val="20"/>
        </w:rPr>
        <w:t>расчетное значение</w:t>
      </w:r>
      <w:r w:rsidR="00E7270E">
        <w:rPr>
          <w:rFonts w:ascii="Bookman Old Style" w:hAnsi="Bookman Old Style"/>
          <w:sz w:val="20"/>
          <w:szCs w:val="20"/>
        </w:rPr>
        <w:t xml:space="preserve"> итоговой величины</w:t>
      </w:r>
      <w:r w:rsidR="00212908" w:rsidRPr="00C9495B">
        <w:rPr>
          <w:rFonts w:ascii="Bookman Old Style" w:hAnsi="Bookman Old Style"/>
          <w:sz w:val="20"/>
          <w:szCs w:val="20"/>
        </w:rPr>
        <w:t xml:space="preserve"> </w:t>
      </w:r>
      <w:r w:rsidR="00C61514" w:rsidRPr="00C9495B">
        <w:rPr>
          <w:rFonts w:ascii="Bookman Old Style" w:hAnsi="Bookman Old Style"/>
          <w:sz w:val="20"/>
          <w:szCs w:val="20"/>
        </w:rPr>
        <w:t xml:space="preserve">рыночной стоимости </w:t>
      </w:r>
      <w:r w:rsidR="003460FD">
        <w:rPr>
          <w:rFonts w:ascii="Bookman Old Style" w:hAnsi="Bookman Old Style"/>
          <w:sz w:val="20"/>
          <w:szCs w:val="20"/>
        </w:rPr>
        <w:t>Объекта оценки</w:t>
      </w:r>
      <w:r w:rsidR="00212908" w:rsidRPr="00C9495B">
        <w:rPr>
          <w:rFonts w:ascii="Bookman Old Style" w:hAnsi="Bookman Old Style"/>
          <w:sz w:val="20"/>
          <w:szCs w:val="20"/>
        </w:rPr>
        <w:t>:</w:t>
      </w:r>
    </w:p>
    <w:p w:rsidR="00510FEB" w:rsidRPr="00023975" w:rsidRDefault="00510FEB" w:rsidP="00510FEB">
      <w:pPr>
        <w:autoSpaceDE w:val="0"/>
        <w:autoSpaceDN w:val="0"/>
        <w:adjustRightInd w:val="0"/>
        <w:spacing w:before="120" w:after="120"/>
        <w:ind w:left="720"/>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Недвижимое и движимое имуществ</w:t>
      </w:r>
      <w:proofErr w:type="gramStart"/>
      <w:r w:rsidRPr="00023975">
        <w:rPr>
          <w:rFonts w:ascii="Bookman Old Style" w:hAnsi="Bookman Old Style"/>
          <w:color w:val="000000" w:themeColor="text1"/>
          <w:sz w:val="20"/>
          <w:szCs w:val="20"/>
        </w:rPr>
        <w:t>о ООО</w:t>
      </w:r>
      <w:proofErr w:type="gramEnd"/>
      <w:r w:rsidRPr="00023975">
        <w:rPr>
          <w:rFonts w:ascii="Bookman Old Style" w:hAnsi="Bookman Old Style"/>
          <w:color w:val="000000" w:themeColor="text1"/>
          <w:sz w:val="20"/>
          <w:szCs w:val="20"/>
        </w:rPr>
        <w:t xml:space="preserve"> «Окно», находящееся в залоге у </w:t>
      </w:r>
      <w:r w:rsidRPr="00091921">
        <w:rPr>
          <w:rFonts w:ascii="Bookman Old Style" w:hAnsi="Bookman Old Style"/>
          <w:color w:val="000000" w:themeColor="text1"/>
          <w:sz w:val="20"/>
          <w:szCs w:val="20"/>
        </w:rPr>
        <w:t>АКБ «</w:t>
      </w:r>
      <w:proofErr w:type="spellStart"/>
      <w:r w:rsidRPr="00091921">
        <w:rPr>
          <w:rFonts w:ascii="Bookman Old Style" w:hAnsi="Bookman Old Style"/>
          <w:color w:val="000000" w:themeColor="text1"/>
          <w:sz w:val="20"/>
          <w:szCs w:val="20"/>
        </w:rPr>
        <w:t>Ланта</w:t>
      </w:r>
      <w:proofErr w:type="spellEnd"/>
      <w:r w:rsidRPr="00091921">
        <w:rPr>
          <w:rFonts w:ascii="Bookman Old Style" w:hAnsi="Bookman Old Style"/>
          <w:color w:val="000000" w:themeColor="text1"/>
          <w:sz w:val="20"/>
          <w:szCs w:val="20"/>
        </w:rPr>
        <w:t>-Банк»</w:t>
      </w:r>
      <w:r w:rsidRPr="00023975">
        <w:rPr>
          <w:rFonts w:ascii="Bookman Old Style" w:hAnsi="Bookman Old Style"/>
          <w:color w:val="000000" w:themeColor="text1"/>
          <w:sz w:val="20"/>
          <w:szCs w:val="20"/>
        </w:rPr>
        <w:t>, в составе элементов:</w:t>
      </w:r>
    </w:p>
    <w:p w:rsidR="00510FEB" w:rsidRPr="00091921" w:rsidRDefault="00510FEB" w:rsidP="00510FEB">
      <w:pPr>
        <w:numPr>
          <w:ilvl w:val="1"/>
          <w:numId w:val="13"/>
        </w:numPr>
        <w:autoSpaceDE w:val="0"/>
        <w:autoSpaceDN w:val="0"/>
        <w:adjustRightInd w:val="0"/>
        <w:spacing w:before="120" w:after="120"/>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Помещение, назначение: нежилое, общая площадь 525,6 кв.м., этаж №1, адрес:  г. Красноярск,  ул. Айвазовского 37 «А», стр. 2, пом. 1, Кадастровый номер: 24:50:0500203:461</w:t>
      </w:r>
    </w:p>
    <w:p w:rsidR="00510FEB" w:rsidRPr="00091921" w:rsidRDefault="00510FEB" w:rsidP="00510FEB">
      <w:pPr>
        <w:numPr>
          <w:ilvl w:val="1"/>
          <w:numId w:val="13"/>
        </w:numPr>
        <w:autoSpaceDE w:val="0"/>
        <w:autoSpaceDN w:val="0"/>
        <w:adjustRightInd w:val="0"/>
        <w:spacing w:before="120" w:after="120"/>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Общая долевая собственность, доля в праве ½</w:t>
      </w:r>
      <w:proofErr w:type="gramStart"/>
      <w:r w:rsidRPr="00091921">
        <w:rPr>
          <w:rFonts w:ascii="Bookman Old Style" w:hAnsi="Bookman Old Style"/>
          <w:color w:val="000000" w:themeColor="text1"/>
          <w:sz w:val="20"/>
          <w:szCs w:val="20"/>
        </w:rPr>
        <w:t xml:space="preserve"> ,</w:t>
      </w:r>
      <w:proofErr w:type="gramEnd"/>
      <w:r w:rsidRPr="00091921">
        <w:rPr>
          <w:rFonts w:ascii="Bookman Old Style" w:hAnsi="Bookman Old Style"/>
          <w:color w:val="000000" w:themeColor="text1"/>
          <w:sz w:val="20"/>
          <w:szCs w:val="20"/>
        </w:rPr>
        <w:t xml:space="preserve"> Земельный участок, категория земель: земли населенных пунктов, Общая площадь 1181 кв. м., адрес : г. Красноярск, ул. Айвазовского, 37 «А»</w:t>
      </w:r>
      <w:r>
        <w:rPr>
          <w:rFonts w:ascii="Bookman Old Style" w:hAnsi="Bookman Old Style"/>
          <w:color w:val="000000" w:themeColor="text1"/>
          <w:sz w:val="20"/>
          <w:szCs w:val="20"/>
        </w:rPr>
        <w:t>.</w:t>
      </w:r>
      <w:r w:rsidRPr="00091921">
        <w:rPr>
          <w:rFonts w:ascii="Bookman Old Style" w:hAnsi="Bookman Old Style"/>
          <w:color w:val="000000" w:themeColor="text1"/>
          <w:sz w:val="20"/>
          <w:szCs w:val="20"/>
        </w:rPr>
        <w:t xml:space="preserve"> </w:t>
      </w:r>
      <w:r>
        <w:rPr>
          <w:rFonts w:ascii="Bookman Old Style" w:hAnsi="Bookman Old Style"/>
          <w:color w:val="000000" w:themeColor="text1"/>
          <w:sz w:val="20"/>
          <w:szCs w:val="20"/>
        </w:rPr>
        <w:t>К</w:t>
      </w:r>
      <w:r w:rsidRPr="00091921">
        <w:rPr>
          <w:rFonts w:ascii="Bookman Old Style" w:hAnsi="Bookman Old Style"/>
          <w:color w:val="000000" w:themeColor="text1"/>
          <w:sz w:val="20"/>
          <w:szCs w:val="20"/>
        </w:rPr>
        <w:t>адастровый номер: 24:50:0500203:15;</w:t>
      </w:r>
    </w:p>
    <w:p w:rsidR="00510FEB" w:rsidRDefault="00510FEB" w:rsidP="00510FEB">
      <w:pPr>
        <w:numPr>
          <w:ilvl w:val="1"/>
          <w:numId w:val="13"/>
        </w:numPr>
        <w:autoSpaceDE w:val="0"/>
        <w:autoSpaceDN w:val="0"/>
        <w:adjustRightInd w:val="0"/>
        <w:spacing w:before="120" w:after="120"/>
        <w:jc w:val="both"/>
        <w:rPr>
          <w:rFonts w:ascii="Bookman Old Style" w:hAnsi="Bookman Old Style"/>
          <w:color w:val="000000" w:themeColor="text1"/>
          <w:sz w:val="20"/>
          <w:szCs w:val="20"/>
        </w:rPr>
      </w:pPr>
      <w:r w:rsidRPr="00091921">
        <w:rPr>
          <w:rFonts w:ascii="Bookman Old Style" w:hAnsi="Bookman Old Style"/>
          <w:color w:val="000000" w:themeColor="text1"/>
          <w:sz w:val="20"/>
          <w:szCs w:val="20"/>
        </w:rPr>
        <w:t xml:space="preserve">Стойка 150 мм*4м, </w:t>
      </w:r>
      <w:proofErr w:type="spellStart"/>
      <w:r w:rsidRPr="00091921">
        <w:rPr>
          <w:rFonts w:ascii="Bookman Old Style" w:hAnsi="Bookman Old Style"/>
          <w:color w:val="000000" w:themeColor="text1"/>
          <w:sz w:val="20"/>
          <w:szCs w:val="20"/>
        </w:rPr>
        <w:t>Naturall</w:t>
      </w:r>
      <w:proofErr w:type="spellEnd"/>
      <w:r w:rsidRPr="00091921">
        <w:rPr>
          <w:rFonts w:ascii="Bookman Old Style" w:hAnsi="Bookman Old Style"/>
          <w:color w:val="000000" w:themeColor="text1"/>
          <w:sz w:val="20"/>
          <w:szCs w:val="20"/>
        </w:rPr>
        <w:t xml:space="preserve"> </w:t>
      </w:r>
      <w:proofErr w:type="spellStart"/>
      <w:r w:rsidRPr="00091921">
        <w:rPr>
          <w:rFonts w:ascii="Bookman Old Style" w:hAnsi="Bookman Old Style"/>
          <w:color w:val="000000" w:themeColor="text1"/>
          <w:sz w:val="20"/>
          <w:szCs w:val="20"/>
        </w:rPr>
        <w:t>Noce</w:t>
      </w:r>
      <w:proofErr w:type="spellEnd"/>
      <w:r w:rsidRPr="00091921">
        <w:rPr>
          <w:rFonts w:ascii="Bookman Old Style" w:hAnsi="Bookman Old Style"/>
          <w:color w:val="000000" w:themeColor="text1"/>
          <w:sz w:val="20"/>
          <w:szCs w:val="20"/>
        </w:rPr>
        <w:t xml:space="preserve"> </w:t>
      </w:r>
      <w:proofErr w:type="spellStart"/>
      <w:r w:rsidRPr="00091921">
        <w:rPr>
          <w:rFonts w:ascii="Bookman Old Style" w:hAnsi="Bookman Old Style"/>
          <w:color w:val="000000" w:themeColor="text1"/>
          <w:sz w:val="20"/>
          <w:szCs w:val="20"/>
        </w:rPr>
        <w:t>Scuro</w:t>
      </w:r>
      <w:proofErr w:type="spellEnd"/>
      <w:r w:rsidRPr="00091921">
        <w:rPr>
          <w:rFonts w:ascii="Bookman Old Style" w:hAnsi="Bookman Old Style"/>
          <w:color w:val="000000" w:themeColor="text1"/>
          <w:sz w:val="20"/>
          <w:szCs w:val="20"/>
        </w:rPr>
        <w:t xml:space="preserve"> в количестве 200 штук</w:t>
      </w:r>
    </w:p>
    <w:p w:rsidR="003460FD" w:rsidRPr="005D0816" w:rsidRDefault="00982955" w:rsidP="005D0816">
      <w:pPr>
        <w:pStyle w:val="aff2"/>
        <w:spacing w:before="120" w:after="120"/>
        <w:ind w:left="714"/>
        <w:contextualSpacing w:val="0"/>
        <w:rPr>
          <w:rFonts w:ascii="Bookman Old Style" w:hAnsi="Bookman Old Style"/>
          <w:sz w:val="20"/>
          <w:szCs w:val="20"/>
        </w:rPr>
      </w:pPr>
      <w:r w:rsidRPr="005D0816">
        <w:rPr>
          <w:rFonts w:ascii="Bookman Old Style" w:hAnsi="Bookman Old Style"/>
          <w:sz w:val="20"/>
          <w:szCs w:val="20"/>
        </w:rPr>
        <w:t>Принадлежащ</w:t>
      </w:r>
      <w:r w:rsidR="00405E79" w:rsidRPr="005D0816">
        <w:rPr>
          <w:rFonts w:ascii="Bookman Old Style" w:hAnsi="Bookman Old Style"/>
          <w:sz w:val="20"/>
          <w:szCs w:val="20"/>
        </w:rPr>
        <w:t>его</w:t>
      </w:r>
      <w:r w:rsidR="00C61514" w:rsidRPr="005D0816">
        <w:rPr>
          <w:rFonts w:ascii="Bookman Old Style" w:hAnsi="Bookman Old Style"/>
          <w:sz w:val="20"/>
          <w:szCs w:val="20"/>
        </w:rPr>
        <w:t>:</w:t>
      </w:r>
      <w:r w:rsidR="00C9495B" w:rsidRPr="005D0816">
        <w:rPr>
          <w:rFonts w:ascii="Bookman Old Style" w:hAnsi="Bookman Old Style"/>
          <w:sz w:val="20"/>
          <w:szCs w:val="20"/>
        </w:rPr>
        <w:t xml:space="preserve"> </w:t>
      </w:r>
      <w:r w:rsidR="007064EB" w:rsidRPr="005D0816">
        <w:rPr>
          <w:rFonts w:ascii="Bookman Old Style" w:hAnsi="Bookman Old Style"/>
          <w:sz w:val="20"/>
          <w:szCs w:val="20"/>
        </w:rPr>
        <w:t xml:space="preserve"> </w:t>
      </w:r>
    </w:p>
    <w:p w:rsidR="00982955" w:rsidRPr="003460FD" w:rsidRDefault="000C64BF" w:rsidP="005D0816">
      <w:pPr>
        <w:pStyle w:val="aff2"/>
        <w:autoSpaceDE w:val="0"/>
        <w:autoSpaceDN w:val="0"/>
        <w:adjustRightInd w:val="0"/>
        <w:spacing w:before="120" w:after="120"/>
        <w:jc w:val="both"/>
        <w:rPr>
          <w:rFonts w:ascii="Bookman Old Style" w:hAnsi="Bookman Old Style"/>
          <w:sz w:val="20"/>
          <w:szCs w:val="20"/>
        </w:rPr>
      </w:pPr>
      <w:r>
        <w:rPr>
          <w:rFonts w:ascii="Bookman Old Style" w:hAnsi="Bookman Old Style"/>
          <w:sz w:val="20"/>
          <w:szCs w:val="20"/>
        </w:rPr>
        <w:t xml:space="preserve">Обществу с ограниченной </w:t>
      </w:r>
      <w:r w:rsidR="00B21788">
        <w:rPr>
          <w:rFonts w:ascii="Bookman Old Style" w:hAnsi="Bookman Old Style"/>
          <w:sz w:val="20"/>
          <w:szCs w:val="20"/>
        </w:rPr>
        <w:t>ответственностью</w:t>
      </w:r>
      <w:r w:rsidRPr="000C64BF">
        <w:rPr>
          <w:rFonts w:ascii="Bookman Old Style" w:hAnsi="Bookman Old Style"/>
          <w:sz w:val="20"/>
          <w:szCs w:val="20"/>
        </w:rPr>
        <w:t xml:space="preserve"> «</w:t>
      </w:r>
      <w:r w:rsidR="00510FEB">
        <w:rPr>
          <w:rFonts w:ascii="Bookman Old Style" w:hAnsi="Bookman Old Style"/>
          <w:sz w:val="20"/>
          <w:szCs w:val="20"/>
        </w:rPr>
        <w:t>Окно</w:t>
      </w:r>
      <w:r w:rsidRPr="000C64BF">
        <w:rPr>
          <w:rFonts w:ascii="Bookman Old Style" w:hAnsi="Bookman Old Style"/>
          <w:sz w:val="20"/>
          <w:szCs w:val="20"/>
        </w:rPr>
        <w:t>»</w:t>
      </w:r>
      <w:r w:rsidR="00982955" w:rsidRPr="003460FD">
        <w:rPr>
          <w:rFonts w:ascii="Bookman Old Style" w:hAnsi="Bookman Old Style"/>
          <w:sz w:val="20"/>
          <w:szCs w:val="20"/>
        </w:rPr>
        <w:t>.</w:t>
      </w:r>
    </w:p>
    <w:p w:rsidR="00486896" w:rsidRPr="006259AD" w:rsidRDefault="00486896" w:rsidP="00B42846">
      <w:pPr>
        <w:autoSpaceDE w:val="0"/>
        <w:autoSpaceDN w:val="0"/>
        <w:adjustRightInd w:val="0"/>
        <w:spacing w:before="120" w:after="120"/>
        <w:jc w:val="both"/>
        <w:rPr>
          <w:rFonts w:ascii="Bookman Old Style" w:hAnsi="Bookman Old Style"/>
          <w:sz w:val="20"/>
          <w:szCs w:val="20"/>
        </w:rPr>
      </w:pPr>
      <w:r w:rsidRPr="004A53BF">
        <w:rPr>
          <w:rFonts w:ascii="Bookman Old Style" w:hAnsi="Bookman Old Style"/>
          <w:sz w:val="20"/>
          <w:szCs w:val="20"/>
        </w:rPr>
        <w:t>по состоянию на «</w:t>
      </w:r>
      <w:r w:rsidR="00510FEB">
        <w:rPr>
          <w:rFonts w:ascii="Bookman Old Style" w:hAnsi="Bookman Old Style"/>
          <w:sz w:val="20"/>
          <w:szCs w:val="20"/>
        </w:rPr>
        <w:t>26</w:t>
      </w:r>
      <w:r w:rsidRPr="004A53BF">
        <w:rPr>
          <w:rFonts w:ascii="Bookman Old Style" w:hAnsi="Bookman Old Style"/>
          <w:sz w:val="20"/>
          <w:szCs w:val="20"/>
        </w:rPr>
        <w:t xml:space="preserve">» </w:t>
      </w:r>
      <w:r w:rsidR="005D0816">
        <w:rPr>
          <w:rFonts w:ascii="Bookman Old Style" w:hAnsi="Bookman Old Style"/>
          <w:sz w:val="20"/>
          <w:szCs w:val="20"/>
        </w:rPr>
        <w:t>августа</w:t>
      </w:r>
      <w:r w:rsidRPr="004A53BF">
        <w:rPr>
          <w:rFonts w:ascii="Bookman Old Style" w:hAnsi="Bookman Old Style"/>
          <w:sz w:val="20"/>
          <w:szCs w:val="20"/>
        </w:rPr>
        <w:t xml:space="preserve"> 20</w:t>
      </w:r>
      <w:r w:rsidR="00C9495B" w:rsidRPr="004A53BF">
        <w:rPr>
          <w:rFonts w:ascii="Bookman Old Style" w:hAnsi="Bookman Old Style"/>
          <w:sz w:val="20"/>
          <w:szCs w:val="20"/>
        </w:rPr>
        <w:t>1</w:t>
      </w:r>
      <w:r w:rsidR="005D0816">
        <w:rPr>
          <w:rFonts w:ascii="Bookman Old Style" w:hAnsi="Bookman Old Style"/>
          <w:sz w:val="20"/>
          <w:szCs w:val="20"/>
        </w:rPr>
        <w:t>6</w:t>
      </w:r>
      <w:r w:rsidRPr="004A53BF">
        <w:rPr>
          <w:rFonts w:ascii="Bookman Old Style" w:hAnsi="Bookman Old Style"/>
          <w:sz w:val="20"/>
          <w:szCs w:val="20"/>
        </w:rPr>
        <w:t xml:space="preserve"> года округленно составляет:</w:t>
      </w:r>
    </w:p>
    <w:p w:rsidR="00510FEB" w:rsidRPr="00F5295A" w:rsidRDefault="00510FEB" w:rsidP="00510FEB">
      <w:pPr>
        <w:autoSpaceDE w:val="0"/>
        <w:autoSpaceDN w:val="0"/>
        <w:adjustRightInd w:val="0"/>
        <w:spacing w:before="120" w:after="120"/>
        <w:jc w:val="center"/>
        <w:rPr>
          <w:rFonts w:ascii="Bookman Old Style" w:hAnsi="Bookman Old Style"/>
          <w:b/>
          <w:sz w:val="20"/>
          <w:szCs w:val="20"/>
        </w:rPr>
      </w:pPr>
      <w:r>
        <w:rPr>
          <w:rFonts w:ascii="Bookman Old Style" w:hAnsi="Bookman Old Style"/>
          <w:b/>
          <w:sz w:val="20"/>
          <w:szCs w:val="20"/>
        </w:rPr>
        <w:t>7 743 100</w:t>
      </w:r>
      <w:r w:rsidRPr="00C10AB8">
        <w:rPr>
          <w:rFonts w:ascii="Bookman Old Style" w:hAnsi="Bookman Old Style"/>
          <w:b/>
          <w:sz w:val="20"/>
          <w:szCs w:val="20"/>
        </w:rPr>
        <w:t xml:space="preserve">, </w:t>
      </w:r>
      <w:r>
        <w:rPr>
          <w:rFonts w:ascii="Bookman Old Style" w:hAnsi="Bookman Old Style"/>
          <w:b/>
          <w:sz w:val="20"/>
          <w:szCs w:val="20"/>
        </w:rPr>
        <w:t xml:space="preserve">семь </w:t>
      </w:r>
      <w:r w:rsidRPr="00C10AB8">
        <w:rPr>
          <w:rFonts w:ascii="Bookman Old Style" w:hAnsi="Bookman Old Style"/>
          <w:b/>
          <w:sz w:val="20"/>
          <w:szCs w:val="20"/>
        </w:rPr>
        <w:t xml:space="preserve">миллионов </w:t>
      </w:r>
      <w:r>
        <w:rPr>
          <w:rFonts w:ascii="Bookman Old Style" w:hAnsi="Bookman Old Style"/>
          <w:b/>
          <w:sz w:val="20"/>
          <w:szCs w:val="20"/>
        </w:rPr>
        <w:t>семьсот сорок три</w:t>
      </w:r>
      <w:r w:rsidRPr="00C10AB8">
        <w:rPr>
          <w:rFonts w:ascii="Bookman Old Style" w:hAnsi="Bookman Old Style"/>
          <w:b/>
          <w:sz w:val="20"/>
          <w:szCs w:val="20"/>
        </w:rPr>
        <w:t xml:space="preserve"> тысяч</w:t>
      </w:r>
      <w:r>
        <w:rPr>
          <w:rFonts w:ascii="Bookman Old Style" w:hAnsi="Bookman Old Style"/>
          <w:b/>
          <w:sz w:val="20"/>
          <w:szCs w:val="20"/>
        </w:rPr>
        <w:t>и</w:t>
      </w:r>
      <w:r w:rsidRPr="00C10AB8">
        <w:rPr>
          <w:rFonts w:ascii="Bookman Old Style" w:hAnsi="Bookman Old Style"/>
          <w:b/>
          <w:sz w:val="20"/>
          <w:szCs w:val="20"/>
        </w:rPr>
        <w:t xml:space="preserve"> </w:t>
      </w:r>
      <w:r>
        <w:rPr>
          <w:rFonts w:ascii="Bookman Old Style" w:hAnsi="Bookman Old Style"/>
          <w:b/>
          <w:sz w:val="20"/>
          <w:szCs w:val="20"/>
        </w:rPr>
        <w:t>сто</w:t>
      </w:r>
      <w:r w:rsidRPr="00C10AB8">
        <w:rPr>
          <w:rFonts w:ascii="Bookman Old Style" w:hAnsi="Bookman Old Style"/>
          <w:b/>
          <w:sz w:val="20"/>
          <w:szCs w:val="20"/>
        </w:rPr>
        <w:t xml:space="preserve"> рублей, </w:t>
      </w:r>
      <w:r>
        <w:rPr>
          <w:rFonts w:ascii="Bookman Old Style" w:hAnsi="Bookman Old Style"/>
          <w:b/>
          <w:sz w:val="20"/>
          <w:szCs w:val="20"/>
        </w:rPr>
        <w:t>в том числе</w:t>
      </w:r>
      <w:r w:rsidRPr="00C10AB8">
        <w:rPr>
          <w:rFonts w:ascii="Bookman Old Style" w:hAnsi="Bookman Old Style"/>
          <w:b/>
          <w:bCs/>
          <w:sz w:val="20"/>
          <w:szCs w:val="20"/>
        </w:rPr>
        <w: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655"/>
        <w:gridCol w:w="2268"/>
      </w:tblGrid>
      <w:tr w:rsidR="00510FEB" w:rsidRPr="00023975" w:rsidTr="00510FEB">
        <w:trPr>
          <w:cantSplit/>
          <w:trHeight w:val="284"/>
        </w:trPr>
        <w:tc>
          <w:tcPr>
            <w:tcW w:w="675" w:type="dxa"/>
            <w:shd w:val="clear" w:color="auto" w:fill="F2F2F2" w:themeFill="background1" w:themeFillShade="F2"/>
            <w:vAlign w:val="center"/>
            <w:hideMark/>
          </w:tcPr>
          <w:p w:rsidR="00510FEB" w:rsidRPr="00023975" w:rsidRDefault="00510FEB" w:rsidP="00991B2D">
            <w:pPr>
              <w:jc w:val="center"/>
              <w:rPr>
                <w:rFonts w:asciiTheme="majorHAnsi" w:hAnsiTheme="majorHAnsi"/>
                <w:b/>
                <w:bCs/>
                <w:color w:val="000000"/>
                <w:sz w:val="18"/>
                <w:szCs w:val="18"/>
              </w:rPr>
            </w:pPr>
            <w:r w:rsidRPr="00023975">
              <w:rPr>
                <w:rFonts w:asciiTheme="majorHAnsi" w:hAnsiTheme="majorHAnsi"/>
                <w:b/>
                <w:bCs/>
                <w:color w:val="000000"/>
                <w:sz w:val="18"/>
                <w:szCs w:val="18"/>
              </w:rPr>
              <w:t xml:space="preserve">№ </w:t>
            </w:r>
            <w:proofErr w:type="spellStart"/>
            <w:r w:rsidRPr="00023975">
              <w:rPr>
                <w:rFonts w:asciiTheme="majorHAnsi" w:hAnsiTheme="majorHAnsi"/>
                <w:b/>
                <w:bCs/>
                <w:color w:val="000000"/>
                <w:sz w:val="18"/>
                <w:szCs w:val="18"/>
              </w:rPr>
              <w:t>п.п</w:t>
            </w:r>
            <w:proofErr w:type="spellEnd"/>
            <w:r w:rsidRPr="00023975">
              <w:rPr>
                <w:rFonts w:asciiTheme="majorHAnsi" w:hAnsiTheme="majorHAnsi"/>
                <w:b/>
                <w:bCs/>
                <w:color w:val="000000"/>
                <w:sz w:val="18"/>
                <w:szCs w:val="18"/>
              </w:rPr>
              <w:t>.</w:t>
            </w:r>
          </w:p>
        </w:tc>
        <w:tc>
          <w:tcPr>
            <w:tcW w:w="7655" w:type="dxa"/>
            <w:shd w:val="clear" w:color="auto" w:fill="F2F2F2" w:themeFill="background1" w:themeFillShade="F2"/>
            <w:vAlign w:val="center"/>
            <w:hideMark/>
          </w:tcPr>
          <w:p w:rsidR="00510FEB" w:rsidRPr="00023975" w:rsidRDefault="00510FEB" w:rsidP="00991B2D">
            <w:pPr>
              <w:jc w:val="center"/>
              <w:rPr>
                <w:rFonts w:asciiTheme="majorHAnsi" w:hAnsiTheme="majorHAnsi"/>
                <w:b/>
                <w:bCs/>
                <w:color w:val="000000"/>
                <w:sz w:val="18"/>
                <w:szCs w:val="18"/>
              </w:rPr>
            </w:pPr>
            <w:r w:rsidRPr="00023975">
              <w:rPr>
                <w:rFonts w:asciiTheme="majorHAnsi" w:hAnsiTheme="majorHAnsi"/>
                <w:b/>
                <w:bCs/>
                <w:color w:val="000000"/>
                <w:sz w:val="18"/>
                <w:szCs w:val="18"/>
              </w:rPr>
              <w:t>Элемент Объекта оценки</w:t>
            </w:r>
          </w:p>
        </w:tc>
        <w:tc>
          <w:tcPr>
            <w:tcW w:w="2268" w:type="dxa"/>
            <w:shd w:val="clear" w:color="auto" w:fill="F2F2F2" w:themeFill="background1" w:themeFillShade="F2"/>
            <w:vAlign w:val="center"/>
          </w:tcPr>
          <w:p w:rsidR="00510FEB" w:rsidRPr="00023975" w:rsidRDefault="00510FEB" w:rsidP="00991B2D">
            <w:pPr>
              <w:jc w:val="center"/>
              <w:rPr>
                <w:rFonts w:asciiTheme="majorHAnsi" w:hAnsiTheme="majorHAnsi"/>
                <w:b/>
                <w:color w:val="000000"/>
                <w:sz w:val="18"/>
                <w:szCs w:val="18"/>
                <w:highlight w:val="yellow"/>
              </w:rPr>
            </w:pPr>
            <w:r w:rsidRPr="00023975">
              <w:rPr>
                <w:rFonts w:asciiTheme="majorHAnsi" w:hAnsiTheme="majorHAnsi"/>
                <w:b/>
                <w:color w:val="000000"/>
                <w:sz w:val="18"/>
                <w:szCs w:val="18"/>
              </w:rPr>
              <w:t>Рыночная стоимость элемента Объекта оценки, руб. НДС не облагается</w:t>
            </w:r>
          </w:p>
        </w:tc>
      </w:tr>
      <w:tr w:rsidR="00510FEB" w:rsidRPr="00023975" w:rsidTr="00510FEB">
        <w:trPr>
          <w:cantSplit/>
          <w:trHeight w:val="284"/>
        </w:trPr>
        <w:tc>
          <w:tcPr>
            <w:tcW w:w="675" w:type="dxa"/>
            <w:shd w:val="clear" w:color="auto" w:fill="auto"/>
            <w:noWrap/>
            <w:vAlign w:val="center"/>
          </w:tcPr>
          <w:p w:rsidR="00510FEB" w:rsidRPr="00023975" w:rsidRDefault="00510FEB" w:rsidP="00991B2D">
            <w:pPr>
              <w:jc w:val="center"/>
              <w:rPr>
                <w:rFonts w:asciiTheme="majorHAnsi" w:hAnsiTheme="majorHAnsi"/>
                <w:color w:val="000000"/>
                <w:sz w:val="18"/>
                <w:szCs w:val="18"/>
              </w:rPr>
            </w:pPr>
            <w:r w:rsidRPr="00023975">
              <w:rPr>
                <w:rFonts w:asciiTheme="majorHAnsi" w:hAnsiTheme="majorHAnsi"/>
                <w:color w:val="000000"/>
                <w:sz w:val="18"/>
                <w:szCs w:val="18"/>
              </w:rPr>
              <w:t>1</w:t>
            </w:r>
          </w:p>
        </w:tc>
        <w:tc>
          <w:tcPr>
            <w:tcW w:w="7655" w:type="dxa"/>
            <w:shd w:val="clear" w:color="auto" w:fill="auto"/>
            <w:noWrap/>
          </w:tcPr>
          <w:p w:rsidR="00510FEB" w:rsidRPr="00091921" w:rsidRDefault="00510FEB" w:rsidP="00991B2D">
            <w:pPr>
              <w:rPr>
                <w:rFonts w:asciiTheme="majorHAnsi" w:hAnsiTheme="majorHAnsi"/>
                <w:sz w:val="18"/>
                <w:szCs w:val="18"/>
              </w:rPr>
            </w:pPr>
            <w:r w:rsidRPr="00091921">
              <w:rPr>
                <w:rFonts w:asciiTheme="majorHAnsi" w:hAnsiTheme="majorHAnsi"/>
                <w:sz w:val="18"/>
                <w:szCs w:val="18"/>
              </w:rPr>
              <w:t>Помещение, назначение: нежилое, общая площадь 525,6 кв.м., этаж №1, адрес:  г. Красноярск,  ул. Айвазовского 37 «А», стр. 2, пом. 1, Кадастровый номер: 24:50:0500203:461</w:t>
            </w:r>
          </w:p>
        </w:tc>
        <w:tc>
          <w:tcPr>
            <w:tcW w:w="2268" w:type="dxa"/>
            <w:vAlign w:val="center"/>
          </w:tcPr>
          <w:p w:rsidR="00510FEB" w:rsidRDefault="00510FEB" w:rsidP="00991B2D">
            <w:pPr>
              <w:jc w:val="right"/>
              <w:rPr>
                <w:rFonts w:ascii="Cambria" w:hAnsi="Cambria"/>
                <w:color w:val="000000"/>
                <w:sz w:val="18"/>
                <w:szCs w:val="18"/>
              </w:rPr>
            </w:pPr>
            <w:r>
              <w:rPr>
                <w:rFonts w:ascii="Cambria" w:hAnsi="Cambria"/>
                <w:color w:val="000000"/>
                <w:sz w:val="18"/>
                <w:szCs w:val="18"/>
              </w:rPr>
              <w:t>7 490 300</w:t>
            </w:r>
          </w:p>
        </w:tc>
      </w:tr>
      <w:tr w:rsidR="00510FEB" w:rsidRPr="00023975" w:rsidTr="00510FEB">
        <w:trPr>
          <w:cantSplit/>
          <w:trHeight w:val="284"/>
        </w:trPr>
        <w:tc>
          <w:tcPr>
            <w:tcW w:w="675" w:type="dxa"/>
            <w:shd w:val="clear" w:color="auto" w:fill="auto"/>
            <w:noWrap/>
            <w:vAlign w:val="center"/>
          </w:tcPr>
          <w:p w:rsidR="00510FEB" w:rsidRPr="00023975" w:rsidRDefault="00510FEB" w:rsidP="00991B2D">
            <w:pPr>
              <w:jc w:val="center"/>
              <w:rPr>
                <w:rFonts w:asciiTheme="majorHAnsi" w:hAnsiTheme="majorHAnsi"/>
                <w:color w:val="000000"/>
                <w:sz w:val="18"/>
                <w:szCs w:val="18"/>
              </w:rPr>
            </w:pPr>
            <w:r w:rsidRPr="00023975">
              <w:rPr>
                <w:rFonts w:asciiTheme="majorHAnsi" w:hAnsiTheme="majorHAnsi"/>
                <w:color w:val="000000"/>
                <w:sz w:val="18"/>
                <w:szCs w:val="18"/>
              </w:rPr>
              <w:t>2</w:t>
            </w:r>
          </w:p>
        </w:tc>
        <w:tc>
          <w:tcPr>
            <w:tcW w:w="7655" w:type="dxa"/>
            <w:shd w:val="clear" w:color="auto" w:fill="auto"/>
            <w:noWrap/>
          </w:tcPr>
          <w:p w:rsidR="00510FEB" w:rsidRPr="00091921" w:rsidRDefault="00510FEB" w:rsidP="00991B2D">
            <w:pPr>
              <w:rPr>
                <w:rFonts w:asciiTheme="majorHAnsi" w:hAnsiTheme="majorHAnsi"/>
                <w:sz w:val="18"/>
                <w:szCs w:val="18"/>
              </w:rPr>
            </w:pPr>
            <w:r w:rsidRPr="00091921">
              <w:rPr>
                <w:rFonts w:asciiTheme="majorHAnsi" w:hAnsiTheme="majorHAnsi"/>
                <w:sz w:val="18"/>
                <w:szCs w:val="18"/>
              </w:rPr>
              <w:t>Общая долевая собственность, доля в праве ½</w:t>
            </w:r>
            <w:proofErr w:type="gramStart"/>
            <w:r w:rsidRPr="00091921">
              <w:rPr>
                <w:rFonts w:asciiTheme="majorHAnsi" w:hAnsiTheme="majorHAnsi"/>
                <w:sz w:val="18"/>
                <w:szCs w:val="18"/>
              </w:rPr>
              <w:t xml:space="preserve"> ,</w:t>
            </w:r>
            <w:proofErr w:type="gramEnd"/>
            <w:r w:rsidRPr="00091921">
              <w:rPr>
                <w:rFonts w:asciiTheme="majorHAnsi" w:hAnsiTheme="majorHAnsi"/>
                <w:sz w:val="18"/>
                <w:szCs w:val="18"/>
              </w:rPr>
              <w:t xml:space="preserve"> Земельный участок, категория земель: земли населенных пунктов, Общая площадь 1181 кв. м., адрес : г. Красноярск, ул. Айвазовского, 37 «А»</w:t>
            </w:r>
            <w:r>
              <w:rPr>
                <w:rFonts w:asciiTheme="majorHAnsi" w:hAnsiTheme="majorHAnsi"/>
                <w:sz w:val="18"/>
                <w:szCs w:val="18"/>
              </w:rPr>
              <w:t>. К</w:t>
            </w:r>
            <w:r w:rsidRPr="00091921">
              <w:rPr>
                <w:rFonts w:asciiTheme="majorHAnsi" w:hAnsiTheme="majorHAnsi"/>
                <w:sz w:val="18"/>
                <w:szCs w:val="18"/>
              </w:rPr>
              <w:t>адастровый номер: 24:50:0500203:15;</w:t>
            </w:r>
          </w:p>
        </w:tc>
        <w:tc>
          <w:tcPr>
            <w:tcW w:w="2268" w:type="dxa"/>
            <w:vAlign w:val="center"/>
          </w:tcPr>
          <w:p w:rsidR="00510FEB" w:rsidRDefault="00510FEB" w:rsidP="00991B2D">
            <w:pPr>
              <w:jc w:val="right"/>
              <w:rPr>
                <w:rFonts w:ascii="Cambria" w:hAnsi="Cambria"/>
                <w:color w:val="000000"/>
                <w:sz w:val="18"/>
                <w:szCs w:val="18"/>
              </w:rPr>
            </w:pPr>
            <w:r>
              <w:rPr>
                <w:rFonts w:ascii="Cambria" w:hAnsi="Cambria"/>
                <w:color w:val="000000"/>
                <w:sz w:val="18"/>
                <w:szCs w:val="18"/>
              </w:rPr>
              <w:t>95 400,00</w:t>
            </w:r>
          </w:p>
        </w:tc>
      </w:tr>
      <w:tr w:rsidR="00510FEB" w:rsidRPr="00023975" w:rsidTr="0070748F">
        <w:trPr>
          <w:cantSplit/>
          <w:trHeight w:val="417"/>
        </w:trPr>
        <w:tc>
          <w:tcPr>
            <w:tcW w:w="675" w:type="dxa"/>
            <w:shd w:val="clear" w:color="auto" w:fill="auto"/>
            <w:noWrap/>
            <w:vAlign w:val="center"/>
          </w:tcPr>
          <w:p w:rsidR="00510FEB" w:rsidRPr="00023975" w:rsidRDefault="00510FEB" w:rsidP="00991B2D">
            <w:pPr>
              <w:jc w:val="center"/>
              <w:rPr>
                <w:rFonts w:asciiTheme="majorHAnsi" w:hAnsiTheme="majorHAnsi"/>
                <w:color w:val="000000"/>
                <w:sz w:val="18"/>
                <w:szCs w:val="18"/>
              </w:rPr>
            </w:pPr>
            <w:r w:rsidRPr="00023975">
              <w:rPr>
                <w:rFonts w:asciiTheme="majorHAnsi" w:hAnsiTheme="majorHAnsi"/>
                <w:color w:val="000000"/>
                <w:sz w:val="18"/>
                <w:szCs w:val="18"/>
              </w:rPr>
              <w:t>3</w:t>
            </w:r>
          </w:p>
        </w:tc>
        <w:tc>
          <w:tcPr>
            <w:tcW w:w="7655" w:type="dxa"/>
            <w:shd w:val="clear" w:color="auto" w:fill="auto"/>
            <w:noWrap/>
            <w:vAlign w:val="center"/>
          </w:tcPr>
          <w:p w:rsidR="00510FEB" w:rsidRPr="00091921" w:rsidRDefault="00510FEB" w:rsidP="00991B2D">
            <w:pPr>
              <w:rPr>
                <w:rFonts w:asciiTheme="majorHAnsi" w:hAnsiTheme="majorHAnsi"/>
                <w:sz w:val="18"/>
                <w:szCs w:val="18"/>
              </w:rPr>
            </w:pPr>
            <w:r w:rsidRPr="00091921">
              <w:rPr>
                <w:rFonts w:asciiTheme="majorHAnsi" w:hAnsiTheme="majorHAnsi"/>
                <w:sz w:val="18"/>
                <w:szCs w:val="18"/>
              </w:rPr>
              <w:t xml:space="preserve">Стойка 150 мм*4м, </w:t>
            </w:r>
            <w:proofErr w:type="spellStart"/>
            <w:r w:rsidRPr="00091921">
              <w:rPr>
                <w:rFonts w:asciiTheme="majorHAnsi" w:hAnsiTheme="majorHAnsi"/>
                <w:sz w:val="18"/>
                <w:szCs w:val="18"/>
                <w:lang w:val="en-US"/>
              </w:rPr>
              <w:t>Naturall</w:t>
            </w:r>
            <w:proofErr w:type="spellEnd"/>
            <w:r w:rsidRPr="00091921">
              <w:rPr>
                <w:rFonts w:asciiTheme="majorHAnsi" w:hAnsiTheme="majorHAnsi"/>
                <w:sz w:val="18"/>
                <w:szCs w:val="18"/>
              </w:rPr>
              <w:t xml:space="preserve"> </w:t>
            </w:r>
            <w:proofErr w:type="spellStart"/>
            <w:r w:rsidRPr="00091921">
              <w:rPr>
                <w:rFonts w:asciiTheme="majorHAnsi" w:hAnsiTheme="majorHAnsi"/>
                <w:sz w:val="18"/>
                <w:szCs w:val="18"/>
                <w:lang w:val="en-US"/>
              </w:rPr>
              <w:t>Noce</w:t>
            </w:r>
            <w:proofErr w:type="spellEnd"/>
            <w:r w:rsidRPr="00091921">
              <w:rPr>
                <w:rFonts w:asciiTheme="majorHAnsi" w:hAnsiTheme="majorHAnsi"/>
                <w:sz w:val="18"/>
                <w:szCs w:val="18"/>
              </w:rPr>
              <w:t xml:space="preserve"> </w:t>
            </w:r>
            <w:proofErr w:type="spellStart"/>
            <w:r w:rsidRPr="00091921">
              <w:rPr>
                <w:rFonts w:asciiTheme="majorHAnsi" w:hAnsiTheme="majorHAnsi"/>
                <w:sz w:val="18"/>
                <w:szCs w:val="18"/>
                <w:lang w:val="en-US"/>
              </w:rPr>
              <w:t>Scuro</w:t>
            </w:r>
            <w:proofErr w:type="spellEnd"/>
            <w:r w:rsidRPr="00091921">
              <w:rPr>
                <w:rFonts w:asciiTheme="majorHAnsi" w:hAnsiTheme="majorHAnsi"/>
                <w:sz w:val="18"/>
                <w:szCs w:val="18"/>
              </w:rPr>
              <w:t xml:space="preserve"> в количестве 200 штук</w:t>
            </w:r>
          </w:p>
        </w:tc>
        <w:tc>
          <w:tcPr>
            <w:tcW w:w="2268" w:type="dxa"/>
            <w:vAlign w:val="center"/>
          </w:tcPr>
          <w:p w:rsidR="00510FEB" w:rsidRDefault="00510FEB" w:rsidP="00991B2D">
            <w:pPr>
              <w:jc w:val="right"/>
              <w:rPr>
                <w:rFonts w:ascii="Cambria" w:hAnsi="Cambria"/>
                <w:color w:val="000000"/>
                <w:sz w:val="18"/>
                <w:szCs w:val="18"/>
              </w:rPr>
            </w:pPr>
            <w:r>
              <w:rPr>
                <w:rFonts w:ascii="Cambria" w:hAnsi="Cambria"/>
                <w:color w:val="000000"/>
                <w:sz w:val="18"/>
                <w:szCs w:val="18"/>
              </w:rPr>
              <w:t>157 400</w:t>
            </w:r>
          </w:p>
        </w:tc>
      </w:tr>
    </w:tbl>
    <w:p w:rsidR="005D0816" w:rsidRDefault="005D0816" w:rsidP="000C64BF">
      <w:pPr>
        <w:spacing w:before="120" w:after="120"/>
        <w:jc w:val="center"/>
        <w:rPr>
          <w:rFonts w:ascii="Bookman Old Style" w:hAnsi="Bookman Old Style" w:cs="Calibri"/>
          <w:b/>
          <w:color w:val="000000"/>
          <w:sz w:val="20"/>
          <w:szCs w:val="20"/>
        </w:rPr>
      </w:pPr>
    </w:p>
    <w:p w:rsidR="00B21788" w:rsidRPr="00784E32" w:rsidRDefault="00B21788" w:rsidP="00886A98">
      <w:pPr>
        <w:autoSpaceDE w:val="0"/>
        <w:autoSpaceDN w:val="0"/>
        <w:adjustRightInd w:val="0"/>
        <w:spacing w:before="120" w:after="120"/>
        <w:ind w:firstLine="709"/>
        <w:jc w:val="both"/>
        <w:rPr>
          <w:rFonts w:ascii="Bookman Old Style" w:hAnsi="Bookman Old Style"/>
          <w:sz w:val="20"/>
          <w:szCs w:val="20"/>
        </w:rPr>
      </w:pPr>
    </w:p>
    <w:p w:rsidR="00AC3257" w:rsidRDefault="00AC3257" w:rsidP="00B2723A">
      <w:pPr>
        <w:spacing w:after="120"/>
        <w:jc w:val="center"/>
        <w:rPr>
          <w:rFonts w:ascii="Bookman Old Style" w:hAnsi="Bookman Old Style" w:cs="Calibri"/>
          <w:b/>
          <w:color w:val="000000"/>
          <w:sz w:val="22"/>
          <w:szCs w:val="22"/>
        </w:rPr>
      </w:pPr>
    </w:p>
    <w:p w:rsidR="00BE6191" w:rsidRPr="00BE6191" w:rsidRDefault="00C3029D" w:rsidP="003949B7">
      <w:pPr>
        <w:jc w:val="both"/>
        <w:rPr>
          <w:rFonts w:ascii="Bookman Old Style" w:hAnsi="Bookman Old Style"/>
          <w:sz w:val="20"/>
          <w:szCs w:val="20"/>
        </w:rPr>
      </w:pPr>
      <w:r>
        <w:rPr>
          <w:rFonts w:ascii="Bookman Old Style" w:hAnsi="Bookman Old Style"/>
          <w:sz w:val="20"/>
          <w:szCs w:val="20"/>
        </w:rPr>
        <w:t>О</w:t>
      </w:r>
      <w:r w:rsidR="003949B7" w:rsidRPr="00BE6191">
        <w:rPr>
          <w:rFonts w:ascii="Bookman Old Style" w:hAnsi="Bookman Old Style"/>
          <w:sz w:val="20"/>
          <w:szCs w:val="20"/>
        </w:rPr>
        <w:t>ценщик</w:t>
      </w:r>
    </w:p>
    <w:p w:rsidR="00BE6191" w:rsidRPr="00BE6191" w:rsidRDefault="00BE6191" w:rsidP="003949B7">
      <w:pPr>
        <w:jc w:val="both"/>
        <w:rPr>
          <w:rFonts w:ascii="Bookman Old Style" w:hAnsi="Bookman Old Style"/>
          <w:sz w:val="20"/>
          <w:szCs w:val="20"/>
        </w:rPr>
      </w:pPr>
      <w:r w:rsidRPr="00BE6191">
        <w:rPr>
          <w:rFonts w:ascii="Bookman Old Style" w:hAnsi="Bookman Old Style"/>
          <w:sz w:val="20"/>
          <w:szCs w:val="20"/>
        </w:rPr>
        <w:t>ООО «Агентство оценки собственности</w:t>
      </w:r>
    </w:p>
    <w:p w:rsidR="003949B7" w:rsidRDefault="00BE6191" w:rsidP="0049692D">
      <w:pPr>
        <w:jc w:val="both"/>
        <w:rPr>
          <w:rFonts w:ascii="Bookman Old Style" w:hAnsi="Bookman Old Style"/>
          <w:sz w:val="20"/>
          <w:szCs w:val="20"/>
        </w:rPr>
      </w:pPr>
      <w:r w:rsidRPr="00BE6191">
        <w:rPr>
          <w:rFonts w:ascii="Bookman Old Style" w:hAnsi="Bookman Old Style"/>
          <w:sz w:val="20"/>
          <w:szCs w:val="20"/>
        </w:rPr>
        <w:t>«Золотое правило»</w:t>
      </w:r>
      <w:r w:rsidR="0049692D">
        <w:rPr>
          <w:rFonts w:ascii="Bookman Old Style" w:hAnsi="Bookman Old Style"/>
          <w:sz w:val="20"/>
          <w:szCs w:val="20"/>
        </w:rPr>
        <w:tab/>
        <w:t xml:space="preserve">  </w:t>
      </w:r>
    </w:p>
    <w:p w:rsidR="00B055DE" w:rsidRPr="00E80E8D" w:rsidRDefault="00B055DE" w:rsidP="0049692D">
      <w:pPr>
        <w:jc w:val="both"/>
        <w:rPr>
          <w:rFonts w:ascii="Bookman Old Style" w:hAnsi="Bookman Old Style"/>
          <w:sz w:val="20"/>
          <w:szCs w:val="20"/>
        </w:rPr>
      </w:pPr>
    </w:p>
    <w:p w:rsidR="003949B7" w:rsidRPr="00E80E8D" w:rsidRDefault="003949B7" w:rsidP="003949B7">
      <w:pPr>
        <w:ind w:left="7788"/>
        <w:jc w:val="both"/>
        <w:rPr>
          <w:rFonts w:ascii="Bookman Old Style" w:hAnsi="Bookman Old Style"/>
          <w:sz w:val="20"/>
          <w:szCs w:val="20"/>
        </w:rPr>
      </w:pPr>
      <w:r w:rsidRPr="00E80E8D">
        <w:rPr>
          <w:rFonts w:ascii="Bookman Old Style" w:hAnsi="Bookman Old Style"/>
          <w:sz w:val="20"/>
          <w:szCs w:val="20"/>
        </w:rPr>
        <w:t xml:space="preserve">      </w:t>
      </w:r>
      <w:r w:rsidR="00C3029D">
        <w:rPr>
          <w:rFonts w:ascii="Bookman Old Style" w:hAnsi="Bookman Old Style"/>
          <w:sz w:val="20"/>
          <w:szCs w:val="20"/>
        </w:rPr>
        <w:t xml:space="preserve">   </w:t>
      </w:r>
      <w:r w:rsidR="006A746A">
        <w:rPr>
          <w:rFonts w:ascii="Bookman Old Style" w:hAnsi="Bookman Old Style"/>
          <w:sz w:val="20"/>
          <w:szCs w:val="20"/>
        </w:rPr>
        <w:t xml:space="preserve">   </w:t>
      </w:r>
      <w:r w:rsidR="000C64BF">
        <w:rPr>
          <w:rFonts w:ascii="Bookman Old Style" w:hAnsi="Bookman Old Style"/>
          <w:sz w:val="20"/>
          <w:szCs w:val="20"/>
        </w:rPr>
        <w:t>О.С. Золотарев</w:t>
      </w:r>
    </w:p>
    <w:p w:rsidR="00BF0939" w:rsidRPr="0049692D" w:rsidRDefault="0041217C" w:rsidP="0049692D">
      <w:pPr>
        <w:ind w:left="4248" w:firstLine="708"/>
        <w:jc w:val="both"/>
        <w:rPr>
          <w:rFonts w:ascii="Bookman Old Style" w:hAnsi="Bookman Old Style"/>
          <w:sz w:val="20"/>
          <w:szCs w:val="20"/>
        </w:rPr>
      </w:pPr>
      <w:r>
        <w:rPr>
          <w:rFonts w:ascii="Bookman Old Style" w:hAnsi="Bookman Old Style"/>
          <w:i/>
          <w:noProof/>
          <w:sz w:val="20"/>
          <w:szCs w:val="20"/>
        </w:rPr>
        <mc:AlternateContent>
          <mc:Choice Requires="wps">
            <w:drawing>
              <wp:anchor distT="0" distB="0" distL="114300" distR="114300" simplePos="0" relativeHeight="251657728" behindDoc="0" locked="0" layoutInCell="1" allowOverlap="1" wp14:anchorId="540BE25A" wp14:editId="66F777E0">
                <wp:simplePos x="0" y="0"/>
                <wp:positionH relativeFrom="column">
                  <wp:posOffset>3459121</wp:posOffset>
                </wp:positionH>
                <wp:positionV relativeFrom="paragraph">
                  <wp:posOffset>24213</wp:posOffset>
                </wp:positionV>
                <wp:extent cx="3067299" cy="0"/>
                <wp:effectExtent l="0" t="0" r="19050" b="19050"/>
                <wp:wrapNone/>
                <wp:docPr id="17"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72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35pt,1.9pt" to="513.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"/>
            </w:pict>
          </mc:Fallback>
        </mc:AlternateContent>
      </w:r>
    </w:p>
    <w:sectPr w:rsidR="00BF0939" w:rsidRPr="0049692D" w:rsidSect="0011030C">
      <w:headerReference w:type="default" r:id="rId39"/>
      <w:footerReference w:type="even" r:id="rId40"/>
      <w:footerReference w:type="default" r:id="rId41"/>
      <w:footnotePr>
        <w:pos w:val="beneathText"/>
      </w:footnotePr>
      <w:pgSz w:w="11907" w:h="16840" w:code="9"/>
      <w:pgMar w:top="851" w:right="851" w:bottom="851" w:left="851" w:header="284" w:footer="720" w:gutter="0"/>
      <w:pgNumType w:start="1"/>
      <w:cols w:space="720"/>
      <w:noEndnote/>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373" w:rsidRDefault="009A3373">
      <w:r>
        <w:separator/>
      </w:r>
    </w:p>
  </w:endnote>
  <w:endnote w:type="continuationSeparator" w:id="0">
    <w:p w:rsidR="009A3373" w:rsidRDefault="009A3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NewtonC">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166" w:rsidRDefault="00192166" w:rsidP="008207C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92166" w:rsidRDefault="00192166" w:rsidP="008F0B95">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166" w:rsidRPr="00664DFA" w:rsidRDefault="00192166" w:rsidP="00486FB7">
    <w:pPr>
      <w:pStyle w:val="a4"/>
      <w:ind w:right="360"/>
      <w:rPr>
        <w:sz w:val="12"/>
        <w:szCs w:val="12"/>
      </w:rPr>
    </w:pPr>
    <w:r>
      <w:rPr>
        <w:noProof/>
        <w:sz w:val="20"/>
        <w:szCs w:val="20"/>
      </w:rPr>
      <mc:AlternateContent>
        <mc:Choice Requires="wpg">
          <w:drawing>
            <wp:anchor distT="0" distB="0" distL="114300" distR="114300" simplePos="0" relativeHeight="251657728" behindDoc="0" locked="0" layoutInCell="1" allowOverlap="1" wp14:anchorId="4EA0B9FC" wp14:editId="070BE5DF">
              <wp:simplePos x="0" y="0"/>
              <wp:positionH relativeFrom="page">
                <wp:posOffset>5080</wp:posOffset>
              </wp:positionH>
              <wp:positionV relativeFrom="page">
                <wp:posOffset>10277475</wp:posOffset>
              </wp:positionV>
              <wp:extent cx="7538720" cy="190500"/>
              <wp:effectExtent l="11430" t="9525" r="10795" b="0"/>
              <wp:wrapNone/>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8720" cy="190500"/>
                        <a:chOff x="0" y="14970"/>
                        <a:chExt cx="12255" cy="300"/>
                      </a:xfrm>
                    </wpg:grpSpPr>
                    <wps:wsp>
                      <wps:cNvPr id="7" name="Text Box 6"/>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2166" w:rsidRPr="000C5F1B" w:rsidRDefault="00192166">
                            <w:pPr>
                              <w:jc w:val="center"/>
                              <w:rPr>
                                <w:rFonts w:ascii="Bookman Old Style" w:hAnsi="Bookman Old Style"/>
                                <w:sz w:val="18"/>
                                <w:szCs w:val="18"/>
                              </w:rPr>
                            </w:pPr>
                            <w:r w:rsidRPr="000C5F1B">
                              <w:rPr>
                                <w:rFonts w:ascii="Bookman Old Style" w:hAnsi="Bookman Old Style"/>
                                <w:sz w:val="18"/>
                                <w:szCs w:val="18"/>
                              </w:rPr>
                              <w:fldChar w:fldCharType="begin"/>
                            </w:r>
                            <w:r w:rsidRPr="000C5F1B">
                              <w:rPr>
                                <w:rFonts w:ascii="Bookman Old Style" w:hAnsi="Bookman Old Style"/>
                                <w:sz w:val="18"/>
                                <w:szCs w:val="18"/>
                              </w:rPr>
                              <w:instrText xml:space="preserve"> PAGE    \* MERGEFORMAT </w:instrText>
                            </w:r>
                            <w:r w:rsidRPr="000C5F1B">
                              <w:rPr>
                                <w:rFonts w:ascii="Bookman Old Style" w:hAnsi="Bookman Old Style"/>
                                <w:sz w:val="18"/>
                                <w:szCs w:val="18"/>
                              </w:rPr>
                              <w:fldChar w:fldCharType="separate"/>
                            </w:r>
                            <w:r w:rsidR="00730F2B" w:rsidRPr="00730F2B">
                              <w:rPr>
                                <w:rFonts w:ascii="Bookman Old Style" w:hAnsi="Bookman Old Style"/>
                                <w:noProof/>
                                <w:color w:val="8C8C8C"/>
                                <w:sz w:val="18"/>
                                <w:szCs w:val="18"/>
                              </w:rPr>
                              <w:t>6</w:t>
                            </w:r>
                            <w:r w:rsidRPr="000C5F1B">
                              <w:rPr>
                                <w:rFonts w:ascii="Bookman Old Style" w:hAnsi="Bookman Old Style"/>
                                <w:sz w:val="18"/>
                                <w:szCs w:val="18"/>
                              </w:rPr>
                              <w:fldChar w:fldCharType="end"/>
                            </w:r>
                          </w:p>
                        </w:txbxContent>
                      </wps:txbx>
                      <wps:bodyPr rot="0" vert="horz" wrap="square" lIns="0" tIns="0" rIns="0" bIns="0" anchor="t" anchorCtr="0" upright="1">
                        <a:noAutofit/>
                      </wps:bodyPr>
                    </wps:wsp>
                    <wpg:grpSp>
                      <wpg:cNvPr id="8" name="Group 7"/>
                      <wpg:cNvGrpSpPr>
                        <a:grpSpLocks/>
                      </wpg:cNvGrpSpPr>
                      <wpg:grpSpPr bwMode="auto">
                        <a:xfrm flipH="1">
                          <a:off x="0" y="14970"/>
                          <a:ext cx="12255" cy="230"/>
                          <a:chOff x="-8" y="14978"/>
                          <a:chExt cx="12255" cy="230"/>
                        </a:xfrm>
                      </wpg:grpSpPr>
                      <wps:wsp>
                        <wps:cNvPr id="13" name="AutoShape 8"/>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4" name="AutoShape 9"/>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5" o:spid="_x0000_s1045" style="position:absolute;margin-left:.4pt;margin-top:809.25pt;width:593.6pt;height:15pt;z-index:251657728;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">
              <v:shapetype id="_x0000_t202" coordsize="21600,21600" o:spt="202" path="m,l,21600r21600,l21600,xe">
                <v:stroke joinstyle="miter"/>
                <v:path gradientshapeok="t" o:connecttype="rect"/>
              </v:shapetype>
              <v:shape id="Text Box 6" o:spid="_x0000_s1046"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192166" w:rsidRPr="000C5F1B" w:rsidRDefault="00192166">
                      <w:pPr>
                        <w:jc w:val="center"/>
                        <w:rPr>
                          <w:rFonts w:ascii="Bookman Old Style" w:hAnsi="Bookman Old Style"/>
                          <w:sz w:val="18"/>
                          <w:szCs w:val="18"/>
                        </w:rPr>
                      </w:pPr>
                      <w:r w:rsidRPr="000C5F1B">
                        <w:rPr>
                          <w:rFonts w:ascii="Bookman Old Style" w:hAnsi="Bookman Old Style"/>
                          <w:sz w:val="18"/>
                          <w:szCs w:val="18"/>
                        </w:rPr>
                        <w:fldChar w:fldCharType="begin"/>
                      </w:r>
                      <w:r w:rsidRPr="000C5F1B">
                        <w:rPr>
                          <w:rFonts w:ascii="Bookman Old Style" w:hAnsi="Bookman Old Style"/>
                          <w:sz w:val="18"/>
                          <w:szCs w:val="18"/>
                        </w:rPr>
                        <w:instrText xml:space="preserve"> PAGE    \* MERGEFORMAT </w:instrText>
                      </w:r>
                      <w:r w:rsidRPr="000C5F1B">
                        <w:rPr>
                          <w:rFonts w:ascii="Bookman Old Style" w:hAnsi="Bookman Old Style"/>
                          <w:sz w:val="18"/>
                          <w:szCs w:val="18"/>
                        </w:rPr>
                        <w:fldChar w:fldCharType="separate"/>
                      </w:r>
                      <w:r w:rsidR="00730F2B" w:rsidRPr="00730F2B">
                        <w:rPr>
                          <w:rFonts w:ascii="Bookman Old Style" w:hAnsi="Bookman Old Style"/>
                          <w:noProof/>
                          <w:color w:val="8C8C8C"/>
                          <w:sz w:val="18"/>
                          <w:szCs w:val="18"/>
                        </w:rPr>
                        <w:t>6</w:t>
                      </w:r>
                      <w:r w:rsidRPr="000C5F1B">
                        <w:rPr>
                          <w:rFonts w:ascii="Bookman Old Style" w:hAnsi="Bookman Old Style"/>
                          <w:sz w:val="18"/>
                          <w:szCs w:val="18"/>
                        </w:rPr>
                        <w:fldChar w:fldCharType="end"/>
                      </w:r>
                    </w:p>
                  </w:txbxContent>
                </v:textbox>
              </v:shape>
              <v:group id="Group 7" o:spid="_x0000_s1047"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 o:spid="_x0000_s1048"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JU8EAAADbAAAADwAAAGRycy9kb3ducmV2LnhtbERPS4vCMBC+C/sfwizsRdbUFWWpRhFB&#10;uhcPvsDj2IxNsZmUJmrXX28Ewdt8fM+ZzFpbiSs1vnSsoN9LQBDnTpdcKNhtl9+/IHxA1lg5JgX/&#10;5GE2/ehMMNXuxmu6bkIhYgj7FBWYEOpUSp8bsuh7riaO3Mk1FkOETSF1g7cYbiv5kyQjabHk2GCw&#10;poWh/Ly5WAVdn8h9PjyYrJutjne9593cZkp9fbbzMYhAbXiLX+4/HecP4PlLPEB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5klTwQAAANsAAAAPAAAAAAAAAAAAAAAA&#10;AKECAABkcnMvZG93bnJldi54bWxQSwUGAAAAAAQABAD5AAAAjwMAAAAA&#10;" strokecolor="#a5a5a5"/>
                <v:shape id="AutoShape 9" o:spid="_x0000_s1049"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NAWMIAAADbAAAADwAAAGRycy9kb3ducmV2LnhtbERPS4vCMBC+C/sfwizsRTRVRKQ2Fdni&#10;siCCr4u3oZltq82kNFG7/94Igrf5+J6TLDpTixu1rrKsYDSMQBDnVldcKDgeVoMZCOeRNdaWScE/&#10;OVikH70EY23vvKPb3hcihLCLUUHpfRNL6fKSDLqhbYgD92dbgz7AtpC6xXsIN7UcR9FUGqw4NJTY&#10;0HdJ+WV/NQo2u5/j5SSv2birlv0zrrPTeZsp9fXZLecgPHX+LX65f3WYP4HnL+EAm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NAWMIAAADbAAAADwAAAAAAAAAAAAAA&#10;AAChAgAAZHJzL2Rvd25yZXYueG1sUEsFBgAAAAAEAAQA+QAAAJADAAAAAA==&#10;" adj="20904" strokecolor="#a5a5a5"/>
              </v:group>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373" w:rsidRDefault="009A3373">
      <w:r>
        <w:separator/>
      </w:r>
    </w:p>
  </w:footnote>
  <w:footnote w:type="continuationSeparator" w:id="0">
    <w:p w:rsidR="009A3373" w:rsidRDefault="009A3373">
      <w:r>
        <w:continuationSeparator/>
      </w:r>
    </w:p>
  </w:footnote>
  <w:footnote w:id="1">
    <w:p w:rsidR="00192166" w:rsidRPr="003369D4" w:rsidRDefault="00192166" w:rsidP="003369D4">
      <w:pPr>
        <w:pStyle w:val="afe"/>
        <w:spacing w:before="80" w:after="80"/>
        <w:rPr>
          <w:rFonts w:asciiTheme="majorHAnsi" w:hAnsiTheme="majorHAnsi"/>
          <w:sz w:val="16"/>
          <w:szCs w:val="16"/>
        </w:rPr>
      </w:pPr>
      <w:r w:rsidRPr="003369D4">
        <w:rPr>
          <w:rStyle w:val="aff0"/>
          <w:rFonts w:asciiTheme="majorHAnsi" w:hAnsiTheme="majorHAnsi"/>
          <w:sz w:val="16"/>
          <w:szCs w:val="16"/>
        </w:rPr>
        <w:footnoteRef/>
      </w:r>
      <w:r w:rsidRPr="003369D4">
        <w:rPr>
          <w:rFonts w:asciiTheme="majorHAnsi" w:hAnsiTheme="majorHAnsi"/>
          <w:sz w:val="16"/>
          <w:szCs w:val="16"/>
        </w:rPr>
        <w:t xml:space="preserve"> «Заказчик», согласно условиям Договора </w:t>
      </w:r>
    </w:p>
  </w:footnote>
  <w:footnote w:id="2">
    <w:p w:rsidR="00192166" w:rsidRPr="003369D4" w:rsidRDefault="00192166" w:rsidP="003369D4">
      <w:pPr>
        <w:pStyle w:val="afe"/>
        <w:spacing w:before="80" w:after="80"/>
        <w:rPr>
          <w:rFonts w:asciiTheme="majorHAnsi" w:hAnsiTheme="majorHAnsi"/>
          <w:sz w:val="16"/>
          <w:szCs w:val="16"/>
        </w:rPr>
      </w:pPr>
      <w:r w:rsidRPr="003369D4">
        <w:rPr>
          <w:rStyle w:val="aff0"/>
          <w:rFonts w:asciiTheme="majorHAnsi" w:hAnsiTheme="majorHAnsi"/>
          <w:sz w:val="16"/>
          <w:szCs w:val="16"/>
        </w:rPr>
        <w:footnoteRef/>
      </w:r>
      <w:r w:rsidRPr="003369D4">
        <w:rPr>
          <w:rFonts w:asciiTheme="majorHAnsi" w:hAnsiTheme="majorHAnsi"/>
          <w:sz w:val="16"/>
          <w:szCs w:val="16"/>
        </w:rPr>
        <w:t xml:space="preserve"> «Исполнитель», согласно условиям Договора</w:t>
      </w:r>
    </w:p>
  </w:footnote>
  <w:footnote w:id="3">
    <w:p w:rsidR="00192166" w:rsidRPr="00C834FF" w:rsidRDefault="00192166" w:rsidP="00AA51E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Указанные документы предоставлены в оригиналах и копиях, заверенных в соответствии с требованиями законодательства РФ в области оценочной деятельности.</w:t>
      </w:r>
    </w:p>
  </w:footnote>
  <w:footnote w:id="4">
    <w:p w:rsidR="00192166" w:rsidRPr="00C834FF" w:rsidRDefault="00192166" w:rsidP="000A448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1 </w:t>
      </w:r>
    </w:p>
  </w:footnote>
  <w:footnote w:id="5">
    <w:p w:rsidR="00192166" w:rsidRPr="00C834FF" w:rsidRDefault="00192166" w:rsidP="00AA51E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2</w:t>
      </w:r>
    </w:p>
  </w:footnote>
  <w:footnote w:id="6">
    <w:p w:rsidR="00192166" w:rsidRPr="00255DD5" w:rsidRDefault="00192166" w:rsidP="00AA51E2">
      <w:pPr>
        <w:pStyle w:val="afe"/>
        <w:spacing w:before="60" w:after="60"/>
        <w:rPr>
          <w:rFonts w:asciiTheme="majorHAnsi" w:hAnsiTheme="majorHAnsi"/>
          <w:sz w:val="16"/>
          <w:szCs w:val="16"/>
        </w:rPr>
      </w:pPr>
      <w:r w:rsidRPr="00255DD5">
        <w:rPr>
          <w:rStyle w:val="aff0"/>
          <w:rFonts w:asciiTheme="majorHAnsi" w:hAnsiTheme="majorHAnsi"/>
          <w:sz w:val="16"/>
          <w:szCs w:val="16"/>
        </w:rPr>
        <w:footnoteRef/>
      </w:r>
      <w:r w:rsidRPr="00255DD5">
        <w:rPr>
          <w:rFonts w:asciiTheme="majorHAnsi" w:hAnsiTheme="majorHAnsi"/>
          <w:sz w:val="16"/>
          <w:szCs w:val="16"/>
        </w:rPr>
        <w:t xml:space="preserve"> Соответствующие ссылки приведены по тексту отчета.</w:t>
      </w:r>
    </w:p>
  </w:footnote>
  <w:footnote w:id="7">
    <w:p w:rsidR="00192166" w:rsidRPr="007C5CFA" w:rsidRDefault="00192166" w:rsidP="007C5CFA">
      <w:pPr>
        <w:pStyle w:val="afe"/>
        <w:spacing w:before="80" w:after="80"/>
        <w:rPr>
          <w:rFonts w:asciiTheme="majorHAnsi" w:hAnsiTheme="majorHAnsi"/>
          <w:sz w:val="16"/>
          <w:szCs w:val="16"/>
        </w:rPr>
      </w:pPr>
      <w:r w:rsidRPr="007C5CFA">
        <w:rPr>
          <w:rStyle w:val="aff0"/>
          <w:rFonts w:asciiTheme="majorHAnsi" w:hAnsiTheme="majorHAnsi"/>
          <w:sz w:val="16"/>
          <w:szCs w:val="16"/>
        </w:rPr>
        <w:footnoteRef/>
      </w:r>
      <w:r w:rsidRPr="007C5CFA">
        <w:rPr>
          <w:rFonts w:asciiTheme="majorHAnsi" w:hAnsiTheme="majorHAnsi"/>
          <w:sz w:val="16"/>
          <w:szCs w:val="16"/>
        </w:rPr>
        <w:t xml:space="preserve"> В ред. Федерального закона 135-ФЗ от 29.07.1998 года, с учетом изм. и дополнений</w:t>
      </w:r>
    </w:p>
  </w:footnote>
  <w:footnote w:id="8">
    <w:p w:rsidR="00192166" w:rsidRPr="00C834FF" w:rsidRDefault="00192166" w:rsidP="00526C57">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1 </w:t>
      </w:r>
    </w:p>
  </w:footnote>
  <w:footnote w:id="9">
    <w:p w:rsidR="00192166" w:rsidRPr="00C834FF" w:rsidRDefault="00192166" w:rsidP="000A448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Pr>
          <w:rFonts w:asciiTheme="majorHAnsi" w:hAnsiTheme="majorHAnsi"/>
          <w:sz w:val="16"/>
          <w:szCs w:val="16"/>
        </w:rPr>
        <w:t xml:space="preserve"> Приложение № 3</w:t>
      </w:r>
    </w:p>
  </w:footnote>
  <w:footnote w:id="10">
    <w:p w:rsidR="00192166" w:rsidRPr="00514632" w:rsidRDefault="00192166" w:rsidP="00B21788">
      <w:pPr>
        <w:pStyle w:val="afe"/>
        <w:spacing w:before="80" w:after="80"/>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Статья 129 пункт 1 Федерального закона № 127-ФЗ «О несостоятельност</w:t>
      </w:r>
      <w:proofErr w:type="gramStart"/>
      <w:r w:rsidRPr="00514632">
        <w:rPr>
          <w:rFonts w:asciiTheme="majorHAnsi" w:hAnsiTheme="majorHAnsi"/>
          <w:sz w:val="16"/>
          <w:szCs w:val="16"/>
        </w:rPr>
        <w:t>и(</w:t>
      </w:r>
      <w:proofErr w:type="gramEnd"/>
      <w:r w:rsidRPr="00514632">
        <w:rPr>
          <w:rFonts w:asciiTheme="majorHAnsi" w:hAnsiTheme="majorHAnsi"/>
          <w:sz w:val="16"/>
          <w:szCs w:val="16"/>
        </w:rPr>
        <w:t>банкротстве)»</w:t>
      </w:r>
    </w:p>
  </w:footnote>
  <w:footnote w:id="11">
    <w:p w:rsidR="00192166" w:rsidRPr="00C834FF" w:rsidRDefault="00192166" w:rsidP="00C33B0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1 </w:t>
      </w:r>
    </w:p>
  </w:footnote>
  <w:footnote w:id="12">
    <w:p w:rsidR="00192166" w:rsidRPr="00C834FF" w:rsidRDefault="00192166" w:rsidP="00C33B0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2</w:t>
      </w:r>
    </w:p>
  </w:footnote>
  <w:footnote w:id="13">
    <w:p w:rsidR="00192166" w:rsidRPr="00C834FF" w:rsidRDefault="00192166" w:rsidP="000A448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3</w:t>
      </w:r>
    </w:p>
  </w:footnote>
  <w:footnote w:id="14">
    <w:p w:rsidR="00192166" w:rsidRPr="00C33B02" w:rsidRDefault="00192166" w:rsidP="00C33B02">
      <w:pPr>
        <w:pStyle w:val="afe"/>
        <w:spacing w:before="80" w:after="80"/>
        <w:rPr>
          <w:rFonts w:asciiTheme="majorHAnsi" w:hAnsiTheme="majorHAnsi"/>
          <w:sz w:val="16"/>
          <w:szCs w:val="16"/>
        </w:rPr>
      </w:pPr>
      <w:r w:rsidRPr="00C33B02">
        <w:rPr>
          <w:rStyle w:val="aff0"/>
          <w:rFonts w:asciiTheme="majorHAnsi" w:hAnsiTheme="majorHAnsi"/>
          <w:sz w:val="16"/>
          <w:szCs w:val="16"/>
        </w:rPr>
        <w:footnoteRef/>
      </w:r>
      <w:r w:rsidRPr="00C33B02">
        <w:rPr>
          <w:rFonts w:asciiTheme="majorHAnsi" w:hAnsiTheme="majorHAnsi"/>
          <w:sz w:val="16"/>
          <w:szCs w:val="16"/>
        </w:rPr>
        <w:t xml:space="preserve"> Соответствующие ссылки приведены по тексту Отчета об оценке</w:t>
      </w:r>
    </w:p>
  </w:footnote>
  <w:footnote w:id="15">
    <w:p w:rsidR="00192166" w:rsidRPr="00C33B02" w:rsidRDefault="00192166" w:rsidP="00C33B02">
      <w:pPr>
        <w:pStyle w:val="afe"/>
        <w:spacing w:before="80" w:after="80"/>
        <w:rPr>
          <w:rFonts w:asciiTheme="majorHAnsi" w:hAnsiTheme="majorHAnsi"/>
          <w:sz w:val="16"/>
          <w:szCs w:val="16"/>
        </w:rPr>
      </w:pPr>
      <w:r w:rsidRPr="00C33B02">
        <w:rPr>
          <w:rStyle w:val="aff0"/>
          <w:rFonts w:asciiTheme="majorHAnsi" w:hAnsiTheme="majorHAnsi"/>
          <w:sz w:val="16"/>
          <w:szCs w:val="16"/>
        </w:rPr>
        <w:footnoteRef/>
      </w:r>
      <w:r w:rsidRPr="00C33B02">
        <w:rPr>
          <w:rFonts w:asciiTheme="majorHAnsi" w:hAnsiTheme="majorHAnsi"/>
          <w:sz w:val="16"/>
          <w:szCs w:val="16"/>
        </w:rPr>
        <w:t xml:space="preserve"> Источник: Справочная система </w:t>
      </w:r>
      <w:proofErr w:type="spellStart"/>
      <w:r w:rsidRPr="00C33B02">
        <w:rPr>
          <w:rFonts w:asciiTheme="majorHAnsi" w:hAnsiTheme="majorHAnsi"/>
          <w:sz w:val="16"/>
          <w:szCs w:val="16"/>
        </w:rPr>
        <w:t>ДубльГИС</w:t>
      </w:r>
      <w:proofErr w:type="spellEnd"/>
      <w:r w:rsidRPr="00C33B02">
        <w:rPr>
          <w:rFonts w:asciiTheme="majorHAnsi" w:hAnsiTheme="majorHAnsi"/>
          <w:sz w:val="16"/>
          <w:szCs w:val="16"/>
        </w:rPr>
        <w:t xml:space="preserve"> </w:t>
      </w:r>
      <w:hyperlink r:id="rId1" w:history="1">
        <w:r w:rsidRPr="00C33B02">
          <w:rPr>
            <w:rStyle w:val="aa"/>
            <w:rFonts w:asciiTheme="majorHAnsi" w:hAnsiTheme="majorHAnsi"/>
            <w:color w:val="auto"/>
            <w:sz w:val="16"/>
            <w:szCs w:val="16"/>
          </w:rPr>
          <w:t>http://maps.google.com</w:t>
        </w:r>
      </w:hyperlink>
      <w:r w:rsidRPr="00C33B02">
        <w:rPr>
          <w:rFonts w:asciiTheme="majorHAnsi" w:hAnsiTheme="majorHAnsi"/>
          <w:sz w:val="16"/>
          <w:szCs w:val="16"/>
          <w:u w:val="single"/>
        </w:rPr>
        <w:t>, http://</w:t>
      </w:r>
      <w:r w:rsidRPr="00C33B02">
        <w:rPr>
          <w:rFonts w:asciiTheme="majorHAnsi" w:hAnsiTheme="majorHAnsi"/>
          <w:sz w:val="16"/>
          <w:szCs w:val="16"/>
        </w:rPr>
        <w:t xml:space="preserve"> </w:t>
      </w:r>
      <w:r w:rsidRPr="00C33B02">
        <w:rPr>
          <w:rFonts w:asciiTheme="majorHAnsi" w:hAnsiTheme="majorHAnsi"/>
          <w:sz w:val="16"/>
          <w:szCs w:val="16"/>
          <w:u w:val="single"/>
        </w:rPr>
        <w:t xml:space="preserve">http://hakasstat.gks.ru/ , </w:t>
      </w:r>
      <w:hyperlink r:id="rId2" w:history="1">
        <w:r w:rsidRPr="00C33B02">
          <w:rPr>
            <w:rStyle w:val="aa"/>
            <w:rFonts w:asciiTheme="majorHAnsi" w:hAnsiTheme="majorHAnsi"/>
            <w:color w:val="auto"/>
            <w:sz w:val="16"/>
            <w:szCs w:val="16"/>
          </w:rPr>
          <w:t>http://ru.wikipedia.org</w:t>
        </w:r>
      </w:hyperlink>
      <w:r w:rsidRPr="00C33B02">
        <w:rPr>
          <w:rFonts w:asciiTheme="majorHAnsi" w:hAnsiTheme="majorHAnsi"/>
          <w:sz w:val="16"/>
          <w:szCs w:val="16"/>
          <w:u w:val="single"/>
        </w:rPr>
        <w:t xml:space="preserve">, </w:t>
      </w:r>
      <w:r w:rsidRPr="00C33B02">
        <w:rPr>
          <w:rFonts w:asciiTheme="majorHAnsi" w:hAnsiTheme="majorHAnsi"/>
          <w:sz w:val="16"/>
          <w:szCs w:val="16"/>
        </w:rPr>
        <w:t xml:space="preserve"> </w:t>
      </w:r>
      <w:hyperlink r:id="rId3" w:history="1">
        <w:r w:rsidRPr="00C33B02">
          <w:rPr>
            <w:rStyle w:val="aa"/>
            <w:rFonts w:asciiTheme="majorHAnsi" w:hAnsiTheme="majorHAnsi"/>
            <w:color w:val="auto"/>
            <w:sz w:val="16"/>
            <w:szCs w:val="16"/>
          </w:rPr>
          <w:t>http://www.admkrsk.ru/</w:t>
        </w:r>
      </w:hyperlink>
      <w:r w:rsidRPr="00C33B02">
        <w:rPr>
          <w:rFonts w:asciiTheme="majorHAnsi" w:hAnsiTheme="majorHAnsi"/>
          <w:sz w:val="16"/>
          <w:szCs w:val="16"/>
        </w:rPr>
        <w:t>, http://region.krasu.ru/</w:t>
      </w:r>
    </w:p>
  </w:footnote>
  <w:footnote w:id="16">
    <w:p w:rsidR="009B795D" w:rsidRPr="00F9054B" w:rsidRDefault="009B795D" w:rsidP="009B795D">
      <w:pPr>
        <w:pStyle w:val="afe"/>
        <w:spacing w:before="80" w:after="80"/>
        <w:rPr>
          <w:rFonts w:ascii="Cambria" w:hAnsi="Cambria"/>
          <w:sz w:val="16"/>
          <w:szCs w:val="16"/>
        </w:rPr>
      </w:pPr>
      <w:r w:rsidRPr="00F9054B">
        <w:rPr>
          <w:rStyle w:val="aff0"/>
          <w:rFonts w:ascii="Cambria" w:hAnsi="Cambria"/>
          <w:sz w:val="16"/>
          <w:szCs w:val="16"/>
        </w:rPr>
        <w:footnoteRef/>
      </w:r>
      <w:r w:rsidRPr="00F9054B">
        <w:rPr>
          <w:rFonts w:ascii="Cambria" w:hAnsi="Cambria"/>
          <w:sz w:val="16"/>
          <w:szCs w:val="16"/>
        </w:rPr>
        <w:t xml:space="preserve"> Источник: Таблица № 3 МГСН 301.03-97 «Методика оценки аварийности зданий», </w:t>
      </w:r>
    </w:p>
  </w:footnote>
  <w:footnote w:id="17">
    <w:p w:rsidR="00192166" w:rsidRPr="00100842" w:rsidRDefault="00192166" w:rsidP="00A276AF">
      <w:pPr>
        <w:pStyle w:val="afe"/>
        <w:spacing w:before="80" w:after="80"/>
        <w:rPr>
          <w:rFonts w:asciiTheme="majorHAnsi" w:hAnsiTheme="majorHAnsi"/>
          <w:sz w:val="16"/>
          <w:szCs w:val="16"/>
        </w:rPr>
      </w:pPr>
      <w:r w:rsidRPr="00100842">
        <w:rPr>
          <w:rStyle w:val="aff0"/>
          <w:rFonts w:asciiTheme="majorHAnsi" w:hAnsiTheme="majorHAnsi"/>
          <w:sz w:val="16"/>
          <w:szCs w:val="16"/>
        </w:rPr>
        <w:footnoteRef/>
      </w:r>
      <w:r w:rsidRPr="00100842">
        <w:rPr>
          <w:rFonts w:asciiTheme="majorHAnsi" w:hAnsiTheme="majorHAnsi"/>
          <w:sz w:val="16"/>
          <w:szCs w:val="16"/>
        </w:rPr>
        <w:t xml:space="preserve"> Качественные характеристики определены на основании: Шкалы экспертных оценок физического состояния, «Оценка рыночной стоимости машин и оборудования», под ред. </w:t>
      </w:r>
      <w:proofErr w:type="spellStart"/>
      <w:r w:rsidRPr="00100842">
        <w:rPr>
          <w:rFonts w:asciiTheme="majorHAnsi" w:hAnsiTheme="majorHAnsi"/>
          <w:sz w:val="16"/>
          <w:szCs w:val="16"/>
        </w:rPr>
        <w:t>Рутгайзера</w:t>
      </w:r>
      <w:proofErr w:type="spellEnd"/>
      <w:r w:rsidRPr="00100842">
        <w:rPr>
          <w:rFonts w:asciiTheme="majorHAnsi" w:hAnsiTheme="majorHAnsi"/>
          <w:sz w:val="16"/>
          <w:szCs w:val="16"/>
        </w:rPr>
        <w:t xml:space="preserve"> В.М, М. – Издательство «Дело», 1998 год, с. 86. Шкала представлена в Приложении № 1 к Акту осмотра, идентификации и определения технического состояния имущества подлежащего оценке</w:t>
      </w:r>
    </w:p>
  </w:footnote>
  <w:footnote w:id="18">
    <w:p w:rsidR="00192166" w:rsidRPr="00F80AB0" w:rsidRDefault="00192166" w:rsidP="00266CA2">
      <w:pPr>
        <w:pStyle w:val="afe"/>
        <w:spacing w:before="80" w:after="80"/>
        <w:rPr>
          <w:rFonts w:asciiTheme="majorHAnsi" w:hAnsiTheme="majorHAnsi"/>
          <w:sz w:val="16"/>
          <w:szCs w:val="16"/>
        </w:rPr>
      </w:pPr>
      <w:r w:rsidRPr="00F80AB0">
        <w:rPr>
          <w:rStyle w:val="aff0"/>
          <w:rFonts w:asciiTheme="majorHAnsi" w:hAnsiTheme="majorHAnsi"/>
          <w:sz w:val="16"/>
          <w:szCs w:val="16"/>
        </w:rPr>
        <w:footnoteRef/>
      </w:r>
      <w:r w:rsidRPr="00F80AB0">
        <w:rPr>
          <w:rFonts w:asciiTheme="majorHAnsi" w:hAnsiTheme="majorHAnsi"/>
          <w:sz w:val="16"/>
          <w:szCs w:val="16"/>
        </w:rPr>
        <w:t xml:space="preserve"> ФСО № 3 «Требования к отчету об оценке» утв. Приказом Минэкономразвития России № 299 от 20.05.2015 года</w:t>
      </w:r>
    </w:p>
  </w:footnote>
  <w:footnote w:id="19">
    <w:p w:rsidR="00192166" w:rsidRPr="00334269" w:rsidRDefault="00192166" w:rsidP="00B12755">
      <w:pPr>
        <w:pStyle w:val="afe"/>
        <w:rPr>
          <w:rFonts w:ascii="Cambria" w:hAnsi="Cambria"/>
          <w:sz w:val="16"/>
          <w:szCs w:val="16"/>
        </w:rPr>
      </w:pPr>
      <w:r w:rsidRPr="0065340D">
        <w:rPr>
          <w:rStyle w:val="aff0"/>
          <w:rFonts w:ascii="Cambria" w:hAnsi="Cambria"/>
          <w:sz w:val="16"/>
          <w:szCs w:val="16"/>
        </w:rPr>
        <w:footnoteRef/>
      </w:r>
      <w:r w:rsidRPr="0065340D">
        <w:rPr>
          <w:rFonts w:ascii="Cambria" w:hAnsi="Cambria"/>
          <w:sz w:val="16"/>
          <w:szCs w:val="16"/>
        </w:rPr>
        <w:t xml:space="preserve"> По </w:t>
      </w:r>
      <w:r w:rsidRPr="00334269">
        <w:rPr>
          <w:rFonts w:ascii="Cambria" w:hAnsi="Cambria"/>
          <w:sz w:val="16"/>
          <w:szCs w:val="16"/>
        </w:rPr>
        <w:t xml:space="preserve">данным интернет сайта </w:t>
      </w:r>
      <w:hyperlink r:id="rId4" w:history="1">
        <w:r w:rsidRPr="00334269">
          <w:rPr>
            <w:rStyle w:val="aa"/>
            <w:rFonts w:ascii="Cambria" w:hAnsi="Cambria"/>
            <w:color w:val="auto"/>
            <w:sz w:val="16"/>
            <w:szCs w:val="16"/>
            <w:u w:val="none"/>
          </w:rPr>
          <w:t>http://www.krasstat.gks.ru/default.aspx</w:t>
        </w:r>
      </w:hyperlink>
      <w:r w:rsidRPr="00334269">
        <w:rPr>
          <w:rFonts w:ascii="Cambria" w:hAnsi="Cambria"/>
          <w:sz w:val="16"/>
          <w:szCs w:val="16"/>
        </w:rPr>
        <w:t xml:space="preserve">. </w:t>
      </w:r>
    </w:p>
  </w:footnote>
  <w:footnote w:id="20">
    <w:p w:rsidR="00192166" w:rsidRPr="001434E4" w:rsidRDefault="00192166" w:rsidP="00A7343D">
      <w:pPr>
        <w:pStyle w:val="afe"/>
        <w:rPr>
          <w:rFonts w:asciiTheme="majorHAnsi" w:hAnsiTheme="majorHAnsi"/>
          <w:sz w:val="16"/>
          <w:szCs w:val="16"/>
        </w:rPr>
      </w:pPr>
      <w:r w:rsidRPr="001434E4">
        <w:rPr>
          <w:rStyle w:val="aff0"/>
          <w:rFonts w:asciiTheme="majorHAnsi" w:hAnsiTheme="majorHAnsi"/>
          <w:sz w:val="16"/>
          <w:szCs w:val="16"/>
        </w:rPr>
        <w:footnoteRef/>
      </w:r>
      <w:r w:rsidRPr="001434E4">
        <w:rPr>
          <w:rFonts w:asciiTheme="majorHAnsi" w:hAnsiTheme="majorHAnsi"/>
          <w:sz w:val="16"/>
          <w:szCs w:val="16"/>
        </w:rPr>
        <w:t xml:space="preserve"> Источник:. </w:t>
      </w:r>
      <w:hyperlink r:id="rId5" w:history="1">
        <w:r w:rsidRPr="001434E4">
          <w:rPr>
            <w:rStyle w:val="aa"/>
            <w:rFonts w:asciiTheme="majorHAnsi" w:hAnsiTheme="majorHAnsi"/>
            <w:color w:val="auto"/>
            <w:sz w:val="16"/>
            <w:szCs w:val="16"/>
            <w:u w:val="none"/>
          </w:rPr>
          <w:t>http://www.ridasib.com/</w:t>
        </w:r>
      </w:hyperlink>
      <w:r w:rsidRPr="001434E4">
        <w:rPr>
          <w:rFonts w:asciiTheme="majorHAnsi" w:hAnsiTheme="majorHAnsi"/>
          <w:sz w:val="16"/>
          <w:szCs w:val="16"/>
        </w:rPr>
        <w:t>, http://rway.ru/, http://askbda.ru/</w:t>
      </w:r>
    </w:p>
  </w:footnote>
  <w:footnote w:id="21">
    <w:p w:rsidR="00192166" w:rsidRPr="00D96ED6" w:rsidRDefault="00192166" w:rsidP="00A7343D">
      <w:pPr>
        <w:pStyle w:val="afe"/>
        <w:rPr>
          <w:rFonts w:asciiTheme="majorHAnsi" w:hAnsiTheme="majorHAnsi"/>
          <w:sz w:val="16"/>
          <w:szCs w:val="16"/>
        </w:rPr>
      </w:pPr>
      <w:r w:rsidRPr="00D96ED6">
        <w:rPr>
          <w:rStyle w:val="aff0"/>
          <w:rFonts w:asciiTheme="majorHAnsi" w:hAnsiTheme="majorHAnsi"/>
          <w:sz w:val="16"/>
          <w:szCs w:val="16"/>
        </w:rPr>
        <w:footnoteRef/>
      </w:r>
      <w:r w:rsidRPr="00D96ED6">
        <w:rPr>
          <w:rFonts w:asciiTheme="majorHAnsi" w:hAnsiTheme="majorHAnsi"/>
          <w:sz w:val="16"/>
          <w:szCs w:val="16"/>
        </w:rPr>
        <w:t xml:space="preserve"> Указанные факторы рекомендованы к анализу при оценке недвижимого имущества в ФСО № 7 утв. Приказом №611 от 25.09.2014 года.</w:t>
      </w:r>
    </w:p>
  </w:footnote>
  <w:footnote w:id="22">
    <w:p w:rsidR="00192166" w:rsidRPr="0080375D" w:rsidRDefault="00192166" w:rsidP="0080375D">
      <w:pPr>
        <w:pStyle w:val="afe"/>
        <w:spacing w:before="80" w:after="80"/>
        <w:rPr>
          <w:rFonts w:asciiTheme="majorHAnsi" w:hAnsiTheme="majorHAnsi"/>
          <w:sz w:val="16"/>
          <w:szCs w:val="16"/>
        </w:rPr>
      </w:pPr>
      <w:r w:rsidRPr="0080375D">
        <w:rPr>
          <w:rStyle w:val="aff0"/>
          <w:rFonts w:asciiTheme="majorHAnsi" w:hAnsiTheme="majorHAnsi"/>
          <w:sz w:val="16"/>
          <w:szCs w:val="16"/>
        </w:rPr>
        <w:footnoteRef/>
      </w:r>
      <w:r w:rsidRPr="0080375D">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w:t>
      </w:r>
      <w:proofErr w:type="spellStart"/>
      <w:r w:rsidRPr="0080375D">
        <w:rPr>
          <w:rFonts w:asciiTheme="majorHAnsi" w:hAnsiTheme="majorHAnsi"/>
          <w:sz w:val="16"/>
          <w:szCs w:val="16"/>
        </w:rPr>
        <w:t>Лейфер</w:t>
      </w:r>
      <w:proofErr w:type="spellEnd"/>
      <w:r w:rsidRPr="0080375D">
        <w:rPr>
          <w:rFonts w:asciiTheme="majorHAnsi" w:hAnsiTheme="majorHAnsi"/>
          <w:sz w:val="16"/>
          <w:szCs w:val="16"/>
        </w:rPr>
        <w:t xml:space="preserve"> Л.А., Приволжский центр финансового консалтинга и оц</w:t>
      </w:r>
      <w:r>
        <w:rPr>
          <w:rFonts w:asciiTheme="majorHAnsi" w:hAnsiTheme="majorHAnsi"/>
          <w:sz w:val="16"/>
          <w:szCs w:val="16"/>
        </w:rPr>
        <w:t xml:space="preserve">енки, </w:t>
      </w:r>
      <w:proofErr w:type="spellStart"/>
      <w:r>
        <w:rPr>
          <w:rFonts w:asciiTheme="majorHAnsi" w:hAnsiTheme="majorHAnsi"/>
          <w:sz w:val="16"/>
          <w:szCs w:val="16"/>
        </w:rPr>
        <w:t>г</w:t>
      </w:r>
      <w:proofErr w:type="gramStart"/>
      <w:r>
        <w:rPr>
          <w:rFonts w:asciiTheme="majorHAnsi" w:hAnsiTheme="majorHAnsi"/>
          <w:sz w:val="16"/>
          <w:szCs w:val="16"/>
        </w:rPr>
        <w:t>.Н</w:t>
      </w:r>
      <w:proofErr w:type="gramEnd"/>
      <w:r>
        <w:rPr>
          <w:rFonts w:asciiTheme="majorHAnsi" w:hAnsiTheme="majorHAnsi"/>
          <w:sz w:val="16"/>
          <w:szCs w:val="16"/>
        </w:rPr>
        <w:t>ижний</w:t>
      </w:r>
      <w:proofErr w:type="spellEnd"/>
      <w:r>
        <w:rPr>
          <w:rFonts w:asciiTheme="majorHAnsi" w:hAnsiTheme="majorHAnsi"/>
          <w:sz w:val="16"/>
          <w:szCs w:val="16"/>
        </w:rPr>
        <w:t xml:space="preserve"> Новгород, 2014 г</w:t>
      </w:r>
      <w:r w:rsidRPr="0080375D">
        <w:rPr>
          <w:rFonts w:asciiTheme="majorHAnsi" w:hAnsiTheme="majorHAnsi"/>
          <w:sz w:val="16"/>
          <w:szCs w:val="16"/>
        </w:rPr>
        <w:t xml:space="preserve">. </w:t>
      </w:r>
    </w:p>
  </w:footnote>
  <w:footnote w:id="23">
    <w:p w:rsidR="00192166" w:rsidRPr="00B54341" w:rsidRDefault="00192166" w:rsidP="005F6A69">
      <w:pPr>
        <w:pStyle w:val="afe"/>
        <w:spacing w:before="80" w:after="80"/>
        <w:rPr>
          <w:rFonts w:asciiTheme="majorHAnsi" w:hAnsiTheme="majorHAnsi"/>
          <w:sz w:val="16"/>
          <w:szCs w:val="16"/>
        </w:rPr>
      </w:pPr>
      <w:r w:rsidRPr="00B54341">
        <w:rPr>
          <w:rStyle w:val="aff0"/>
          <w:rFonts w:asciiTheme="majorHAnsi" w:hAnsiTheme="majorHAnsi"/>
          <w:sz w:val="16"/>
          <w:szCs w:val="16"/>
        </w:rPr>
        <w:footnoteRef/>
      </w:r>
      <w:r w:rsidRPr="00B54341">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w:t>
      </w:r>
      <w:proofErr w:type="spellStart"/>
      <w:r w:rsidRPr="00B54341">
        <w:rPr>
          <w:rFonts w:asciiTheme="majorHAnsi" w:hAnsiTheme="majorHAnsi"/>
          <w:sz w:val="16"/>
          <w:szCs w:val="16"/>
        </w:rPr>
        <w:t>Лейфер</w:t>
      </w:r>
      <w:proofErr w:type="spellEnd"/>
      <w:r w:rsidRPr="00B54341">
        <w:rPr>
          <w:rFonts w:asciiTheme="majorHAnsi" w:hAnsiTheme="majorHAnsi"/>
          <w:sz w:val="16"/>
          <w:szCs w:val="16"/>
        </w:rPr>
        <w:t xml:space="preserve"> Л.А., Приволжский центр финансового консалтинга и оценки, </w:t>
      </w:r>
      <w:proofErr w:type="spellStart"/>
      <w:r w:rsidRPr="00B54341">
        <w:rPr>
          <w:rFonts w:asciiTheme="majorHAnsi" w:hAnsiTheme="majorHAnsi"/>
          <w:sz w:val="16"/>
          <w:szCs w:val="16"/>
        </w:rPr>
        <w:t>г</w:t>
      </w:r>
      <w:proofErr w:type="gramStart"/>
      <w:r w:rsidRPr="00B54341">
        <w:rPr>
          <w:rFonts w:asciiTheme="majorHAnsi" w:hAnsiTheme="majorHAnsi"/>
          <w:sz w:val="16"/>
          <w:szCs w:val="16"/>
        </w:rPr>
        <w:t>.Н</w:t>
      </w:r>
      <w:proofErr w:type="gramEnd"/>
      <w:r w:rsidRPr="00B54341">
        <w:rPr>
          <w:rFonts w:asciiTheme="majorHAnsi" w:hAnsiTheme="majorHAnsi"/>
          <w:sz w:val="16"/>
          <w:szCs w:val="16"/>
        </w:rPr>
        <w:t>ижний</w:t>
      </w:r>
      <w:proofErr w:type="spellEnd"/>
      <w:r w:rsidRPr="00B54341">
        <w:rPr>
          <w:rFonts w:asciiTheme="majorHAnsi" w:hAnsiTheme="majorHAnsi"/>
          <w:sz w:val="16"/>
          <w:szCs w:val="16"/>
        </w:rPr>
        <w:t xml:space="preserve"> Новгород, 2014 г.. </w:t>
      </w:r>
    </w:p>
  </w:footnote>
  <w:footnote w:id="24">
    <w:p w:rsidR="00192166" w:rsidRPr="00B54341" w:rsidRDefault="00192166" w:rsidP="005F6A69">
      <w:pPr>
        <w:pStyle w:val="afe"/>
        <w:spacing w:before="80" w:after="80"/>
        <w:rPr>
          <w:rFonts w:asciiTheme="majorHAnsi" w:hAnsiTheme="majorHAnsi"/>
          <w:sz w:val="16"/>
          <w:szCs w:val="16"/>
        </w:rPr>
      </w:pPr>
      <w:r w:rsidRPr="00B54341">
        <w:rPr>
          <w:rStyle w:val="aff0"/>
          <w:rFonts w:asciiTheme="majorHAnsi" w:hAnsiTheme="majorHAnsi"/>
          <w:sz w:val="16"/>
          <w:szCs w:val="16"/>
        </w:rPr>
        <w:footnoteRef/>
      </w:r>
      <w:r w:rsidRPr="00B54341">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w:t>
      </w:r>
      <w:proofErr w:type="spellStart"/>
      <w:r w:rsidRPr="00B54341">
        <w:rPr>
          <w:rFonts w:asciiTheme="majorHAnsi" w:hAnsiTheme="majorHAnsi"/>
          <w:sz w:val="16"/>
          <w:szCs w:val="16"/>
        </w:rPr>
        <w:t>Лейфер</w:t>
      </w:r>
      <w:proofErr w:type="spellEnd"/>
      <w:r w:rsidRPr="00B54341">
        <w:rPr>
          <w:rFonts w:asciiTheme="majorHAnsi" w:hAnsiTheme="majorHAnsi"/>
          <w:sz w:val="16"/>
          <w:szCs w:val="16"/>
        </w:rPr>
        <w:t xml:space="preserve"> Л.А., Приволжский центр финансового консалтинга и оценки, </w:t>
      </w:r>
      <w:proofErr w:type="spellStart"/>
      <w:r w:rsidRPr="00B54341">
        <w:rPr>
          <w:rFonts w:asciiTheme="majorHAnsi" w:hAnsiTheme="majorHAnsi"/>
          <w:sz w:val="16"/>
          <w:szCs w:val="16"/>
        </w:rPr>
        <w:t>г</w:t>
      </w:r>
      <w:proofErr w:type="gramStart"/>
      <w:r w:rsidRPr="00B54341">
        <w:rPr>
          <w:rFonts w:asciiTheme="majorHAnsi" w:hAnsiTheme="majorHAnsi"/>
          <w:sz w:val="16"/>
          <w:szCs w:val="16"/>
        </w:rPr>
        <w:t>.Н</w:t>
      </w:r>
      <w:proofErr w:type="gramEnd"/>
      <w:r w:rsidRPr="00B54341">
        <w:rPr>
          <w:rFonts w:asciiTheme="majorHAnsi" w:hAnsiTheme="majorHAnsi"/>
          <w:sz w:val="16"/>
          <w:szCs w:val="16"/>
        </w:rPr>
        <w:t>ижний</w:t>
      </w:r>
      <w:proofErr w:type="spellEnd"/>
      <w:r w:rsidRPr="00B54341">
        <w:rPr>
          <w:rFonts w:asciiTheme="majorHAnsi" w:hAnsiTheme="majorHAnsi"/>
          <w:sz w:val="16"/>
          <w:szCs w:val="16"/>
        </w:rPr>
        <w:t xml:space="preserve"> Новгород, 2014 г.. </w:t>
      </w:r>
    </w:p>
  </w:footnote>
  <w:footnote w:id="25">
    <w:p w:rsidR="00192166" w:rsidRPr="00B54341" w:rsidRDefault="00192166" w:rsidP="005F6A69">
      <w:pPr>
        <w:pStyle w:val="afe"/>
        <w:spacing w:before="80" w:after="80"/>
        <w:rPr>
          <w:rFonts w:asciiTheme="majorHAnsi" w:hAnsiTheme="majorHAnsi"/>
          <w:sz w:val="16"/>
          <w:szCs w:val="16"/>
        </w:rPr>
      </w:pPr>
      <w:r w:rsidRPr="00B54341">
        <w:rPr>
          <w:rStyle w:val="aff0"/>
          <w:rFonts w:asciiTheme="majorHAnsi" w:hAnsiTheme="majorHAnsi"/>
          <w:sz w:val="16"/>
          <w:szCs w:val="16"/>
        </w:rPr>
        <w:footnoteRef/>
      </w:r>
      <w:r w:rsidRPr="00B54341">
        <w:rPr>
          <w:rFonts w:asciiTheme="majorHAnsi" w:hAnsiTheme="majorHAnsi"/>
          <w:sz w:val="16"/>
          <w:szCs w:val="16"/>
        </w:rPr>
        <w:t xml:space="preserve"> По материалам «Справочник оценщика недвижимости. Характеристики рынка. Прогнозы. </w:t>
      </w:r>
      <w:proofErr w:type="gramStart"/>
      <w:r w:rsidRPr="00B54341">
        <w:rPr>
          <w:rFonts w:asciiTheme="majorHAnsi" w:hAnsiTheme="majorHAnsi"/>
          <w:sz w:val="16"/>
          <w:szCs w:val="16"/>
        </w:rPr>
        <w:t>Поправочные коэффициенты» (авторы:</w:t>
      </w:r>
      <w:proofErr w:type="gramEnd"/>
      <w:r w:rsidRPr="00B54341">
        <w:rPr>
          <w:rFonts w:asciiTheme="majorHAnsi" w:hAnsiTheme="majorHAnsi"/>
          <w:sz w:val="16"/>
          <w:szCs w:val="16"/>
        </w:rPr>
        <w:t xml:space="preserve"> </w:t>
      </w:r>
      <w:proofErr w:type="spellStart"/>
      <w:r w:rsidRPr="00B54341">
        <w:rPr>
          <w:rFonts w:asciiTheme="majorHAnsi" w:hAnsiTheme="majorHAnsi"/>
          <w:sz w:val="16"/>
          <w:szCs w:val="16"/>
        </w:rPr>
        <w:t>Лейфер</w:t>
      </w:r>
      <w:proofErr w:type="spellEnd"/>
      <w:r w:rsidRPr="00B54341">
        <w:rPr>
          <w:rFonts w:asciiTheme="majorHAnsi" w:hAnsiTheme="majorHAnsi"/>
          <w:sz w:val="16"/>
          <w:szCs w:val="16"/>
        </w:rPr>
        <w:t xml:space="preserve"> Л.А., </w:t>
      </w:r>
      <w:proofErr w:type="spellStart"/>
      <w:r w:rsidRPr="00B54341">
        <w:rPr>
          <w:rFonts w:asciiTheme="majorHAnsi" w:hAnsiTheme="majorHAnsi"/>
          <w:sz w:val="16"/>
          <w:szCs w:val="16"/>
        </w:rPr>
        <w:t>Шегурова</w:t>
      </w:r>
      <w:proofErr w:type="spellEnd"/>
      <w:r w:rsidRPr="00B54341">
        <w:rPr>
          <w:rFonts w:asciiTheme="majorHAnsi" w:hAnsiTheme="majorHAnsi"/>
          <w:sz w:val="16"/>
          <w:szCs w:val="16"/>
        </w:rPr>
        <w:t xml:space="preserve"> Д.А., Приволжский центр финансового консалтинга и оценки, </w:t>
      </w:r>
      <w:proofErr w:type="spellStart"/>
      <w:r w:rsidRPr="00B54341">
        <w:rPr>
          <w:rFonts w:asciiTheme="majorHAnsi" w:hAnsiTheme="majorHAnsi"/>
          <w:sz w:val="16"/>
          <w:szCs w:val="16"/>
        </w:rPr>
        <w:t>г</w:t>
      </w:r>
      <w:proofErr w:type="gramStart"/>
      <w:r w:rsidRPr="00B54341">
        <w:rPr>
          <w:rFonts w:asciiTheme="majorHAnsi" w:hAnsiTheme="majorHAnsi"/>
          <w:sz w:val="16"/>
          <w:szCs w:val="16"/>
        </w:rPr>
        <w:t>.Н</w:t>
      </w:r>
      <w:proofErr w:type="gramEnd"/>
      <w:r w:rsidRPr="00B54341">
        <w:rPr>
          <w:rFonts w:asciiTheme="majorHAnsi" w:hAnsiTheme="majorHAnsi"/>
          <w:sz w:val="16"/>
          <w:szCs w:val="16"/>
        </w:rPr>
        <w:t>ижний</w:t>
      </w:r>
      <w:proofErr w:type="spellEnd"/>
      <w:r w:rsidRPr="00B54341">
        <w:rPr>
          <w:rFonts w:asciiTheme="majorHAnsi" w:hAnsiTheme="majorHAnsi"/>
          <w:sz w:val="16"/>
          <w:szCs w:val="16"/>
        </w:rPr>
        <w:t xml:space="preserve"> Новгород, 2012 г.</w:t>
      </w:r>
    </w:p>
  </w:footnote>
  <w:footnote w:id="26">
    <w:p w:rsidR="00192166" w:rsidRPr="00B54341" w:rsidRDefault="00192166" w:rsidP="005F6A69">
      <w:pPr>
        <w:pStyle w:val="afe"/>
        <w:spacing w:before="80" w:after="80"/>
        <w:rPr>
          <w:rFonts w:asciiTheme="majorHAnsi" w:hAnsiTheme="majorHAnsi"/>
          <w:sz w:val="16"/>
          <w:szCs w:val="16"/>
        </w:rPr>
      </w:pPr>
      <w:r w:rsidRPr="00B54341">
        <w:rPr>
          <w:rStyle w:val="aff0"/>
          <w:rFonts w:asciiTheme="majorHAnsi" w:hAnsiTheme="majorHAnsi"/>
          <w:sz w:val="16"/>
          <w:szCs w:val="16"/>
        </w:rPr>
        <w:footnoteRef/>
      </w:r>
      <w:r w:rsidRPr="00B54341">
        <w:rPr>
          <w:rFonts w:asciiTheme="majorHAnsi" w:hAnsiTheme="majorHAnsi"/>
          <w:sz w:val="16"/>
          <w:szCs w:val="16"/>
        </w:rPr>
        <w:t xml:space="preserve"> Источник: Отчет </w:t>
      </w:r>
      <w:r w:rsidRPr="00B54341">
        <w:rPr>
          <w:rFonts w:asciiTheme="majorHAnsi" w:hAnsiTheme="majorHAnsi"/>
          <w:sz w:val="16"/>
          <w:szCs w:val="16"/>
          <w:lang w:val="en-GB"/>
        </w:rPr>
        <w:t>RID</w:t>
      </w:r>
      <w:r w:rsidRPr="00B54341">
        <w:rPr>
          <w:rFonts w:asciiTheme="majorHAnsi" w:hAnsiTheme="majorHAnsi"/>
          <w:sz w:val="16"/>
          <w:szCs w:val="16"/>
        </w:rPr>
        <w:t xml:space="preserve"> </w:t>
      </w:r>
      <w:r w:rsidRPr="00B54341">
        <w:rPr>
          <w:rFonts w:asciiTheme="majorHAnsi" w:hAnsiTheme="majorHAnsi"/>
          <w:sz w:val="16"/>
          <w:szCs w:val="16"/>
          <w:lang w:val="en-GB"/>
        </w:rPr>
        <w:t>Analytics</w:t>
      </w:r>
      <w:r w:rsidRPr="00B54341">
        <w:rPr>
          <w:rFonts w:asciiTheme="majorHAnsi" w:hAnsiTheme="majorHAnsi"/>
          <w:sz w:val="16"/>
          <w:szCs w:val="16"/>
        </w:rPr>
        <w:t xml:space="preserve">. http://www.ridasib.com/ Ответственный за деловое сотрудничество: Менеджер ООО «Агентство «РИД </w:t>
      </w:r>
      <w:proofErr w:type="spellStart"/>
      <w:r w:rsidRPr="00B54341">
        <w:rPr>
          <w:rFonts w:asciiTheme="majorHAnsi" w:hAnsiTheme="majorHAnsi"/>
          <w:sz w:val="16"/>
          <w:szCs w:val="16"/>
        </w:rPr>
        <w:t>Аналитикс</w:t>
      </w:r>
      <w:proofErr w:type="spellEnd"/>
      <w:r w:rsidRPr="00B54341">
        <w:rPr>
          <w:rFonts w:asciiTheme="majorHAnsi" w:hAnsiTheme="majorHAnsi"/>
          <w:sz w:val="16"/>
          <w:szCs w:val="16"/>
        </w:rPr>
        <w:t xml:space="preserve">» Олеся </w:t>
      </w:r>
      <w:proofErr w:type="spellStart"/>
      <w:r w:rsidRPr="00B54341">
        <w:rPr>
          <w:rFonts w:asciiTheme="majorHAnsi" w:hAnsiTheme="majorHAnsi"/>
          <w:sz w:val="16"/>
          <w:szCs w:val="16"/>
        </w:rPr>
        <w:t>Шитц</w:t>
      </w:r>
      <w:proofErr w:type="spellEnd"/>
      <w:r w:rsidRPr="00B54341">
        <w:rPr>
          <w:rFonts w:asciiTheme="majorHAnsi" w:hAnsiTheme="majorHAnsi"/>
          <w:sz w:val="16"/>
          <w:szCs w:val="16"/>
        </w:rPr>
        <w:t xml:space="preserve"> (383)213-23-47 monitor@ridasib.com, www.ridasib.com, ICQ 203-018-416. </w:t>
      </w:r>
    </w:p>
  </w:footnote>
  <w:footnote w:id="27">
    <w:p w:rsidR="00192166" w:rsidRPr="00416221" w:rsidRDefault="00192166" w:rsidP="005F6A69">
      <w:pPr>
        <w:pStyle w:val="afe"/>
        <w:spacing w:before="80" w:after="80"/>
        <w:rPr>
          <w:rFonts w:asciiTheme="majorHAnsi" w:hAnsiTheme="majorHAnsi"/>
          <w:sz w:val="16"/>
          <w:szCs w:val="16"/>
        </w:rPr>
      </w:pPr>
      <w:r w:rsidRPr="00416221">
        <w:rPr>
          <w:rStyle w:val="aff0"/>
          <w:rFonts w:asciiTheme="majorHAnsi" w:hAnsiTheme="majorHAnsi"/>
          <w:sz w:val="16"/>
          <w:szCs w:val="16"/>
        </w:rPr>
        <w:footnoteRef/>
      </w:r>
      <w:r w:rsidRPr="00416221">
        <w:rPr>
          <w:rFonts w:asciiTheme="majorHAnsi" w:hAnsiTheme="majorHAnsi"/>
          <w:sz w:val="16"/>
          <w:szCs w:val="16"/>
        </w:rPr>
        <w:t xml:space="preserve"> По материалам «Справочник оценщика недвижимости. Характеристики рынка. Прогнозы. </w:t>
      </w:r>
      <w:proofErr w:type="gramStart"/>
      <w:r w:rsidRPr="00416221">
        <w:rPr>
          <w:rFonts w:asciiTheme="majorHAnsi" w:hAnsiTheme="majorHAnsi"/>
          <w:sz w:val="16"/>
          <w:szCs w:val="16"/>
        </w:rPr>
        <w:t>Поправочные коэффициенты» (авторы:</w:t>
      </w:r>
      <w:proofErr w:type="gramEnd"/>
      <w:r w:rsidRPr="00416221">
        <w:rPr>
          <w:rFonts w:asciiTheme="majorHAnsi" w:hAnsiTheme="majorHAnsi"/>
          <w:sz w:val="16"/>
          <w:szCs w:val="16"/>
        </w:rPr>
        <w:t xml:space="preserve"> </w:t>
      </w:r>
      <w:proofErr w:type="spellStart"/>
      <w:r w:rsidRPr="00416221">
        <w:rPr>
          <w:rFonts w:asciiTheme="majorHAnsi" w:hAnsiTheme="majorHAnsi"/>
          <w:sz w:val="16"/>
          <w:szCs w:val="16"/>
        </w:rPr>
        <w:t>Лейфер</w:t>
      </w:r>
      <w:proofErr w:type="spellEnd"/>
      <w:r w:rsidRPr="00416221">
        <w:rPr>
          <w:rFonts w:asciiTheme="majorHAnsi" w:hAnsiTheme="majorHAnsi"/>
          <w:sz w:val="16"/>
          <w:szCs w:val="16"/>
        </w:rPr>
        <w:t xml:space="preserve"> Л.А., </w:t>
      </w:r>
      <w:proofErr w:type="spellStart"/>
      <w:r w:rsidRPr="00416221">
        <w:rPr>
          <w:rFonts w:asciiTheme="majorHAnsi" w:hAnsiTheme="majorHAnsi"/>
          <w:sz w:val="16"/>
          <w:szCs w:val="16"/>
        </w:rPr>
        <w:t>Шегурова</w:t>
      </w:r>
      <w:proofErr w:type="spellEnd"/>
      <w:r w:rsidRPr="00416221">
        <w:rPr>
          <w:rFonts w:asciiTheme="majorHAnsi" w:hAnsiTheme="majorHAnsi"/>
          <w:sz w:val="16"/>
          <w:szCs w:val="16"/>
        </w:rPr>
        <w:t xml:space="preserve"> Д.А., Приволжский центр финансового консалтинга и оценки, </w:t>
      </w:r>
      <w:proofErr w:type="spellStart"/>
      <w:r w:rsidRPr="00416221">
        <w:rPr>
          <w:rFonts w:asciiTheme="majorHAnsi" w:hAnsiTheme="majorHAnsi"/>
          <w:sz w:val="16"/>
          <w:szCs w:val="16"/>
        </w:rPr>
        <w:t>г</w:t>
      </w:r>
      <w:proofErr w:type="gramStart"/>
      <w:r w:rsidRPr="00416221">
        <w:rPr>
          <w:rFonts w:asciiTheme="majorHAnsi" w:hAnsiTheme="majorHAnsi"/>
          <w:sz w:val="16"/>
          <w:szCs w:val="16"/>
        </w:rPr>
        <w:t>.Н</w:t>
      </w:r>
      <w:proofErr w:type="gramEnd"/>
      <w:r w:rsidRPr="00416221">
        <w:rPr>
          <w:rFonts w:asciiTheme="majorHAnsi" w:hAnsiTheme="majorHAnsi"/>
          <w:sz w:val="16"/>
          <w:szCs w:val="16"/>
        </w:rPr>
        <w:t>ижний</w:t>
      </w:r>
      <w:proofErr w:type="spellEnd"/>
      <w:r w:rsidRPr="00416221">
        <w:rPr>
          <w:rFonts w:asciiTheme="majorHAnsi" w:hAnsiTheme="majorHAnsi"/>
          <w:sz w:val="16"/>
          <w:szCs w:val="16"/>
        </w:rPr>
        <w:t xml:space="preserve"> Новгород, 2012 г. </w:t>
      </w:r>
    </w:p>
  </w:footnote>
  <w:footnote w:id="28">
    <w:p w:rsidR="00192166" w:rsidRPr="00187310" w:rsidRDefault="00192166" w:rsidP="005F6A69">
      <w:pPr>
        <w:pStyle w:val="afe"/>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Источник информации: А.Д. Власов, «Проблемы кадастровой оценки земельных участков под промышленными объектами в поселениях», журнал «Имущественные отношения в Российской Федерации», №1(40). </w:t>
      </w:r>
      <w:hyperlink r:id="rId6" w:tgtFrame="_blank" w:history="1">
        <w:r w:rsidRPr="00187310">
          <w:rPr>
            <w:rStyle w:val="aa"/>
            <w:rFonts w:asciiTheme="majorHAnsi" w:hAnsiTheme="majorHAnsi"/>
            <w:sz w:val="16"/>
            <w:szCs w:val="16"/>
          </w:rPr>
          <w:t>http://elibrary.ru/author_items.asp?authorid=289221</w:t>
        </w:r>
      </w:hyperlink>
    </w:p>
  </w:footnote>
  <w:footnote w:id="29">
    <w:p w:rsidR="00192166" w:rsidRPr="009C02B9" w:rsidRDefault="00192166" w:rsidP="005F6A69">
      <w:pPr>
        <w:spacing w:before="80" w:after="80"/>
        <w:rPr>
          <w:rFonts w:asciiTheme="majorHAnsi" w:hAnsiTheme="majorHAnsi"/>
          <w:sz w:val="16"/>
          <w:szCs w:val="16"/>
        </w:rPr>
      </w:pPr>
      <w:r w:rsidRPr="009C02B9">
        <w:rPr>
          <w:rStyle w:val="aff0"/>
          <w:rFonts w:asciiTheme="majorHAnsi" w:hAnsiTheme="majorHAnsi"/>
          <w:sz w:val="16"/>
          <w:szCs w:val="16"/>
        </w:rPr>
        <w:footnoteRef/>
      </w:r>
      <w:r w:rsidRPr="009C02B9">
        <w:rPr>
          <w:rFonts w:asciiTheme="majorHAnsi" w:hAnsiTheme="majorHAnsi"/>
          <w:sz w:val="16"/>
          <w:szCs w:val="16"/>
        </w:rPr>
        <w:t xml:space="preserve"> Источник: «Результаты экспертных оценок величин значимых параметров, используемых в оценочной деятельности», представленной в Информационном бюллетене «Российский оценщик», №4 (118), 2013 г. стр. 28</w:t>
      </w:r>
    </w:p>
  </w:footnote>
  <w:footnote w:id="30">
    <w:p w:rsidR="00192166" w:rsidRPr="00187310" w:rsidRDefault="00192166" w:rsidP="00187310">
      <w:pPr>
        <w:pStyle w:val="afe"/>
        <w:spacing w:before="80" w:after="80"/>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информации: "Общие понятия оценки, подходы к оценке и требования к проведению оценки (ФСО N 1)" </w:t>
      </w:r>
      <w:bookmarkStart w:id="220" w:name="fso1"/>
      <w:bookmarkEnd w:id="220"/>
      <w:proofErr w:type="gramStart"/>
      <w:r w:rsidRPr="00187310">
        <w:rPr>
          <w:rFonts w:asciiTheme="majorHAnsi" w:hAnsiTheme="majorHAnsi"/>
          <w:sz w:val="16"/>
          <w:szCs w:val="16"/>
        </w:rPr>
        <w:t>утвержден</w:t>
      </w:r>
      <w:proofErr w:type="gramEnd"/>
      <w:r w:rsidRPr="00187310">
        <w:rPr>
          <w:rFonts w:asciiTheme="majorHAnsi" w:hAnsiTheme="majorHAnsi"/>
          <w:sz w:val="16"/>
          <w:szCs w:val="16"/>
        </w:rPr>
        <w:t xml:space="preserve"> приказом Минэкономразвития Р</w:t>
      </w:r>
      <w:r>
        <w:rPr>
          <w:rFonts w:asciiTheme="majorHAnsi" w:hAnsiTheme="majorHAnsi"/>
          <w:sz w:val="16"/>
          <w:szCs w:val="16"/>
        </w:rPr>
        <w:t>оссии от 20 мая 2015 года N 297</w:t>
      </w:r>
      <w:r w:rsidRPr="00187310">
        <w:rPr>
          <w:rFonts w:asciiTheme="majorHAnsi" w:hAnsiTheme="majorHAnsi"/>
          <w:sz w:val="16"/>
          <w:szCs w:val="16"/>
        </w:rPr>
        <w:t>.</w:t>
      </w:r>
    </w:p>
  </w:footnote>
  <w:footnote w:id="31">
    <w:p w:rsidR="00192166" w:rsidRPr="00187310" w:rsidRDefault="00192166" w:rsidP="00187310">
      <w:pPr>
        <w:pStyle w:val="afe"/>
        <w:spacing w:before="80" w:after="80"/>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информации: Приказ Минэкономразвития России от 25.09.2014 N 611 "Об утверждении Федерального стандарта оценки "Оценка недвижимости (ФСО N 7)"</w:t>
      </w:r>
    </w:p>
  </w:footnote>
  <w:footnote w:id="32">
    <w:p w:rsidR="00192166" w:rsidRPr="002751EC" w:rsidRDefault="00192166" w:rsidP="002751EC">
      <w:pPr>
        <w:pStyle w:val="afe"/>
        <w:spacing w:before="80" w:after="80"/>
        <w:rPr>
          <w:rFonts w:asciiTheme="majorHAnsi" w:hAnsiTheme="majorHAnsi"/>
          <w:sz w:val="16"/>
          <w:szCs w:val="16"/>
        </w:rPr>
      </w:pPr>
      <w:r w:rsidRPr="002751EC">
        <w:rPr>
          <w:rStyle w:val="aff0"/>
          <w:rFonts w:asciiTheme="majorHAnsi" w:hAnsiTheme="majorHAnsi"/>
          <w:sz w:val="16"/>
          <w:szCs w:val="16"/>
        </w:rPr>
        <w:footnoteRef/>
      </w:r>
      <w:r w:rsidRPr="002751EC">
        <w:rPr>
          <w:rFonts w:asciiTheme="majorHAnsi" w:hAnsiTheme="majorHAnsi"/>
          <w:sz w:val="16"/>
          <w:szCs w:val="16"/>
        </w:rPr>
        <w:t xml:space="preserve"> Источник информации: "Общие понятия оценки, подходы к оценке и требования к проведению оценки (ФСО N 1)" </w:t>
      </w:r>
      <w:proofErr w:type="gramStart"/>
      <w:r w:rsidRPr="002751EC">
        <w:rPr>
          <w:rFonts w:asciiTheme="majorHAnsi" w:hAnsiTheme="majorHAnsi"/>
          <w:sz w:val="16"/>
          <w:szCs w:val="16"/>
        </w:rPr>
        <w:t>утвержден</w:t>
      </w:r>
      <w:proofErr w:type="gramEnd"/>
      <w:r w:rsidRPr="002751EC">
        <w:rPr>
          <w:rFonts w:asciiTheme="majorHAnsi" w:hAnsiTheme="majorHAnsi"/>
          <w:sz w:val="16"/>
          <w:szCs w:val="16"/>
        </w:rPr>
        <w:t xml:space="preserve"> приказом Минэкономразвития России </w:t>
      </w:r>
      <w:r w:rsidRPr="00187310">
        <w:rPr>
          <w:rFonts w:asciiTheme="majorHAnsi" w:hAnsiTheme="majorHAnsi"/>
          <w:sz w:val="16"/>
          <w:szCs w:val="16"/>
        </w:rPr>
        <w:t>от 20 мая 2015 года N 297</w:t>
      </w:r>
      <w:r w:rsidRPr="002751EC">
        <w:rPr>
          <w:rFonts w:asciiTheme="majorHAnsi" w:hAnsiTheme="majorHAnsi"/>
          <w:sz w:val="16"/>
          <w:szCs w:val="16"/>
        </w:rPr>
        <w:t>.</w:t>
      </w:r>
    </w:p>
  </w:footnote>
  <w:footnote w:id="33">
    <w:p w:rsidR="00192166" w:rsidRPr="002751EC" w:rsidRDefault="00192166" w:rsidP="002751EC">
      <w:pPr>
        <w:pStyle w:val="afe"/>
        <w:spacing w:before="80" w:after="80"/>
        <w:rPr>
          <w:rFonts w:asciiTheme="majorHAnsi" w:hAnsiTheme="majorHAnsi"/>
          <w:sz w:val="16"/>
          <w:szCs w:val="16"/>
        </w:rPr>
      </w:pPr>
      <w:r w:rsidRPr="002751EC">
        <w:rPr>
          <w:rStyle w:val="aff0"/>
          <w:rFonts w:asciiTheme="majorHAnsi" w:hAnsiTheme="majorHAnsi"/>
          <w:sz w:val="16"/>
          <w:szCs w:val="16"/>
        </w:rPr>
        <w:footnoteRef/>
      </w:r>
      <w:r w:rsidRPr="002751EC">
        <w:rPr>
          <w:rFonts w:asciiTheme="majorHAnsi" w:hAnsiTheme="majorHAnsi"/>
          <w:sz w:val="16"/>
          <w:szCs w:val="16"/>
        </w:rPr>
        <w:t xml:space="preserve"> Источник информации: Приказ Минэкономразвития России от 25.09.2014 N 611 "Об утверждении Федерального стандарта оценки "Оценка недвижимости (ФСО N 7)"</w:t>
      </w:r>
    </w:p>
  </w:footnote>
  <w:footnote w:id="34">
    <w:p w:rsidR="00192166" w:rsidRPr="00187310" w:rsidRDefault="00192166" w:rsidP="00E24854">
      <w:pPr>
        <w:pStyle w:val="afe"/>
        <w:spacing w:before="80" w:after="80"/>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информации: "Общие понятия оценки, подходы к оценке и требования к проведению оценки (ФСО N 1)" </w:t>
      </w:r>
      <w:proofErr w:type="gramStart"/>
      <w:r w:rsidRPr="00187310">
        <w:rPr>
          <w:rFonts w:asciiTheme="majorHAnsi" w:hAnsiTheme="majorHAnsi"/>
          <w:sz w:val="16"/>
          <w:szCs w:val="16"/>
        </w:rPr>
        <w:t>утвержден</w:t>
      </w:r>
      <w:proofErr w:type="gramEnd"/>
      <w:r w:rsidRPr="00187310">
        <w:rPr>
          <w:rFonts w:asciiTheme="majorHAnsi" w:hAnsiTheme="majorHAnsi"/>
          <w:sz w:val="16"/>
          <w:szCs w:val="16"/>
        </w:rPr>
        <w:t xml:space="preserve"> приказом Минэкономразвития России от 20 мая 2015 года N 297.</w:t>
      </w:r>
    </w:p>
  </w:footnote>
  <w:footnote w:id="35">
    <w:p w:rsidR="00192166" w:rsidRPr="00187310" w:rsidRDefault="00192166" w:rsidP="00E24854">
      <w:pPr>
        <w:pStyle w:val="afe"/>
        <w:spacing w:before="80" w:after="80"/>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информации: Приказ Минэкономразвития России от 25.09.2014 N 611 "Об утверждении Федерального стандарта оценки "Оценка недвижимости (ФСО N 7)"</w:t>
      </w:r>
    </w:p>
  </w:footnote>
  <w:footnote w:id="36">
    <w:p w:rsidR="00192166" w:rsidRPr="00514632" w:rsidRDefault="00192166" w:rsidP="005F6A69">
      <w:pPr>
        <w:pStyle w:val="afe"/>
        <w:spacing w:before="80" w:after="80"/>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Методические рекомендации по определению рыночной стоимости земельных участков, утвержденных распоряжением </w:t>
      </w:r>
      <w:proofErr w:type="spellStart"/>
      <w:r w:rsidRPr="00514632">
        <w:rPr>
          <w:rFonts w:asciiTheme="majorHAnsi" w:hAnsiTheme="majorHAnsi"/>
          <w:sz w:val="16"/>
          <w:szCs w:val="16"/>
        </w:rPr>
        <w:t>Минимущества</w:t>
      </w:r>
      <w:proofErr w:type="spellEnd"/>
      <w:r w:rsidRPr="00514632">
        <w:rPr>
          <w:rFonts w:asciiTheme="majorHAnsi" w:hAnsiTheme="majorHAnsi"/>
          <w:sz w:val="16"/>
          <w:szCs w:val="16"/>
        </w:rPr>
        <w:t xml:space="preserve"> России от 06.03.2002 N 568-р</w:t>
      </w:r>
    </w:p>
  </w:footnote>
  <w:footnote w:id="37">
    <w:p w:rsidR="00192166" w:rsidRPr="00350107" w:rsidRDefault="00192166" w:rsidP="005F6A69">
      <w:pPr>
        <w:pStyle w:val="afe"/>
        <w:rPr>
          <w:rFonts w:asciiTheme="majorHAnsi" w:hAnsiTheme="majorHAnsi"/>
          <w:bCs/>
          <w:sz w:val="16"/>
          <w:szCs w:val="16"/>
        </w:rPr>
      </w:pPr>
      <w:r w:rsidRPr="00350107">
        <w:rPr>
          <w:rStyle w:val="aff0"/>
          <w:rFonts w:asciiTheme="majorHAnsi" w:hAnsiTheme="majorHAnsi"/>
          <w:sz w:val="16"/>
          <w:szCs w:val="16"/>
        </w:rPr>
        <w:footnoteRef/>
      </w:r>
      <w:r w:rsidRPr="00350107">
        <w:rPr>
          <w:rFonts w:asciiTheme="majorHAnsi" w:hAnsiTheme="majorHAnsi"/>
          <w:sz w:val="16"/>
          <w:szCs w:val="16"/>
        </w:rPr>
        <w:t xml:space="preserve"> Источник информации: В соответствии с Приказом Минэкономразвития России от 25.09.2014 N 611 "Об утверждении Федерального стандарта оценки "Оценка недвижимости (ФСО N 7)"</w:t>
      </w:r>
    </w:p>
  </w:footnote>
  <w:footnote w:id="38">
    <w:p w:rsidR="00192166" w:rsidRPr="00350107" w:rsidRDefault="00192166" w:rsidP="00F53AE8">
      <w:pPr>
        <w:pStyle w:val="afe"/>
        <w:rPr>
          <w:rFonts w:asciiTheme="majorHAnsi" w:hAnsiTheme="majorHAnsi"/>
          <w:bCs/>
          <w:sz w:val="16"/>
          <w:szCs w:val="16"/>
        </w:rPr>
      </w:pPr>
      <w:r w:rsidRPr="00350107">
        <w:rPr>
          <w:rStyle w:val="aff0"/>
          <w:rFonts w:asciiTheme="majorHAnsi" w:hAnsiTheme="majorHAnsi"/>
          <w:sz w:val="16"/>
          <w:szCs w:val="16"/>
        </w:rPr>
        <w:footnoteRef/>
      </w:r>
      <w:r w:rsidRPr="00350107">
        <w:rPr>
          <w:rFonts w:asciiTheme="majorHAnsi" w:hAnsiTheme="majorHAnsi"/>
          <w:sz w:val="16"/>
          <w:szCs w:val="16"/>
        </w:rPr>
        <w:t xml:space="preserve"> Источник информации: В соответствии с Приказом Минэкономразвития России от 25.09.2014 N 611 "Об утверждении Федерального стандарта оценки "Оценка недвижимости (ФСО N 7)"</w:t>
      </w:r>
    </w:p>
  </w:footnote>
  <w:footnote w:id="39">
    <w:p w:rsidR="00192166" w:rsidRPr="009D7CA8" w:rsidRDefault="00192166" w:rsidP="006A199E">
      <w:pPr>
        <w:pStyle w:val="afe"/>
        <w:rPr>
          <w:rFonts w:asciiTheme="majorHAnsi" w:hAnsiTheme="majorHAnsi"/>
          <w:bCs/>
          <w:sz w:val="16"/>
          <w:szCs w:val="16"/>
        </w:rPr>
      </w:pPr>
      <w:r w:rsidRPr="009D7CA8">
        <w:rPr>
          <w:rStyle w:val="aff0"/>
          <w:rFonts w:asciiTheme="majorHAnsi" w:hAnsiTheme="majorHAnsi"/>
          <w:sz w:val="16"/>
          <w:szCs w:val="16"/>
        </w:rPr>
        <w:footnoteRef/>
      </w:r>
      <w:r w:rsidRPr="009D7CA8">
        <w:rPr>
          <w:rFonts w:asciiTheme="majorHAnsi" w:hAnsiTheme="majorHAnsi"/>
          <w:sz w:val="16"/>
          <w:szCs w:val="16"/>
        </w:rPr>
        <w:t xml:space="preserve"> Источник информации: В соответствии с Приказом Минэкономразвития России от 25.09.2014 N 611 "Об утверждении Федерального стандарта оценки "Оценка недвижимости (ФСО N 7)"</w:t>
      </w:r>
    </w:p>
  </w:footnote>
  <w:footnote w:id="40">
    <w:p w:rsidR="00192166" w:rsidRPr="00046B4A" w:rsidRDefault="00192166" w:rsidP="00484047">
      <w:pPr>
        <w:pStyle w:val="afe"/>
        <w:spacing w:before="80" w:after="80"/>
        <w:rPr>
          <w:rFonts w:asciiTheme="majorHAnsi" w:hAnsiTheme="majorHAnsi"/>
          <w:sz w:val="16"/>
          <w:szCs w:val="16"/>
        </w:rPr>
      </w:pPr>
      <w:r w:rsidRPr="00046B4A">
        <w:rPr>
          <w:rStyle w:val="aff0"/>
          <w:rFonts w:asciiTheme="majorHAnsi" w:hAnsiTheme="majorHAnsi"/>
          <w:sz w:val="16"/>
          <w:szCs w:val="16"/>
        </w:rPr>
        <w:footnoteRef/>
      </w:r>
      <w:r w:rsidRPr="00046B4A">
        <w:rPr>
          <w:rFonts w:asciiTheme="majorHAnsi" w:hAnsiTheme="majorHAnsi"/>
          <w:sz w:val="16"/>
          <w:szCs w:val="16"/>
        </w:rPr>
        <w:t xml:space="preserve"> Федеральный стандарт оценки № 1, утвержден приказом Минэкономразвития России № 2</w:t>
      </w:r>
      <w:r>
        <w:rPr>
          <w:rFonts w:asciiTheme="majorHAnsi" w:hAnsiTheme="majorHAnsi"/>
          <w:sz w:val="16"/>
          <w:szCs w:val="16"/>
        </w:rPr>
        <w:t>97</w:t>
      </w:r>
      <w:r w:rsidRPr="00046B4A">
        <w:rPr>
          <w:rFonts w:asciiTheme="majorHAnsi" w:hAnsiTheme="majorHAnsi"/>
          <w:sz w:val="16"/>
          <w:szCs w:val="16"/>
        </w:rPr>
        <w:t xml:space="preserve"> от 20.0</w:t>
      </w:r>
      <w:r>
        <w:rPr>
          <w:rFonts w:asciiTheme="majorHAnsi" w:hAnsiTheme="majorHAnsi"/>
          <w:sz w:val="16"/>
          <w:szCs w:val="16"/>
        </w:rPr>
        <w:t>5</w:t>
      </w:r>
      <w:r w:rsidRPr="00046B4A">
        <w:rPr>
          <w:rFonts w:asciiTheme="majorHAnsi" w:hAnsiTheme="majorHAnsi"/>
          <w:sz w:val="16"/>
          <w:szCs w:val="16"/>
        </w:rPr>
        <w:t>.20</w:t>
      </w:r>
      <w:r>
        <w:rPr>
          <w:rFonts w:asciiTheme="majorHAnsi" w:hAnsiTheme="majorHAnsi"/>
          <w:sz w:val="16"/>
          <w:szCs w:val="16"/>
        </w:rPr>
        <w:t>15</w:t>
      </w:r>
      <w:r w:rsidRPr="00046B4A">
        <w:rPr>
          <w:rFonts w:asciiTheme="majorHAnsi" w:hAnsiTheme="majorHAnsi"/>
          <w:sz w:val="16"/>
          <w:szCs w:val="16"/>
        </w:rPr>
        <w:t xml:space="preserve"> года</w:t>
      </w:r>
    </w:p>
  </w:footnote>
  <w:footnote w:id="41">
    <w:p w:rsidR="00192166" w:rsidRPr="00F45425" w:rsidRDefault="00192166" w:rsidP="006A199E">
      <w:pPr>
        <w:pStyle w:val="afe"/>
        <w:spacing w:before="80" w:after="80"/>
        <w:rPr>
          <w:rFonts w:asciiTheme="majorHAnsi" w:hAnsiTheme="majorHAnsi"/>
          <w:sz w:val="16"/>
          <w:szCs w:val="16"/>
        </w:rPr>
      </w:pPr>
      <w:r w:rsidRPr="00F45425">
        <w:rPr>
          <w:rStyle w:val="aff0"/>
          <w:rFonts w:asciiTheme="majorHAnsi" w:hAnsiTheme="majorHAnsi"/>
          <w:sz w:val="16"/>
          <w:szCs w:val="16"/>
        </w:rPr>
        <w:footnoteRef/>
      </w:r>
      <w:r w:rsidRPr="00F45425">
        <w:rPr>
          <w:rFonts w:asciiTheme="majorHAnsi" w:hAnsiTheme="majorHAnsi"/>
          <w:sz w:val="16"/>
          <w:szCs w:val="16"/>
        </w:rPr>
        <w:t xml:space="preserve"> Источник информации: С.В. </w:t>
      </w:r>
      <w:proofErr w:type="spellStart"/>
      <w:r w:rsidRPr="00F45425">
        <w:rPr>
          <w:rFonts w:asciiTheme="majorHAnsi" w:hAnsiTheme="majorHAnsi"/>
          <w:sz w:val="16"/>
          <w:szCs w:val="16"/>
        </w:rPr>
        <w:t>Грибовский</w:t>
      </w:r>
      <w:proofErr w:type="spellEnd"/>
      <w:r w:rsidRPr="00F45425">
        <w:rPr>
          <w:rFonts w:asciiTheme="majorHAnsi" w:hAnsiTheme="majorHAnsi"/>
          <w:sz w:val="16"/>
          <w:szCs w:val="16"/>
        </w:rPr>
        <w:t xml:space="preserve"> «Оценка стоимости недвижимости» Москва, 2009г., Учебное пособие, стр. 83-157</w:t>
      </w:r>
    </w:p>
  </w:footnote>
  <w:footnote w:id="42">
    <w:p w:rsidR="00192166" w:rsidRDefault="00192166" w:rsidP="006A199E">
      <w:pPr>
        <w:pStyle w:val="afe"/>
        <w:spacing w:before="80" w:after="80"/>
        <w:rPr>
          <w:rFonts w:asciiTheme="majorHAnsi" w:hAnsiTheme="majorHAnsi"/>
          <w:sz w:val="16"/>
          <w:szCs w:val="16"/>
        </w:rPr>
      </w:pPr>
      <w:r w:rsidRPr="00F80AB0">
        <w:rPr>
          <w:rStyle w:val="aff0"/>
          <w:rFonts w:asciiTheme="majorHAnsi" w:hAnsiTheme="majorHAnsi"/>
          <w:sz w:val="16"/>
          <w:szCs w:val="16"/>
        </w:rPr>
        <w:footnoteRef/>
      </w:r>
      <w:r w:rsidRPr="00F80AB0">
        <w:rPr>
          <w:rFonts w:asciiTheme="majorHAnsi" w:hAnsiTheme="majorHAnsi"/>
          <w:sz w:val="16"/>
          <w:szCs w:val="16"/>
        </w:rPr>
        <w:t xml:space="preserve"> Распечатки позволяющие пользователю отчета об оценке </w:t>
      </w:r>
      <w:proofErr w:type="gramStart"/>
      <w:r w:rsidRPr="00F80AB0">
        <w:rPr>
          <w:rFonts w:asciiTheme="majorHAnsi" w:hAnsiTheme="majorHAnsi"/>
          <w:sz w:val="16"/>
          <w:szCs w:val="16"/>
        </w:rPr>
        <w:t>судить</w:t>
      </w:r>
      <w:proofErr w:type="gramEnd"/>
      <w:r w:rsidRPr="00F80AB0">
        <w:rPr>
          <w:rFonts w:asciiTheme="majorHAnsi" w:hAnsiTheme="majorHAnsi"/>
          <w:sz w:val="16"/>
          <w:szCs w:val="16"/>
        </w:rPr>
        <w:t xml:space="preserve"> об авторстве используемой информации и дате ее подготовке в </w:t>
      </w:r>
      <w:r w:rsidRPr="009E33BE">
        <w:rPr>
          <w:rFonts w:asciiTheme="majorHAnsi" w:hAnsiTheme="majorHAnsi"/>
          <w:sz w:val="16"/>
          <w:szCs w:val="16"/>
        </w:rPr>
        <w:t xml:space="preserve">Приложении № </w:t>
      </w:r>
      <w:r w:rsidR="00FB2EBF">
        <w:rPr>
          <w:rFonts w:asciiTheme="majorHAnsi" w:hAnsiTheme="majorHAnsi"/>
          <w:sz w:val="16"/>
          <w:szCs w:val="16"/>
        </w:rPr>
        <w:t>4</w:t>
      </w:r>
    </w:p>
    <w:p w:rsidR="00FB2EBF" w:rsidRPr="00F45425" w:rsidRDefault="00FB2EBF" w:rsidP="006A199E">
      <w:pPr>
        <w:pStyle w:val="afe"/>
        <w:spacing w:before="80" w:after="80"/>
        <w:rPr>
          <w:rFonts w:asciiTheme="majorHAnsi" w:hAnsiTheme="majorHAnsi"/>
          <w:sz w:val="16"/>
          <w:szCs w:val="16"/>
        </w:rPr>
      </w:pPr>
    </w:p>
  </w:footnote>
  <w:footnote w:id="43">
    <w:p w:rsidR="009B795D" w:rsidRPr="00470126" w:rsidRDefault="009B795D" w:rsidP="009B795D">
      <w:pPr>
        <w:pStyle w:val="afe"/>
        <w:spacing w:before="80" w:after="80"/>
        <w:rPr>
          <w:rFonts w:asciiTheme="majorHAnsi" w:hAnsiTheme="majorHAnsi"/>
          <w:sz w:val="16"/>
          <w:szCs w:val="16"/>
        </w:rPr>
      </w:pPr>
      <w:r w:rsidRPr="00470126">
        <w:rPr>
          <w:rStyle w:val="aff0"/>
          <w:rFonts w:asciiTheme="majorHAnsi" w:hAnsiTheme="majorHAnsi"/>
          <w:sz w:val="16"/>
          <w:szCs w:val="16"/>
        </w:rPr>
        <w:footnoteRef/>
      </w:r>
      <w:r w:rsidRPr="00470126">
        <w:rPr>
          <w:rFonts w:asciiTheme="majorHAnsi" w:hAnsiTheme="majorHAnsi"/>
          <w:sz w:val="16"/>
          <w:szCs w:val="16"/>
        </w:rPr>
        <w:t xml:space="preserve"> По материалам «Справочник оценщика недвижимости. </w:t>
      </w:r>
      <w:proofErr w:type="gramStart"/>
      <w:r w:rsidRPr="00470126">
        <w:rPr>
          <w:rFonts w:asciiTheme="majorHAnsi" w:hAnsiTheme="majorHAnsi"/>
          <w:sz w:val="16"/>
          <w:szCs w:val="16"/>
        </w:rPr>
        <w:t>Корректирующие коэффициенты для сравнительного подхода» (автор:</w:t>
      </w:r>
      <w:proofErr w:type="gramEnd"/>
      <w:r w:rsidRPr="00470126">
        <w:rPr>
          <w:rFonts w:asciiTheme="majorHAnsi" w:hAnsiTheme="majorHAnsi"/>
          <w:sz w:val="16"/>
          <w:szCs w:val="16"/>
        </w:rPr>
        <w:t xml:space="preserve"> </w:t>
      </w:r>
      <w:proofErr w:type="spellStart"/>
      <w:r w:rsidRPr="00470126">
        <w:rPr>
          <w:rFonts w:asciiTheme="majorHAnsi" w:hAnsiTheme="majorHAnsi"/>
          <w:sz w:val="16"/>
          <w:szCs w:val="16"/>
        </w:rPr>
        <w:t>Лейфер</w:t>
      </w:r>
      <w:proofErr w:type="spellEnd"/>
      <w:r w:rsidRPr="00470126">
        <w:rPr>
          <w:rFonts w:asciiTheme="majorHAnsi" w:hAnsiTheme="majorHAnsi"/>
          <w:sz w:val="16"/>
          <w:szCs w:val="16"/>
        </w:rPr>
        <w:t xml:space="preserve"> Л.А., Приволжский центр финансового консалтинга и оцен</w:t>
      </w:r>
      <w:r>
        <w:rPr>
          <w:rFonts w:asciiTheme="majorHAnsi" w:hAnsiTheme="majorHAnsi"/>
          <w:sz w:val="16"/>
          <w:szCs w:val="16"/>
        </w:rPr>
        <w:t xml:space="preserve">ки, </w:t>
      </w:r>
      <w:proofErr w:type="spellStart"/>
      <w:r>
        <w:rPr>
          <w:rFonts w:asciiTheme="majorHAnsi" w:hAnsiTheme="majorHAnsi"/>
          <w:sz w:val="16"/>
          <w:szCs w:val="16"/>
        </w:rPr>
        <w:t>г</w:t>
      </w:r>
      <w:proofErr w:type="gramStart"/>
      <w:r>
        <w:rPr>
          <w:rFonts w:asciiTheme="majorHAnsi" w:hAnsiTheme="majorHAnsi"/>
          <w:sz w:val="16"/>
          <w:szCs w:val="16"/>
        </w:rPr>
        <w:t>.Н</w:t>
      </w:r>
      <w:proofErr w:type="gramEnd"/>
      <w:r>
        <w:rPr>
          <w:rFonts w:asciiTheme="majorHAnsi" w:hAnsiTheme="majorHAnsi"/>
          <w:sz w:val="16"/>
          <w:szCs w:val="16"/>
        </w:rPr>
        <w:t>ижний</w:t>
      </w:r>
      <w:proofErr w:type="spellEnd"/>
      <w:r>
        <w:rPr>
          <w:rFonts w:asciiTheme="majorHAnsi" w:hAnsiTheme="majorHAnsi"/>
          <w:sz w:val="16"/>
          <w:szCs w:val="16"/>
        </w:rPr>
        <w:t xml:space="preserve"> Новгород, 2014 </w:t>
      </w:r>
      <w:r w:rsidRPr="00B50B21">
        <w:rPr>
          <w:rFonts w:asciiTheme="majorHAnsi" w:hAnsiTheme="majorHAnsi"/>
          <w:sz w:val="16"/>
          <w:szCs w:val="16"/>
        </w:rPr>
        <w:t>г. Копии материалов в Приложении №</w:t>
      </w:r>
      <w:r>
        <w:rPr>
          <w:rFonts w:asciiTheme="majorHAnsi" w:hAnsiTheme="majorHAnsi"/>
          <w:sz w:val="16"/>
          <w:szCs w:val="16"/>
        </w:rPr>
        <w:t xml:space="preserve"> </w:t>
      </w:r>
      <w:r w:rsidR="00FB2EBF">
        <w:rPr>
          <w:rFonts w:asciiTheme="majorHAnsi" w:hAnsiTheme="majorHAnsi"/>
          <w:sz w:val="16"/>
          <w:szCs w:val="16"/>
        </w:rPr>
        <w:t>5</w:t>
      </w:r>
    </w:p>
  </w:footnote>
  <w:footnote w:id="44">
    <w:p w:rsidR="009B795D" w:rsidRPr="00470126" w:rsidRDefault="009B795D" w:rsidP="009B795D">
      <w:pPr>
        <w:pStyle w:val="afe"/>
        <w:spacing w:before="80" w:after="80"/>
        <w:rPr>
          <w:rFonts w:asciiTheme="majorHAnsi" w:hAnsiTheme="majorHAnsi"/>
          <w:sz w:val="16"/>
          <w:szCs w:val="16"/>
        </w:rPr>
      </w:pPr>
      <w:r w:rsidRPr="00470126">
        <w:rPr>
          <w:rStyle w:val="aff0"/>
          <w:rFonts w:asciiTheme="majorHAnsi" w:hAnsiTheme="majorHAnsi"/>
          <w:sz w:val="16"/>
          <w:szCs w:val="16"/>
        </w:rPr>
        <w:footnoteRef/>
      </w:r>
      <w:r w:rsidRPr="00470126">
        <w:rPr>
          <w:rFonts w:asciiTheme="majorHAnsi" w:hAnsiTheme="majorHAnsi"/>
          <w:sz w:val="16"/>
          <w:szCs w:val="16"/>
        </w:rPr>
        <w:t xml:space="preserve"> По материалам «Справочник оценщика недвижимости. </w:t>
      </w:r>
      <w:proofErr w:type="gramStart"/>
      <w:r w:rsidRPr="00470126">
        <w:rPr>
          <w:rFonts w:asciiTheme="majorHAnsi" w:hAnsiTheme="majorHAnsi"/>
          <w:sz w:val="16"/>
          <w:szCs w:val="16"/>
        </w:rPr>
        <w:t>Корректирующие коэффициенты для сравнительного подхода» (автор:</w:t>
      </w:r>
      <w:proofErr w:type="gramEnd"/>
      <w:r w:rsidRPr="00470126">
        <w:rPr>
          <w:rFonts w:asciiTheme="majorHAnsi" w:hAnsiTheme="majorHAnsi"/>
          <w:sz w:val="16"/>
          <w:szCs w:val="16"/>
        </w:rPr>
        <w:t xml:space="preserve"> </w:t>
      </w:r>
      <w:proofErr w:type="spellStart"/>
      <w:r w:rsidRPr="00470126">
        <w:rPr>
          <w:rFonts w:asciiTheme="majorHAnsi" w:hAnsiTheme="majorHAnsi"/>
          <w:sz w:val="16"/>
          <w:szCs w:val="16"/>
        </w:rPr>
        <w:t>Лейфер</w:t>
      </w:r>
      <w:proofErr w:type="spellEnd"/>
      <w:r w:rsidRPr="00470126">
        <w:rPr>
          <w:rFonts w:asciiTheme="majorHAnsi" w:hAnsiTheme="majorHAnsi"/>
          <w:sz w:val="16"/>
          <w:szCs w:val="16"/>
        </w:rPr>
        <w:t xml:space="preserve"> Л.А., Приволжский центр финансового консалтинга и оценки, </w:t>
      </w:r>
      <w:proofErr w:type="spellStart"/>
      <w:r w:rsidRPr="00470126">
        <w:rPr>
          <w:rFonts w:asciiTheme="majorHAnsi" w:hAnsiTheme="majorHAnsi"/>
          <w:sz w:val="16"/>
          <w:szCs w:val="16"/>
        </w:rPr>
        <w:t>г</w:t>
      </w:r>
      <w:proofErr w:type="gramStart"/>
      <w:r w:rsidRPr="00470126">
        <w:rPr>
          <w:rFonts w:asciiTheme="majorHAnsi" w:hAnsiTheme="majorHAnsi"/>
          <w:sz w:val="16"/>
          <w:szCs w:val="16"/>
        </w:rPr>
        <w:t>.Н</w:t>
      </w:r>
      <w:proofErr w:type="gramEnd"/>
      <w:r w:rsidRPr="00470126">
        <w:rPr>
          <w:rFonts w:asciiTheme="majorHAnsi" w:hAnsiTheme="majorHAnsi"/>
          <w:sz w:val="16"/>
          <w:szCs w:val="16"/>
        </w:rPr>
        <w:t>ижний</w:t>
      </w:r>
      <w:proofErr w:type="spellEnd"/>
      <w:r w:rsidRPr="00470126">
        <w:rPr>
          <w:rFonts w:asciiTheme="majorHAnsi" w:hAnsiTheme="majorHAnsi"/>
          <w:sz w:val="16"/>
          <w:szCs w:val="16"/>
        </w:rPr>
        <w:t xml:space="preserve"> Новгород, 2014 </w:t>
      </w:r>
      <w:r w:rsidRPr="00B50B21">
        <w:rPr>
          <w:rFonts w:asciiTheme="majorHAnsi" w:hAnsiTheme="majorHAnsi"/>
          <w:sz w:val="16"/>
          <w:szCs w:val="16"/>
        </w:rPr>
        <w:t>г.. Копии материалов в Приложении №</w:t>
      </w:r>
      <w:r w:rsidRPr="00470126">
        <w:rPr>
          <w:rFonts w:asciiTheme="majorHAnsi" w:hAnsiTheme="majorHAnsi"/>
          <w:sz w:val="16"/>
          <w:szCs w:val="16"/>
        </w:rPr>
        <w:t xml:space="preserve"> </w:t>
      </w:r>
      <w:r w:rsidR="00FB2EBF">
        <w:rPr>
          <w:rFonts w:asciiTheme="majorHAnsi" w:hAnsiTheme="majorHAnsi"/>
          <w:sz w:val="16"/>
          <w:szCs w:val="16"/>
        </w:rPr>
        <w:t>5</w:t>
      </w:r>
      <w:r w:rsidRPr="00470126">
        <w:rPr>
          <w:rFonts w:asciiTheme="majorHAnsi" w:hAnsiTheme="majorHAnsi"/>
          <w:sz w:val="16"/>
          <w:szCs w:val="16"/>
        </w:rPr>
        <w:t>.</w:t>
      </w:r>
    </w:p>
  </w:footnote>
  <w:footnote w:id="45">
    <w:p w:rsidR="009B795D" w:rsidRPr="00484047" w:rsidRDefault="009B795D" w:rsidP="009B795D">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По материалам «Справочник оценщика недвижимости. </w:t>
      </w:r>
      <w:proofErr w:type="gramStart"/>
      <w:r w:rsidRPr="00484047">
        <w:rPr>
          <w:rFonts w:asciiTheme="majorHAnsi" w:hAnsiTheme="majorHAnsi"/>
          <w:sz w:val="16"/>
          <w:szCs w:val="16"/>
        </w:rPr>
        <w:t>Корректирующие коэффициенты для сравнительного подхода» (авторы:</w:t>
      </w:r>
      <w:proofErr w:type="gramEnd"/>
      <w:r w:rsidRPr="00484047">
        <w:rPr>
          <w:rFonts w:asciiTheme="majorHAnsi" w:hAnsiTheme="majorHAnsi"/>
          <w:sz w:val="16"/>
          <w:szCs w:val="16"/>
        </w:rPr>
        <w:t xml:space="preserve"> </w:t>
      </w:r>
      <w:proofErr w:type="spellStart"/>
      <w:r w:rsidRPr="00484047">
        <w:rPr>
          <w:rFonts w:asciiTheme="majorHAnsi" w:hAnsiTheme="majorHAnsi"/>
          <w:sz w:val="16"/>
          <w:szCs w:val="16"/>
        </w:rPr>
        <w:t>Лейфер</w:t>
      </w:r>
      <w:proofErr w:type="spellEnd"/>
      <w:r w:rsidRPr="00484047">
        <w:rPr>
          <w:rFonts w:asciiTheme="majorHAnsi" w:hAnsiTheme="majorHAnsi"/>
          <w:sz w:val="16"/>
          <w:szCs w:val="16"/>
        </w:rPr>
        <w:t xml:space="preserve"> Л.А., Приволжский центр финансового консалтинга и оценки, </w:t>
      </w:r>
      <w:proofErr w:type="spellStart"/>
      <w:r w:rsidRPr="00484047">
        <w:rPr>
          <w:rFonts w:asciiTheme="majorHAnsi" w:hAnsiTheme="majorHAnsi"/>
          <w:sz w:val="16"/>
          <w:szCs w:val="16"/>
        </w:rPr>
        <w:t>г</w:t>
      </w:r>
      <w:proofErr w:type="gramStart"/>
      <w:r w:rsidRPr="00484047">
        <w:rPr>
          <w:rFonts w:asciiTheme="majorHAnsi" w:hAnsiTheme="majorHAnsi"/>
          <w:sz w:val="16"/>
          <w:szCs w:val="16"/>
        </w:rPr>
        <w:t>.Н</w:t>
      </w:r>
      <w:proofErr w:type="gramEnd"/>
      <w:r w:rsidRPr="00484047">
        <w:rPr>
          <w:rFonts w:asciiTheme="majorHAnsi" w:hAnsiTheme="majorHAnsi"/>
          <w:sz w:val="16"/>
          <w:szCs w:val="16"/>
        </w:rPr>
        <w:t>ижний</w:t>
      </w:r>
      <w:proofErr w:type="spellEnd"/>
      <w:r w:rsidRPr="00484047">
        <w:rPr>
          <w:rFonts w:asciiTheme="majorHAnsi" w:hAnsiTheme="majorHAnsi"/>
          <w:sz w:val="16"/>
          <w:szCs w:val="16"/>
        </w:rPr>
        <w:t xml:space="preserve"> Новгород, 2012 г., К</w:t>
      </w:r>
      <w:r>
        <w:rPr>
          <w:rFonts w:asciiTheme="majorHAnsi" w:hAnsiTheme="majorHAnsi"/>
          <w:sz w:val="16"/>
          <w:szCs w:val="16"/>
        </w:rPr>
        <w:t xml:space="preserve">опии материалов в Приложении № </w:t>
      </w:r>
      <w:r w:rsidR="00FB2EBF">
        <w:rPr>
          <w:rFonts w:asciiTheme="majorHAnsi" w:hAnsiTheme="majorHAnsi"/>
          <w:sz w:val="16"/>
          <w:szCs w:val="16"/>
        </w:rPr>
        <w:t>5</w:t>
      </w:r>
      <w:r w:rsidRPr="00484047">
        <w:rPr>
          <w:rFonts w:asciiTheme="majorHAnsi" w:hAnsiTheme="majorHAnsi"/>
          <w:sz w:val="16"/>
          <w:szCs w:val="16"/>
        </w:rPr>
        <w:t xml:space="preserve"> </w:t>
      </w:r>
    </w:p>
  </w:footnote>
  <w:footnote w:id="46">
    <w:p w:rsidR="009B795D" w:rsidRPr="00484047" w:rsidRDefault="009B795D" w:rsidP="009B795D">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По материалам «Справочник оценщика недвижимости. </w:t>
      </w:r>
      <w:proofErr w:type="gramStart"/>
      <w:r w:rsidRPr="00484047">
        <w:rPr>
          <w:rFonts w:asciiTheme="majorHAnsi" w:hAnsiTheme="majorHAnsi"/>
          <w:sz w:val="16"/>
          <w:szCs w:val="16"/>
        </w:rPr>
        <w:t>Корректирующие коэффициенты для сравнительного подхода» (авторы:</w:t>
      </w:r>
      <w:proofErr w:type="gramEnd"/>
      <w:r w:rsidRPr="00484047">
        <w:rPr>
          <w:rFonts w:asciiTheme="majorHAnsi" w:hAnsiTheme="majorHAnsi"/>
          <w:sz w:val="16"/>
          <w:szCs w:val="16"/>
        </w:rPr>
        <w:t xml:space="preserve"> </w:t>
      </w:r>
      <w:proofErr w:type="spellStart"/>
      <w:r w:rsidRPr="00484047">
        <w:rPr>
          <w:rFonts w:asciiTheme="majorHAnsi" w:hAnsiTheme="majorHAnsi"/>
          <w:sz w:val="16"/>
          <w:szCs w:val="16"/>
        </w:rPr>
        <w:t>Лейфер</w:t>
      </w:r>
      <w:proofErr w:type="spellEnd"/>
      <w:r w:rsidRPr="00484047">
        <w:rPr>
          <w:rFonts w:asciiTheme="majorHAnsi" w:hAnsiTheme="majorHAnsi"/>
          <w:sz w:val="16"/>
          <w:szCs w:val="16"/>
        </w:rPr>
        <w:t xml:space="preserve"> Л.А., Приволжский центр финансового консалтинга и оценки, </w:t>
      </w:r>
      <w:proofErr w:type="spellStart"/>
      <w:r w:rsidRPr="00484047">
        <w:rPr>
          <w:rFonts w:asciiTheme="majorHAnsi" w:hAnsiTheme="majorHAnsi"/>
          <w:sz w:val="16"/>
          <w:szCs w:val="16"/>
        </w:rPr>
        <w:t>г</w:t>
      </w:r>
      <w:proofErr w:type="gramStart"/>
      <w:r w:rsidRPr="00484047">
        <w:rPr>
          <w:rFonts w:asciiTheme="majorHAnsi" w:hAnsiTheme="majorHAnsi"/>
          <w:sz w:val="16"/>
          <w:szCs w:val="16"/>
        </w:rPr>
        <w:t>.Н</w:t>
      </w:r>
      <w:proofErr w:type="gramEnd"/>
      <w:r w:rsidRPr="00484047">
        <w:rPr>
          <w:rFonts w:asciiTheme="majorHAnsi" w:hAnsiTheme="majorHAnsi"/>
          <w:sz w:val="16"/>
          <w:szCs w:val="16"/>
        </w:rPr>
        <w:t>ижний</w:t>
      </w:r>
      <w:proofErr w:type="spellEnd"/>
      <w:r w:rsidRPr="00484047">
        <w:rPr>
          <w:rFonts w:asciiTheme="majorHAnsi" w:hAnsiTheme="majorHAnsi"/>
          <w:sz w:val="16"/>
          <w:szCs w:val="16"/>
        </w:rPr>
        <w:t xml:space="preserve"> Новгород, 2012 г., Ко</w:t>
      </w:r>
      <w:r>
        <w:rPr>
          <w:rFonts w:asciiTheme="majorHAnsi" w:hAnsiTheme="majorHAnsi"/>
          <w:sz w:val="16"/>
          <w:szCs w:val="16"/>
        </w:rPr>
        <w:t>пии материалов в Приложении №</w:t>
      </w:r>
      <w:r w:rsidR="00FB2EBF">
        <w:rPr>
          <w:rFonts w:asciiTheme="majorHAnsi" w:hAnsiTheme="majorHAnsi"/>
          <w:sz w:val="16"/>
          <w:szCs w:val="16"/>
        </w:rPr>
        <w:t>5</w:t>
      </w:r>
    </w:p>
  </w:footnote>
  <w:footnote w:id="47">
    <w:p w:rsidR="009B795D" w:rsidRPr="00B50B21" w:rsidRDefault="009B795D" w:rsidP="009B795D">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ФСО № 1,2,3 не устанавливает значения максимальной корректировки, при которой объект аналог не соответствует объекту оценки по </w:t>
      </w:r>
      <w:r w:rsidRPr="00B50B21">
        <w:rPr>
          <w:rFonts w:asciiTheme="majorHAnsi" w:hAnsiTheme="majorHAnsi"/>
          <w:sz w:val="16"/>
          <w:szCs w:val="16"/>
        </w:rPr>
        <w:t>своим экономическим, материальным, техническим и другим характеристикам.</w:t>
      </w:r>
    </w:p>
    <w:p w:rsidR="009B795D" w:rsidRPr="00B50B21" w:rsidRDefault="009B795D" w:rsidP="009B795D">
      <w:pPr>
        <w:pStyle w:val="afe"/>
        <w:spacing w:before="80" w:after="80"/>
        <w:rPr>
          <w:rFonts w:asciiTheme="majorHAnsi" w:hAnsiTheme="majorHAnsi"/>
          <w:sz w:val="16"/>
          <w:szCs w:val="16"/>
        </w:rPr>
      </w:pPr>
      <w:r w:rsidRPr="00B50B21">
        <w:rPr>
          <w:rFonts w:asciiTheme="majorHAnsi" w:hAnsiTheme="majorHAnsi"/>
          <w:sz w:val="16"/>
          <w:szCs w:val="16"/>
        </w:rPr>
        <w:t xml:space="preserve">Пункт 22 </w:t>
      </w:r>
      <w:proofErr w:type="spellStart"/>
      <w:proofErr w:type="gramStart"/>
      <w:r w:rsidRPr="00B50B21">
        <w:rPr>
          <w:rFonts w:asciiTheme="majorHAnsi" w:hAnsiTheme="majorHAnsi"/>
          <w:sz w:val="16"/>
          <w:szCs w:val="16"/>
        </w:rPr>
        <w:t>разд</w:t>
      </w:r>
      <w:proofErr w:type="spellEnd"/>
      <w:proofErr w:type="gramEnd"/>
      <w:r w:rsidRPr="00B50B21">
        <w:rPr>
          <w:rFonts w:asciiTheme="majorHAnsi" w:hAnsiTheme="majorHAnsi"/>
          <w:sz w:val="16"/>
          <w:szCs w:val="16"/>
        </w:rPr>
        <w:t xml:space="preserve"> 4 ФСО № 1: «</w:t>
      </w:r>
      <w:proofErr w:type="gramStart"/>
      <w:r w:rsidRPr="00B50B21">
        <w:rPr>
          <w:rFonts w:asciiTheme="majorHAnsi" w:hAnsiTheme="majorHAnsi"/>
          <w:sz w:val="16"/>
          <w:szCs w:val="16"/>
        </w:rPr>
        <w:t>Применяя сравнительный подход оценщик должен:…скорректировать</w:t>
      </w:r>
      <w:proofErr w:type="gramEnd"/>
      <w:r w:rsidRPr="00B50B21">
        <w:rPr>
          <w:rFonts w:asciiTheme="majorHAnsi" w:hAnsiTheme="majorHAnsi"/>
          <w:sz w:val="16"/>
          <w:szCs w:val="16"/>
        </w:rPr>
        <w:t xml:space="preserve"> значения единиц сравнения для объектов аналогов по каждому элементу сравнения в зависимости от соотношения характеристик объекта оценки и объекта аналога по данному элементу сравнения».</w:t>
      </w:r>
    </w:p>
  </w:footnote>
  <w:footnote w:id="48">
    <w:p w:rsidR="009B795D" w:rsidRPr="00514632" w:rsidRDefault="009B795D" w:rsidP="009B795D">
      <w:pPr>
        <w:pStyle w:val="afe"/>
        <w:spacing w:before="80" w:after="80"/>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Распечатки, подтверждающие источники получения информации в приложении № 5.</w:t>
      </w:r>
    </w:p>
  </w:footnote>
  <w:footnote w:id="49">
    <w:p w:rsidR="009B795D" w:rsidRPr="000512FC" w:rsidRDefault="009B795D" w:rsidP="009B795D">
      <w:pPr>
        <w:pStyle w:val="afe"/>
        <w:spacing w:before="80" w:after="80"/>
        <w:jc w:val="both"/>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По материалам «Справочник оценщика недвижимости. </w:t>
      </w:r>
      <w:proofErr w:type="gramStart"/>
      <w:r w:rsidRPr="00514632">
        <w:rPr>
          <w:rFonts w:asciiTheme="majorHAnsi" w:hAnsiTheme="majorHAnsi"/>
          <w:sz w:val="16"/>
          <w:szCs w:val="16"/>
        </w:rPr>
        <w:t>Корректирующие коэффициенты для оценки земельных участков» (автор:</w:t>
      </w:r>
      <w:proofErr w:type="gramEnd"/>
      <w:r w:rsidRPr="00514632">
        <w:rPr>
          <w:rFonts w:asciiTheme="majorHAnsi" w:hAnsiTheme="majorHAnsi"/>
          <w:sz w:val="16"/>
          <w:szCs w:val="16"/>
        </w:rPr>
        <w:t xml:space="preserve"> </w:t>
      </w:r>
      <w:proofErr w:type="spellStart"/>
      <w:r w:rsidRPr="000512FC">
        <w:rPr>
          <w:rFonts w:asciiTheme="majorHAnsi" w:hAnsiTheme="majorHAnsi"/>
          <w:sz w:val="16"/>
          <w:szCs w:val="16"/>
        </w:rPr>
        <w:t>Лейфер</w:t>
      </w:r>
      <w:proofErr w:type="spellEnd"/>
      <w:r w:rsidRPr="000512FC">
        <w:rPr>
          <w:rFonts w:asciiTheme="majorHAnsi" w:hAnsiTheme="majorHAnsi"/>
          <w:sz w:val="16"/>
          <w:szCs w:val="16"/>
        </w:rPr>
        <w:t xml:space="preserve"> Л.А., Приволжский центр финансового консалтинга и оценки, </w:t>
      </w:r>
      <w:proofErr w:type="spellStart"/>
      <w:r w:rsidRPr="000512FC">
        <w:rPr>
          <w:rFonts w:asciiTheme="majorHAnsi" w:hAnsiTheme="majorHAnsi"/>
          <w:sz w:val="16"/>
          <w:szCs w:val="16"/>
        </w:rPr>
        <w:t>г</w:t>
      </w:r>
      <w:proofErr w:type="gramStart"/>
      <w:r w:rsidRPr="000512FC">
        <w:rPr>
          <w:rFonts w:asciiTheme="majorHAnsi" w:hAnsiTheme="majorHAnsi"/>
          <w:sz w:val="16"/>
          <w:szCs w:val="16"/>
        </w:rPr>
        <w:t>.Н</w:t>
      </w:r>
      <w:proofErr w:type="gramEnd"/>
      <w:r w:rsidRPr="000512FC">
        <w:rPr>
          <w:rFonts w:asciiTheme="majorHAnsi" w:hAnsiTheme="majorHAnsi"/>
          <w:sz w:val="16"/>
          <w:szCs w:val="16"/>
        </w:rPr>
        <w:t>ижний</w:t>
      </w:r>
      <w:proofErr w:type="spellEnd"/>
      <w:r w:rsidRPr="000512FC">
        <w:rPr>
          <w:rFonts w:asciiTheme="majorHAnsi" w:hAnsiTheme="majorHAnsi"/>
          <w:sz w:val="16"/>
          <w:szCs w:val="16"/>
        </w:rPr>
        <w:t xml:space="preserve"> Новгород, 2014 г. Копии материалов в Приложении № </w:t>
      </w:r>
      <w:r w:rsidR="00FB2EBF">
        <w:rPr>
          <w:rFonts w:asciiTheme="majorHAnsi" w:hAnsiTheme="majorHAnsi"/>
          <w:sz w:val="16"/>
          <w:szCs w:val="16"/>
        </w:rPr>
        <w:t>5</w:t>
      </w:r>
      <w:r w:rsidRPr="000512FC">
        <w:rPr>
          <w:rFonts w:asciiTheme="majorHAnsi" w:hAnsiTheme="majorHAnsi"/>
          <w:sz w:val="16"/>
          <w:szCs w:val="16"/>
        </w:rPr>
        <w:t>.</w:t>
      </w:r>
    </w:p>
  </w:footnote>
  <w:footnote w:id="50">
    <w:p w:rsidR="009B795D" w:rsidRPr="000512FC" w:rsidRDefault="009B795D" w:rsidP="009B795D">
      <w:pPr>
        <w:pStyle w:val="afe"/>
        <w:spacing w:before="80" w:after="80"/>
        <w:jc w:val="both"/>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По материалам «Справочник оценщика недвижимости. </w:t>
      </w:r>
      <w:proofErr w:type="gramStart"/>
      <w:r w:rsidRPr="00514632">
        <w:rPr>
          <w:rFonts w:asciiTheme="majorHAnsi" w:hAnsiTheme="majorHAnsi"/>
          <w:sz w:val="16"/>
          <w:szCs w:val="16"/>
        </w:rPr>
        <w:t>Корректирующие коэффициенты для оценки земельных участков» (автор:</w:t>
      </w:r>
      <w:proofErr w:type="gramEnd"/>
      <w:r w:rsidRPr="00514632">
        <w:rPr>
          <w:rFonts w:asciiTheme="majorHAnsi" w:hAnsiTheme="majorHAnsi"/>
          <w:sz w:val="16"/>
          <w:szCs w:val="16"/>
        </w:rPr>
        <w:t xml:space="preserve"> </w:t>
      </w:r>
      <w:proofErr w:type="spellStart"/>
      <w:r w:rsidRPr="000512FC">
        <w:rPr>
          <w:rFonts w:asciiTheme="majorHAnsi" w:hAnsiTheme="majorHAnsi"/>
          <w:sz w:val="16"/>
          <w:szCs w:val="16"/>
        </w:rPr>
        <w:t>Лейфер</w:t>
      </w:r>
      <w:proofErr w:type="spellEnd"/>
      <w:r w:rsidRPr="000512FC">
        <w:rPr>
          <w:rFonts w:asciiTheme="majorHAnsi" w:hAnsiTheme="majorHAnsi"/>
          <w:sz w:val="16"/>
          <w:szCs w:val="16"/>
        </w:rPr>
        <w:t xml:space="preserve"> Л.А., Приволжский центр финансового консалтинга и оценки, </w:t>
      </w:r>
      <w:proofErr w:type="spellStart"/>
      <w:r w:rsidRPr="000512FC">
        <w:rPr>
          <w:rFonts w:asciiTheme="majorHAnsi" w:hAnsiTheme="majorHAnsi"/>
          <w:sz w:val="16"/>
          <w:szCs w:val="16"/>
        </w:rPr>
        <w:t>г</w:t>
      </w:r>
      <w:proofErr w:type="gramStart"/>
      <w:r w:rsidRPr="000512FC">
        <w:rPr>
          <w:rFonts w:asciiTheme="majorHAnsi" w:hAnsiTheme="majorHAnsi"/>
          <w:sz w:val="16"/>
          <w:szCs w:val="16"/>
        </w:rPr>
        <w:t>.Н</w:t>
      </w:r>
      <w:proofErr w:type="gramEnd"/>
      <w:r w:rsidRPr="000512FC">
        <w:rPr>
          <w:rFonts w:asciiTheme="majorHAnsi" w:hAnsiTheme="majorHAnsi"/>
          <w:sz w:val="16"/>
          <w:szCs w:val="16"/>
        </w:rPr>
        <w:t>ижний</w:t>
      </w:r>
      <w:proofErr w:type="spellEnd"/>
      <w:r w:rsidRPr="000512FC">
        <w:rPr>
          <w:rFonts w:asciiTheme="majorHAnsi" w:hAnsiTheme="majorHAnsi"/>
          <w:sz w:val="16"/>
          <w:szCs w:val="16"/>
        </w:rPr>
        <w:t xml:space="preserve"> Новгород, 2014 г. Копии материалов в Приложении № </w:t>
      </w:r>
      <w:r w:rsidR="00FB2EBF">
        <w:rPr>
          <w:rFonts w:asciiTheme="majorHAnsi" w:hAnsiTheme="majorHAnsi"/>
          <w:sz w:val="16"/>
          <w:szCs w:val="16"/>
        </w:rPr>
        <w:t>5</w:t>
      </w:r>
      <w:r w:rsidRPr="000512FC">
        <w:rPr>
          <w:rFonts w:asciiTheme="majorHAnsi" w:hAnsiTheme="majorHAnsi"/>
          <w:sz w:val="16"/>
          <w:szCs w:val="16"/>
        </w:rPr>
        <w:t>.</w:t>
      </w:r>
    </w:p>
  </w:footnote>
  <w:footnote w:id="51">
    <w:p w:rsidR="00192166" w:rsidRPr="00C84705" w:rsidRDefault="00192166" w:rsidP="006A199E">
      <w:pPr>
        <w:pStyle w:val="afe"/>
        <w:spacing w:before="80" w:after="80"/>
        <w:rPr>
          <w:rFonts w:asciiTheme="majorHAnsi" w:hAnsiTheme="majorHAnsi"/>
          <w:sz w:val="16"/>
          <w:szCs w:val="16"/>
        </w:rPr>
      </w:pPr>
      <w:r w:rsidRPr="00C84705">
        <w:rPr>
          <w:rStyle w:val="aff0"/>
          <w:rFonts w:asciiTheme="majorHAnsi" w:hAnsiTheme="majorHAnsi"/>
          <w:sz w:val="16"/>
          <w:szCs w:val="16"/>
        </w:rPr>
        <w:footnoteRef/>
      </w:r>
      <w:r w:rsidRPr="00C84705">
        <w:rPr>
          <w:rFonts w:asciiTheme="majorHAnsi" w:hAnsiTheme="majorHAnsi"/>
          <w:sz w:val="16"/>
          <w:szCs w:val="16"/>
        </w:rPr>
        <w:t xml:space="preserve"> Федеральный стандарт оценки № 1, утвержден приказом Минэкономразвития России № 256 от 20.07.2007 года</w:t>
      </w:r>
    </w:p>
  </w:footnote>
  <w:footnote w:id="52">
    <w:p w:rsidR="00192166" w:rsidRDefault="00192166" w:rsidP="00BF325B">
      <w:pPr>
        <w:pStyle w:val="afe"/>
        <w:spacing w:before="120" w:after="120"/>
        <w:rPr>
          <w:rFonts w:ascii="Cambria" w:hAnsi="Cambria"/>
          <w:sz w:val="18"/>
          <w:szCs w:val="18"/>
        </w:rPr>
      </w:pPr>
      <w:r>
        <w:rPr>
          <w:rStyle w:val="aff0"/>
          <w:rFonts w:ascii="Cambria" w:hAnsi="Cambria"/>
          <w:sz w:val="18"/>
          <w:szCs w:val="18"/>
        </w:rPr>
        <w:footnoteRef/>
      </w:r>
      <w:r>
        <w:rPr>
          <w:rFonts w:ascii="Cambria" w:hAnsi="Cambria"/>
          <w:sz w:val="18"/>
          <w:szCs w:val="18"/>
        </w:rPr>
        <w:t xml:space="preserve"> Источник информации: «Оценка стоимости недвижимости» С.В. </w:t>
      </w:r>
      <w:proofErr w:type="spellStart"/>
      <w:r>
        <w:rPr>
          <w:rFonts w:ascii="Cambria" w:hAnsi="Cambria"/>
          <w:sz w:val="18"/>
          <w:szCs w:val="18"/>
        </w:rPr>
        <w:t>Грибовский</w:t>
      </w:r>
      <w:proofErr w:type="spellEnd"/>
      <w:r>
        <w:rPr>
          <w:rFonts w:ascii="Cambria" w:hAnsi="Cambria"/>
          <w:sz w:val="18"/>
          <w:szCs w:val="18"/>
        </w:rPr>
        <w:t>, 2009 год, стр. 243 и 183</w:t>
      </w:r>
    </w:p>
  </w:footnote>
  <w:footnote w:id="53">
    <w:p w:rsidR="00192166" w:rsidRPr="00C84705" w:rsidRDefault="00192166" w:rsidP="006A199E">
      <w:pPr>
        <w:pStyle w:val="afe"/>
        <w:spacing w:before="80" w:after="80"/>
        <w:rPr>
          <w:rFonts w:ascii="Cambria" w:hAnsi="Cambria"/>
          <w:sz w:val="16"/>
          <w:szCs w:val="16"/>
        </w:rPr>
      </w:pPr>
      <w:r w:rsidRPr="00C84705">
        <w:rPr>
          <w:rStyle w:val="aff0"/>
          <w:rFonts w:ascii="Cambria" w:hAnsi="Cambria"/>
          <w:sz w:val="16"/>
          <w:szCs w:val="16"/>
        </w:rPr>
        <w:footnoteRef/>
      </w:r>
      <w:r w:rsidRPr="00C84705">
        <w:rPr>
          <w:rFonts w:ascii="Cambria" w:hAnsi="Cambria"/>
          <w:sz w:val="16"/>
          <w:szCs w:val="16"/>
        </w:rPr>
        <w:t xml:space="preserve"> Копии соответствующих распечаток в приложении № </w:t>
      </w:r>
      <w:r w:rsidR="00FB2EBF">
        <w:rPr>
          <w:rFonts w:ascii="Cambria" w:hAnsi="Cambria"/>
          <w:sz w:val="16"/>
          <w:szCs w:val="16"/>
        </w:rPr>
        <w:t>4</w:t>
      </w:r>
      <w:r w:rsidRPr="00C84705">
        <w:rPr>
          <w:rFonts w:ascii="Cambria" w:hAnsi="Cambria"/>
          <w:sz w:val="16"/>
          <w:szCs w:val="16"/>
        </w:rPr>
        <w:t>.</w:t>
      </w:r>
    </w:p>
  </w:footnote>
  <w:footnote w:id="54">
    <w:p w:rsidR="00510FEB" w:rsidRPr="00470126" w:rsidRDefault="00510FEB" w:rsidP="00510FEB">
      <w:pPr>
        <w:pStyle w:val="afe"/>
        <w:spacing w:before="80" w:after="80"/>
        <w:rPr>
          <w:rFonts w:asciiTheme="majorHAnsi" w:hAnsiTheme="majorHAnsi"/>
          <w:sz w:val="16"/>
          <w:szCs w:val="16"/>
        </w:rPr>
      </w:pPr>
      <w:r w:rsidRPr="00470126">
        <w:rPr>
          <w:rStyle w:val="aff0"/>
          <w:rFonts w:asciiTheme="majorHAnsi" w:hAnsiTheme="majorHAnsi"/>
          <w:sz w:val="16"/>
          <w:szCs w:val="16"/>
        </w:rPr>
        <w:footnoteRef/>
      </w:r>
      <w:r w:rsidRPr="00470126">
        <w:rPr>
          <w:rFonts w:asciiTheme="majorHAnsi" w:hAnsiTheme="majorHAnsi"/>
          <w:sz w:val="16"/>
          <w:szCs w:val="16"/>
        </w:rPr>
        <w:t xml:space="preserve"> По материалам «Справочник оценщика недвижимости. </w:t>
      </w:r>
      <w:proofErr w:type="gramStart"/>
      <w:r w:rsidRPr="00470126">
        <w:rPr>
          <w:rFonts w:asciiTheme="majorHAnsi" w:hAnsiTheme="majorHAnsi"/>
          <w:sz w:val="16"/>
          <w:szCs w:val="16"/>
        </w:rPr>
        <w:t>Корректирующие коэффициенты для сравнительного подхода» (автор:</w:t>
      </w:r>
      <w:proofErr w:type="gramEnd"/>
      <w:r w:rsidRPr="00470126">
        <w:rPr>
          <w:rFonts w:asciiTheme="majorHAnsi" w:hAnsiTheme="majorHAnsi"/>
          <w:sz w:val="16"/>
          <w:szCs w:val="16"/>
        </w:rPr>
        <w:t xml:space="preserve"> </w:t>
      </w:r>
      <w:proofErr w:type="spellStart"/>
      <w:r w:rsidRPr="00470126">
        <w:rPr>
          <w:rFonts w:asciiTheme="majorHAnsi" w:hAnsiTheme="majorHAnsi"/>
          <w:sz w:val="16"/>
          <w:szCs w:val="16"/>
        </w:rPr>
        <w:t>Лейфер</w:t>
      </w:r>
      <w:proofErr w:type="spellEnd"/>
      <w:r w:rsidRPr="00470126">
        <w:rPr>
          <w:rFonts w:asciiTheme="majorHAnsi" w:hAnsiTheme="majorHAnsi"/>
          <w:sz w:val="16"/>
          <w:szCs w:val="16"/>
        </w:rPr>
        <w:t xml:space="preserve"> Л.А., Приволжский центр финансового консалтинга и оцен</w:t>
      </w:r>
      <w:r>
        <w:rPr>
          <w:rFonts w:asciiTheme="majorHAnsi" w:hAnsiTheme="majorHAnsi"/>
          <w:sz w:val="16"/>
          <w:szCs w:val="16"/>
        </w:rPr>
        <w:t xml:space="preserve">ки, </w:t>
      </w:r>
      <w:proofErr w:type="spellStart"/>
      <w:r>
        <w:rPr>
          <w:rFonts w:asciiTheme="majorHAnsi" w:hAnsiTheme="majorHAnsi"/>
          <w:sz w:val="16"/>
          <w:szCs w:val="16"/>
        </w:rPr>
        <w:t>г</w:t>
      </w:r>
      <w:proofErr w:type="gramStart"/>
      <w:r>
        <w:rPr>
          <w:rFonts w:asciiTheme="majorHAnsi" w:hAnsiTheme="majorHAnsi"/>
          <w:sz w:val="16"/>
          <w:szCs w:val="16"/>
        </w:rPr>
        <w:t>.Н</w:t>
      </w:r>
      <w:proofErr w:type="gramEnd"/>
      <w:r>
        <w:rPr>
          <w:rFonts w:asciiTheme="majorHAnsi" w:hAnsiTheme="majorHAnsi"/>
          <w:sz w:val="16"/>
          <w:szCs w:val="16"/>
        </w:rPr>
        <w:t>ижний</w:t>
      </w:r>
      <w:proofErr w:type="spellEnd"/>
      <w:r>
        <w:rPr>
          <w:rFonts w:asciiTheme="majorHAnsi" w:hAnsiTheme="majorHAnsi"/>
          <w:sz w:val="16"/>
          <w:szCs w:val="16"/>
        </w:rPr>
        <w:t xml:space="preserve"> Новгород, 2014 </w:t>
      </w:r>
      <w:r w:rsidRPr="00B50B21">
        <w:rPr>
          <w:rFonts w:asciiTheme="majorHAnsi" w:hAnsiTheme="majorHAnsi"/>
          <w:sz w:val="16"/>
          <w:szCs w:val="16"/>
        </w:rPr>
        <w:t xml:space="preserve">г. </w:t>
      </w:r>
      <w:r w:rsidRPr="009E33BE">
        <w:rPr>
          <w:rFonts w:asciiTheme="majorHAnsi" w:hAnsiTheme="majorHAnsi"/>
          <w:sz w:val="16"/>
          <w:szCs w:val="16"/>
        </w:rPr>
        <w:t>Копии материалов в Приложении</w:t>
      </w:r>
      <w:r w:rsidRPr="00B50B21">
        <w:rPr>
          <w:rFonts w:asciiTheme="majorHAnsi" w:hAnsiTheme="majorHAnsi"/>
          <w:sz w:val="16"/>
          <w:szCs w:val="16"/>
        </w:rPr>
        <w:t xml:space="preserve"> №</w:t>
      </w:r>
      <w:r>
        <w:rPr>
          <w:rFonts w:asciiTheme="majorHAnsi" w:hAnsiTheme="majorHAnsi"/>
          <w:sz w:val="16"/>
          <w:szCs w:val="16"/>
        </w:rPr>
        <w:t xml:space="preserve"> </w:t>
      </w:r>
      <w:r w:rsidR="00FB2EBF">
        <w:rPr>
          <w:rFonts w:asciiTheme="majorHAnsi" w:hAnsiTheme="majorHAnsi"/>
          <w:sz w:val="16"/>
          <w:szCs w:val="16"/>
        </w:rPr>
        <w:t>5</w:t>
      </w:r>
    </w:p>
  </w:footnote>
  <w:footnote w:id="55">
    <w:p w:rsidR="00510FEB" w:rsidRPr="00470126" w:rsidRDefault="00510FEB" w:rsidP="00510FEB">
      <w:pPr>
        <w:pStyle w:val="afe"/>
        <w:spacing w:before="80" w:after="80"/>
        <w:rPr>
          <w:rFonts w:asciiTheme="majorHAnsi" w:hAnsiTheme="majorHAnsi"/>
          <w:sz w:val="16"/>
          <w:szCs w:val="16"/>
        </w:rPr>
      </w:pPr>
      <w:r w:rsidRPr="00470126">
        <w:rPr>
          <w:rStyle w:val="aff0"/>
          <w:rFonts w:asciiTheme="majorHAnsi" w:hAnsiTheme="majorHAnsi"/>
          <w:sz w:val="16"/>
          <w:szCs w:val="16"/>
        </w:rPr>
        <w:footnoteRef/>
      </w:r>
      <w:r w:rsidRPr="00470126">
        <w:rPr>
          <w:rFonts w:asciiTheme="majorHAnsi" w:hAnsiTheme="majorHAnsi"/>
          <w:sz w:val="16"/>
          <w:szCs w:val="16"/>
        </w:rPr>
        <w:t xml:space="preserve"> По материалам «Справочник оценщика недвижимости. </w:t>
      </w:r>
      <w:proofErr w:type="gramStart"/>
      <w:r w:rsidRPr="00470126">
        <w:rPr>
          <w:rFonts w:asciiTheme="majorHAnsi" w:hAnsiTheme="majorHAnsi"/>
          <w:sz w:val="16"/>
          <w:szCs w:val="16"/>
        </w:rPr>
        <w:t>Корректирующие коэффициенты для сравнительного подхода» (автор:</w:t>
      </w:r>
      <w:proofErr w:type="gramEnd"/>
      <w:r w:rsidRPr="00470126">
        <w:rPr>
          <w:rFonts w:asciiTheme="majorHAnsi" w:hAnsiTheme="majorHAnsi"/>
          <w:sz w:val="16"/>
          <w:szCs w:val="16"/>
        </w:rPr>
        <w:t xml:space="preserve"> </w:t>
      </w:r>
      <w:proofErr w:type="spellStart"/>
      <w:r w:rsidRPr="00470126">
        <w:rPr>
          <w:rFonts w:asciiTheme="majorHAnsi" w:hAnsiTheme="majorHAnsi"/>
          <w:sz w:val="16"/>
          <w:szCs w:val="16"/>
        </w:rPr>
        <w:t>Лейфер</w:t>
      </w:r>
      <w:proofErr w:type="spellEnd"/>
      <w:r w:rsidRPr="00470126">
        <w:rPr>
          <w:rFonts w:asciiTheme="majorHAnsi" w:hAnsiTheme="majorHAnsi"/>
          <w:sz w:val="16"/>
          <w:szCs w:val="16"/>
        </w:rPr>
        <w:t xml:space="preserve"> Л.А., Приволжский центр финансового консалтинга и оценки, </w:t>
      </w:r>
      <w:proofErr w:type="spellStart"/>
      <w:r w:rsidRPr="00470126">
        <w:rPr>
          <w:rFonts w:asciiTheme="majorHAnsi" w:hAnsiTheme="majorHAnsi"/>
          <w:sz w:val="16"/>
          <w:szCs w:val="16"/>
        </w:rPr>
        <w:t>г</w:t>
      </w:r>
      <w:proofErr w:type="gramStart"/>
      <w:r w:rsidRPr="00470126">
        <w:rPr>
          <w:rFonts w:asciiTheme="majorHAnsi" w:hAnsiTheme="majorHAnsi"/>
          <w:sz w:val="16"/>
          <w:szCs w:val="16"/>
        </w:rPr>
        <w:t>.Н</w:t>
      </w:r>
      <w:proofErr w:type="gramEnd"/>
      <w:r w:rsidRPr="00470126">
        <w:rPr>
          <w:rFonts w:asciiTheme="majorHAnsi" w:hAnsiTheme="majorHAnsi"/>
          <w:sz w:val="16"/>
          <w:szCs w:val="16"/>
        </w:rPr>
        <w:t>ижний</w:t>
      </w:r>
      <w:proofErr w:type="spellEnd"/>
      <w:r w:rsidRPr="00470126">
        <w:rPr>
          <w:rFonts w:asciiTheme="majorHAnsi" w:hAnsiTheme="majorHAnsi"/>
          <w:sz w:val="16"/>
          <w:szCs w:val="16"/>
        </w:rPr>
        <w:t xml:space="preserve"> Новгород, 2014 </w:t>
      </w:r>
      <w:r>
        <w:rPr>
          <w:rFonts w:asciiTheme="majorHAnsi" w:hAnsiTheme="majorHAnsi"/>
          <w:sz w:val="16"/>
          <w:szCs w:val="16"/>
        </w:rPr>
        <w:t>г.</w:t>
      </w:r>
    </w:p>
  </w:footnote>
  <w:footnote w:id="56">
    <w:p w:rsidR="00510FEB" w:rsidRPr="00484047" w:rsidRDefault="00510FEB" w:rsidP="00510FEB">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По материалам «Справочник оценщика недвижимости. </w:t>
      </w:r>
      <w:proofErr w:type="gramStart"/>
      <w:r w:rsidRPr="00484047">
        <w:rPr>
          <w:rFonts w:asciiTheme="majorHAnsi" w:hAnsiTheme="majorHAnsi"/>
          <w:sz w:val="16"/>
          <w:szCs w:val="16"/>
        </w:rPr>
        <w:t>Корректирующие коэффициенты для сравнительного подхода» (авторы:</w:t>
      </w:r>
      <w:proofErr w:type="gramEnd"/>
      <w:r w:rsidRPr="00484047">
        <w:rPr>
          <w:rFonts w:asciiTheme="majorHAnsi" w:hAnsiTheme="majorHAnsi"/>
          <w:sz w:val="16"/>
          <w:szCs w:val="16"/>
        </w:rPr>
        <w:t xml:space="preserve"> </w:t>
      </w:r>
      <w:proofErr w:type="spellStart"/>
      <w:r w:rsidRPr="00484047">
        <w:rPr>
          <w:rFonts w:asciiTheme="majorHAnsi" w:hAnsiTheme="majorHAnsi"/>
          <w:sz w:val="16"/>
          <w:szCs w:val="16"/>
        </w:rPr>
        <w:t>Лейфер</w:t>
      </w:r>
      <w:proofErr w:type="spellEnd"/>
      <w:r w:rsidRPr="00484047">
        <w:rPr>
          <w:rFonts w:asciiTheme="majorHAnsi" w:hAnsiTheme="majorHAnsi"/>
          <w:sz w:val="16"/>
          <w:szCs w:val="16"/>
        </w:rPr>
        <w:t xml:space="preserve"> Л.А., Приволжский центр финансового консалтинга и оцен</w:t>
      </w:r>
      <w:r>
        <w:rPr>
          <w:rFonts w:asciiTheme="majorHAnsi" w:hAnsiTheme="majorHAnsi"/>
          <w:sz w:val="16"/>
          <w:szCs w:val="16"/>
        </w:rPr>
        <w:t xml:space="preserve">ки, </w:t>
      </w:r>
      <w:proofErr w:type="spellStart"/>
      <w:r>
        <w:rPr>
          <w:rFonts w:asciiTheme="majorHAnsi" w:hAnsiTheme="majorHAnsi"/>
          <w:sz w:val="16"/>
          <w:szCs w:val="16"/>
        </w:rPr>
        <w:t>г</w:t>
      </w:r>
      <w:proofErr w:type="gramStart"/>
      <w:r>
        <w:rPr>
          <w:rFonts w:asciiTheme="majorHAnsi" w:hAnsiTheme="majorHAnsi"/>
          <w:sz w:val="16"/>
          <w:szCs w:val="16"/>
        </w:rPr>
        <w:t>.Н</w:t>
      </w:r>
      <w:proofErr w:type="gramEnd"/>
      <w:r>
        <w:rPr>
          <w:rFonts w:asciiTheme="majorHAnsi" w:hAnsiTheme="majorHAnsi"/>
          <w:sz w:val="16"/>
          <w:szCs w:val="16"/>
        </w:rPr>
        <w:t>ижний</w:t>
      </w:r>
      <w:proofErr w:type="spellEnd"/>
      <w:r>
        <w:rPr>
          <w:rFonts w:asciiTheme="majorHAnsi" w:hAnsiTheme="majorHAnsi"/>
          <w:sz w:val="16"/>
          <w:szCs w:val="16"/>
        </w:rPr>
        <w:t xml:space="preserve"> Новгород, 2012 г.</w:t>
      </w:r>
    </w:p>
  </w:footnote>
  <w:footnote w:id="57">
    <w:p w:rsidR="00510FEB" w:rsidRPr="00B50B21" w:rsidRDefault="00510FEB" w:rsidP="00510FEB">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ФСО № 1,2,3 не устанавливает значения максимальной корректировки, при которой объект аналог не соответствует объекту оценки по </w:t>
      </w:r>
      <w:r w:rsidRPr="00B50B21">
        <w:rPr>
          <w:rFonts w:asciiTheme="majorHAnsi" w:hAnsiTheme="majorHAnsi"/>
          <w:sz w:val="16"/>
          <w:szCs w:val="16"/>
        </w:rPr>
        <w:t>своим экономическим, материальным, техническим и другим характеристикам.</w:t>
      </w:r>
    </w:p>
    <w:p w:rsidR="00510FEB" w:rsidRPr="00B50B21" w:rsidRDefault="00510FEB" w:rsidP="00510FEB">
      <w:pPr>
        <w:pStyle w:val="afe"/>
        <w:spacing w:before="80" w:after="80"/>
        <w:rPr>
          <w:rFonts w:asciiTheme="majorHAnsi" w:hAnsiTheme="majorHAnsi"/>
          <w:sz w:val="16"/>
          <w:szCs w:val="16"/>
        </w:rPr>
      </w:pPr>
      <w:r w:rsidRPr="00B50B21">
        <w:rPr>
          <w:rFonts w:asciiTheme="majorHAnsi" w:hAnsiTheme="majorHAnsi"/>
          <w:sz w:val="16"/>
          <w:szCs w:val="16"/>
        </w:rPr>
        <w:t xml:space="preserve">Пункт 22 </w:t>
      </w:r>
      <w:proofErr w:type="spellStart"/>
      <w:proofErr w:type="gramStart"/>
      <w:r w:rsidRPr="00B50B21">
        <w:rPr>
          <w:rFonts w:asciiTheme="majorHAnsi" w:hAnsiTheme="majorHAnsi"/>
          <w:sz w:val="16"/>
          <w:szCs w:val="16"/>
        </w:rPr>
        <w:t>разд</w:t>
      </w:r>
      <w:proofErr w:type="spellEnd"/>
      <w:proofErr w:type="gramEnd"/>
      <w:r w:rsidRPr="00B50B21">
        <w:rPr>
          <w:rFonts w:asciiTheme="majorHAnsi" w:hAnsiTheme="majorHAnsi"/>
          <w:sz w:val="16"/>
          <w:szCs w:val="16"/>
        </w:rPr>
        <w:t xml:space="preserve"> 4 ФСО № 1: «</w:t>
      </w:r>
      <w:proofErr w:type="gramStart"/>
      <w:r w:rsidRPr="00B50B21">
        <w:rPr>
          <w:rFonts w:asciiTheme="majorHAnsi" w:hAnsiTheme="majorHAnsi"/>
          <w:sz w:val="16"/>
          <w:szCs w:val="16"/>
        </w:rPr>
        <w:t>Применяя сравнительный подход оценщик должен:…скорректировать</w:t>
      </w:r>
      <w:proofErr w:type="gramEnd"/>
      <w:r w:rsidRPr="00B50B21">
        <w:rPr>
          <w:rFonts w:asciiTheme="majorHAnsi" w:hAnsiTheme="majorHAnsi"/>
          <w:sz w:val="16"/>
          <w:szCs w:val="16"/>
        </w:rPr>
        <w:t xml:space="preserve"> значения единиц сравнения для объектов аналогов по каждому элементу сравнения в зависимости от соотношения характеристик объекта оценки и объекта аналога по данному элементу сравнения».</w:t>
      </w:r>
    </w:p>
  </w:footnote>
  <w:footnote w:id="58">
    <w:p w:rsidR="00192166" w:rsidRPr="00662FF2" w:rsidRDefault="00192166" w:rsidP="006A199E">
      <w:pPr>
        <w:spacing w:before="120" w:after="120"/>
        <w:jc w:val="both"/>
        <w:rPr>
          <w:rFonts w:asciiTheme="majorHAnsi" w:hAnsiTheme="majorHAnsi"/>
          <w:sz w:val="16"/>
          <w:szCs w:val="16"/>
        </w:rPr>
      </w:pPr>
      <w:r w:rsidRPr="001A1B2D">
        <w:rPr>
          <w:rStyle w:val="aff0"/>
          <w:rFonts w:asciiTheme="majorHAnsi" w:hAnsiTheme="majorHAnsi"/>
          <w:sz w:val="18"/>
          <w:szCs w:val="18"/>
        </w:rPr>
        <w:footnoteRef/>
      </w:r>
      <w:r w:rsidRPr="001A1B2D">
        <w:rPr>
          <w:rFonts w:asciiTheme="majorHAnsi" w:hAnsiTheme="majorHAnsi"/>
          <w:sz w:val="18"/>
          <w:szCs w:val="18"/>
        </w:rPr>
        <w:t xml:space="preserve"> </w:t>
      </w:r>
      <w:r w:rsidRPr="001A1B2D">
        <w:rPr>
          <w:rFonts w:asciiTheme="majorHAnsi" w:hAnsiTheme="majorHAnsi"/>
          <w:sz w:val="16"/>
          <w:szCs w:val="16"/>
        </w:rPr>
        <w:t>ВСН 5</w:t>
      </w:r>
      <w:bookmarkStart w:id="310" w:name="OCRUncertain003"/>
      <w:r w:rsidRPr="001A1B2D">
        <w:rPr>
          <w:rFonts w:asciiTheme="majorHAnsi" w:hAnsiTheme="majorHAnsi"/>
          <w:sz w:val="16"/>
          <w:szCs w:val="16"/>
        </w:rPr>
        <w:t>8-8</w:t>
      </w:r>
      <w:bookmarkEnd w:id="310"/>
      <w:r w:rsidRPr="001A1B2D">
        <w:rPr>
          <w:rFonts w:asciiTheme="majorHAnsi" w:hAnsiTheme="majorHAnsi"/>
          <w:sz w:val="16"/>
          <w:szCs w:val="16"/>
        </w:rPr>
        <w:t xml:space="preserve">8(р) Ведомственные строительные нормы «Положение об </w:t>
      </w:r>
      <w:r w:rsidRPr="00662FF2">
        <w:rPr>
          <w:rFonts w:asciiTheme="majorHAnsi" w:hAnsiTheme="majorHAnsi"/>
          <w:sz w:val="16"/>
          <w:szCs w:val="16"/>
        </w:rPr>
        <w:t>организации и проведении реконструкции, ремонта и технического обслуживания зданий объектов коммунального и социально</w:t>
      </w:r>
      <w:bookmarkStart w:id="311" w:name="OCRUncertain005"/>
      <w:r w:rsidRPr="00662FF2">
        <w:rPr>
          <w:rFonts w:asciiTheme="majorHAnsi" w:hAnsiTheme="majorHAnsi"/>
          <w:sz w:val="16"/>
          <w:szCs w:val="16"/>
        </w:rPr>
        <w:t>-</w:t>
      </w:r>
      <w:bookmarkEnd w:id="311"/>
      <w:r w:rsidRPr="00662FF2">
        <w:rPr>
          <w:rFonts w:asciiTheme="majorHAnsi" w:hAnsiTheme="majorHAnsi"/>
          <w:sz w:val="16"/>
          <w:szCs w:val="16"/>
        </w:rPr>
        <w:t>культурного»</w:t>
      </w:r>
      <w:r w:rsidRPr="00662FF2">
        <w:rPr>
          <w:rFonts w:asciiTheme="majorHAnsi" w:hAnsiTheme="majorHAnsi"/>
          <w:sz w:val="18"/>
          <w:szCs w:val="18"/>
          <w:vertAlign w:val="superscript"/>
        </w:rPr>
        <w:t xml:space="preserve"> </w:t>
      </w:r>
      <w:r w:rsidRPr="00662FF2">
        <w:rPr>
          <w:rFonts w:asciiTheme="majorHAnsi" w:hAnsiTheme="majorHAnsi"/>
          <w:sz w:val="16"/>
          <w:szCs w:val="16"/>
        </w:rPr>
        <w:t xml:space="preserve">Источник: </w:t>
      </w:r>
      <w:hyperlink r:id="rId7" w:history="1">
        <w:r w:rsidRPr="00662FF2">
          <w:rPr>
            <w:rStyle w:val="aa"/>
            <w:rFonts w:asciiTheme="majorHAnsi" w:hAnsiTheme="majorHAnsi"/>
            <w:color w:val="auto"/>
            <w:sz w:val="16"/>
            <w:szCs w:val="16"/>
          </w:rPr>
          <w:t>http://files.stroyinf.ru/Data1/1/1877/</w:t>
        </w:r>
      </w:hyperlink>
    </w:p>
  </w:footnote>
  <w:footnote w:id="59">
    <w:p w:rsidR="00510FEB" w:rsidRPr="002801D7" w:rsidRDefault="00510FEB" w:rsidP="00510FEB">
      <w:pPr>
        <w:pStyle w:val="afe"/>
        <w:spacing w:before="80" w:after="80"/>
        <w:rPr>
          <w:rFonts w:asciiTheme="majorHAnsi" w:hAnsiTheme="majorHAnsi"/>
          <w:sz w:val="16"/>
          <w:szCs w:val="16"/>
        </w:rPr>
      </w:pPr>
      <w:r w:rsidRPr="00B102E3">
        <w:rPr>
          <w:rStyle w:val="aff0"/>
          <w:rFonts w:asciiTheme="majorHAnsi" w:hAnsiTheme="majorHAnsi"/>
          <w:sz w:val="16"/>
          <w:szCs w:val="16"/>
        </w:rPr>
        <w:footnoteRef/>
      </w:r>
      <w:r w:rsidRPr="00B102E3">
        <w:rPr>
          <w:rFonts w:asciiTheme="majorHAnsi" w:hAnsiTheme="majorHAnsi"/>
          <w:sz w:val="16"/>
          <w:szCs w:val="16"/>
        </w:rPr>
        <w:t xml:space="preserve"> </w:t>
      </w:r>
      <w:r w:rsidRPr="00512D39">
        <w:rPr>
          <w:rFonts w:asciiTheme="majorHAnsi" w:hAnsiTheme="majorHAnsi"/>
          <w:sz w:val="16"/>
          <w:szCs w:val="16"/>
        </w:rPr>
        <w:t xml:space="preserve">По материалам «Справочник оценщика недвижимости. </w:t>
      </w:r>
      <w:r>
        <w:rPr>
          <w:rFonts w:asciiTheme="majorHAnsi" w:hAnsiTheme="majorHAnsi"/>
          <w:sz w:val="16"/>
          <w:szCs w:val="16"/>
        </w:rPr>
        <w:t xml:space="preserve">Том 2. </w:t>
      </w:r>
      <w:proofErr w:type="gramStart"/>
      <w:r>
        <w:rPr>
          <w:rFonts w:asciiTheme="majorHAnsi" w:hAnsiTheme="majorHAnsi"/>
          <w:sz w:val="16"/>
          <w:szCs w:val="16"/>
        </w:rPr>
        <w:t>Текущие и прогнозные характеристики рынка для доходного подхода</w:t>
      </w:r>
      <w:r w:rsidRPr="00512D39">
        <w:rPr>
          <w:rFonts w:asciiTheme="majorHAnsi" w:hAnsiTheme="majorHAnsi"/>
          <w:sz w:val="16"/>
          <w:szCs w:val="16"/>
        </w:rPr>
        <w:t>»» (авторы:</w:t>
      </w:r>
      <w:proofErr w:type="gramEnd"/>
      <w:r w:rsidRPr="00512D39">
        <w:rPr>
          <w:rFonts w:asciiTheme="majorHAnsi" w:hAnsiTheme="majorHAnsi"/>
          <w:sz w:val="16"/>
          <w:szCs w:val="16"/>
        </w:rPr>
        <w:t xml:space="preserve"> </w:t>
      </w:r>
      <w:proofErr w:type="spellStart"/>
      <w:r w:rsidRPr="00512D39">
        <w:rPr>
          <w:rFonts w:asciiTheme="majorHAnsi" w:hAnsiTheme="majorHAnsi"/>
          <w:sz w:val="16"/>
          <w:szCs w:val="16"/>
        </w:rPr>
        <w:t>Лейфер</w:t>
      </w:r>
      <w:proofErr w:type="spellEnd"/>
      <w:r w:rsidRPr="00512D39">
        <w:rPr>
          <w:rFonts w:asciiTheme="majorHAnsi" w:hAnsiTheme="majorHAnsi"/>
          <w:sz w:val="16"/>
          <w:szCs w:val="16"/>
        </w:rPr>
        <w:t xml:space="preserve"> Л.А., Приволжский центр финансового консалтинга и оценки, </w:t>
      </w:r>
      <w:proofErr w:type="spellStart"/>
      <w:r w:rsidRPr="00512D39">
        <w:rPr>
          <w:rFonts w:asciiTheme="majorHAnsi" w:hAnsiTheme="majorHAnsi"/>
          <w:sz w:val="16"/>
          <w:szCs w:val="16"/>
        </w:rPr>
        <w:t>г</w:t>
      </w:r>
      <w:proofErr w:type="gramStart"/>
      <w:r w:rsidRPr="00512D39">
        <w:rPr>
          <w:rFonts w:asciiTheme="majorHAnsi" w:hAnsiTheme="majorHAnsi"/>
          <w:sz w:val="16"/>
          <w:szCs w:val="16"/>
        </w:rPr>
        <w:t>.Н</w:t>
      </w:r>
      <w:proofErr w:type="gramEnd"/>
      <w:r w:rsidRPr="00512D39">
        <w:rPr>
          <w:rFonts w:asciiTheme="majorHAnsi" w:hAnsiTheme="majorHAnsi"/>
          <w:sz w:val="16"/>
          <w:szCs w:val="16"/>
        </w:rPr>
        <w:t>ижний</w:t>
      </w:r>
      <w:proofErr w:type="spellEnd"/>
      <w:r w:rsidRPr="00512D39">
        <w:rPr>
          <w:rFonts w:asciiTheme="majorHAnsi" w:hAnsiTheme="majorHAnsi"/>
          <w:sz w:val="16"/>
          <w:szCs w:val="16"/>
        </w:rPr>
        <w:t xml:space="preserve"> Новгород, 201</w:t>
      </w:r>
      <w:r>
        <w:rPr>
          <w:rFonts w:asciiTheme="majorHAnsi" w:hAnsiTheme="majorHAnsi"/>
          <w:sz w:val="16"/>
          <w:szCs w:val="16"/>
        </w:rPr>
        <w:t>4</w:t>
      </w:r>
      <w:r w:rsidRPr="00512D39">
        <w:rPr>
          <w:rFonts w:asciiTheme="majorHAnsi" w:hAnsiTheme="majorHAnsi"/>
          <w:sz w:val="16"/>
          <w:szCs w:val="16"/>
        </w:rPr>
        <w:t xml:space="preserve"> г. </w:t>
      </w:r>
    </w:p>
  </w:footnote>
  <w:footnote w:id="60">
    <w:p w:rsidR="00192166" w:rsidRPr="002801D7" w:rsidRDefault="00192166" w:rsidP="006A199E">
      <w:pPr>
        <w:pStyle w:val="afe"/>
        <w:spacing w:before="80" w:after="80"/>
        <w:rPr>
          <w:rFonts w:asciiTheme="majorHAnsi" w:hAnsiTheme="majorHAnsi"/>
          <w:sz w:val="16"/>
          <w:szCs w:val="16"/>
        </w:rPr>
      </w:pPr>
      <w:r w:rsidRPr="00B102E3">
        <w:rPr>
          <w:rStyle w:val="aff0"/>
          <w:rFonts w:asciiTheme="majorHAnsi" w:hAnsiTheme="majorHAnsi"/>
          <w:sz w:val="16"/>
          <w:szCs w:val="16"/>
        </w:rPr>
        <w:footnoteRef/>
      </w:r>
      <w:r w:rsidRPr="00B102E3">
        <w:rPr>
          <w:rFonts w:asciiTheme="majorHAnsi" w:hAnsiTheme="majorHAnsi"/>
          <w:sz w:val="16"/>
          <w:szCs w:val="16"/>
        </w:rPr>
        <w:t xml:space="preserve"> </w:t>
      </w:r>
      <w:r w:rsidRPr="00512D39">
        <w:rPr>
          <w:rFonts w:asciiTheme="majorHAnsi" w:hAnsiTheme="majorHAnsi"/>
          <w:sz w:val="16"/>
          <w:szCs w:val="16"/>
        </w:rPr>
        <w:t xml:space="preserve">По материалам «Справочник оценщика недвижимости. </w:t>
      </w:r>
      <w:r>
        <w:rPr>
          <w:rFonts w:asciiTheme="majorHAnsi" w:hAnsiTheme="majorHAnsi"/>
          <w:sz w:val="16"/>
          <w:szCs w:val="16"/>
        </w:rPr>
        <w:t xml:space="preserve">Том 2. </w:t>
      </w:r>
      <w:proofErr w:type="gramStart"/>
      <w:r>
        <w:rPr>
          <w:rFonts w:asciiTheme="majorHAnsi" w:hAnsiTheme="majorHAnsi"/>
          <w:sz w:val="16"/>
          <w:szCs w:val="16"/>
        </w:rPr>
        <w:t xml:space="preserve">Текущие и прогнозные характеристики рынка для доходного подхода </w:t>
      </w:r>
      <w:r w:rsidRPr="00512D39">
        <w:rPr>
          <w:rFonts w:asciiTheme="majorHAnsi" w:hAnsiTheme="majorHAnsi"/>
          <w:sz w:val="16"/>
          <w:szCs w:val="16"/>
        </w:rPr>
        <w:t>»» (авторы:</w:t>
      </w:r>
      <w:proofErr w:type="gramEnd"/>
      <w:r w:rsidRPr="00512D39">
        <w:rPr>
          <w:rFonts w:asciiTheme="majorHAnsi" w:hAnsiTheme="majorHAnsi"/>
          <w:sz w:val="16"/>
          <w:szCs w:val="16"/>
        </w:rPr>
        <w:t xml:space="preserve"> </w:t>
      </w:r>
      <w:proofErr w:type="spellStart"/>
      <w:r w:rsidRPr="00512D39">
        <w:rPr>
          <w:rFonts w:asciiTheme="majorHAnsi" w:hAnsiTheme="majorHAnsi"/>
          <w:sz w:val="16"/>
          <w:szCs w:val="16"/>
        </w:rPr>
        <w:t>Лейфер</w:t>
      </w:r>
      <w:proofErr w:type="spellEnd"/>
      <w:r w:rsidRPr="00512D39">
        <w:rPr>
          <w:rFonts w:asciiTheme="majorHAnsi" w:hAnsiTheme="majorHAnsi"/>
          <w:sz w:val="16"/>
          <w:szCs w:val="16"/>
        </w:rPr>
        <w:t xml:space="preserve"> Л.А., Приволжский центр финансового консалтинга и</w:t>
      </w:r>
      <w:r>
        <w:rPr>
          <w:rFonts w:asciiTheme="majorHAnsi" w:hAnsiTheme="majorHAnsi"/>
          <w:sz w:val="16"/>
          <w:szCs w:val="16"/>
        </w:rPr>
        <w:t xml:space="preserve"> оценки, </w:t>
      </w:r>
      <w:proofErr w:type="spellStart"/>
      <w:r>
        <w:rPr>
          <w:rFonts w:asciiTheme="majorHAnsi" w:hAnsiTheme="majorHAnsi"/>
          <w:sz w:val="16"/>
          <w:szCs w:val="16"/>
        </w:rPr>
        <w:t>г</w:t>
      </w:r>
      <w:proofErr w:type="gramStart"/>
      <w:r>
        <w:rPr>
          <w:rFonts w:asciiTheme="majorHAnsi" w:hAnsiTheme="majorHAnsi"/>
          <w:sz w:val="16"/>
          <w:szCs w:val="16"/>
        </w:rPr>
        <w:t>.Н</w:t>
      </w:r>
      <w:proofErr w:type="gramEnd"/>
      <w:r>
        <w:rPr>
          <w:rFonts w:asciiTheme="majorHAnsi" w:hAnsiTheme="majorHAnsi"/>
          <w:sz w:val="16"/>
          <w:szCs w:val="16"/>
        </w:rPr>
        <w:t>ижний</w:t>
      </w:r>
      <w:proofErr w:type="spellEnd"/>
      <w:r>
        <w:rPr>
          <w:rFonts w:asciiTheme="majorHAnsi" w:hAnsiTheme="majorHAnsi"/>
          <w:sz w:val="16"/>
          <w:szCs w:val="16"/>
        </w:rPr>
        <w:t xml:space="preserve"> Новгород, 2014</w:t>
      </w:r>
      <w:r w:rsidRPr="00512D39">
        <w:rPr>
          <w:rFonts w:asciiTheme="majorHAnsi" w:hAnsiTheme="majorHAnsi"/>
          <w:sz w:val="16"/>
          <w:szCs w:val="16"/>
        </w:rPr>
        <w:t xml:space="preserve"> г. Копии материалов в Приложении № </w:t>
      </w:r>
      <w:r w:rsidR="00FB2EBF">
        <w:rPr>
          <w:rFonts w:asciiTheme="majorHAnsi" w:hAnsiTheme="majorHAnsi"/>
          <w:sz w:val="16"/>
          <w:szCs w:val="16"/>
        </w:rPr>
        <w:t>5</w:t>
      </w:r>
    </w:p>
  </w:footnote>
  <w:footnote w:id="61">
    <w:p w:rsidR="00510FEB" w:rsidRPr="00C84705" w:rsidRDefault="00510FEB" w:rsidP="00510FEB">
      <w:pPr>
        <w:pStyle w:val="afe"/>
        <w:rPr>
          <w:rFonts w:asciiTheme="majorHAnsi" w:hAnsiTheme="majorHAnsi"/>
          <w:sz w:val="16"/>
          <w:szCs w:val="16"/>
        </w:rPr>
      </w:pPr>
      <w:r w:rsidRPr="00C84705">
        <w:rPr>
          <w:rStyle w:val="aff0"/>
          <w:rFonts w:asciiTheme="majorHAnsi" w:hAnsiTheme="majorHAnsi"/>
          <w:sz w:val="16"/>
          <w:szCs w:val="16"/>
        </w:rPr>
        <w:footnoteRef/>
      </w:r>
      <w:r w:rsidRPr="00C84705">
        <w:rPr>
          <w:rFonts w:asciiTheme="majorHAnsi" w:hAnsiTheme="majorHAnsi"/>
          <w:sz w:val="16"/>
          <w:szCs w:val="16"/>
        </w:rPr>
        <w:t xml:space="preserve"> Распечатки, позволяющие судить об авторстве используемой информации и дате её </w:t>
      </w:r>
      <w:r w:rsidRPr="00170F89">
        <w:rPr>
          <w:rFonts w:asciiTheme="majorHAnsi" w:hAnsiTheme="majorHAnsi"/>
          <w:sz w:val="16"/>
          <w:szCs w:val="16"/>
        </w:rPr>
        <w:t xml:space="preserve">подготовки, Приложение № </w:t>
      </w:r>
      <w:r w:rsidR="00FB2EBF">
        <w:rPr>
          <w:rFonts w:asciiTheme="majorHAnsi" w:hAnsiTheme="majorHAnsi"/>
          <w:sz w:val="16"/>
          <w:szCs w:val="16"/>
        </w:rPr>
        <w:t>4</w:t>
      </w:r>
      <w:r w:rsidRPr="00170F89">
        <w:rPr>
          <w:rFonts w:asciiTheme="majorHAnsi" w:hAnsiTheme="majorHAnsi"/>
          <w:sz w:val="16"/>
          <w:szCs w:val="16"/>
        </w:rPr>
        <w:t>.</w:t>
      </w:r>
    </w:p>
  </w:footnote>
  <w:footnote w:id="62">
    <w:p w:rsidR="00510FEB" w:rsidRPr="00C84705" w:rsidRDefault="00510FEB" w:rsidP="00510FEB">
      <w:pPr>
        <w:pStyle w:val="afe"/>
        <w:rPr>
          <w:rFonts w:asciiTheme="majorHAnsi" w:hAnsiTheme="majorHAnsi"/>
          <w:sz w:val="16"/>
          <w:szCs w:val="16"/>
        </w:rPr>
      </w:pPr>
      <w:r w:rsidRPr="00C84705">
        <w:rPr>
          <w:rStyle w:val="aff0"/>
          <w:rFonts w:asciiTheme="majorHAnsi" w:hAnsiTheme="majorHAnsi"/>
          <w:sz w:val="16"/>
          <w:szCs w:val="16"/>
        </w:rPr>
        <w:footnoteRef/>
      </w:r>
      <w:r w:rsidRPr="00C84705">
        <w:rPr>
          <w:rFonts w:asciiTheme="majorHAnsi" w:hAnsiTheme="majorHAnsi"/>
          <w:sz w:val="16"/>
          <w:szCs w:val="16"/>
        </w:rPr>
        <w:t xml:space="preserve"> Шкала экспертных оценок для определения коэффициента износа, Научно-практический журнал «Московский оценщик» № 5, 2002 г., размещена на Интернет </w:t>
      </w:r>
      <w:proofErr w:type="gramStart"/>
      <w:r w:rsidRPr="00C84705">
        <w:rPr>
          <w:rFonts w:asciiTheme="majorHAnsi" w:hAnsiTheme="majorHAnsi"/>
          <w:sz w:val="16"/>
          <w:szCs w:val="16"/>
        </w:rPr>
        <w:t>сайте</w:t>
      </w:r>
      <w:proofErr w:type="gramEnd"/>
      <w:r w:rsidRPr="00C84705">
        <w:rPr>
          <w:rFonts w:asciiTheme="majorHAnsi" w:hAnsiTheme="majorHAnsi"/>
          <w:sz w:val="16"/>
          <w:szCs w:val="16"/>
        </w:rPr>
        <w:t xml:space="preserve"> </w:t>
      </w:r>
      <w:hyperlink r:id="rId8" w:history="1">
        <w:r w:rsidRPr="00C84705">
          <w:rPr>
            <w:rStyle w:val="aa"/>
            <w:rFonts w:asciiTheme="majorHAnsi" w:hAnsiTheme="majorHAnsi"/>
            <w:sz w:val="16"/>
            <w:szCs w:val="16"/>
          </w:rPr>
          <w:t>http://www.valnet.ru/m7-124.phtml</w:t>
        </w:r>
      </w:hyperlink>
      <w:r w:rsidRPr="00C84705">
        <w:rPr>
          <w:rFonts w:asciiTheme="majorHAnsi" w:hAnsiTheme="majorHAnsi"/>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11"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951"/>
      <w:gridCol w:w="1298"/>
    </w:tblGrid>
    <w:tr w:rsidR="00192166" w:rsidRPr="00265AD2" w:rsidTr="00C206F1">
      <w:trPr>
        <w:trHeight w:val="309"/>
      </w:trPr>
      <w:tc>
        <w:tcPr>
          <w:tcW w:w="9216" w:type="dxa"/>
        </w:tcPr>
        <w:p w:rsidR="00192166" w:rsidRPr="00D97287" w:rsidRDefault="00192166" w:rsidP="00D97287">
          <w:pPr>
            <w:pStyle w:val="a7"/>
            <w:jc w:val="center"/>
            <w:rPr>
              <w:rFonts w:asciiTheme="majorHAnsi" w:hAnsiTheme="majorHAnsi"/>
              <w:sz w:val="18"/>
              <w:szCs w:val="18"/>
            </w:rPr>
          </w:pPr>
          <w:r w:rsidRPr="00D97287">
            <w:rPr>
              <w:rFonts w:asciiTheme="majorHAnsi" w:hAnsiTheme="majorHAnsi"/>
              <w:sz w:val="18"/>
              <w:szCs w:val="18"/>
            </w:rPr>
            <w:t>«Агентство оценки собственности «ЗОЛОТОЕ ПРАВИЛО»</w:t>
          </w:r>
        </w:p>
        <w:p w:rsidR="00192166" w:rsidRPr="00D97287" w:rsidRDefault="00192166" w:rsidP="00D97287">
          <w:pPr>
            <w:pStyle w:val="a7"/>
            <w:jc w:val="center"/>
            <w:rPr>
              <w:rFonts w:asciiTheme="majorHAnsi" w:hAnsiTheme="majorHAnsi"/>
              <w:sz w:val="18"/>
              <w:szCs w:val="18"/>
            </w:rPr>
          </w:pPr>
          <w:r w:rsidRPr="00D97287">
            <w:rPr>
              <w:rFonts w:asciiTheme="majorHAnsi" w:hAnsiTheme="majorHAnsi"/>
              <w:sz w:val="18"/>
              <w:szCs w:val="18"/>
            </w:rPr>
            <w:t>660017, Россия, Красноярский край, г. Красноярск, ул. Бограда, д. 92, офис 207</w:t>
          </w:r>
        </w:p>
        <w:p w:rsidR="00192166" w:rsidRPr="00B74DDF" w:rsidRDefault="00192166" w:rsidP="00E458D8">
          <w:pPr>
            <w:pStyle w:val="a7"/>
            <w:jc w:val="center"/>
            <w:rPr>
              <w:rFonts w:ascii="Cambria" w:hAnsi="Cambria"/>
              <w:sz w:val="36"/>
              <w:szCs w:val="36"/>
            </w:rPr>
          </w:pPr>
          <w:r w:rsidRPr="00D97287">
            <w:rPr>
              <w:rFonts w:asciiTheme="majorHAnsi" w:hAnsiTheme="majorHAnsi"/>
              <w:sz w:val="18"/>
              <w:szCs w:val="18"/>
            </w:rPr>
            <w:t>тел</w:t>
          </w:r>
          <w:r w:rsidRPr="00B74DDF">
            <w:rPr>
              <w:rFonts w:asciiTheme="majorHAnsi" w:hAnsiTheme="majorHAnsi"/>
              <w:sz w:val="18"/>
              <w:szCs w:val="18"/>
            </w:rPr>
            <w:t xml:space="preserve">. (391) 292-18-46, 288-93-73, </w:t>
          </w:r>
          <w:r w:rsidRPr="00D97287">
            <w:rPr>
              <w:rFonts w:asciiTheme="majorHAnsi" w:hAnsiTheme="majorHAnsi"/>
              <w:sz w:val="18"/>
              <w:szCs w:val="18"/>
              <w:lang w:val="en-US"/>
            </w:rPr>
            <w:t>e</w:t>
          </w:r>
          <w:r w:rsidRPr="00B74DDF">
            <w:rPr>
              <w:rFonts w:asciiTheme="majorHAnsi" w:hAnsiTheme="majorHAnsi"/>
              <w:sz w:val="18"/>
              <w:szCs w:val="18"/>
            </w:rPr>
            <w:t>-</w:t>
          </w:r>
          <w:r w:rsidRPr="00D97287">
            <w:rPr>
              <w:rFonts w:asciiTheme="majorHAnsi" w:hAnsiTheme="majorHAnsi"/>
              <w:sz w:val="18"/>
              <w:szCs w:val="18"/>
              <w:lang w:val="en-US"/>
            </w:rPr>
            <w:t>mail</w:t>
          </w:r>
          <w:r w:rsidRPr="00B74DDF">
            <w:rPr>
              <w:rFonts w:asciiTheme="majorHAnsi" w:hAnsiTheme="majorHAnsi"/>
              <w:sz w:val="18"/>
              <w:szCs w:val="18"/>
            </w:rPr>
            <w:t xml:space="preserve">: </w:t>
          </w:r>
          <w:proofErr w:type="spellStart"/>
          <w:r w:rsidRPr="00D97287">
            <w:rPr>
              <w:rFonts w:asciiTheme="majorHAnsi" w:hAnsiTheme="majorHAnsi"/>
              <w:sz w:val="18"/>
              <w:szCs w:val="18"/>
              <w:lang w:val="en-US"/>
            </w:rPr>
            <w:t>ozolotaryov</w:t>
          </w:r>
          <w:proofErr w:type="spellEnd"/>
          <w:r w:rsidRPr="00B74DDF">
            <w:rPr>
              <w:rFonts w:asciiTheme="majorHAnsi" w:hAnsiTheme="majorHAnsi"/>
              <w:sz w:val="18"/>
              <w:szCs w:val="18"/>
            </w:rPr>
            <w:t>@</w:t>
          </w:r>
          <w:proofErr w:type="spellStart"/>
          <w:r w:rsidRPr="00D97287">
            <w:rPr>
              <w:rFonts w:asciiTheme="majorHAnsi" w:hAnsiTheme="majorHAnsi"/>
              <w:sz w:val="18"/>
              <w:szCs w:val="18"/>
              <w:lang w:val="en-US"/>
            </w:rPr>
            <w:t>yandex</w:t>
          </w:r>
          <w:proofErr w:type="spellEnd"/>
          <w:r w:rsidRPr="00B74DDF">
            <w:rPr>
              <w:rFonts w:asciiTheme="majorHAnsi" w:hAnsiTheme="majorHAnsi"/>
              <w:sz w:val="18"/>
              <w:szCs w:val="18"/>
            </w:rPr>
            <w:t>.</w:t>
          </w:r>
          <w:proofErr w:type="spellStart"/>
          <w:r w:rsidRPr="00D97287">
            <w:rPr>
              <w:rFonts w:asciiTheme="majorHAnsi" w:hAnsiTheme="majorHAnsi"/>
              <w:sz w:val="18"/>
              <w:szCs w:val="18"/>
              <w:lang w:val="en-US"/>
            </w:rPr>
            <w:t>ru</w:t>
          </w:r>
          <w:proofErr w:type="spellEnd"/>
        </w:p>
      </w:tc>
      <w:tc>
        <w:tcPr>
          <w:tcW w:w="1312" w:type="dxa"/>
          <w:vAlign w:val="center"/>
        </w:tcPr>
        <w:p w:rsidR="00192166" w:rsidRPr="00207B66" w:rsidRDefault="00192166" w:rsidP="00D97287">
          <w:pPr>
            <w:pStyle w:val="a7"/>
            <w:jc w:val="center"/>
            <w:rPr>
              <w:rFonts w:asciiTheme="majorHAnsi" w:hAnsiTheme="majorHAnsi"/>
              <w:bCs/>
              <w:sz w:val="32"/>
              <w:szCs w:val="32"/>
            </w:rPr>
          </w:pPr>
          <w:r>
            <w:rPr>
              <w:rFonts w:asciiTheme="majorHAnsi" w:hAnsiTheme="majorHAnsi"/>
              <w:bCs/>
              <w:sz w:val="32"/>
              <w:szCs w:val="32"/>
            </w:rPr>
            <w:t>2016</w:t>
          </w:r>
        </w:p>
      </w:tc>
    </w:tr>
  </w:tbl>
  <w:p w:rsidR="00192166" w:rsidRPr="00490A50" w:rsidRDefault="00192166" w:rsidP="00490A50">
    <w:pPr>
      <w:pStyle w:val="a7"/>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2584"/>
    <w:multiLevelType w:val="hybridMultilevel"/>
    <w:tmpl w:val="7D640336"/>
    <w:lvl w:ilvl="0" w:tplc="935E0EAA">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6C7E0D"/>
    <w:multiLevelType w:val="hybridMultilevel"/>
    <w:tmpl w:val="6D8856FA"/>
    <w:lvl w:ilvl="0" w:tplc="F33858D2">
      <w:start w:val="1"/>
      <w:numFmt w:val="bullet"/>
      <w:lvlText w:val=""/>
      <w:lvlJc w:val="left"/>
      <w:pPr>
        <w:ind w:left="1069" w:hanging="360"/>
      </w:pPr>
      <w:rPr>
        <w:rFonts w:ascii="Wingdings" w:hAnsi="Wingdings"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686D69"/>
    <w:multiLevelType w:val="hybridMultilevel"/>
    <w:tmpl w:val="402A1B06"/>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C42559"/>
    <w:multiLevelType w:val="hybridMultilevel"/>
    <w:tmpl w:val="66FE8806"/>
    <w:lvl w:ilvl="0" w:tplc="0419000F">
      <w:start w:val="1"/>
      <w:numFmt w:val="decimal"/>
      <w:lvlText w:val="%1."/>
      <w:lvlJc w:val="left"/>
      <w:pPr>
        <w:ind w:left="1259" w:hanging="360"/>
      </w:pPr>
    </w:lvl>
    <w:lvl w:ilvl="1" w:tplc="04190019">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4">
    <w:nsid w:val="07F50143"/>
    <w:multiLevelType w:val="hybridMultilevel"/>
    <w:tmpl w:val="091CF18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8E6363"/>
    <w:multiLevelType w:val="hybridMultilevel"/>
    <w:tmpl w:val="4D4E28C4"/>
    <w:lvl w:ilvl="0" w:tplc="47E4771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9F773A"/>
    <w:multiLevelType w:val="hybridMultilevel"/>
    <w:tmpl w:val="5FBC097E"/>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B10360"/>
    <w:multiLevelType w:val="multilevel"/>
    <w:tmpl w:val="44886192"/>
    <w:lvl w:ilvl="0">
      <w:start w:val="1"/>
      <w:numFmt w:val="decimal"/>
      <w:lvlText w:val="%1."/>
      <w:lvlJc w:val="left"/>
      <w:pPr>
        <w:ind w:left="1069" w:hanging="360"/>
      </w:pPr>
      <w:rPr>
        <w:rFonts w:hint="default"/>
      </w:rPr>
    </w:lvl>
    <w:lvl w:ilvl="1">
      <w:start w:val="5"/>
      <w:numFmt w:val="decimal"/>
      <w:isLgl/>
      <w:lvlText w:val="%1.%2."/>
      <w:lvlJc w:val="left"/>
      <w:pPr>
        <w:ind w:left="1579" w:hanging="870"/>
      </w:pPr>
      <w:rPr>
        <w:rFonts w:eastAsia="Times New Roman" w:hint="default"/>
        <w:b/>
      </w:rPr>
    </w:lvl>
    <w:lvl w:ilvl="2">
      <w:start w:val="1"/>
      <w:numFmt w:val="decimal"/>
      <w:isLgl/>
      <w:lvlText w:val="%1.%2.%3."/>
      <w:lvlJc w:val="left"/>
      <w:pPr>
        <w:ind w:left="1579" w:hanging="870"/>
      </w:pPr>
      <w:rPr>
        <w:rFonts w:eastAsia="Times New Roman" w:hint="default"/>
        <w:b/>
      </w:rPr>
    </w:lvl>
    <w:lvl w:ilvl="3">
      <w:start w:val="2"/>
      <w:numFmt w:val="decimal"/>
      <w:isLgl/>
      <w:lvlText w:val="%1.%2.%3.%4."/>
      <w:lvlJc w:val="left"/>
      <w:pPr>
        <w:ind w:left="1789" w:hanging="1080"/>
      </w:pPr>
      <w:rPr>
        <w:rFonts w:eastAsia="Times New Roman" w:hint="default"/>
        <w:b/>
      </w:rPr>
    </w:lvl>
    <w:lvl w:ilvl="4">
      <w:start w:val="1"/>
      <w:numFmt w:val="decimal"/>
      <w:isLgl/>
      <w:lvlText w:val="%1.%2.%3.%4.%5."/>
      <w:lvlJc w:val="left"/>
      <w:pPr>
        <w:ind w:left="1789" w:hanging="1080"/>
      </w:pPr>
      <w:rPr>
        <w:rFonts w:eastAsia="Times New Roman" w:hint="default"/>
        <w:b/>
      </w:rPr>
    </w:lvl>
    <w:lvl w:ilvl="5">
      <w:start w:val="1"/>
      <w:numFmt w:val="decimal"/>
      <w:isLgl/>
      <w:lvlText w:val="%1.%2.%3.%4.%5.%6."/>
      <w:lvlJc w:val="left"/>
      <w:pPr>
        <w:ind w:left="2149" w:hanging="1440"/>
      </w:pPr>
      <w:rPr>
        <w:rFonts w:eastAsia="Times New Roman" w:hint="default"/>
        <w:b/>
      </w:rPr>
    </w:lvl>
    <w:lvl w:ilvl="6">
      <w:start w:val="1"/>
      <w:numFmt w:val="decimal"/>
      <w:isLgl/>
      <w:lvlText w:val="%1.%2.%3.%4.%5.%6.%7."/>
      <w:lvlJc w:val="left"/>
      <w:pPr>
        <w:ind w:left="2149" w:hanging="1440"/>
      </w:pPr>
      <w:rPr>
        <w:rFonts w:eastAsia="Times New Roman" w:hint="default"/>
        <w:b/>
      </w:rPr>
    </w:lvl>
    <w:lvl w:ilvl="7">
      <w:start w:val="1"/>
      <w:numFmt w:val="decimal"/>
      <w:isLgl/>
      <w:lvlText w:val="%1.%2.%3.%4.%5.%6.%7.%8."/>
      <w:lvlJc w:val="left"/>
      <w:pPr>
        <w:ind w:left="2509" w:hanging="1800"/>
      </w:pPr>
      <w:rPr>
        <w:rFonts w:eastAsia="Times New Roman" w:hint="default"/>
        <w:b/>
      </w:rPr>
    </w:lvl>
    <w:lvl w:ilvl="8">
      <w:start w:val="1"/>
      <w:numFmt w:val="decimal"/>
      <w:isLgl/>
      <w:lvlText w:val="%1.%2.%3.%4.%5.%6.%7.%8.%9."/>
      <w:lvlJc w:val="left"/>
      <w:pPr>
        <w:ind w:left="2509" w:hanging="1800"/>
      </w:pPr>
      <w:rPr>
        <w:rFonts w:eastAsia="Times New Roman" w:hint="default"/>
        <w:b/>
      </w:rPr>
    </w:lvl>
  </w:abstractNum>
  <w:abstractNum w:abstractNumId="8">
    <w:nsid w:val="0B09133E"/>
    <w:multiLevelType w:val="hybridMultilevel"/>
    <w:tmpl w:val="A5AAE3CA"/>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43464D"/>
    <w:multiLevelType w:val="hybridMultilevel"/>
    <w:tmpl w:val="8EB08D5A"/>
    <w:lvl w:ilvl="0" w:tplc="F33858D2">
      <w:start w:val="1"/>
      <w:numFmt w:val="bullet"/>
      <w:lvlText w:val=""/>
      <w:lvlJc w:val="left"/>
      <w:pPr>
        <w:ind w:left="720" w:hanging="360"/>
      </w:pPr>
      <w:rPr>
        <w:rFonts w:ascii="Wingdings" w:hAnsi="Wingdings" w:hint="default"/>
      </w:rPr>
    </w:lvl>
    <w:lvl w:ilvl="1" w:tplc="F33858D2">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0CBD4DE6"/>
    <w:multiLevelType w:val="hybridMultilevel"/>
    <w:tmpl w:val="518E180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E020667"/>
    <w:multiLevelType w:val="multilevel"/>
    <w:tmpl w:val="E00A5CC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nsid w:val="10F41B7C"/>
    <w:multiLevelType w:val="hybridMultilevel"/>
    <w:tmpl w:val="8BA4896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5E4DCF"/>
    <w:multiLevelType w:val="hybridMultilevel"/>
    <w:tmpl w:val="8A72BDF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4164823"/>
    <w:multiLevelType w:val="hybridMultilevel"/>
    <w:tmpl w:val="5164D128"/>
    <w:lvl w:ilvl="0" w:tplc="F33858D2">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nsid w:val="182C0A9F"/>
    <w:multiLevelType w:val="hybridMultilevel"/>
    <w:tmpl w:val="5E380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716197"/>
    <w:multiLevelType w:val="hybridMultilevel"/>
    <w:tmpl w:val="426ECADE"/>
    <w:lvl w:ilvl="0" w:tplc="04190003">
      <w:start w:val="1"/>
      <w:numFmt w:val="bullet"/>
      <w:lvlText w:val="o"/>
      <w:lvlJc w:val="left"/>
      <w:pPr>
        <w:ind w:left="900" w:hanging="360"/>
      </w:pPr>
      <w:rPr>
        <w:rFonts w:ascii="Courier New" w:hAnsi="Courier New" w:cs="Courier New"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1C220337"/>
    <w:multiLevelType w:val="hybridMultilevel"/>
    <w:tmpl w:val="F836B3EE"/>
    <w:lvl w:ilvl="0" w:tplc="F33858D2">
      <w:start w:val="1"/>
      <w:numFmt w:val="bullet"/>
      <w:lvlText w:val=""/>
      <w:lvlJc w:val="left"/>
      <w:pPr>
        <w:ind w:left="1422" w:hanging="360"/>
      </w:pPr>
      <w:rPr>
        <w:rFonts w:ascii="Wingdings" w:hAnsi="Wingdings" w:hint="default"/>
      </w:rPr>
    </w:lvl>
    <w:lvl w:ilvl="1" w:tplc="04190003" w:tentative="1">
      <w:start w:val="1"/>
      <w:numFmt w:val="bullet"/>
      <w:lvlText w:val="o"/>
      <w:lvlJc w:val="left"/>
      <w:pPr>
        <w:ind w:left="2142" w:hanging="360"/>
      </w:pPr>
      <w:rPr>
        <w:rFonts w:ascii="Courier New" w:hAnsi="Courier New" w:cs="Courier New" w:hint="default"/>
      </w:rPr>
    </w:lvl>
    <w:lvl w:ilvl="2" w:tplc="04190005" w:tentative="1">
      <w:start w:val="1"/>
      <w:numFmt w:val="bullet"/>
      <w:lvlText w:val=""/>
      <w:lvlJc w:val="left"/>
      <w:pPr>
        <w:ind w:left="2862" w:hanging="360"/>
      </w:pPr>
      <w:rPr>
        <w:rFonts w:ascii="Wingdings" w:hAnsi="Wingdings" w:hint="default"/>
      </w:rPr>
    </w:lvl>
    <w:lvl w:ilvl="3" w:tplc="04190001" w:tentative="1">
      <w:start w:val="1"/>
      <w:numFmt w:val="bullet"/>
      <w:lvlText w:val=""/>
      <w:lvlJc w:val="left"/>
      <w:pPr>
        <w:ind w:left="3582" w:hanging="360"/>
      </w:pPr>
      <w:rPr>
        <w:rFonts w:ascii="Symbol" w:hAnsi="Symbol" w:hint="default"/>
      </w:rPr>
    </w:lvl>
    <w:lvl w:ilvl="4" w:tplc="04190003" w:tentative="1">
      <w:start w:val="1"/>
      <w:numFmt w:val="bullet"/>
      <w:lvlText w:val="o"/>
      <w:lvlJc w:val="left"/>
      <w:pPr>
        <w:ind w:left="4302" w:hanging="360"/>
      </w:pPr>
      <w:rPr>
        <w:rFonts w:ascii="Courier New" w:hAnsi="Courier New" w:cs="Courier New" w:hint="default"/>
      </w:rPr>
    </w:lvl>
    <w:lvl w:ilvl="5" w:tplc="04190005" w:tentative="1">
      <w:start w:val="1"/>
      <w:numFmt w:val="bullet"/>
      <w:lvlText w:val=""/>
      <w:lvlJc w:val="left"/>
      <w:pPr>
        <w:ind w:left="5022" w:hanging="360"/>
      </w:pPr>
      <w:rPr>
        <w:rFonts w:ascii="Wingdings" w:hAnsi="Wingdings" w:hint="default"/>
      </w:rPr>
    </w:lvl>
    <w:lvl w:ilvl="6" w:tplc="04190001" w:tentative="1">
      <w:start w:val="1"/>
      <w:numFmt w:val="bullet"/>
      <w:lvlText w:val=""/>
      <w:lvlJc w:val="left"/>
      <w:pPr>
        <w:ind w:left="5742" w:hanging="360"/>
      </w:pPr>
      <w:rPr>
        <w:rFonts w:ascii="Symbol" w:hAnsi="Symbol" w:hint="default"/>
      </w:rPr>
    </w:lvl>
    <w:lvl w:ilvl="7" w:tplc="04190003" w:tentative="1">
      <w:start w:val="1"/>
      <w:numFmt w:val="bullet"/>
      <w:lvlText w:val="o"/>
      <w:lvlJc w:val="left"/>
      <w:pPr>
        <w:ind w:left="6462" w:hanging="360"/>
      </w:pPr>
      <w:rPr>
        <w:rFonts w:ascii="Courier New" w:hAnsi="Courier New" w:cs="Courier New" w:hint="default"/>
      </w:rPr>
    </w:lvl>
    <w:lvl w:ilvl="8" w:tplc="04190005" w:tentative="1">
      <w:start w:val="1"/>
      <w:numFmt w:val="bullet"/>
      <w:lvlText w:val=""/>
      <w:lvlJc w:val="left"/>
      <w:pPr>
        <w:ind w:left="7182" w:hanging="360"/>
      </w:pPr>
      <w:rPr>
        <w:rFonts w:ascii="Wingdings" w:hAnsi="Wingdings" w:hint="default"/>
      </w:rPr>
    </w:lvl>
  </w:abstractNum>
  <w:abstractNum w:abstractNumId="18">
    <w:nsid w:val="2214112C"/>
    <w:multiLevelType w:val="hybridMultilevel"/>
    <w:tmpl w:val="F0F8F6A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6D04341"/>
    <w:multiLevelType w:val="hybridMultilevel"/>
    <w:tmpl w:val="C51A2E24"/>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28806458"/>
    <w:multiLevelType w:val="hybridMultilevel"/>
    <w:tmpl w:val="A4F010A8"/>
    <w:lvl w:ilvl="0" w:tplc="F33858D2">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2E40191E"/>
    <w:multiLevelType w:val="hybridMultilevel"/>
    <w:tmpl w:val="BFF23FC4"/>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E91249C"/>
    <w:multiLevelType w:val="hybridMultilevel"/>
    <w:tmpl w:val="E95049C0"/>
    <w:lvl w:ilvl="0" w:tplc="A1EE96EE">
      <w:start w:val="1"/>
      <w:numFmt w:val="bullet"/>
      <w:pStyle w:val="a"/>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30DF25F5"/>
    <w:multiLevelType w:val="hybridMultilevel"/>
    <w:tmpl w:val="8D3224DA"/>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14F61FB"/>
    <w:multiLevelType w:val="hybridMultilevel"/>
    <w:tmpl w:val="6148A20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19B447A"/>
    <w:multiLevelType w:val="hybridMultilevel"/>
    <w:tmpl w:val="5B74E8B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1C04A94"/>
    <w:multiLevelType w:val="hybridMultilevel"/>
    <w:tmpl w:val="ABAC7998"/>
    <w:lvl w:ilvl="0" w:tplc="022466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31B4C01"/>
    <w:multiLevelType w:val="hybridMultilevel"/>
    <w:tmpl w:val="BBCC1D54"/>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5EF5B7D"/>
    <w:multiLevelType w:val="hybridMultilevel"/>
    <w:tmpl w:val="15ACBAA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885109E"/>
    <w:multiLevelType w:val="hybridMultilevel"/>
    <w:tmpl w:val="6CA682B0"/>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9342F94"/>
    <w:multiLevelType w:val="hybridMultilevel"/>
    <w:tmpl w:val="1DBE557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9C73947"/>
    <w:multiLevelType w:val="hybridMultilevel"/>
    <w:tmpl w:val="3D2E56B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BC36BE0"/>
    <w:multiLevelType w:val="hybridMultilevel"/>
    <w:tmpl w:val="F48095F0"/>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0E1494E"/>
    <w:multiLevelType w:val="hybridMultilevel"/>
    <w:tmpl w:val="E8C8FD6E"/>
    <w:lvl w:ilvl="0" w:tplc="7FC65834">
      <w:start w:val="1"/>
      <w:numFmt w:val="decimal"/>
      <w:lvlText w:val="%1."/>
      <w:lvlJc w:val="left"/>
      <w:pPr>
        <w:ind w:left="1353"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419532E0"/>
    <w:multiLevelType w:val="hybridMultilevel"/>
    <w:tmpl w:val="D9005C8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1A17DCC"/>
    <w:multiLevelType w:val="hybridMultilevel"/>
    <w:tmpl w:val="9190B42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71F451D"/>
    <w:multiLevelType w:val="hybridMultilevel"/>
    <w:tmpl w:val="59021274"/>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7443812"/>
    <w:multiLevelType w:val="hybridMultilevel"/>
    <w:tmpl w:val="B54471A0"/>
    <w:lvl w:ilvl="0" w:tplc="F33858D2">
      <w:start w:val="1"/>
      <w:numFmt w:val="bullet"/>
      <w:lvlText w:val=""/>
      <w:lvlJc w:val="left"/>
      <w:pPr>
        <w:ind w:left="720" w:hanging="360"/>
      </w:pPr>
      <w:rPr>
        <w:rFonts w:ascii="Wingdings" w:hAnsi="Wingdings" w:hint="default"/>
      </w:rPr>
    </w:lvl>
    <w:lvl w:ilvl="1" w:tplc="F33858D2">
      <w:start w:val="1"/>
      <w:numFmt w:val="bullet"/>
      <w:lvlText w:val=""/>
      <w:lvlJc w:val="left"/>
      <w:pPr>
        <w:ind w:left="1440" w:hanging="360"/>
      </w:pPr>
      <w:rPr>
        <w:rFonts w:ascii="Wingdings" w:hAnsi="Wingdings" w:hint="default"/>
        <w:sz w:val="20"/>
        <w:szCs w:val="20"/>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48051E9A"/>
    <w:multiLevelType w:val="hybridMultilevel"/>
    <w:tmpl w:val="E2D6EC30"/>
    <w:lvl w:ilvl="0" w:tplc="F33858D2">
      <w:start w:val="1"/>
      <w:numFmt w:val="bullet"/>
      <w:lvlText w:val=""/>
      <w:lvlJc w:val="left"/>
      <w:pPr>
        <w:tabs>
          <w:tab w:val="num" w:pos="284"/>
        </w:tabs>
        <w:ind w:left="284"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4B35770E"/>
    <w:multiLevelType w:val="hybridMultilevel"/>
    <w:tmpl w:val="138A1B3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EC35506"/>
    <w:multiLevelType w:val="hybridMultilevel"/>
    <w:tmpl w:val="09149770"/>
    <w:lvl w:ilvl="0" w:tplc="0428D5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4FC4573D"/>
    <w:multiLevelType w:val="hybridMultilevel"/>
    <w:tmpl w:val="8D66EF2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08254C2"/>
    <w:multiLevelType w:val="hybridMultilevel"/>
    <w:tmpl w:val="C93474F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390119B"/>
    <w:multiLevelType w:val="hybridMultilevel"/>
    <w:tmpl w:val="10EED752"/>
    <w:lvl w:ilvl="0" w:tplc="97DEC1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570B7D68"/>
    <w:multiLevelType w:val="hybridMultilevel"/>
    <w:tmpl w:val="DEA4F9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B441BC7"/>
    <w:multiLevelType w:val="hybridMultilevel"/>
    <w:tmpl w:val="C6068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BD541CA"/>
    <w:multiLevelType w:val="hybridMultilevel"/>
    <w:tmpl w:val="AF2E0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D2107AC"/>
    <w:multiLevelType w:val="hybridMultilevel"/>
    <w:tmpl w:val="F6E6675A"/>
    <w:lvl w:ilvl="0" w:tplc="F33858D2">
      <w:start w:val="1"/>
      <w:numFmt w:val="bullet"/>
      <w:lvlText w:val=""/>
      <w:lvlJc w:val="left"/>
      <w:pPr>
        <w:ind w:left="720" w:hanging="360"/>
      </w:pPr>
      <w:rPr>
        <w:rFonts w:ascii="Wingdings" w:hAnsi="Wingdings" w:hint="default"/>
      </w:rPr>
    </w:lvl>
    <w:lvl w:ilvl="1" w:tplc="F33858D2">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4E27EAA"/>
    <w:multiLevelType w:val="hybridMultilevel"/>
    <w:tmpl w:val="968E509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6C2F1BE9"/>
    <w:multiLevelType w:val="hybridMultilevel"/>
    <w:tmpl w:val="0F0A34FA"/>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CBC28D5"/>
    <w:multiLevelType w:val="hybridMultilevel"/>
    <w:tmpl w:val="4C9E982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D536108"/>
    <w:multiLevelType w:val="hybridMultilevel"/>
    <w:tmpl w:val="74347E9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F6B21DC"/>
    <w:multiLevelType w:val="hybridMultilevel"/>
    <w:tmpl w:val="E7065D40"/>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nsid w:val="6FB827B2"/>
    <w:multiLevelType w:val="hybridMultilevel"/>
    <w:tmpl w:val="377862DE"/>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0D90F4F"/>
    <w:multiLevelType w:val="hybridMultilevel"/>
    <w:tmpl w:val="9EEC4BF4"/>
    <w:lvl w:ilvl="0" w:tplc="0419000F">
      <w:start w:val="1"/>
      <w:numFmt w:val="decimal"/>
      <w:lvlText w:val="%1."/>
      <w:lvlJc w:val="left"/>
      <w:pPr>
        <w:tabs>
          <w:tab w:val="num" w:pos="1004"/>
        </w:tabs>
        <w:ind w:left="1004" w:hanging="360"/>
      </w:p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55">
    <w:nsid w:val="70F2442D"/>
    <w:multiLevelType w:val="hybridMultilevel"/>
    <w:tmpl w:val="8506DDB0"/>
    <w:lvl w:ilvl="0" w:tplc="0428D5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5045CBE"/>
    <w:multiLevelType w:val="hybridMultilevel"/>
    <w:tmpl w:val="9ECEDB00"/>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8441C90"/>
    <w:multiLevelType w:val="hybridMultilevel"/>
    <w:tmpl w:val="D158CEEA"/>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nsid w:val="79824D6E"/>
    <w:multiLevelType w:val="hybridMultilevel"/>
    <w:tmpl w:val="964455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9895BD1"/>
    <w:multiLevelType w:val="hybridMultilevel"/>
    <w:tmpl w:val="5C06D20A"/>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ADD4DB6"/>
    <w:multiLevelType w:val="multilevel"/>
    <w:tmpl w:val="1F14BF1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D1152D9"/>
    <w:multiLevelType w:val="hybridMultilevel"/>
    <w:tmpl w:val="14905F60"/>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EFF496A"/>
    <w:multiLevelType w:val="hybridMultilevel"/>
    <w:tmpl w:val="78C49430"/>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5"/>
  </w:num>
  <w:num w:numId="4">
    <w:abstractNumId w:val="1"/>
  </w:num>
  <w:num w:numId="5">
    <w:abstractNumId w:val="41"/>
  </w:num>
  <w:num w:numId="6">
    <w:abstractNumId w:val="55"/>
  </w:num>
  <w:num w:numId="7">
    <w:abstractNumId w:val="0"/>
  </w:num>
  <w:num w:numId="8">
    <w:abstractNumId w:val="56"/>
  </w:num>
  <w:num w:numId="9">
    <w:abstractNumId w:val="22"/>
  </w:num>
  <w:num w:numId="10">
    <w:abstractNumId w:val="35"/>
  </w:num>
  <w:num w:numId="11">
    <w:abstractNumId w:val="17"/>
  </w:num>
  <w:num w:numId="12">
    <w:abstractNumId w:val="18"/>
  </w:num>
  <w:num w:numId="13">
    <w:abstractNumId w:val="27"/>
  </w:num>
  <w:num w:numId="14">
    <w:abstractNumId w:val="21"/>
  </w:num>
  <w:num w:numId="15">
    <w:abstractNumId w:val="13"/>
  </w:num>
  <w:num w:numId="16">
    <w:abstractNumId w:val="32"/>
  </w:num>
  <w:num w:numId="17">
    <w:abstractNumId w:val="50"/>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4"/>
  </w:num>
  <w:num w:numId="21">
    <w:abstractNumId w:val="36"/>
  </w:num>
  <w:num w:numId="22">
    <w:abstractNumId w:val="45"/>
  </w:num>
  <w:num w:numId="23">
    <w:abstractNumId w:val="58"/>
  </w:num>
  <w:num w:numId="24">
    <w:abstractNumId w:val="3"/>
  </w:num>
  <w:num w:numId="25">
    <w:abstractNumId w:val="42"/>
  </w:num>
  <w:num w:numId="26">
    <w:abstractNumId w:val="25"/>
  </w:num>
  <w:num w:numId="27">
    <w:abstractNumId w:val="31"/>
  </w:num>
  <w:num w:numId="28">
    <w:abstractNumId w:val="53"/>
  </w:num>
  <w:num w:numId="29">
    <w:abstractNumId w:val="6"/>
  </w:num>
  <w:num w:numId="30">
    <w:abstractNumId w:val="51"/>
  </w:num>
  <w:num w:numId="31">
    <w:abstractNumId w:val="59"/>
  </w:num>
  <w:num w:numId="32">
    <w:abstractNumId w:val="8"/>
  </w:num>
  <w:num w:numId="33">
    <w:abstractNumId w:val="2"/>
  </w:num>
  <w:num w:numId="34">
    <w:abstractNumId w:val="54"/>
  </w:num>
  <w:num w:numId="35">
    <w:abstractNumId w:val="46"/>
  </w:num>
  <w:num w:numId="36">
    <w:abstractNumId w:val="30"/>
  </w:num>
  <w:num w:numId="37">
    <w:abstractNumId w:val="62"/>
  </w:num>
  <w:num w:numId="38">
    <w:abstractNumId w:val="28"/>
  </w:num>
  <w:num w:numId="39">
    <w:abstractNumId w:val="38"/>
  </w:num>
  <w:num w:numId="40">
    <w:abstractNumId w:val="48"/>
  </w:num>
  <w:num w:numId="41">
    <w:abstractNumId w:val="44"/>
  </w:num>
  <w:num w:numId="42">
    <w:abstractNumId w:val="14"/>
  </w:num>
  <w:num w:numId="43">
    <w:abstractNumId w:val="7"/>
  </w:num>
  <w:num w:numId="44">
    <w:abstractNumId w:val="29"/>
  </w:num>
  <w:num w:numId="45">
    <w:abstractNumId w:val="19"/>
  </w:num>
  <w:num w:numId="46">
    <w:abstractNumId w:val="26"/>
  </w:num>
  <w:num w:numId="47">
    <w:abstractNumId w:val="40"/>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1"/>
  </w:num>
  <w:num w:numId="50">
    <w:abstractNumId w:val="24"/>
  </w:num>
  <w:num w:numId="51">
    <w:abstractNumId w:val="23"/>
  </w:num>
  <w:num w:numId="52">
    <w:abstractNumId w:val="52"/>
  </w:num>
  <w:num w:numId="53">
    <w:abstractNumId w:val="9"/>
  </w:num>
  <w:num w:numId="54">
    <w:abstractNumId w:val="37"/>
  </w:num>
  <w:num w:numId="55">
    <w:abstractNumId w:val="49"/>
  </w:num>
  <w:num w:numId="56">
    <w:abstractNumId w:val="39"/>
  </w:num>
  <w:num w:numId="57">
    <w:abstractNumId w:val="10"/>
  </w:num>
  <w:num w:numId="58">
    <w:abstractNumId w:val="57"/>
  </w:num>
  <w:num w:numId="59">
    <w:abstractNumId w:val="20"/>
  </w:num>
  <w:num w:numId="60">
    <w:abstractNumId w:val="60"/>
    <w:lvlOverride w:ilvl="0"/>
    <w:lvlOverride w:ilvl="1">
      <w:startOverride w:val="1"/>
    </w:lvlOverride>
    <w:lvlOverride w:ilvl="2"/>
    <w:lvlOverride w:ilvl="3"/>
    <w:lvlOverride w:ilvl="4"/>
    <w:lvlOverride w:ilvl="5"/>
    <w:lvlOverride w:ilvl="6"/>
    <w:lvlOverride w:ilvl="7"/>
    <w:lvlOverride w:ilvl="8"/>
  </w:num>
  <w:num w:numId="61">
    <w:abstractNumId w:val="7"/>
    <w:lvlOverride w:ilvl="0">
      <w:startOverride w:val="1"/>
    </w:lvlOverride>
    <w:lvlOverride w:ilvl="1">
      <w:startOverride w:val="5"/>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7"/>
  </w:num>
  <w:num w:numId="63">
    <w:abstractNumId w:val="12"/>
  </w:num>
  <w:num w:numId="6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GrammaticalErrors/>
  <w:activeWritingStyle w:appName="MSWord" w:lang="ru-RU" w:vendorID="1" w:dllVersion="512" w:checkStyle="1"/>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formatting="1" w:enforcement="0"/>
  <w:defaultTabStop w:val="709"/>
  <w:drawingGridHorizontalSpacing w:val="130"/>
  <w:displayHorizontalDrawingGridEvery w:val="2"/>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F0B"/>
    <w:rsid w:val="00000037"/>
    <w:rsid w:val="0000047A"/>
    <w:rsid w:val="000009C7"/>
    <w:rsid w:val="000011DA"/>
    <w:rsid w:val="000012F4"/>
    <w:rsid w:val="000016CC"/>
    <w:rsid w:val="00001FEE"/>
    <w:rsid w:val="000020D1"/>
    <w:rsid w:val="00002219"/>
    <w:rsid w:val="00002CFF"/>
    <w:rsid w:val="00002E74"/>
    <w:rsid w:val="000031E3"/>
    <w:rsid w:val="000035B9"/>
    <w:rsid w:val="000036F8"/>
    <w:rsid w:val="00004AD3"/>
    <w:rsid w:val="0000525D"/>
    <w:rsid w:val="00005378"/>
    <w:rsid w:val="00005E98"/>
    <w:rsid w:val="00006012"/>
    <w:rsid w:val="0000624B"/>
    <w:rsid w:val="00006438"/>
    <w:rsid w:val="00006477"/>
    <w:rsid w:val="0000657F"/>
    <w:rsid w:val="000069EF"/>
    <w:rsid w:val="00007C0D"/>
    <w:rsid w:val="00007CD0"/>
    <w:rsid w:val="000104F2"/>
    <w:rsid w:val="00010A1D"/>
    <w:rsid w:val="00010C52"/>
    <w:rsid w:val="00011168"/>
    <w:rsid w:val="000111B2"/>
    <w:rsid w:val="00011399"/>
    <w:rsid w:val="000113A1"/>
    <w:rsid w:val="000113B6"/>
    <w:rsid w:val="0001148E"/>
    <w:rsid w:val="0001153F"/>
    <w:rsid w:val="0001240B"/>
    <w:rsid w:val="000128EB"/>
    <w:rsid w:val="00012A82"/>
    <w:rsid w:val="000131FF"/>
    <w:rsid w:val="00013458"/>
    <w:rsid w:val="00013996"/>
    <w:rsid w:val="00013D22"/>
    <w:rsid w:val="00013D5A"/>
    <w:rsid w:val="00013D7D"/>
    <w:rsid w:val="00014AE0"/>
    <w:rsid w:val="00014C35"/>
    <w:rsid w:val="000150C2"/>
    <w:rsid w:val="00015219"/>
    <w:rsid w:val="0001576B"/>
    <w:rsid w:val="0001597D"/>
    <w:rsid w:val="00015C1C"/>
    <w:rsid w:val="00015DC5"/>
    <w:rsid w:val="00015F6A"/>
    <w:rsid w:val="000163CF"/>
    <w:rsid w:val="000163E9"/>
    <w:rsid w:val="0001660E"/>
    <w:rsid w:val="0001689A"/>
    <w:rsid w:val="00016D77"/>
    <w:rsid w:val="00016F89"/>
    <w:rsid w:val="00017A12"/>
    <w:rsid w:val="00017DF7"/>
    <w:rsid w:val="00017E52"/>
    <w:rsid w:val="0002037F"/>
    <w:rsid w:val="000206E3"/>
    <w:rsid w:val="00020E38"/>
    <w:rsid w:val="00020FD8"/>
    <w:rsid w:val="0002110A"/>
    <w:rsid w:val="00021548"/>
    <w:rsid w:val="000219F6"/>
    <w:rsid w:val="00022034"/>
    <w:rsid w:val="00022782"/>
    <w:rsid w:val="00022A4A"/>
    <w:rsid w:val="00023561"/>
    <w:rsid w:val="0002356F"/>
    <w:rsid w:val="0002357B"/>
    <w:rsid w:val="000235DA"/>
    <w:rsid w:val="0002434A"/>
    <w:rsid w:val="00024575"/>
    <w:rsid w:val="000254AC"/>
    <w:rsid w:val="000258CC"/>
    <w:rsid w:val="00025CA8"/>
    <w:rsid w:val="00025E30"/>
    <w:rsid w:val="00026068"/>
    <w:rsid w:val="000261F2"/>
    <w:rsid w:val="000264D7"/>
    <w:rsid w:val="00026507"/>
    <w:rsid w:val="00026613"/>
    <w:rsid w:val="000267D5"/>
    <w:rsid w:val="000267E6"/>
    <w:rsid w:val="00026EE8"/>
    <w:rsid w:val="00026F64"/>
    <w:rsid w:val="00027230"/>
    <w:rsid w:val="00027AA5"/>
    <w:rsid w:val="00027D2A"/>
    <w:rsid w:val="00027E80"/>
    <w:rsid w:val="000307A5"/>
    <w:rsid w:val="000307A6"/>
    <w:rsid w:val="00030845"/>
    <w:rsid w:val="000308E3"/>
    <w:rsid w:val="00030FA8"/>
    <w:rsid w:val="00031003"/>
    <w:rsid w:val="000311B1"/>
    <w:rsid w:val="0003188F"/>
    <w:rsid w:val="00031933"/>
    <w:rsid w:val="00031AD5"/>
    <w:rsid w:val="00031BE7"/>
    <w:rsid w:val="00031E5D"/>
    <w:rsid w:val="000325AF"/>
    <w:rsid w:val="0003277C"/>
    <w:rsid w:val="00032D25"/>
    <w:rsid w:val="00033075"/>
    <w:rsid w:val="00033526"/>
    <w:rsid w:val="00033CD3"/>
    <w:rsid w:val="000344DD"/>
    <w:rsid w:val="0003484F"/>
    <w:rsid w:val="0003598A"/>
    <w:rsid w:val="000364A1"/>
    <w:rsid w:val="000368B4"/>
    <w:rsid w:val="00036EEA"/>
    <w:rsid w:val="00040089"/>
    <w:rsid w:val="00040631"/>
    <w:rsid w:val="000406EF"/>
    <w:rsid w:val="0004081E"/>
    <w:rsid w:val="0004091F"/>
    <w:rsid w:val="00040DEA"/>
    <w:rsid w:val="00041220"/>
    <w:rsid w:val="00042315"/>
    <w:rsid w:val="000423A0"/>
    <w:rsid w:val="0004252C"/>
    <w:rsid w:val="00042F3D"/>
    <w:rsid w:val="00042F7F"/>
    <w:rsid w:val="000431B4"/>
    <w:rsid w:val="00043217"/>
    <w:rsid w:val="000432E2"/>
    <w:rsid w:val="00043ABD"/>
    <w:rsid w:val="00043AE9"/>
    <w:rsid w:val="00043B09"/>
    <w:rsid w:val="00043B20"/>
    <w:rsid w:val="00043BB0"/>
    <w:rsid w:val="00044543"/>
    <w:rsid w:val="000445CF"/>
    <w:rsid w:val="00045AC7"/>
    <w:rsid w:val="00045D0D"/>
    <w:rsid w:val="00046A48"/>
    <w:rsid w:val="00046B4A"/>
    <w:rsid w:val="000473EE"/>
    <w:rsid w:val="00047775"/>
    <w:rsid w:val="000506AE"/>
    <w:rsid w:val="000509FD"/>
    <w:rsid w:val="00050ABB"/>
    <w:rsid w:val="00050D5E"/>
    <w:rsid w:val="00051323"/>
    <w:rsid w:val="00051A96"/>
    <w:rsid w:val="00051AC0"/>
    <w:rsid w:val="00051B43"/>
    <w:rsid w:val="00051BE0"/>
    <w:rsid w:val="00051CEC"/>
    <w:rsid w:val="00051DA2"/>
    <w:rsid w:val="00051E95"/>
    <w:rsid w:val="00052115"/>
    <w:rsid w:val="00052154"/>
    <w:rsid w:val="00052244"/>
    <w:rsid w:val="00052ABE"/>
    <w:rsid w:val="00052CAF"/>
    <w:rsid w:val="00053185"/>
    <w:rsid w:val="0005362C"/>
    <w:rsid w:val="00053819"/>
    <w:rsid w:val="00053FD8"/>
    <w:rsid w:val="00054458"/>
    <w:rsid w:val="00054654"/>
    <w:rsid w:val="0005488B"/>
    <w:rsid w:val="00054B2E"/>
    <w:rsid w:val="00055237"/>
    <w:rsid w:val="00055A94"/>
    <w:rsid w:val="00055BEA"/>
    <w:rsid w:val="00056668"/>
    <w:rsid w:val="00056F19"/>
    <w:rsid w:val="0005730E"/>
    <w:rsid w:val="00057D8F"/>
    <w:rsid w:val="0006002C"/>
    <w:rsid w:val="00060190"/>
    <w:rsid w:val="00060573"/>
    <w:rsid w:val="000608A7"/>
    <w:rsid w:val="00060CB1"/>
    <w:rsid w:val="00060DBF"/>
    <w:rsid w:val="00061197"/>
    <w:rsid w:val="000617F2"/>
    <w:rsid w:val="000618D0"/>
    <w:rsid w:val="00061A43"/>
    <w:rsid w:val="00061CAA"/>
    <w:rsid w:val="0006276A"/>
    <w:rsid w:val="00062886"/>
    <w:rsid w:val="0006309E"/>
    <w:rsid w:val="000634A9"/>
    <w:rsid w:val="00063563"/>
    <w:rsid w:val="00063A05"/>
    <w:rsid w:val="0006422F"/>
    <w:rsid w:val="00064D84"/>
    <w:rsid w:val="00065B87"/>
    <w:rsid w:val="00065BDD"/>
    <w:rsid w:val="00066A42"/>
    <w:rsid w:val="00066B00"/>
    <w:rsid w:val="00066D3D"/>
    <w:rsid w:val="00066E13"/>
    <w:rsid w:val="00066ECD"/>
    <w:rsid w:val="0006737A"/>
    <w:rsid w:val="00070807"/>
    <w:rsid w:val="00070D35"/>
    <w:rsid w:val="0007121D"/>
    <w:rsid w:val="00071369"/>
    <w:rsid w:val="00071A70"/>
    <w:rsid w:val="00071A85"/>
    <w:rsid w:val="00071BB2"/>
    <w:rsid w:val="00071BBA"/>
    <w:rsid w:val="000722AB"/>
    <w:rsid w:val="000728E7"/>
    <w:rsid w:val="00072F03"/>
    <w:rsid w:val="00073337"/>
    <w:rsid w:val="000735D9"/>
    <w:rsid w:val="00073667"/>
    <w:rsid w:val="0007374A"/>
    <w:rsid w:val="000737CC"/>
    <w:rsid w:val="00074028"/>
    <w:rsid w:val="00074051"/>
    <w:rsid w:val="000747B4"/>
    <w:rsid w:val="00074A17"/>
    <w:rsid w:val="00074D24"/>
    <w:rsid w:val="00074EBE"/>
    <w:rsid w:val="00074F89"/>
    <w:rsid w:val="00075455"/>
    <w:rsid w:val="00075704"/>
    <w:rsid w:val="00075B07"/>
    <w:rsid w:val="00075B3C"/>
    <w:rsid w:val="00076521"/>
    <w:rsid w:val="000768B3"/>
    <w:rsid w:val="00076A07"/>
    <w:rsid w:val="00076BE9"/>
    <w:rsid w:val="00076DEB"/>
    <w:rsid w:val="00076E37"/>
    <w:rsid w:val="000779C6"/>
    <w:rsid w:val="00077EF7"/>
    <w:rsid w:val="00080D7C"/>
    <w:rsid w:val="0008103C"/>
    <w:rsid w:val="000811CD"/>
    <w:rsid w:val="000812E8"/>
    <w:rsid w:val="00081598"/>
    <w:rsid w:val="00081618"/>
    <w:rsid w:val="000819F3"/>
    <w:rsid w:val="00081D94"/>
    <w:rsid w:val="00081EB3"/>
    <w:rsid w:val="0008272A"/>
    <w:rsid w:val="00082BD3"/>
    <w:rsid w:val="00083716"/>
    <w:rsid w:val="000839FD"/>
    <w:rsid w:val="00083EBC"/>
    <w:rsid w:val="000848F2"/>
    <w:rsid w:val="00084A91"/>
    <w:rsid w:val="0008501E"/>
    <w:rsid w:val="00085042"/>
    <w:rsid w:val="000855E4"/>
    <w:rsid w:val="00085C7D"/>
    <w:rsid w:val="00086050"/>
    <w:rsid w:val="000863B0"/>
    <w:rsid w:val="000868EA"/>
    <w:rsid w:val="00086C1A"/>
    <w:rsid w:val="0008764B"/>
    <w:rsid w:val="000877E7"/>
    <w:rsid w:val="00087AA7"/>
    <w:rsid w:val="00087BAC"/>
    <w:rsid w:val="00087EF2"/>
    <w:rsid w:val="00090453"/>
    <w:rsid w:val="0009076E"/>
    <w:rsid w:val="00091010"/>
    <w:rsid w:val="00091675"/>
    <w:rsid w:val="000916A9"/>
    <w:rsid w:val="000916BE"/>
    <w:rsid w:val="00091BA5"/>
    <w:rsid w:val="00091E62"/>
    <w:rsid w:val="00091F19"/>
    <w:rsid w:val="00092A99"/>
    <w:rsid w:val="00093667"/>
    <w:rsid w:val="0009368C"/>
    <w:rsid w:val="0009377B"/>
    <w:rsid w:val="00093858"/>
    <w:rsid w:val="00093DF1"/>
    <w:rsid w:val="0009411D"/>
    <w:rsid w:val="00094B50"/>
    <w:rsid w:val="00094F32"/>
    <w:rsid w:val="00095308"/>
    <w:rsid w:val="000953B1"/>
    <w:rsid w:val="000955C8"/>
    <w:rsid w:val="00095E62"/>
    <w:rsid w:val="0009622C"/>
    <w:rsid w:val="00097B47"/>
    <w:rsid w:val="00097C5B"/>
    <w:rsid w:val="00097CA3"/>
    <w:rsid w:val="00097EBD"/>
    <w:rsid w:val="00097F4A"/>
    <w:rsid w:val="000A021F"/>
    <w:rsid w:val="000A034F"/>
    <w:rsid w:val="000A09A0"/>
    <w:rsid w:val="000A0FA1"/>
    <w:rsid w:val="000A1998"/>
    <w:rsid w:val="000A1D6E"/>
    <w:rsid w:val="000A24CB"/>
    <w:rsid w:val="000A27E6"/>
    <w:rsid w:val="000A2923"/>
    <w:rsid w:val="000A295C"/>
    <w:rsid w:val="000A2A12"/>
    <w:rsid w:val="000A2AAA"/>
    <w:rsid w:val="000A2B39"/>
    <w:rsid w:val="000A36D9"/>
    <w:rsid w:val="000A38C0"/>
    <w:rsid w:val="000A3B78"/>
    <w:rsid w:val="000A3C34"/>
    <w:rsid w:val="000A3C3F"/>
    <w:rsid w:val="000A3FD6"/>
    <w:rsid w:val="000A4482"/>
    <w:rsid w:val="000A44A0"/>
    <w:rsid w:val="000A46C3"/>
    <w:rsid w:val="000A48C4"/>
    <w:rsid w:val="000A49FA"/>
    <w:rsid w:val="000A4FCE"/>
    <w:rsid w:val="000A557E"/>
    <w:rsid w:val="000A5629"/>
    <w:rsid w:val="000A593F"/>
    <w:rsid w:val="000A5BD1"/>
    <w:rsid w:val="000A5E52"/>
    <w:rsid w:val="000A65B6"/>
    <w:rsid w:val="000A75E9"/>
    <w:rsid w:val="000A7C74"/>
    <w:rsid w:val="000A7C8B"/>
    <w:rsid w:val="000A7D3A"/>
    <w:rsid w:val="000A7EB2"/>
    <w:rsid w:val="000B0173"/>
    <w:rsid w:val="000B0972"/>
    <w:rsid w:val="000B0B0E"/>
    <w:rsid w:val="000B11AE"/>
    <w:rsid w:val="000B1CBD"/>
    <w:rsid w:val="000B1D3C"/>
    <w:rsid w:val="000B23D4"/>
    <w:rsid w:val="000B266D"/>
    <w:rsid w:val="000B2FB9"/>
    <w:rsid w:val="000B37F6"/>
    <w:rsid w:val="000B3A2F"/>
    <w:rsid w:val="000B429D"/>
    <w:rsid w:val="000B47A0"/>
    <w:rsid w:val="000B4E5B"/>
    <w:rsid w:val="000B5550"/>
    <w:rsid w:val="000B57DE"/>
    <w:rsid w:val="000B59E3"/>
    <w:rsid w:val="000B5BC6"/>
    <w:rsid w:val="000B5E1A"/>
    <w:rsid w:val="000B6023"/>
    <w:rsid w:val="000B6793"/>
    <w:rsid w:val="000B6BEA"/>
    <w:rsid w:val="000B6F11"/>
    <w:rsid w:val="000B70D2"/>
    <w:rsid w:val="000B710C"/>
    <w:rsid w:val="000B7EEB"/>
    <w:rsid w:val="000C00D6"/>
    <w:rsid w:val="000C02AB"/>
    <w:rsid w:val="000C0939"/>
    <w:rsid w:val="000C0AFE"/>
    <w:rsid w:val="000C0E52"/>
    <w:rsid w:val="000C1826"/>
    <w:rsid w:val="000C1CA1"/>
    <w:rsid w:val="000C21C1"/>
    <w:rsid w:val="000C2991"/>
    <w:rsid w:val="000C2B64"/>
    <w:rsid w:val="000C35D4"/>
    <w:rsid w:val="000C3B51"/>
    <w:rsid w:val="000C3B91"/>
    <w:rsid w:val="000C3CAC"/>
    <w:rsid w:val="000C466E"/>
    <w:rsid w:val="000C4939"/>
    <w:rsid w:val="000C4D71"/>
    <w:rsid w:val="000C4FC2"/>
    <w:rsid w:val="000C521A"/>
    <w:rsid w:val="000C57F8"/>
    <w:rsid w:val="000C58C5"/>
    <w:rsid w:val="000C5F1B"/>
    <w:rsid w:val="000C64BF"/>
    <w:rsid w:val="000C6727"/>
    <w:rsid w:val="000C6755"/>
    <w:rsid w:val="000C68BA"/>
    <w:rsid w:val="000C6E5F"/>
    <w:rsid w:val="000C717B"/>
    <w:rsid w:val="000C7E4D"/>
    <w:rsid w:val="000C7F31"/>
    <w:rsid w:val="000D03ED"/>
    <w:rsid w:val="000D0894"/>
    <w:rsid w:val="000D09C1"/>
    <w:rsid w:val="000D0AE6"/>
    <w:rsid w:val="000D0E16"/>
    <w:rsid w:val="000D146C"/>
    <w:rsid w:val="000D16A4"/>
    <w:rsid w:val="000D23B6"/>
    <w:rsid w:val="000D2B65"/>
    <w:rsid w:val="000D2E87"/>
    <w:rsid w:val="000D3132"/>
    <w:rsid w:val="000D33AD"/>
    <w:rsid w:val="000D367B"/>
    <w:rsid w:val="000D4CA2"/>
    <w:rsid w:val="000D55D6"/>
    <w:rsid w:val="000D5DD1"/>
    <w:rsid w:val="000D6B73"/>
    <w:rsid w:val="000D6B9F"/>
    <w:rsid w:val="000E040A"/>
    <w:rsid w:val="000E0834"/>
    <w:rsid w:val="000E08D5"/>
    <w:rsid w:val="000E0D36"/>
    <w:rsid w:val="000E12A1"/>
    <w:rsid w:val="000E136B"/>
    <w:rsid w:val="000E184A"/>
    <w:rsid w:val="000E1AD2"/>
    <w:rsid w:val="000E1E1A"/>
    <w:rsid w:val="000E201F"/>
    <w:rsid w:val="000E2033"/>
    <w:rsid w:val="000E259E"/>
    <w:rsid w:val="000E2A0B"/>
    <w:rsid w:val="000E2D8F"/>
    <w:rsid w:val="000E3218"/>
    <w:rsid w:val="000E3A3B"/>
    <w:rsid w:val="000E3BD8"/>
    <w:rsid w:val="000E3BFB"/>
    <w:rsid w:val="000E51C8"/>
    <w:rsid w:val="000E551C"/>
    <w:rsid w:val="000E5D84"/>
    <w:rsid w:val="000E5D99"/>
    <w:rsid w:val="000E5F29"/>
    <w:rsid w:val="000E6E50"/>
    <w:rsid w:val="000E6F89"/>
    <w:rsid w:val="000E744A"/>
    <w:rsid w:val="000E7A5A"/>
    <w:rsid w:val="000E7C1E"/>
    <w:rsid w:val="000F0117"/>
    <w:rsid w:val="000F01D3"/>
    <w:rsid w:val="000F0875"/>
    <w:rsid w:val="000F0B17"/>
    <w:rsid w:val="000F0F48"/>
    <w:rsid w:val="000F1088"/>
    <w:rsid w:val="000F129A"/>
    <w:rsid w:val="000F1C2F"/>
    <w:rsid w:val="000F24C9"/>
    <w:rsid w:val="000F24F7"/>
    <w:rsid w:val="000F2F19"/>
    <w:rsid w:val="000F3ECD"/>
    <w:rsid w:val="000F3FDD"/>
    <w:rsid w:val="000F40E3"/>
    <w:rsid w:val="000F42CE"/>
    <w:rsid w:val="000F4710"/>
    <w:rsid w:val="000F4C19"/>
    <w:rsid w:val="000F580C"/>
    <w:rsid w:val="000F5FD9"/>
    <w:rsid w:val="000F6046"/>
    <w:rsid w:val="000F604F"/>
    <w:rsid w:val="000F6254"/>
    <w:rsid w:val="000F6569"/>
    <w:rsid w:val="000F66C9"/>
    <w:rsid w:val="000F6A5D"/>
    <w:rsid w:val="000F6B48"/>
    <w:rsid w:val="000F7DA8"/>
    <w:rsid w:val="0010075E"/>
    <w:rsid w:val="00100AE9"/>
    <w:rsid w:val="00100D97"/>
    <w:rsid w:val="00100EB5"/>
    <w:rsid w:val="0010107D"/>
    <w:rsid w:val="001012A7"/>
    <w:rsid w:val="00101B30"/>
    <w:rsid w:val="00101C7F"/>
    <w:rsid w:val="0010202C"/>
    <w:rsid w:val="001022BB"/>
    <w:rsid w:val="001022CA"/>
    <w:rsid w:val="00102458"/>
    <w:rsid w:val="00102E87"/>
    <w:rsid w:val="00102F9C"/>
    <w:rsid w:val="00102FD9"/>
    <w:rsid w:val="00103255"/>
    <w:rsid w:val="00103385"/>
    <w:rsid w:val="001035DD"/>
    <w:rsid w:val="00103D8A"/>
    <w:rsid w:val="001045E1"/>
    <w:rsid w:val="001051AC"/>
    <w:rsid w:val="001052DA"/>
    <w:rsid w:val="00105D71"/>
    <w:rsid w:val="0010619D"/>
    <w:rsid w:val="00106FF2"/>
    <w:rsid w:val="0010772C"/>
    <w:rsid w:val="0010787F"/>
    <w:rsid w:val="0011030C"/>
    <w:rsid w:val="001105C2"/>
    <w:rsid w:val="00110867"/>
    <w:rsid w:val="00110969"/>
    <w:rsid w:val="00110AC5"/>
    <w:rsid w:val="00110AF4"/>
    <w:rsid w:val="00110DC7"/>
    <w:rsid w:val="00111572"/>
    <w:rsid w:val="00111748"/>
    <w:rsid w:val="00111FFE"/>
    <w:rsid w:val="00112272"/>
    <w:rsid w:val="00112318"/>
    <w:rsid w:val="00112704"/>
    <w:rsid w:val="00113348"/>
    <w:rsid w:val="00113586"/>
    <w:rsid w:val="001135A6"/>
    <w:rsid w:val="0011372D"/>
    <w:rsid w:val="001138CE"/>
    <w:rsid w:val="00113B16"/>
    <w:rsid w:val="00113C03"/>
    <w:rsid w:val="00113F8E"/>
    <w:rsid w:val="00115040"/>
    <w:rsid w:val="00115D6B"/>
    <w:rsid w:val="00115E05"/>
    <w:rsid w:val="00115F93"/>
    <w:rsid w:val="0011635F"/>
    <w:rsid w:val="0011637C"/>
    <w:rsid w:val="0011664C"/>
    <w:rsid w:val="00117799"/>
    <w:rsid w:val="00117892"/>
    <w:rsid w:val="00117A95"/>
    <w:rsid w:val="00117AA6"/>
    <w:rsid w:val="00117CFC"/>
    <w:rsid w:val="00120007"/>
    <w:rsid w:val="001203D8"/>
    <w:rsid w:val="00120AAC"/>
    <w:rsid w:val="001214FC"/>
    <w:rsid w:val="00121546"/>
    <w:rsid w:val="001215AC"/>
    <w:rsid w:val="00121867"/>
    <w:rsid w:val="00121C3A"/>
    <w:rsid w:val="00121CF2"/>
    <w:rsid w:val="00122297"/>
    <w:rsid w:val="00122687"/>
    <w:rsid w:val="00122C6B"/>
    <w:rsid w:val="00122F83"/>
    <w:rsid w:val="00123F24"/>
    <w:rsid w:val="00124AA7"/>
    <w:rsid w:val="00124DD5"/>
    <w:rsid w:val="001256CB"/>
    <w:rsid w:val="001258F6"/>
    <w:rsid w:val="00125F74"/>
    <w:rsid w:val="00126180"/>
    <w:rsid w:val="0012621E"/>
    <w:rsid w:val="00126A3A"/>
    <w:rsid w:val="00126D8B"/>
    <w:rsid w:val="00126EF8"/>
    <w:rsid w:val="00127627"/>
    <w:rsid w:val="001279B5"/>
    <w:rsid w:val="00127BEF"/>
    <w:rsid w:val="0013073E"/>
    <w:rsid w:val="001308D7"/>
    <w:rsid w:val="00130E30"/>
    <w:rsid w:val="00130E77"/>
    <w:rsid w:val="00130EC4"/>
    <w:rsid w:val="00131B02"/>
    <w:rsid w:val="00132354"/>
    <w:rsid w:val="0013266B"/>
    <w:rsid w:val="00132A6B"/>
    <w:rsid w:val="00132AC7"/>
    <w:rsid w:val="00132DAD"/>
    <w:rsid w:val="00132E35"/>
    <w:rsid w:val="00132E45"/>
    <w:rsid w:val="00133551"/>
    <w:rsid w:val="00134FBC"/>
    <w:rsid w:val="00135B13"/>
    <w:rsid w:val="00135DBF"/>
    <w:rsid w:val="00135E51"/>
    <w:rsid w:val="00135F16"/>
    <w:rsid w:val="00135FF9"/>
    <w:rsid w:val="001362A1"/>
    <w:rsid w:val="001368C9"/>
    <w:rsid w:val="00136E80"/>
    <w:rsid w:val="00136EAB"/>
    <w:rsid w:val="0013722A"/>
    <w:rsid w:val="00137791"/>
    <w:rsid w:val="00137C7C"/>
    <w:rsid w:val="00137C9B"/>
    <w:rsid w:val="00140B32"/>
    <w:rsid w:val="00140CA6"/>
    <w:rsid w:val="00140F5A"/>
    <w:rsid w:val="00141131"/>
    <w:rsid w:val="0014158A"/>
    <w:rsid w:val="00141674"/>
    <w:rsid w:val="00141AC7"/>
    <w:rsid w:val="00141E36"/>
    <w:rsid w:val="00141F01"/>
    <w:rsid w:val="00142265"/>
    <w:rsid w:val="00142395"/>
    <w:rsid w:val="0014283D"/>
    <w:rsid w:val="001434E4"/>
    <w:rsid w:val="001434FD"/>
    <w:rsid w:val="001437FE"/>
    <w:rsid w:val="001439C6"/>
    <w:rsid w:val="00144079"/>
    <w:rsid w:val="00144503"/>
    <w:rsid w:val="001445FF"/>
    <w:rsid w:val="00144886"/>
    <w:rsid w:val="001449C8"/>
    <w:rsid w:val="00145135"/>
    <w:rsid w:val="001456CD"/>
    <w:rsid w:val="00145B06"/>
    <w:rsid w:val="001460D1"/>
    <w:rsid w:val="00146D76"/>
    <w:rsid w:val="00146FF7"/>
    <w:rsid w:val="0014742C"/>
    <w:rsid w:val="00147CBA"/>
    <w:rsid w:val="00147D3A"/>
    <w:rsid w:val="0015017D"/>
    <w:rsid w:val="001502F3"/>
    <w:rsid w:val="00150712"/>
    <w:rsid w:val="00150AFD"/>
    <w:rsid w:val="00150D28"/>
    <w:rsid w:val="0015101B"/>
    <w:rsid w:val="00151035"/>
    <w:rsid w:val="0015113A"/>
    <w:rsid w:val="00151E67"/>
    <w:rsid w:val="0015220F"/>
    <w:rsid w:val="0015252B"/>
    <w:rsid w:val="00152808"/>
    <w:rsid w:val="00152B19"/>
    <w:rsid w:val="00153221"/>
    <w:rsid w:val="001532CC"/>
    <w:rsid w:val="00153B8D"/>
    <w:rsid w:val="001541AD"/>
    <w:rsid w:val="00154B24"/>
    <w:rsid w:val="00154BCF"/>
    <w:rsid w:val="00155463"/>
    <w:rsid w:val="001556E9"/>
    <w:rsid w:val="00155748"/>
    <w:rsid w:val="00155B21"/>
    <w:rsid w:val="00156078"/>
    <w:rsid w:val="0015678A"/>
    <w:rsid w:val="00156C4A"/>
    <w:rsid w:val="001571B7"/>
    <w:rsid w:val="00157A38"/>
    <w:rsid w:val="00157A9B"/>
    <w:rsid w:val="00160176"/>
    <w:rsid w:val="001602F5"/>
    <w:rsid w:val="00160651"/>
    <w:rsid w:val="001606B5"/>
    <w:rsid w:val="001620E2"/>
    <w:rsid w:val="0016245D"/>
    <w:rsid w:val="00162F88"/>
    <w:rsid w:val="00163335"/>
    <w:rsid w:val="00163361"/>
    <w:rsid w:val="001637A7"/>
    <w:rsid w:val="00163971"/>
    <w:rsid w:val="00163AF1"/>
    <w:rsid w:val="00163F74"/>
    <w:rsid w:val="001640F4"/>
    <w:rsid w:val="001642D6"/>
    <w:rsid w:val="0016464E"/>
    <w:rsid w:val="00164A21"/>
    <w:rsid w:val="00164E3D"/>
    <w:rsid w:val="0016502C"/>
    <w:rsid w:val="00165360"/>
    <w:rsid w:val="001654BC"/>
    <w:rsid w:val="00166A17"/>
    <w:rsid w:val="00167509"/>
    <w:rsid w:val="00167582"/>
    <w:rsid w:val="00167587"/>
    <w:rsid w:val="00167BE4"/>
    <w:rsid w:val="00167E3B"/>
    <w:rsid w:val="0017017F"/>
    <w:rsid w:val="001702DA"/>
    <w:rsid w:val="00170F9E"/>
    <w:rsid w:val="0017105E"/>
    <w:rsid w:val="001710C4"/>
    <w:rsid w:val="001720AA"/>
    <w:rsid w:val="0017216E"/>
    <w:rsid w:val="00172322"/>
    <w:rsid w:val="001723DA"/>
    <w:rsid w:val="001728E2"/>
    <w:rsid w:val="00172904"/>
    <w:rsid w:val="0017345E"/>
    <w:rsid w:val="00173EA9"/>
    <w:rsid w:val="00174F31"/>
    <w:rsid w:val="00175C28"/>
    <w:rsid w:val="001768CF"/>
    <w:rsid w:val="00177476"/>
    <w:rsid w:val="0017756C"/>
    <w:rsid w:val="0017758F"/>
    <w:rsid w:val="00177668"/>
    <w:rsid w:val="00177990"/>
    <w:rsid w:val="00177A72"/>
    <w:rsid w:val="00180769"/>
    <w:rsid w:val="00180F9A"/>
    <w:rsid w:val="001810ED"/>
    <w:rsid w:val="00181522"/>
    <w:rsid w:val="0018177C"/>
    <w:rsid w:val="00181DA7"/>
    <w:rsid w:val="00182144"/>
    <w:rsid w:val="00182784"/>
    <w:rsid w:val="00182AEC"/>
    <w:rsid w:val="00182CFF"/>
    <w:rsid w:val="00183310"/>
    <w:rsid w:val="0018409A"/>
    <w:rsid w:val="00184514"/>
    <w:rsid w:val="00184808"/>
    <w:rsid w:val="00184E20"/>
    <w:rsid w:val="00185120"/>
    <w:rsid w:val="00186DEF"/>
    <w:rsid w:val="00186E58"/>
    <w:rsid w:val="00187310"/>
    <w:rsid w:val="001873C1"/>
    <w:rsid w:val="00187D50"/>
    <w:rsid w:val="00187EFF"/>
    <w:rsid w:val="00190167"/>
    <w:rsid w:val="001902C3"/>
    <w:rsid w:val="001903A8"/>
    <w:rsid w:val="00190E08"/>
    <w:rsid w:val="001917BD"/>
    <w:rsid w:val="00191941"/>
    <w:rsid w:val="00191A56"/>
    <w:rsid w:val="00191AB6"/>
    <w:rsid w:val="00191C2A"/>
    <w:rsid w:val="00192166"/>
    <w:rsid w:val="001922B6"/>
    <w:rsid w:val="001922C4"/>
    <w:rsid w:val="001925F0"/>
    <w:rsid w:val="00192B58"/>
    <w:rsid w:val="00192BE4"/>
    <w:rsid w:val="00193AC9"/>
    <w:rsid w:val="00193C65"/>
    <w:rsid w:val="001943EA"/>
    <w:rsid w:val="00194564"/>
    <w:rsid w:val="00194D55"/>
    <w:rsid w:val="001950A6"/>
    <w:rsid w:val="001954A2"/>
    <w:rsid w:val="00195746"/>
    <w:rsid w:val="00196076"/>
    <w:rsid w:val="0019610E"/>
    <w:rsid w:val="001970DA"/>
    <w:rsid w:val="00197536"/>
    <w:rsid w:val="00197A86"/>
    <w:rsid w:val="00197C26"/>
    <w:rsid w:val="00197F69"/>
    <w:rsid w:val="001A065E"/>
    <w:rsid w:val="001A06D5"/>
    <w:rsid w:val="001A0F99"/>
    <w:rsid w:val="001A171F"/>
    <w:rsid w:val="001A1995"/>
    <w:rsid w:val="001A1BBB"/>
    <w:rsid w:val="001A1FEC"/>
    <w:rsid w:val="001A244B"/>
    <w:rsid w:val="001A26AC"/>
    <w:rsid w:val="001A270A"/>
    <w:rsid w:val="001A2A7D"/>
    <w:rsid w:val="001A2B06"/>
    <w:rsid w:val="001A2CC2"/>
    <w:rsid w:val="001A2DE0"/>
    <w:rsid w:val="001A2F8F"/>
    <w:rsid w:val="001A3269"/>
    <w:rsid w:val="001A34FA"/>
    <w:rsid w:val="001A369E"/>
    <w:rsid w:val="001A3714"/>
    <w:rsid w:val="001A399C"/>
    <w:rsid w:val="001A3E07"/>
    <w:rsid w:val="001A49DD"/>
    <w:rsid w:val="001A4AAE"/>
    <w:rsid w:val="001A53F9"/>
    <w:rsid w:val="001A541A"/>
    <w:rsid w:val="001A5844"/>
    <w:rsid w:val="001A5FC2"/>
    <w:rsid w:val="001A60E2"/>
    <w:rsid w:val="001A68E1"/>
    <w:rsid w:val="001A6FF7"/>
    <w:rsid w:val="001A721F"/>
    <w:rsid w:val="001A72B6"/>
    <w:rsid w:val="001A7B16"/>
    <w:rsid w:val="001A7B37"/>
    <w:rsid w:val="001A7E07"/>
    <w:rsid w:val="001B0120"/>
    <w:rsid w:val="001B0B53"/>
    <w:rsid w:val="001B0B75"/>
    <w:rsid w:val="001B0D64"/>
    <w:rsid w:val="001B0D76"/>
    <w:rsid w:val="001B0DF3"/>
    <w:rsid w:val="001B120F"/>
    <w:rsid w:val="001B121D"/>
    <w:rsid w:val="001B185A"/>
    <w:rsid w:val="001B1D8D"/>
    <w:rsid w:val="001B1FC2"/>
    <w:rsid w:val="001B22D5"/>
    <w:rsid w:val="001B2BAA"/>
    <w:rsid w:val="001B3027"/>
    <w:rsid w:val="001B3810"/>
    <w:rsid w:val="001B38EB"/>
    <w:rsid w:val="001B3968"/>
    <w:rsid w:val="001B4041"/>
    <w:rsid w:val="001B42B0"/>
    <w:rsid w:val="001B4771"/>
    <w:rsid w:val="001B4AD7"/>
    <w:rsid w:val="001B4D74"/>
    <w:rsid w:val="001B4FA4"/>
    <w:rsid w:val="001B5B88"/>
    <w:rsid w:val="001B5E99"/>
    <w:rsid w:val="001B5FF6"/>
    <w:rsid w:val="001B6648"/>
    <w:rsid w:val="001B754B"/>
    <w:rsid w:val="001C003E"/>
    <w:rsid w:val="001C010A"/>
    <w:rsid w:val="001C050A"/>
    <w:rsid w:val="001C0CBE"/>
    <w:rsid w:val="001C108B"/>
    <w:rsid w:val="001C10D8"/>
    <w:rsid w:val="001C13E2"/>
    <w:rsid w:val="001C1402"/>
    <w:rsid w:val="001C1699"/>
    <w:rsid w:val="001C1E86"/>
    <w:rsid w:val="001C21CE"/>
    <w:rsid w:val="001C2A60"/>
    <w:rsid w:val="001C2A82"/>
    <w:rsid w:val="001C30C7"/>
    <w:rsid w:val="001C37B0"/>
    <w:rsid w:val="001C3B8C"/>
    <w:rsid w:val="001C3CCE"/>
    <w:rsid w:val="001C4117"/>
    <w:rsid w:val="001C4287"/>
    <w:rsid w:val="001C4571"/>
    <w:rsid w:val="001C5033"/>
    <w:rsid w:val="001C57CB"/>
    <w:rsid w:val="001C58AE"/>
    <w:rsid w:val="001C5931"/>
    <w:rsid w:val="001C5DE7"/>
    <w:rsid w:val="001C5E6A"/>
    <w:rsid w:val="001C5EB5"/>
    <w:rsid w:val="001C600F"/>
    <w:rsid w:val="001C609E"/>
    <w:rsid w:val="001C655C"/>
    <w:rsid w:val="001C65EC"/>
    <w:rsid w:val="001C66A6"/>
    <w:rsid w:val="001C6C23"/>
    <w:rsid w:val="001C7116"/>
    <w:rsid w:val="001C7611"/>
    <w:rsid w:val="001C7F64"/>
    <w:rsid w:val="001D044F"/>
    <w:rsid w:val="001D0538"/>
    <w:rsid w:val="001D0D08"/>
    <w:rsid w:val="001D0F7E"/>
    <w:rsid w:val="001D1547"/>
    <w:rsid w:val="001D15C1"/>
    <w:rsid w:val="001D2215"/>
    <w:rsid w:val="001D28F7"/>
    <w:rsid w:val="001D2970"/>
    <w:rsid w:val="001D30C4"/>
    <w:rsid w:val="001D3469"/>
    <w:rsid w:val="001D34E9"/>
    <w:rsid w:val="001D3D6F"/>
    <w:rsid w:val="001D5017"/>
    <w:rsid w:val="001D5216"/>
    <w:rsid w:val="001D5502"/>
    <w:rsid w:val="001D6269"/>
    <w:rsid w:val="001D6300"/>
    <w:rsid w:val="001D637E"/>
    <w:rsid w:val="001D6AE6"/>
    <w:rsid w:val="001D7AAA"/>
    <w:rsid w:val="001E0666"/>
    <w:rsid w:val="001E0E6F"/>
    <w:rsid w:val="001E1E0D"/>
    <w:rsid w:val="001E1F7C"/>
    <w:rsid w:val="001E20E7"/>
    <w:rsid w:val="001E2769"/>
    <w:rsid w:val="001E32FA"/>
    <w:rsid w:val="001E37A6"/>
    <w:rsid w:val="001E3B8C"/>
    <w:rsid w:val="001E40F0"/>
    <w:rsid w:val="001E4193"/>
    <w:rsid w:val="001E4609"/>
    <w:rsid w:val="001E4753"/>
    <w:rsid w:val="001E4A08"/>
    <w:rsid w:val="001E4CBD"/>
    <w:rsid w:val="001E4DD5"/>
    <w:rsid w:val="001E5D52"/>
    <w:rsid w:val="001E61F3"/>
    <w:rsid w:val="001E6687"/>
    <w:rsid w:val="001E6D04"/>
    <w:rsid w:val="001E71D2"/>
    <w:rsid w:val="001E7246"/>
    <w:rsid w:val="001E74A3"/>
    <w:rsid w:val="001E7B11"/>
    <w:rsid w:val="001F06E7"/>
    <w:rsid w:val="001F09B4"/>
    <w:rsid w:val="001F1145"/>
    <w:rsid w:val="001F12F0"/>
    <w:rsid w:val="001F13F7"/>
    <w:rsid w:val="001F17CB"/>
    <w:rsid w:val="001F1C02"/>
    <w:rsid w:val="001F3AA8"/>
    <w:rsid w:val="001F3AF5"/>
    <w:rsid w:val="001F45ED"/>
    <w:rsid w:val="001F52AA"/>
    <w:rsid w:val="001F5BB0"/>
    <w:rsid w:val="001F63D8"/>
    <w:rsid w:val="001F6EFB"/>
    <w:rsid w:val="001F736E"/>
    <w:rsid w:val="001F7F43"/>
    <w:rsid w:val="00200678"/>
    <w:rsid w:val="00200970"/>
    <w:rsid w:val="00200C31"/>
    <w:rsid w:val="00200DEA"/>
    <w:rsid w:val="0020158E"/>
    <w:rsid w:val="00201E7D"/>
    <w:rsid w:val="00201EC8"/>
    <w:rsid w:val="0020253A"/>
    <w:rsid w:val="00202E57"/>
    <w:rsid w:val="00202F9E"/>
    <w:rsid w:val="00203720"/>
    <w:rsid w:val="00203BC7"/>
    <w:rsid w:val="0020402E"/>
    <w:rsid w:val="00204B8C"/>
    <w:rsid w:val="00205041"/>
    <w:rsid w:val="00205DBA"/>
    <w:rsid w:val="00206E64"/>
    <w:rsid w:val="0020767B"/>
    <w:rsid w:val="002076FD"/>
    <w:rsid w:val="002077B7"/>
    <w:rsid w:val="00207AB8"/>
    <w:rsid w:val="00207B66"/>
    <w:rsid w:val="00207C0B"/>
    <w:rsid w:val="00207CF9"/>
    <w:rsid w:val="00210331"/>
    <w:rsid w:val="002109CB"/>
    <w:rsid w:val="00210C9B"/>
    <w:rsid w:val="0021145D"/>
    <w:rsid w:val="00211797"/>
    <w:rsid w:val="002119A6"/>
    <w:rsid w:val="00211CA9"/>
    <w:rsid w:val="0021213D"/>
    <w:rsid w:val="0021264D"/>
    <w:rsid w:val="00212908"/>
    <w:rsid w:val="00212C3C"/>
    <w:rsid w:val="0021387B"/>
    <w:rsid w:val="00213BCC"/>
    <w:rsid w:val="00214AEE"/>
    <w:rsid w:val="00214D8B"/>
    <w:rsid w:val="00215350"/>
    <w:rsid w:val="002153C1"/>
    <w:rsid w:val="00215C92"/>
    <w:rsid w:val="0021628D"/>
    <w:rsid w:val="00216CFD"/>
    <w:rsid w:val="0021784F"/>
    <w:rsid w:val="00217F5A"/>
    <w:rsid w:val="002200B5"/>
    <w:rsid w:val="002204A1"/>
    <w:rsid w:val="002205A4"/>
    <w:rsid w:val="00220859"/>
    <w:rsid w:val="00220B7B"/>
    <w:rsid w:val="00221494"/>
    <w:rsid w:val="002214AF"/>
    <w:rsid w:val="00221C5E"/>
    <w:rsid w:val="00222200"/>
    <w:rsid w:val="002223E9"/>
    <w:rsid w:val="00222DE9"/>
    <w:rsid w:val="00223223"/>
    <w:rsid w:val="0022340B"/>
    <w:rsid w:val="002236E2"/>
    <w:rsid w:val="00223D8C"/>
    <w:rsid w:val="00223EB4"/>
    <w:rsid w:val="002245A8"/>
    <w:rsid w:val="00224724"/>
    <w:rsid w:val="00226363"/>
    <w:rsid w:val="00227241"/>
    <w:rsid w:val="002272D6"/>
    <w:rsid w:val="00227635"/>
    <w:rsid w:val="00227B4A"/>
    <w:rsid w:val="00227E79"/>
    <w:rsid w:val="002302D5"/>
    <w:rsid w:val="00230631"/>
    <w:rsid w:val="00230864"/>
    <w:rsid w:val="00230F93"/>
    <w:rsid w:val="0023123C"/>
    <w:rsid w:val="002315DA"/>
    <w:rsid w:val="00231E72"/>
    <w:rsid w:val="00231E9E"/>
    <w:rsid w:val="002322FA"/>
    <w:rsid w:val="00232368"/>
    <w:rsid w:val="00232419"/>
    <w:rsid w:val="00232DFD"/>
    <w:rsid w:val="00232E7C"/>
    <w:rsid w:val="002335E0"/>
    <w:rsid w:val="00233CAC"/>
    <w:rsid w:val="002340CA"/>
    <w:rsid w:val="002341D4"/>
    <w:rsid w:val="00234453"/>
    <w:rsid w:val="002344E9"/>
    <w:rsid w:val="002357CD"/>
    <w:rsid w:val="00235C98"/>
    <w:rsid w:val="00236007"/>
    <w:rsid w:val="002361A0"/>
    <w:rsid w:val="00237C3B"/>
    <w:rsid w:val="00237C80"/>
    <w:rsid w:val="00237FAC"/>
    <w:rsid w:val="00240014"/>
    <w:rsid w:val="00240674"/>
    <w:rsid w:val="00240758"/>
    <w:rsid w:val="00240DDE"/>
    <w:rsid w:val="002413A3"/>
    <w:rsid w:val="00241BA5"/>
    <w:rsid w:val="00241D67"/>
    <w:rsid w:val="0024254B"/>
    <w:rsid w:val="0024276F"/>
    <w:rsid w:val="002427D1"/>
    <w:rsid w:val="00242A00"/>
    <w:rsid w:val="00243469"/>
    <w:rsid w:val="002434BE"/>
    <w:rsid w:val="002452C5"/>
    <w:rsid w:val="0024557B"/>
    <w:rsid w:val="00245588"/>
    <w:rsid w:val="00245889"/>
    <w:rsid w:val="00245985"/>
    <w:rsid w:val="00245CDF"/>
    <w:rsid w:val="00245EA7"/>
    <w:rsid w:val="00246138"/>
    <w:rsid w:val="00246459"/>
    <w:rsid w:val="00247584"/>
    <w:rsid w:val="002476C5"/>
    <w:rsid w:val="00247952"/>
    <w:rsid w:val="00247CD2"/>
    <w:rsid w:val="00250D21"/>
    <w:rsid w:val="00250E16"/>
    <w:rsid w:val="0025132F"/>
    <w:rsid w:val="00251540"/>
    <w:rsid w:val="0025197C"/>
    <w:rsid w:val="00252902"/>
    <w:rsid w:val="00252BDE"/>
    <w:rsid w:val="00253297"/>
    <w:rsid w:val="002537C3"/>
    <w:rsid w:val="00253A77"/>
    <w:rsid w:val="00253F25"/>
    <w:rsid w:val="00254BED"/>
    <w:rsid w:val="00254E3D"/>
    <w:rsid w:val="00255487"/>
    <w:rsid w:val="00255D9F"/>
    <w:rsid w:val="00255DD5"/>
    <w:rsid w:val="002566F2"/>
    <w:rsid w:val="00256C4F"/>
    <w:rsid w:val="00257681"/>
    <w:rsid w:val="00257753"/>
    <w:rsid w:val="0025799D"/>
    <w:rsid w:val="00257ACA"/>
    <w:rsid w:val="00257B15"/>
    <w:rsid w:val="002603FB"/>
    <w:rsid w:val="00260B17"/>
    <w:rsid w:val="002610A9"/>
    <w:rsid w:val="00261B01"/>
    <w:rsid w:val="00261EA4"/>
    <w:rsid w:val="00262009"/>
    <w:rsid w:val="0026250E"/>
    <w:rsid w:val="00262750"/>
    <w:rsid w:val="002638F6"/>
    <w:rsid w:val="00263993"/>
    <w:rsid w:val="00263A13"/>
    <w:rsid w:val="00263B46"/>
    <w:rsid w:val="00263CE2"/>
    <w:rsid w:val="00263E6E"/>
    <w:rsid w:val="002648DC"/>
    <w:rsid w:val="00264BAC"/>
    <w:rsid w:val="00265372"/>
    <w:rsid w:val="00265E0A"/>
    <w:rsid w:val="002668AE"/>
    <w:rsid w:val="002669E7"/>
    <w:rsid w:val="00266CA2"/>
    <w:rsid w:val="00266E90"/>
    <w:rsid w:val="00266EBC"/>
    <w:rsid w:val="00266F6C"/>
    <w:rsid w:val="00267784"/>
    <w:rsid w:val="002678BE"/>
    <w:rsid w:val="00267DFB"/>
    <w:rsid w:val="0027013E"/>
    <w:rsid w:val="00270643"/>
    <w:rsid w:val="00270D63"/>
    <w:rsid w:val="00271576"/>
    <w:rsid w:val="0027173F"/>
    <w:rsid w:val="00271769"/>
    <w:rsid w:val="00271A1B"/>
    <w:rsid w:val="00271EAA"/>
    <w:rsid w:val="00273295"/>
    <w:rsid w:val="00273918"/>
    <w:rsid w:val="00273AA8"/>
    <w:rsid w:val="002740B7"/>
    <w:rsid w:val="00274F72"/>
    <w:rsid w:val="00275026"/>
    <w:rsid w:val="002751EC"/>
    <w:rsid w:val="00275D59"/>
    <w:rsid w:val="00276019"/>
    <w:rsid w:val="0027618D"/>
    <w:rsid w:val="00276919"/>
    <w:rsid w:val="002769E7"/>
    <w:rsid w:val="0027722E"/>
    <w:rsid w:val="002774A5"/>
    <w:rsid w:val="00280499"/>
    <w:rsid w:val="0028057C"/>
    <w:rsid w:val="00280B21"/>
    <w:rsid w:val="00281016"/>
    <w:rsid w:val="00281CB9"/>
    <w:rsid w:val="00281D6B"/>
    <w:rsid w:val="00281DCD"/>
    <w:rsid w:val="002820A7"/>
    <w:rsid w:val="00282259"/>
    <w:rsid w:val="00282399"/>
    <w:rsid w:val="002828E1"/>
    <w:rsid w:val="002828F2"/>
    <w:rsid w:val="00283999"/>
    <w:rsid w:val="00283C55"/>
    <w:rsid w:val="00283D7E"/>
    <w:rsid w:val="002842FF"/>
    <w:rsid w:val="00284ACB"/>
    <w:rsid w:val="00284EBD"/>
    <w:rsid w:val="00284F54"/>
    <w:rsid w:val="002850AC"/>
    <w:rsid w:val="002851E8"/>
    <w:rsid w:val="002858D6"/>
    <w:rsid w:val="00285A39"/>
    <w:rsid w:val="00285C28"/>
    <w:rsid w:val="00285F00"/>
    <w:rsid w:val="00285F51"/>
    <w:rsid w:val="002861D0"/>
    <w:rsid w:val="002861F6"/>
    <w:rsid w:val="0028648D"/>
    <w:rsid w:val="00286943"/>
    <w:rsid w:val="002869C9"/>
    <w:rsid w:val="00287CAE"/>
    <w:rsid w:val="00287E57"/>
    <w:rsid w:val="00287F13"/>
    <w:rsid w:val="00290C0A"/>
    <w:rsid w:val="002910A8"/>
    <w:rsid w:val="0029114A"/>
    <w:rsid w:val="002915E3"/>
    <w:rsid w:val="00291A18"/>
    <w:rsid w:val="00291ACA"/>
    <w:rsid w:val="00291B79"/>
    <w:rsid w:val="00291BD3"/>
    <w:rsid w:val="00291E74"/>
    <w:rsid w:val="002926A3"/>
    <w:rsid w:val="002927A5"/>
    <w:rsid w:val="002927C7"/>
    <w:rsid w:val="0029291D"/>
    <w:rsid w:val="002929C1"/>
    <w:rsid w:val="00292A6D"/>
    <w:rsid w:val="00292DAC"/>
    <w:rsid w:val="00292EA7"/>
    <w:rsid w:val="002930EB"/>
    <w:rsid w:val="002937F2"/>
    <w:rsid w:val="002938D1"/>
    <w:rsid w:val="00293A70"/>
    <w:rsid w:val="00293D86"/>
    <w:rsid w:val="00294141"/>
    <w:rsid w:val="002943F7"/>
    <w:rsid w:val="00294EDE"/>
    <w:rsid w:val="00295BD9"/>
    <w:rsid w:val="00295E04"/>
    <w:rsid w:val="00296507"/>
    <w:rsid w:val="00296536"/>
    <w:rsid w:val="00296594"/>
    <w:rsid w:val="00296AEA"/>
    <w:rsid w:val="00296D76"/>
    <w:rsid w:val="002971D3"/>
    <w:rsid w:val="002A05BF"/>
    <w:rsid w:val="002A0856"/>
    <w:rsid w:val="002A09F7"/>
    <w:rsid w:val="002A0D89"/>
    <w:rsid w:val="002A1315"/>
    <w:rsid w:val="002A1809"/>
    <w:rsid w:val="002A230E"/>
    <w:rsid w:val="002A240D"/>
    <w:rsid w:val="002A27BB"/>
    <w:rsid w:val="002A2E02"/>
    <w:rsid w:val="002A379E"/>
    <w:rsid w:val="002A431B"/>
    <w:rsid w:val="002A4B35"/>
    <w:rsid w:val="002A4C4B"/>
    <w:rsid w:val="002A4F02"/>
    <w:rsid w:val="002A5367"/>
    <w:rsid w:val="002A5933"/>
    <w:rsid w:val="002A6936"/>
    <w:rsid w:val="002A6B26"/>
    <w:rsid w:val="002A6BC8"/>
    <w:rsid w:val="002A7706"/>
    <w:rsid w:val="002A7AF6"/>
    <w:rsid w:val="002B07CC"/>
    <w:rsid w:val="002B1023"/>
    <w:rsid w:val="002B1258"/>
    <w:rsid w:val="002B1C0B"/>
    <w:rsid w:val="002B1DB7"/>
    <w:rsid w:val="002B1F08"/>
    <w:rsid w:val="002B2A75"/>
    <w:rsid w:val="002B2FED"/>
    <w:rsid w:val="002B3136"/>
    <w:rsid w:val="002B3591"/>
    <w:rsid w:val="002B3E50"/>
    <w:rsid w:val="002B50EE"/>
    <w:rsid w:val="002B5D9C"/>
    <w:rsid w:val="002B6490"/>
    <w:rsid w:val="002B6633"/>
    <w:rsid w:val="002B6678"/>
    <w:rsid w:val="002B6AFE"/>
    <w:rsid w:val="002B6F65"/>
    <w:rsid w:val="002B6FD9"/>
    <w:rsid w:val="002B7642"/>
    <w:rsid w:val="002B7737"/>
    <w:rsid w:val="002B773A"/>
    <w:rsid w:val="002B7B9A"/>
    <w:rsid w:val="002B7F96"/>
    <w:rsid w:val="002C00F0"/>
    <w:rsid w:val="002C04CC"/>
    <w:rsid w:val="002C0BA7"/>
    <w:rsid w:val="002C1605"/>
    <w:rsid w:val="002C1674"/>
    <w:rsid w:val="002C1888"/>
    <w:rsid w:val="002C1B06"/>
    <w:rsid w:val="002C1C6A"/>
    <w:rsid w:val="002C1D0F"/>
    <w:rsid w:val="002C2284"/>
    <w:rsid w:val="002C2423"/>
    <w:rsid w:val="002C2628"/>
    <w:rsid w:val="002C2830"/>
    <w:rsid w:val="002C2CF0"/>
    <w:rsid w:val="002C2D22"/>
    <w:rsid w:val="002C2E9C"/>
    <w:rsid w:val="002C2F09"/>
    <w:rsid w:val="002C30EA"/>
    <w:rsid w:val="002C3892"/>
    <w:rsid w:val="002C3B4F"/>
    <w:rsid w:val="002C3DB7"/>
    <w:rsid w:val="002C47BC"/>
    <w:rsid w:val="002C4F0E"/>
    <w:rsid w:val="002C5893"/>
    <w:rsid w:val="002C5BF2"/>
    <w:rsid w:val="002C5D09"/>
    <w:rsid w:val="002C6078"/>
    <w:rsid w:val="002C6271"/>
    <w:rsid w:val="002C73DF"/>
    <w:rsid w:val="002C77F7"/>
    <w:rsid w:val="002C7816"/>
    <w:rsid w:val="002C7EB8"/>
    <w:rsid w:val="002D016B"/>
    <w:rsid w:val="002D05FA"/>
    <w:rsid w:val="002D1293"/>
    <w:rsid w:val="002D140F"/>
    <w:rsid w:val="002D1573"/>
    <w:rsid w:val="002D1A34"/>
    <w:rsid w:val="002D1DED"/>
    <w:rsid w:val="002D2413"/>
    <w:rsid w:val="002D249B"/>
    <w:rsid w:val="002D26CF"/>
    <w:rsid w:val="002D278F"/>
    <w:rsid w:val="002D29D1"/>
    <w:rsid w:val="002D2BB9"/>
    <w:rsid w:val="002D2D26"/>
    <w:rsid w:val="002D3679"/>
    <w:rsid w:val="002D3D0B"/>
    <w:rsid w:val="002D3D30"/>
    <w:rsid w:val="002D3DDC"/>
    <w:rsid w:val="002D4268"/>
    <w:rsid w:val="002D4318"/>
    <w:rsid w:val="002D4568"/>
    <w:rsid w:val="002D46F3"/>
    <w:rsid w:val="002D4BC3"/>
    <w:rsid w:val="002D52E3"/>
    <w:rsid w:val="002D5A99"/>
    <w:rsid w:val="002D5D76"/>
    <w:rsid w:val="002D60C0"/>
    <w:rsid w:val="002D66E7"/>
    <w:rsid w:val="002D703A"/>
    <w:rsid w:val="002D716B"/>
    <w:rsid w:val="002D7705"/>
    <w:rsid w:val="002D7A2D"/>
    <w:rsid w:val="002D7CC7"/>
    <w:rsid w:val="002D7DB5"/>
    <w:rsid w:val="002D7F7F"/>
    <w:rsid w:val="002E02AC"/>
    <w:rsid w:val="002E0ABF"/>
    <w:rsid w:val="002E10E2"/>
    <w:rsid w:val="002E1544"/>
    <w:rsid w:val="002E1C8A"/>
    <w:rsid w:val="002E1F4E"/>
    <w:rsid w:val="002E21C2"/>
    <w:rsid w:val="002E2783"/>
    <w:rsid w:val="002E2801"/>
    <w:rsid w:val="002E2CFC"/>
    <w:rsid w:val="002E2E16"/>
    <w:rsid w:val="002E3589"/>
    <w:rsid w:val="002E37BD"/>
    <w:rsid w:val="002E38E4"/>
    <w:rsid w:val="002E3F7C"/>
    <w:rsid w:val="002E4144"/>
    <w:rsid w:val="002E4BCE"/>
    <w:rsid w:val="002E5619"/>
    <w:rsid w:val="002E5633"/>
    <w:rsid w:val="002E5A2E"/>
    <w:rsid w:val="002E5BC9"/>
    <w:rsid w:val="002E5BF3"/>
    <w:rsid w:val="002E6560"/>
    <w:rsid w:val="002E6790"/>
    <w:rsid w:val="002E6816"/>
    <w:rsid w:val="002E6BBC"/>
    <w:rsid w:val="002E6EE2"/>
    <w:rsid w:val="002E6EFB"/>
    <w:rsid w:val="002E7092"/>
    <w:rsid w:val="002E7472"/>
    <w:rsid w:val="002E779C"/>
    <w:rsid w:val="002E7C65"/>
    <w:rsid w:val="002E7F05"/>
    <w:rsid w:val="002F0499"/>
    <w:rsid w:val="002F06D5"/>
    <w:rsid w:val="002F0AAA"/>
    <w:rsid w:val="002F0FD3"/>
    <w:rsid w:val="002F10AD"/>
    <w:rsid w:val="002F12DF"/>
    <w:rsid w:val="002F15A4"/>
    <w:rsid w:val="002F19D8"/>
    <w:rsid w:val="002F1BEF"/>
    <w:rsid w:val="002F1C4F"/>
    <w:rsid w:val="002F1C7E"/>
    <w:rsid w:val="002F1DF6"/>
    <w:rsid w:val="002F2127"/>
    <w:rsid w:val="002F21C9"/>
    <w:rsid w:val="002F32B0"/>
    <w:rsid w:val="002F390E"/>
    <w:rsid w:val="002F3FC0"/>
    <w:rsid w:val="002F46AA"/>
    <w:rsid w:val="002F4D72"/>
    <w:rsid w:val="002F511D"/>
    <w:rsid w:val="002F522B"/>
    <w:rsid w:val="002F58A1"/>
    <w:rsid w:val="002F59E3"/>
    <w:rsid w:val="002F61EF"/>
    <w:rsid w:val="002F6310"/>
    <w:rsid w:val="002F6CB6"/>
    <w:rsid w:val="002F6E61"/>
    <w:rsid w:val="002F6EAB"/>
    <w:rsid w:val="002F70ED"/>
    <w:rsid w:val="002F76AA"/>
    <w:rsid w:val="00300294"/>
    <w:rsid w:val="00300A39"/>
    <w:rsid w:val="00300AC3"/>
    <w:rsid w:val="00300B82"/>
    <w:rsid w:val="00300C1D"/>
    <w:rsid w:val="00300E68"/>
    <w:rsid w:val="00301416"/>
    <w:rsid w:val="0030162B"/>
    <w:rsid w:val="00301C2D"/>
    <w:rsid w:val="00302563"/>
    <w:rsid w:val="003025B8"/>
    <w:rsid w:val="00302ACB"/>
    <w:rsid w:val="00302C52"/>
    <w:rsid w:val="00302D39"/>
    <w:rsid w:val="0030325D"/>
    <w:rsid w:val="00303355"/>
    <w:rsid w:val="003035A1"/>
    <w:rsid w:val="00303A0B"/>
    <w:rsid w:val="00303AB5"/>
    <w:rsid w:val="00304983"/>
    <w:rsid w:val="00305209"/>
    <w:rsid w:val="0030535B"/>
    <w:rsid w:val="00305403"/>
    <w:rsid w:val="00305932"/>
    <w:rsid w:val="00305BED"/>
    <w:rsid w:val="00305C5A"/>
    <w:rsid w:val="00305FE9"/>
    <w:rsid w:val="003074CA"/>
    <w:rsid w:val="0030796E"/>
    <w:rsid w:val="00307B58"/>
    <w:rsid w:val="00307BB0"/>
    <w:rsid w:val="00310022"/>
    <w:rsid w:val="003100C0"/>
    <w:rsid w:val="0031019F"/>
    <w:rsid w:val="003101E1"/>
    <w:rsid w:val="00310247"/>
    <w:rsid w:val="00310267"/>
    <w:rsid w:val="00310301"/>
    <w:rsid w:val="0031089E"/>
    <w:rsid w:val="00310970"/>
    <w:rsid w:val="00310CE6"/>
    <w:rsid w:val="00310D3A"/>
    <w:rsid w:val="00310D88"/>
    <w:rsid w:val="00310DF1"/>
    <w:rsid w:val="00311455"/>
    <w:rsid w:val="00311933"/>
    <w:rsid w:val="00312489"/>
    <w:rsid w:val="003125F4"/>
    <w:rsid w:val="00312D5C"/>
    <w:rsid w:val="00312E6B"/>
    <w:rsid w:val="003137CA"/>
    <w:rsid w:val="00313872"/>
    <w:rsid w:val="00314063"/>
    <w:rsid w:val="0031442D"/>
    <w:rsid w:val="003145AF"/>
    <w:rsid w:val="00314809"/>
    <w:rsid w:val="00316B41"/>
    <w:rsid w:val="00316EE3"/>
    <w:rsid w:val="00317027"/>
    <w:rsid w:val="00317187"/>
    <w:rsid w:val="00317547"/>
    <w:rsid w:val="00317B7A"/>
    <w:rsid w:val="003202B2"/>
    <w:rsid w:val="0032031F"/>
    <w:rsid w:val="00320671"/>
    <w:rsid w:val="00320AB7"/>
    <w:rsid w:val="003212F6"/>
    <w:rsid w:val="00321557"/>
    <w:rsid w:val="00321784"/>
    <w:rsid w:val="00321AC5"/>
    <w:rsid w:val="00321D81"/>
    <w:rsid w:val="003220C2"/>
    <w:rsid w:val="0032287A"/>
    <w:rsid w:val="00322928"/>
    <w:rsid w:val="00323046"/>
    <w:rsid w:val="0032328F"/>
    <w:rsid w:val="0032342C"/>
    <w:rsid w:val="00323983"/>
    <w:rsid w:val="003239DC"/>
    <w:rsid w:val="00323A3F"/>
    <w:rsid w:val="00323FA2"/>
    <w:rsid w:val="00323FC4"/>
    <w:rsid w:val="00324346"/>
    <w:rsid w:val="003249D5"/>
    <w:rsid w:val="00324A21"/>
    <w:rsid w:val="00324A5A"/>
    <w:rsid w:val="00324D2F"/>
    <w:rsid w:val="0032513B"/>
    <w:rsid w:val="0032597F"/>
    <w:rsid w:val="003260E3"/>
    <w:rsid w:val="00326350"/>
    <w:rsid w:val="00326614"/>
    <w:rsid w:val="003267E6"/>
    <w:rsid w:val="00327890"/>
    <w:rsid w:val="0033043C"/>
    <w:rsid w:val="00330540"/>
    <w:rsid w:val="0033095B"/>
    <w:rsid w:val="00330D15"/>
    <w:rsid w:val="003310FC"/>
    <w:rsid w:val="003313D4"/>
    <w:rsid w:val="00331455"/>
    <w:rsid w:val="00331676"/>
    <w:rsid w:val="00331AF5"/>
    <w:rsid w:val="00331D7D"/>
    <w:rsid w:val="00331E12"/>
    <w:rsid w:val="003324AF"/>
    <w:rsid w:val="003325F6"/>
    <w:rsid w:val="00332C27"/>
    <w:rsid w:val="00332C6E"/>
    <w:rsid w:val="00332F6E"/>
    <w:rsid w:val="00332FBF"/>
    <w:rsid w:val="00333D4C"/>
    <w:rsid w:val="00334269"/>
    <w:rsid w:val="00334348"/>
    <w:rsid w:val="00334738"/>
    <w:rsid w:val="00334814"/>
    <w:rsid w:val="00334944"/>
    <w:rsid w:val="00334F65"/>
    <w:rsid w:val="00335489"/>
    <w:rsid w:val="00335877"/>
    <w:rsid w:val="00335880"/>
    <w:rsid w:val="003360B4"/>
    <w:rsid w:val="0033679E"/>
    <w:rsid w:val="003369D4"/>
    <w:rsid w:val="00336C3F"/>
    <w:rsid w:val="003370BB"/>
    <w:rsid w:val="00337E40"/>
    <w:rsid w:val="00340376"/>
    <w:rsid w:val="00340694"/>
    <w:rsid w:val="003408B0"/>
    <w:rsid w:val="00340AE4"/>
    <w:rsid w:val="00340D2E"/>
    <w:rsid w:val="003411F8"/>
    <w:rsid w:val="003415A8"/>
    <w:rsid w:val="00341762"/>
    <w:rsid w:val="00341E7E"/>
    <w:rsid w:val="003426F3"/>
    <w:rsid w:val="00342D22"/>
    <w:rsid w:val="00342F0C"/>
    <w:rsid w:val="00342FA2"/>
    <w:rsid w:val="003438DB"/>
    <w:rsid w:val="00343A0B"/>
    <w:rsid w:val="00343FFC"/>
    <w:rsid w:val="00344D4D"/>
    <w:rsid w:val="003453CE"/>
    <w:rsid w:val="0034554A"/>
    <w:rsid w:val="00345804"/>
    <w:rsid w:val="00345E93"/>
    <w:rsid w:val="00345F4B"/>
    <w:rsid w:val="00345F69"/>
    <w:rsid w:val="00346062"/>
    <w:rsid w:val="003460FD"/>
    <w:rsid w:val="0034618E"/>
    <w:rsid w:val="00346287"/>
    <w:rsid w:val="00346289"/>
    <w:rsid w:val="0034681B"/>
    <w:rsid w:val="0034687D"/>
    <w:rsid w:val="00346FBE"/>
    <w:rsid w:val="00347A1A"/>
    <w:rsid w:val="00347FD7"/>
    <w:rsid w:val="00350018"/>
    <w:rsid w:val="00350107"/>
    <w:rsid w:val="00351099"/>
    <w:rsid w:val="0035149F"/>
    <w:rsid w:val="00351A26"/>
    <w:rsid w:val="00352A3F"/>
    <w:rsid w:val="00352AF3"/>
    <w:rsid w:val="0035318B"/>
    <w:rsid w:val="003531F1"/>
    <w:rsid w:val="003536BC"/>
    <w:rsid w:val="0035391D"/>
    <w:rsid w:val="00353D80"/>
    <w:rsid w:val="00353E0C"/>
    <w:rsid w:val="003541A4"/>
    <w:rsid w:val="00354880"/>
    <w:rsid w:val="00354B03"/>
    <w:rsid w:val="0035517B"/>
    <w:rsid w:val="00355533"/>
    <w:rsid w:val="00355D40"/>
    <w:rsid w:val="00355E81"/>
    <w:rsid w:val="0035632C"/>
    <w:rsid w:val="0035667D"/>
    <w:rsid w:val="003569AD"/>
    <w:rsid w:val="00356D6C"/>
    <w:rsid w:val="00356DA5"/>
    <w:rsid w:val="0035733F"/>
    <w:rsid w:val="003573BD"/>
    <w:rsid w:val="003573C1"/>
    <w:rsid w:val="0035760D"/>
    <w:rsid w:val="00357805"/>
    <w:rsid w:val="00357EC1"/>
    <w:rsid w:val="0036024F"/>
    <w:rsid w:val="003607B5"/>
    <w:rsid w:val="003612DB"/>
    <w:rsid w:val="00361356"/>
    <w:rsid w:val="003614D5"/>
    <w:rsid w:val="0036178B"/>
    <w:rsid w:val="00361938"/>
    <w:rsid w:val="00361B76"/>
    <w:rsid w:val="00362927"/>
    <w:rsid w:val="00362946"/>
    <w:rsid w:val="00362C76"/>
    <w:rsid w:val="00363B52"/>
    <w:rsid w:val="003641F2"/>
    <w:rsid w:val="00364928"/>
    <w:rsid w:val="00364A29"/>
    <w:rsid w:val="00364B48"/>
    <w:rsid w:val="00364D0F"/>
    <w:rsid w:val="00364EE3"/>
    <w:rsid w:val="003651AC"/>
    <w:rsid w:val="003653DC"/>
    <w:rsid w:val="0036551F"/>
    <w:rsid w:val="00365521"/>
    <w:rsid w:val="00365926"/>
    <w:rsid w:val="00365979"/>
    <w:rsid w:val="00366527"/>
    <w:rsid w:val="0036661E"/>
    <w:rsid w:val="00366BB8"/>
    <w:rsid w:val="00366FC5"/>
    <w:rsid w:val="00367B7C"/>
    <w:rsid w:val="003702DB"/>
    <w:rsid w:val="0037030A"/>
    <w:rsid w:val="00370395"/>
    <w:rsid w:val="00370B40"/>
    <w:rsid w:val="00370CD6"/>
    <w:rsid w:val="00371271"/>
    <w:rsid w:val="00371A02"/>
    <w:rsid w:val="00372680"/>
    <w:rsid w:val="0037272F"/>
    <w:rsid w:val="00372DBA"/>
    <w:rsid w:val="00372EA5"/>
    <w:rsid w:val="003738F2"/>
    <w:rsid w:val="00373991"/>
    <w:rsid w:val="00374151"/>
    <w:rsid w:val="003744AA"/>
    <w:rsid w:val="00374DE5"/>
    <w:rsid w:val="0037504E"/>
    <w:rsid w:val="003752B2"/>
    <w:rsid w:val="00375779"/>
    <w:rsid w:val="00375EFC"/>
    <w:rsid w:val="003764C4"/>
    <w:rsid w:val="003766E6"/>
    <w:rsid w:val="003767F8"/>
    <w:rsid w:val="00376E38"/>
    <w:rsid w:val="00377BD1"/>
    <w:rsid w:val="00377DAF"/>
    <w:rsid w:val="00377E40"/>
    <w:rsid w:val="003803B1"/>
    <w:rsid w:val="00380996"/>
    <w:rsid w:val="00380B7D"/>
    <w:rsid w:val="00380BAF"/>
    <w:rsid w:val="00380C84"/>
    <w:rsid w:val="00380CAE"/>
    <w:rsid w:val="00381042"/>
    <w:rsid w:val="003812DE"/>
    <w:rsid w:val="00382277"/>
    <w:rsid w:val="003824FE"/>
    <w:rsid w:val="00382716"/>
    <w:rsid w:val="00382BEC"/>
    <w:rsid w:val="00382D1E"/>
    <w:rsid w:val="00382DF1"/>
    <w:rsid w:val="00383DAB"/>
    <w:rsid w:val="00383E12"/>
    <w:rsid w:val="0038433C"/>
    <w:rsid w:val="00384490"/>
    <w:rsid w:val="00384A46"/>
    <w:rsid w:val="00384E18"/>
    <w:rsid w:val="003850B3"/>
    <w:rsid w:val="00385A30"/>
    <w:rsid w:val="00385DE4"/>
    <w:rsid w:val="00386099"/>
    <w:rsid w:val="003867DB"/>
    <w:rsid w:val="00386B09"/>
    <w:rsid w:val="00386BDF"/>
    <w:rsid w:val="00386F5C"/>
    <w:rsid w:val="00387453"/>
    <w:rsid w:val="0038769E"/>
    <w:rsid w:val="003879AB"/>
    <w:rsid w:val="00387B18"/>
    <w:rsid w:val="00390639"/>
    <w:rsid w:val="00390FE9"/>
    <w:rsid w:val="00391023"/>
    <w:rsid w:val="0039140D"/>
    <w:rsid w:val="00391945"/>
    <w:rsid w:val="00392234"/>
    <w:rsid w:val="0039231E"/>
    <w:rsid w:val="00392336"/>
    <w:rsid w:val="0039245B"/>
    <w:rsid w:val="00392517"/>
    <w:rsid w:val="00392C78"/>
    <w:rsid w:val="00392D02"/>
    <w:rsid w:val="00393105"/>
    <w:rsid w:val="0039334A"/>
    <w:rsid w:val="00393790"/>
    <w:rsid w:val="0039387C"/>
    <w:rsid w:val="0039389F"/>
    <w:rsid w:val="00393A14"/>
    <w:rsid w:val="00393C8E"/>
    <w:rsid w:val="003942AE"/>
    <w:rsid w:val="00394772"/>
    <w:rsid w:val="003949B7"/>
    <w:rsid w:val="00395908"/>
    <w:rsid w:val="00395BFD"/>
    <w:rsid w:val="00395C6B"/>
    <w:rsid w:val="0039616B"/>
    <w:rsid w:val="00396267"/>
    <w:rsid w:val="00396351"/>
    <w:rsid w:val="0039665E"/>
    <w:rsid w:val="00397152"/>
    <w:rsid w:val="0039728C"/>
    <w:rsid w:val="003975E6"/>
    <w:rsid w:val="00397942"/>
    <w:rsid w:val="00397D7B"/>
    <w:rsid w:val="003A0561"/>
    <w:rsid w:val="003A1296"/>
    <w:rsid w:val="003A18EF"/>
    <w:rsid w:val="003A1AD3"/>
    <w:rsid w:val="003A27BC"/>
    <w:rsid w:val="003A291E"/>
    <w:rsid w:val="003A2BF2"/>
    <w:rsid w:val="003A2C25"/>
    <w:rsid w:val="003A3B72"/>
    <w:rsid w:val="003A404B"/>
    <w:rsid w:val="003A4765"/>
    <w:rsid w:val="003A4884"/>
    <w:rsid w:val="003A4EAA"/>
    <w:rsid w:val="003A4FF2"/>
    <w:rsid w:val="003A5298"/>
    <w:rsid w:val="003A52D8"/>
    <w:rsid w:val="003A6719"/>
    <w:rsid w:val="003A685D"/>
    <w:rsid w:val="003A68A8"/>
    <w:rsid w:val="003A698C"/>
    <w:rsid w:val="003A69B9"/>
    <w:rsid w:val="003A7426"/>
    <w:rsid w:val="003A74AB"/>
    <w:rsid w:val="003A76B1"/>
    <w:rsid w:val="003A7991"/>
    <w:rsid w:val="003B000D"/>
    <w:rsid w:val="003B0280"/>
    <w:rsid w:val="003B0286"/>
    <w:rsid w:val="003B0411"/>
    <w:rsid w:val="003B0433"/>
    <w:rsid w:val="003B048D"/>
    <w:rsid w:val="003B0645"/>
    <w:rsid w:val="003B06EC"/>
    <w:rsid w:val="003B08E8"/>
    <w:rsid w:val="003B1070"/>
    <w:rsid w:val="003B1327"/>
    <w:rsid w:val="003B1A01"/>
    <w:rsid w:val="003B1DCB"/>
    <w:rsid w:val="003B20F7"/>
    <w:rsid w:val="003B260A"/>
    <w:rsid w:val="003B2B19"/>
    <w:rsid w:val="003B2B6E"/>
    <w:rsid w:val="003B322E"/>
    <w:rsid w:val="003B35D1"/>
    <w:rsid w:val="003B3AE6"/>
    <w:rsid w:val="003B412D"/>
    <w:rsid w:val="003B4857"/>
    <w:rsid w:val="003B4A6A"/>
    <w:rsid w:val="003B4CAF"/>
    <w:rsid w:val="003B547A"/>
    <w:rsid w:val="003B59E1"/>
    <w:rsid w:val="003B5D0D"/>
    <w:rsid w:val="003B6642"/>
    <w:rsid w:val="003B6B1C"/>
    <w:rsid w:val="003B6BB9"/>
    <w:rsid w:val="003B6D92"/>
    <w:rsid w:val="003B71D2"/>
    <w:rsid w:val="003B71FB"/>
    <w:rsid w:val="003B731F"/>
    <w:rsid w:val="003B758E"/>
    <w:rsid w:val="003B75BC"/>
    <w:rsid w:val="003B79F1"/>
    <w:rsid w:val="003B7F3C"/>
    <w:rsid w:val="003C02B3"/>
    <w:rsid w:val="003C0343"/>
    <w:rsid w:val="003C052B"/>
    <w:rsid w:val="003C0B4A"/>
    <w:rsid w:val="003C0BE4"/>
    <w:rsid w:val="003C1E91"/>
    <w:rsid w:val="003C262A"/>
    <w:rsid w:val="003C2BC8"/>
    <w:rsid w:val="003C2BD6"/>
    <w:rsid w:val="003C32E4"/>
    <w:rsid w:val="003C3D3E"/>
    <w:rsid w:val="003C4521"/>
    <w:rsid w:val="003C4D01"/>
    <w:rsid w:val="003C5726"/>
    <w:rsid w:val="003C6285"/>
    <w:rsid w:val="003C6723"/>
    <w:rsid w:val="003C724F"/>
    <w:rsid w:val="003C7734"/>
    <w:rsid w:val="003C7E93"/>
    <w:rsid w:val="003D01E7"/>
    <w:rsid w:val="003D0783"/>
    <w:rsid w:val="003D07B0"/>
    <w:rsid w:val="003D07EA"/>
    <w:rsid w:val="003D1051"/>
    <w:rsid w:val="003D11D3"/>
    <w:rsid w:val="003D17A6"/>
    <w:rsid w:val="003D2331"/>
    <w:rsid w:val="003D295B"/>
    <w:rsid w:val="003D2D09"/>
    <w:rsid w:val="003D346F"/>
    <w:rsid w:val="003D3916"/>
    <w:rsid w:val="003D3965"/>
    <w:rsid w:val="003D4050"/>
    <w:rsid w:val="003D40E2"/>
    <w:rsid w:val="003D4147"/>
    <w:rsid w:val="003D436F"/>
    <w:rsid w:val="003D4646"/>
    <w:rsid w:val="003D47C4"/>
    <w:rsid w:val="003D4F0B"/>
    <w:rsid w:val="003D535A"/>
    <w:rsid w:val="003D58C3"/>
    <w:rsid w:val="003D5C6A"/>
    <w:rsid w:val="003D71E8"/>
    <w:rsid w:val="003D75EF"/>
    <w:rsid w:val="003D7651"/>
    <w:rsid w:val="003D7696"/>
    <w:rsid w:val="003E0486"/>
    <w:rsid w:val="003E0767"/>
    <w:rsid w:val="003E0A62"/>
    <w:rsid w:val="003E135E"/>
    <w:rsid w:val="003E13D5"/>
    <w:rsid w:val="003E155C"/>
    <w:rsid w:val="003E15D6"/>
    <w:rsid w:val="003E1654"/>
    <w:rsid w:val="003E1671"/>
    <w:rsid w:val="003E1A65"/>
    <w:rsid w:val="003E204D"/>
    <w:rsid w:val="003E229B"/>
    <w:rsid w:val="003E259D"/>
    <w:rsid w:val="003E2A83"/>
    <w:rsid w:val="003E2D72"/>
    <w:rsid w:val="003E2D95"/>
    <w:rsid w:val="003E2FFE"/>
    <w:rsid w:val="003E3339"/>
    <w:rsid w:val="003E341A"/>
    <w:rsid w:val="003E352A"/>
    <w:rsid w:val="003E3CAD"/>
    <w:rsid w:val="003E3D9B"/>
    <w:rsid w:val="003E3E8F"/>
    <w:rsid w:val="003E42FC"/>
    <w:rsid w:val="003E46B0"/>
    <w:rsid w:val="003E47C8"/>
    <w:rsid w:val="003E4960"/>
    <w:rsid w:val="003E4ABD"/>
    <w:rsid w:val="003E4C41"/>
    <w:rsid w:val="003E536B"/>
    <w:rsid w:val="003E5AA2"/>
    <w:rsid w:val="003E6701"/>
    <w:rsid w:val="003E6DE8"/>
    <w:rsid w:val="003E7C24"/>
    <w:rsid w:val="003E7C28"/>
    <w:rsid w:val="003F019E"/>
    <w:rsid w:val="003F0757"/>
    <w:rsid w:val="003F0EDB"/>
    <w:rsid w:val="003F11A2"/>
    <w:rsid w:val="003F1E1C"/>
    <w:rsid w:val="003F2250"/>
    <w:rsid w:val="003F23EB"/>
    <w:rsid w:val="003F2915"/>
    <w:rsid w:val="003F2ED2"/>
    <w:rsid w:val="003F3850"/>
    <w:rsid w:val="003F3CA6"/>
    <w:rsid w:val="003F3DA7"/>
    <w:rsid w:val="003F429D"/>
    <w:rsid w:val="003F4A4C"/>
    <w:rsid w:val="003F4B54"/>
    <w:rsid w:val="003F56F0"/>
    <w:rsid w:val="003F5B25"/>
    <w:rsid w:val="003F5FC5"/>
    <w:rsid w:val="003F6B03"/>
    <w:rsid w:val="003F71B4"/>
    <w:rsid w:val="003F745A"/>
    <w:rsid w:val="003F76D5"/>
    <w:rsid w:val="00400423"/>
    <w:rsid w:val="00400AE4"/>
    <w:rsid w:val="0040114E"/>
    <w:rsid w:val="00401469"/>
    <w:rsid w:val="0040191F"/>
    <w:rsid w:val="00401A94"/>
    <w:rsid w:val="00401DB1"/>
    <w:rsid w:val="00401E3D"/>
    <w:rsid w:val="004021BA"/>
    <w:rsid w:val="004024BC"/>
    <w:rsid w:val="00402B46"/>
    <w:rsid w:val="00402FF0"/>
    <w:rsid w:val="0040319A"/>
    <w:rsid w:val="004035B8"/>
    <w:rsid w:val="00404600"/>
    <w:rsid w:val="00404C97"/>
    <w:rsid w:val="00404E19"/>
    <w:rsid w:val="00404FC6"/>
    <w:rsid w:val="0040523E"/>
    <w:rsid w:val="00405C1B"/>
    <w:rsid w:val="00405C62"/>
    <w:rsid w:val="00405E79"/>
    <w:rsid w:val="00406331"/>
    <w:rsid w:val="0040634A"/>
    <w:rsid w:val="00406577"/>
    <w:rsid w:val="00406870"/>
    <w:rsid w:val="0040694F"/>
    <w:rsid w:val="004069BD"/>
    <w:rsid w:val="00406CB2"/>
    <w:rsid w:val="00406D8E"/>
    <w:rsid w:val="00406E03"/>
    <w:rsid w:val="004071A0"/>
    <w:rsid w:val="00410306"/>
    <w:rsid w:val="0041076F"/>
    <w:rsid w:val="00411584"/>
    <w:rsid w:val="0041217C"/>
    <w:rsid w:val="004128A2"/>
    <w:rsid w:val="00413151"/>
    <w:rsid w:val="0041353D"/>
    <w:rsid w:val="00413623"/>
    <w:rsid w:val="00413765"/>
    <w:rsid w:val="00413CB8"/>
    <w:rsid w:val="00413F32"/>
    <w:rsid w:val="004142D2"/>
    <w:rsid w:val="00414570"/>
    <w:rsid w:val="00415019"/>
    <w:rsid w:val="0041511A"/>
    <w:rsid w:val="00415219"/>
    <w:rsid w:val="00415363"/>
    <w:rsid w:val="00415583"/>
    <w:rsid w:val="0041573F"/>
    <w:rsid w:val="00415744"/>
    <w:rsid w:val="00416221"/>
    <w:rsid w:val="004163B9"/>
    <w:rsid w:val="004166BD"/>
    <w:rsid w:val="0041690E"/>
    <w:rsid w:val="00416BB7"/>
    <w:rsid w:val="00416E91"/>
    <w:rsid w:val="0041725E"/>
    <w:rsid w:val="004177BB"/>
    <w:rsid w:val="0042084C"/>
    <w:rsid w:val="004211EA"/>
    <w:rsid w:val="0042164E"/>
    <w:rsid w:val="0042167F"/>
    <w:rsid w:val="00421AB4"/>
    <w:rsid w:val="004222FC"/>
    <w:rsid w:val="00422356"/>
    <w:rsid w:val="004227DB"/>
    <w:rsid w:val="00423093"/>
    <w:rsid w:val="004237FC"/>
    <w:rsid w:val="00423B7B"/>
    <w:rsid w:val="00423FFB"/>
    <w:rsid w:val="00424598"/>
    <w:rsid w:val="00424774"/>
    <w:rsid w:val="004247BE"/>
    <w:rsid w:val="00424E1B"/>
    <w:rsid w:val="00425440"/>
    <w:rsid w:val="00425757"/>
    <w:rsid w:val="00425A5C"/>
    <w:rsid w:val="00425DCF"/>
    <w:rsid w:val="00425E00"/>
    <w:rsid w:val="00425EB7"/>
    <w:rsid w:val="00425FA7"/>
    <w:rsid w:val="004264D9"/>
    <w:rsid w:val="00426733"/>
    <w:rsid w:val="00426892"/>
    <w:rsid w:val="004269F4"/>
    <w:rsid w:val="00426A26"/>
    <w:rsid w:val="00427154"/>
    <w:rsid w:val="004278BE"/>
    <w:rsid w:val="00427DD1"/>
    <w:rsid w:val="004303DF"/>
    <w:rsid w:val="0043042E"/>
    <w:rsid w:val="0043059C"/>
    <w:rsid w:val="004311BA"/>
    <w:rsid w:val="00431A0B"/>
    <w:rsid w:val="00431A76"/>
    <w:rsid w:val="00431CC5"/>
    <w:rsid w:val="0043231C"/>
    <w:rsid w:val="00432E0F"/>
    <w:rsid w:val="004338AD"/>
    <w:rsid w:val="004339CC"/>
    <w:rsid w:val="00433AEF"/>
    <w:rsid w:val="00433B39"/>
    <w:rsid w:val="004347A2"/>
    <w:rsid w:val="004347F6"/>
    <w:rsid w:val="00434B45"/>
    <w:rsid w:val="00434F34"/>
    <w:rsid w:val="00435F37"/>
    <w:rsid w:val="00435F40"/>
    <w:rsid w:val="00436228"/>
    <w:rsid w:val="00436439"/>
    <w:rsid w:val="004365C1"/>
    <w:rsid w:val="0043666D"/>
    <w:rsid w:val="004368FF"/>
    <w:rsid w:val="00436ABC"/>
    <w:rsid w:val="00437F77"/>
    <w:rsid w:val="004402A9"/>
    <w:rsid w:val="004403AC"/>
    <w:rsid w:val="00440644"/>
    <w:rsid w:val="0044065E"/>
    <w:rsid w:val="0044095E"/>
    <w:rsid w:val="00440A05"/>
    <w:rsid w:val="00440B5F"/>
    <w:rsid w:val="00440B61"/>
    <w:rsid w:val="00440FCF"/>
    <w:rsid w:val="00441A04"/>
    <w:rsid w:val="00441F13"/>
    <w:rsid w:val="004428A6"/>
    <w:rsid w:val="00442913"/>
    <w:rsid w:val="00442A61"/>
    <w:rsid w:val="00442D18"/>
    <w:rsid w:val="00442D6B"/>
    <w:rsid w:val="004430AE"/>
    <w:rsid w:val="00443251"/>
    <w:rsid w:val="004433EF"/>
    <w:rsid w:val="004435FD"/>
    <w:rsid w:val="00444028"/>
    <w:rsid w:val="0044424D"/>
    <w:rsid w:val="00444751"/>
    <w:rsid w:val="0044479E"/>
    <w:rsid w:val="0044502E"/>
    <w:rsid w:val="00445464"/>
    <w:rsid w:val="004455FA"/>
    <w:rsid w:val="00445939"/>
    <w:rsid w:val="0044682C"/>
    <w:rsid w:val="00446B4E"/>
    <w:rsid w:val="00446D72"/>
    <w:rsid w:val="00447004"/>
    <w:rsid w:val="004472B2"/>
    <w:rsid w:val="00447577"/>
    <w:rsid w:val="00447E81"/>
    <w:rsid w:val="0045023F"/>
    <w:rsid w:val="004505E8"/>
    <w:rsid w:val="004509F0"/>
    <w:rsid w:val="00450F20"/>
    <w:rsid w:val="0045109D"/>
    <w:rsid w:val="004514BC"/>
    <w:rsid w:val="00451697"/>
    <w:rsid w:val="00451858"/>
    <w:rsid w:val="00451AD3"/>
    <w:rsid w:val="00451DDC"/>
    <w:rsid w:val="00451E38"/>
    <w:rsid w:val="0045236E"/>
    <w:rsid w:val="004523D8"/>
    <w:rsid w:val="0045275B"/>
    <w:rsid w:val="00452819"/>
    <w:rsid w:val="004529D3"/>
    <w:rsid w:val="004529E6"/>
    <w:rsid w:val="00452CF4"/>
    <w:rsid w:val="00452E0C"/>
    <w:rsid w:val="004533E8"/>
    <w:rsid w:val="0045387D"/>
    <w:rsid w:val="00453AB8"/>
    <w:rsid w:val="00453B8A"/>
    <w:rsid w:val="00454830"/>
    <w:rsid w:val="004553F0"/>
    <w:rsid w:val="00455692"/>
    <w:rsid w:val="00455C2E"/>
    <w:rsid w:val="00455C5C"/>
    <w:rsid w:val="00457411"/>
    <w:rsid w:val="004575E0"/>
    <w:rsid w:val="00457BFD"/>
    <w:rsid w:val="00457E12"/>
    <w:rsid w:val="00457FAD"/>
    <w:rsid w:val="004600C6"/>
    <w:rsid w:val="004604E3"/>
    <w:rsid w:val="0046069E"/>
    <w:rsid w:val="004611C8"/>
    <w:rsid w:val="004612BB"/>
    <w:rsid w:val="00461749"/>
    <w:rsid w:val="00461869"/>
    <w:rsid w:val="00461C48"/>
    <w:rsid w:val="00461D9B"/>
    <w:rsid w:val="00461FEB"/>
    <w:rsid w:val="004625F3"/>
    <w:rsid w:val="00462841"/>
    <w:rsid w:val="00462B3B"/>
    <w:rsid w:val="00462C37"/>
    <w:rsid w:val="00462D87"/>
    <w:rsid w:val="00463785"/>
    <w:rsid w:val="00463A16"/>
    <w:rsid w:val="00463E3F"/>
    <w:rsid w:val="00464C2D"/>
    <w:rsid w:val="00465065"/>
    <w:rsid w:val="0046513F"/>
    <w:rsid w:val="00465916"/>
    <w:rsid w:val="00466013"/>
    <w:rsid w:val="00466222"/>
    <w:rsid w:val="0046643C"/>
    <w:rsid w:val="00466575"/>
    <w:rsid w:val="00466FC7"/>
    <w:rsid w:val="004673AE"/>
    <w:rsid w:val="00467865"/>
    <w:rsid w:val="00467895"/>
    <w:rsid w:val="00467D69"/>
    <w:rsid w:val="00467E11"/>
    <w:rsid w:val="00467E6E"/>
    <w:rsid w:val="00470222"/>
    <w:rsid w:val="00470242"/>
    <w:rsid w:val="004704C5"/>
    <w:rsid w:val="004708C4"/>
    <w:rsid w:val="004709C7"/>
    <w:rsid w:val="00470CCF"/>
    <w:rsid w:val="00470D01"/>
    <w:rsid w:val="00470E24"/>
    <w:rsid w:val="00470E88"/>
    <w:rsid w:val="004714E3"/>
    <w:rsid w:val="0047168A"/>
    <w:rsid w:val="0047255A"/>
    <w:rsid w:val="00472C67"/>
    <w:rsid w:val="00472CEC"/>
    <w:rsid w:val="0047330A"/>
    <w:rsid w:val="00473362"/>
    <w:rsid w:val="0047392F"/>
    <w:rsid w:val="00473954"/>
    <w:rsid w:val="00473A28"/>
    <w:rsid w:val="00473B24"/>
    <w:rsid w:val="00473DFC"/>
    <w:rsid w:val="00474276"/>
    <w:rsid w:val="004747FA"/>
    <w:rsid w:val="00474893"/>
    <w:rsid w:val="00474A01"/>
    <w:rsid w:val="004752AC"/>
    <w:rsid w:val="004754F4"/>
    <w:rsid w:val="00476684"/>
    <w:rsid w:val="004771C6"/>
    <w:rsid w:val="0047734F"/>
    <w:rsid w:val="00477D16"/>
    <w:rsid w:val="00480574"/>
    <w:rsid w:val="00480DB5"/>
    <w:rsid w:val="00480E62"/>
    <w:rsid w:val="004811F2"/>
    <w:rsid w:val="004817FC"/>
    <w:rsid w:val="0048186A"/>
    <w:rsid w:val="00481BC4"/>
    <w:rsid w:val="00482932"/>
    <w:rsid w:val="00482B03"/>
    <w:rsid w:val="00482B2E"/>
    <w:rsid w:val="00482F4A"/>
    <w:rsid w:val="00483754"/>
    <w:rsid w:val="00483789"/>
    <w:rsid w:val="00483AF6"/>
    <w:rsid w:val="00484047"/>
    <w:rsid w:val="0048423E"/>
    <w:rsid w:val="00484668"/>
    <w:rsid w:val="00484D14"/>
    <w:rsid w:val="00485C9F"/>
    <w:rsid w:val="00485E88"/>
    <w:rsid w:val="0048622D"/>
    <w:rsid w:val="00486531"/>
    <w:rsid w:val="004865BD"/>
    <w:rsid w:val="0048683C"/>
    <w:rsid w:val="00486896"/>
    <w:rsid w:val="00486FB7"/>
    <w:rsid w:val="00487382"/>
    <w:rsid w:val="004879E9"/>
    <w:rsid w:val="00487C06"/>
    <w:rsid w:val="00487E5B"/>
    <w:rsid w:val="00487FD1"/>
    <w:rsid w:val="0049040B"/>
    <w:rsid w:val="004907E4"/>
    <w:rsid w:val="00490A50"/>
    <w:rsid w:val="00490A76"/>
    <w:rsid w:val="00491204"/>
    <w:rsid w:val="004915E6"/>
    <w:rsid w:val="00491BE6"/>
    <w:rsid w:val="00491E0C"/>
    <w:rsid w:val="00491F4F"/>
    <w:rsid w:val="00492022"/>
    <w:rsid w:val="00492A2D"/>
    <w:rsid w:val="00492AD7"/>
    <w:rsid w:val="004932A3"/>
    <w:rsid w:val="00493516"/>
    <w:rsid w:val="004938FD"/>
    <w:rsid w:val="00493945"/>
    <w:rsid w:val="00493BA1"/>
    <w:rsid w:val="00493D94"/>
    <w:rsid w:val="00493F03"/>
    <w:rsid w:val="00494044"/>
    <w:rsid w:val="0049435A"/>
    <w:rsid w:val="0049466F"/>
    <w:rsid w:val="0049514C"/>
    <w:rsid w:val="004952DA"/>
    <w:rsid w:val="00495854"/>
    <w:rsid w:val="004958E4"/>
    <w:rsid w:val="00496565"/>
    <w:rsid w:val="0049692D"/>
    <w:rsid w:val="00496CDC"/>
    <w:rsid w:val="00496D2A"/>
    <w:rsid w:val="0049704D"/>
    <w:rsid w:val="004972C6"/>
    <w:rsid w:val="004972F5"/>
    <w:rsid w:val="004974FF"/>
    <w:rsid w:val="004A01BA"/>
    <w:rsid w:val="004A0310"/>
    <w:rsid w:val="004A0A66"/>
    <w:rsid w:val="004A0D6F"/>
    <w:rsid w:val="004A14E3"/>
    <w:rsid w:val="004A1547"/>
    <w:rsid w:val="004A1959"/>
    <w:rsid w:val="004A1D1B"/>
    <w:rsid w:val="004A1E09"/>
    <w:rsid w:val="004A234D"/>
    <w:rsid w:val="004A24C1"/>
    <w:rsid w:val="004A271B"/>
    <w:rsid w:val="004A2B7F"/>
    <w:rsid w:val="004A2BA1"/>
    <w:rsid w:val="004A3174"/>
    <w:rsid w:val="004A31BE"/>
    <w:rsid w:val="004A32D9"/>
    <w:rsid w:val="004A359B"/>
    <w:rsid w:val="004A37D9"/>
    <w:rsid w:val="004A3D48"/>
    <w:rsid w:val="004A3DA9"/>
    <w:rsid w:val="004A3E61"/>
    <w:rsid w:val="004A423C"/>
    <w:rsid w:val="004A49DB"/>
    <w:rsid w:val="004A50C6"/>
    <w:rsid w:val="004A53BF"/>
    <w:rsid w:val="004A5A82"/>
    <w:rsid w:val="004A6935"/>
    <w:rsid w:val="004A6A5C"/>
    <w:rsid w:val="004A6B77"/>
    <w:rsid w:val="004A6CA9"/>
    <w:rsid w:val="004A7734"/>
    <w:rsid w:val="004B02E5"/>
    <w:rsid w:val="004B0450"/>
    <w:rsid w:val="004B0BE0"/>
    <w:rsid w:val="004B1482"/>
    <w:rsid w:val="004B1572"/>
    <w:rsid w:val="004B1694"/>
    <w:rsid w:val="004B169C"/>
    <w:rsid w:val="004B197E"/>
    <w:rsid w:val="004B1988"/>
    <w:rsid w:val="004B2237"/>
    <w:rsid w:val="004B261E"/>
    <w:rsid w:val="004B2C2E"/>
    <w:rsid w:val="004B2DA3"/>
    <w:rsid w:val="004B3D69"/>
    <w:rsid w:val="004B5287"/>
    <w:rsid w:val="004B5637"/>
    <w:rsid w:val="004B6044"/>
    <w:rsid w:val="004B64CC"/>
    <w:rsid w:val="004B6815"/>
    <w:rsid w:val="004B6CA6"/>
    <w:rsid w:val="004B7A77"/>
    <w:rsid w:val="004B7B9D"/>
    <w:rsid w:val="004C10D1"/>
    <w:rsid w:val="004C1164"/>
    <w:rsid w:val="004C1F18"/>
    <w:rsid w:val="004C23F7"/>
    <w:rsid w:val="004C2462"/>
    <w:rsid w:val="004C2594"/>
    <w:rsid w:val="004C3985"/>
    <w:rsid w:val="004C3C4D"/>
    <w:rsid w:val="004C416D"/>
    <w:rsid w:val="004C4617"/>
    <w:rsid w:val="004C4A09"/>
    <w:rsid w:val="004C4CD8"/>
    <w:rsid w:val="004C62FE"/>
    <w:rsid w:val="004C6B03"/>
    <w:rsid w:val="004C722B"/>
    <w:rsid w:val="004C7615"/>
    <w:rsid w:val="004C7808"/>
    <w:rsid w:val="004C79AE"/>
    <w:rsid w:val="004D0270"/>
    <w:rsid w:val="004D0AF2"/>
    <w:rsid w:val="004D0C07"/>
    <w:rsid w:val="004D128C"/>
    <w:rsid w:val="004D13FE"/>
    <w:rsid w:val="004D15C9"/>
    <w:rsid w:val="004D16FD"/>
    <w:rsid w:val="004D1995"/>
    <w:rsid w:val="004D24CA"/>
    <w:rsid w:val="004D2AB5"/>
    <w:rsid w:val="004D3305"/>
    <w:rsid w:val="004D3394"/>
    <w:rsid w:val="004D3B9B"/>
    <w:rsid w:val="004D3FBA"/>
    <w:rsid w:val="004D4665"/>
    <w:rsid w:val="004D48C6"/>
    <w:rsid w:val="004D4A6A"/>
    <w:rsid w:val="004D4A93"/>
    <w:rsid w:val="004D4D9C"/>
    <w:rsid w:val="004D5307"/>
    <w:rsid w:val="004D5368"/>
    <w:rsid w:val="004D5F1D"/>
    <w:rsid w:val="004D677B"/>
    <w:rsid w:val="004D6B9F"/>
    <w:rsid w:val="004D6CEA"/>
    <w:rsid w:val="004D6DDC"/>
    <w:rsid w:val="004E082F"/>
    <w:rsid w:val="004E1357"/>
    <w:rsid w:val="004E1439"/>
    <w:rsid w:val="004E1661"/>
    <w:rsid w:val="004E1ABE"/>
    <w:rsid w:val="004E1F59"/>
    <w:rsid w:val="004E225B"/>
    <w:rsid w:val="004E24C7"/>
    <w:rsid w:val="004E2B05"/>
    <w:rsid w:val="004E3179"/>
    <w:rsid w:val="004E342B"/>
    <w:rsid w:val="004E376F"/>
    <w:rsid w:val="004E37EA"/>
    <w:rsid w:val="004E37F0"/>
    <w:rsid w:val="004E3A51"/>
    <w:rsid w:val="004E4DB1"/>
    <w:rsid w:val="004E4E5E"/>
    <w:rsid w:val="004E4F7B"/>
    <w:rsid w:val="004E5804"/>
    <w:rsid w:val="004E65A9"/>
    <w:rsid w:val="004E6718"/>
    <w:rsid w:val="004E67EC"/>
    <w:rsid w:val="004E73E0"/>
    <w:rsid w:val="004E747E"/>
    <w:rsid w:val="004E780C"/>
    <w:rsid w:val="004F017E"/>
    <w:rsid w:val="004F08B0"/>
    <w:rsid w:val="004F0C08"/>
    <w:rsid w:val="004F0C84"/>
    <w:rsid w:val="004F1971"/>
    <w:rsid w:val="004F1994"/>
    <w:rsid w:val="004F1F3A"/>
    <w:rsid w:val="004F21F4"/>
    <w:rsid w:val="004F2462"/>
    <w:rsid w:val="004F25D1"/>
    <w:rsid w:val="004F2D02"/>
    <w:rsid w:val="004F2E91"/>
    <w:rsid w:val="004F3485"/>
    <w:rsid w:val="004F39CE"/>
    <w:rsid w:val="004F3AE4"/>
    <w:rsid w:val="004F3E02"/>
    <w:rsid w:val="004F5101"/>
    <w:rsid w:val="004F5779"/>
    <w:rsid w:val="004F57B6"/>
    <w:rsid w:val="004F6047"/>
    <w:rsid w:val="004F6A60"/>
    <w:rsid w:val="004F7427"/>
    <w:rsid w:val="004F753F"/>
    <w:rsid w:val="004F77DD"/>
    <w:rsid w:val="004F7D55"/>
    <w:rsid w:val="004F7DB3"/>
    <w:rsid w:val="004F7F82"/>
    <w:rsid w:val="005005AE"/>
    <w:rsid w:val="005016E9"/>
    <w:rsid w:val="00501987"/>
    <w:rsid w:val="00502511"/>
    <w:rsid w:val="005027B2"/>
    <w:rsid w:val="005029EC"/>
    <w:rsid w:val="00502FD2"/>
    <w:rsid w:val="00503B01"/>
    <w:rsid w:val="00503E33"/>
    <w:rsid w:val="00505528"/>
    <w:rsid w:val="00505F9F"/>
    <w:rsid w:val="005066C2"/>
    <w:rsid w:val="0050694F"/>
    <w:rsid w:val="005072C6"/>
    <w:rsid w:val="005073E6"/>
    <w:rsid w:val="00507684"/>
    <w:rsid w:val="0050796F"/>
    <w:rsid w:val="00507EB7"/>
    <w:rsid w:val="005108A9"/>
    <w:rsid w:val="00510910"/>
    <w:rsid w:val="00510AB1"/>
    <w:rsid w:val="00510FEB"/>
    <w:rsid w:val="00511164"/>
    <w:rsid w:val="00511184"/>
    <w:rsid w:val="00511217"/>
    <w:rsid w:val="00511263"/>
    <w:rsid w:val="00511296"/>
    <w:rsid w:val="005118B3"/>
    <w:rsid w:val="00511C40"/>
    <w:rsid w:val="00511C48"/>
    <w:rsid w:val="00511C52"/>
    <w:rsid w:val="00512173"/>
    <w:rsid w:val="005121B8"/>
    <w:rsid w:val="0051247C"/>
    <w:rsid w:val="00512EB4"/>
    <w:rsid w:val="005132F7"/>
    <w:rsid w:val="00514009"/>
    <w:rsid w:val="0051403D"/>
    <w:rsid w:val="00514B07"/>
    <w:rsid w:val="00514B1A"/>
    <w:rsid w:val="00514BFC"/>
    <w:rsid w:val="00514CF7"/>
    <w:rsid w:val="00514DC5"/>
    <w:rsid w:val="005155BB"/>
    <w:rsid w:val="005155DB"/>
    <w:rsid w:val="00515BEB"/>
    <w:rsid w:val="00515ED5"/>
    <w:rsid w:val="005160AB"/>
    <w:rsid w:val="00516121"/>
    <w:rsid w:val="00516196"/>
    <w:rsid w:val="005162BA"/>
    <w:rsid w:val="00516AB7"/>
    <w:rsid w:val="00516B16"/>
    <w:rsid w:val="00516F36"/>
    <w:rsid w:val="00517569"/>
    <w:rsid w:val="00517B13"/>
    <w:rsid w:val="00517F24"/>
    <w:rsid w:val="00517F62"/>
    <w:rsid w:val="00520EAB"/>
    <w:rsid w:val="00520EB5"/>
    <w:rsid w:val="00521364"/>
    <w:rsid w:val="005215CF"/>
    <w:rsid w:val="005216D1"/>
    <w:rsid w:val="005224BE"/>
    <w:rsid w:val="005229C0"/>
    <w:rsid w:val="00522D1C"/>
    <w:rsid w:val="00522EC2"/>
    <w:rsid w:val="00522EDC"/>
    <w:rsid w:val="00523D1B"/>
    <w:rsid w:val="005248E9"/>
    <w:rsid w:val="00524916"/>
    <w:rsid w:val="00525022"/>
    <w:rsid w:val="005253D6"/>
    <w:rsid w:val="00525D08"/>
    <w:rsid w:val="00526062"/>
    <w:rsid w:val="00526408"/>
    <w:rsid w:val="005267E6"/>
    <w:rsid w:val="00526C57"/>
    <w:rsid w:val="00526C97"/>
    <w:rsid w:val="00526F21"/>
    <w:rsid w:val="00527C11"/>
    <w:rsid w:val="00530F11"/>
    <w:rsid w:val="00532308"/>
    <w:rsid w:val="005323BF"/>
    <w:rsid w:val="0053259D"/>
    <w:rsid w:val="005327C8"/>
    <w:rsid w:val="00533609"/>
    <w:rsid w:val="00533EEB"/>
    <w:rsid w:val="0053411D"/>
    <w:rsid w:val="00534977"/>
    <w:rsid w:val="005349FF"/>
    <w:rsid w:val="00534B45"/>
    <w:rsid w:val="00534D26"/>
    <w:rsid w:val="00535386"/>
    <w:rsid w:val="0053541D"/>
    <w:rsid w:val="005356A1"/>
    <w:rsid w:val="00536771"/>
    <w:rsid w:val="00536934"/>
    <w:rsid w:val="00536CD5"/>
    <w:rsid w:val="00536F43"/>
    <w:rsid w:val="005370E3"/>
    <w:rsid w:val="0053721F"/>
    <w:rsid w:val="00537E05"/>
    <w:rsid w:val="00540151"/>
    <w:rsid w:val="00540830"/>
    <w:rsid w:val="00540BC3"/>
    <w:rsid w:val="00540D25"/>
    <w:rsid w:val="005417FC"/>
    <w:rsid w:val="00542BD9"/>
    <w:rsid w:val="00542D55"/>
    <w:rsid w:val="005433CE"/>
    <w:rsid w:val="00543B56"/>
    <w:rsid w:val="00543D2E"/>
    <w:rsid w:val="005440DE"/>
    <w:rsid w:val="0054470B"/>
    <w:rsid w:val="00544C45"/>
    <w:rsid w:val="00544E0C"/>
    <w:rsid w:val="005453A9"/>
    <w:rsid w:val="005457D7"/>
    <w:rsid w:val="00545AD9"/>
    <w:rsid w:val="00546857"/>
    <w:rsid w:val="00546990"/>
    <w:rsid w:val="00546CF3"/>
    <w:rsid w:val="00547E6A"/>
    <w:rsid w:val="00550AA2"/>
    <w:rsid w:val="005515ED"/>
    <w:rsid w:val="00551B53"/>
    <w:rsid w:val="00551C3F"/>
    <w:rsid w:val="00551F82"/>
    <w:rsid w:val="00552085"/>
    <w:rsid w:val="00552E4F"/>
    <w:rsid w:val="00552F9D"/>
    <w:rsid w:val="00553293"/>
    <w:rsid w:val="005541CD"/>
    <w:rsid w:val="005544DC"/>
    <w:rsid w:val="00555148"/>
    <w:rsid w:val="00555174"/>
    <w:rsid w:val="0055583A"/>
    <w:rsid w:val="00555A22"/>
    <w:rsid w:val="00555E1B"/>
    <w:rsid w:val="0055635A"/>
    <w:rsid w:val="0055681E"/>
    <w:rsid w:val="00556D93"/>
    <w:rsid w:val="0055752F"/>
    <w:rsid w:val="005575F4"/>
    <w:rsid w:val="0056007F"/>
    <w:rsid w:val="00560460"/>
    <w:rsid w:val="005609E5"/>
    <w:rsid w:val="00560F3B"/>
    <w:rsid w:val="00561E82"/>
    <w:rsid w:val="00561F63"/>
    <w:rsid w:val="005620A6"/>
    <w:rsid w:val="005622AD"/>
    <w:rsid w:val="005628B8"/>
    <w:rsid w:val="00562AAD"/>
    <w:rsid w:val="00562F94"/>
    <w:rsid w:val="00563373"/>
    <w:rsid w:val="005637E9"/>
    <w:rsid w:val="0056394F"/>
    <w:rsid w:val="00563B22"/>
    <w:rsid w:val="00563F37"/>
    <w:rsid w:val="005646DF"/>
    <w:rsid w:val="00564797"/>
    <w:rsid w:val="00564B0D"/>
    <w:rsid w:val="00564D4D"/>
    <w:rsid w:val="00564E2D"/>
    <w:rsid w:val="0056512D"/>
    <w:rsid w:val="00565356"/>
    <w:rsid w:val="0056549E"/>
    <w:rsid w:val="00565525"/>
    <w:rsid w:val="00565591"/>
    <w:rsid w:val="0056565A"/>
    <w:rsid w:val="00565829"/>
    <w:rsid w:val="00565E74"/>
    <w:rsid w:val="00566811"/>
    <w:rsid w:val="00566E48"/>
    <w:rsid w:val="0056751D"/>
    <w:rsid w:val="005677B7"/>
    <w:rsid w:val="00567D11"/>
    <w:rsid w:val="00567F3B"/>
    <w:rsid w:val="00567F3F"/>
    <w:rsid w:val="0057002B"/>
    <w:rsid w:val="00570BD2"/>
    <w:rsid w:val="00571630"/>
    <w:rsid w:val="00571723"/>
    <w:rsid w:val="005717E2"/>
    <w:rsid w:val="00571F72"/>
    <w:rsid w:val="00572B8D"/>
    <w:rsid w:val="005737FE"/>
    <w:rsid w:val="00573CB0"/>
    <w:rsid w:val="005746E2"/>
    <w:rsid w:val="00574A89"/>
    <w:rsid w:val="00574E18"/>
    <w:rsid w:val="00575092"/>
    <w:rsid w:val="005759F0"/>
    <w:rsid w:val="00575A21"/>
    <w:rsid w:val="00575B8A"/>
    <w:rsid w:val="00575E29"/>
    <w:rsid w:val="00576369"/>
    <w:rsid w:val="00576A68"/>
    <w:rsid w:val="00577735"/>
    <w:rsid w:val="00577C3D"/>
    <w:rsid w:val="00577C7F"/>
    <w:rsid w:val="00580095"/>
    <w:rsid w:val="005802D7"/>
    <w:rsid w:val="00580756"/>
    <w:rsid w:val="00580888"/>
    <w:rsid w:val="0058145A"/>
    <w:rsid w:val="0058234A"/>
    <w:rsid w:val="00582471"/>
    <w:rsid w:val="005824B1"/>
    <w:rsid w:val="00583120"/>
    <w:rsid w:val="0058344B"/>
    <w:rsid w:val="005834D4"/>
    <w:rsid w:val="0058357F"/>
    <w:rsid w:val="00583683"/>
    <w:rsid w:val="005836AF"/>
    <w:rsid w:val="005839AC"/>
    <w:rsid w:val="005839D7"/>
    <w:rsid w:val="00583F62"/>
    <w:rsid w:val="00584993"/>
    <w:rsid w:val="00584B13"/>
    <w:rsid w:val="005856ED"/>
    <w:rsid w:val="0058586A"/>
    <w:rsid w:val="00585A7D"/>
    <w:rsid w:val="00586071"/>
    <w:rsid w:val="005863DD"/>
    <w:rsid w:val="005865FD"/>
    <w:rsid w:val="00586831"/>
    <w:rsid w:val="005868C2"/>
    <w:rsid w:val="0058709E"/>
    <w:rsid w:val="0058775F"/>
    <w:rsid w:val="00587B36"/>
    <w:rsid w:val="00587F14"/>
    <w:rsid w:val="00590192"/>
    <w:rsid w:val="00590619"/>
    <w:rsid w:val="005909B1"/>
    <w:rsid w:val="00590DFE"/>
    <w:rsid w:val="00590E23"/>
    <w:rsid w:val="005912C5"/>
    <w:rsid w:val="00591E97"/>
    <w:rsid w:val="00591EC5"/>
    <w:rsid w:val="0059230D"/>
    <w:rsid w:val="005925F6"/>
    <w:rsid w:val="00592911"/>
    <w:rsid w:val="005929DA"/>
    <w:rsid w:val="005939C6"/>
    <w:rsid w:val="00593E62"/>
    <w:rsid w:val="00593E72"/>
    <w:rsid w:val="0059436C"/>
    <w:rsid w:val="005944C4"/>
    <w:rsid w:val="005945A9"/>
    <w:rsid w:val="00594D96"/>
    <w:rsid w:val="005954B2"/>
    <w:rsid w:val="0059568A"/>
    <w:rsid w:val="005958EF"/>
    <w:rsid w:val="00595BA8"/>
    <w:rsid w:val="005960B9"/>
    <w:rsid w:val="00596AC0"/>
    <w:rsid w:val="00596E2A"/>
    <w:rsid w:val="0059701A"/>
    <w:rsid w:val="00597A8D"/>
    <w:rsid w:val="00597BE7"/>
    <w:rsid w:val="00597C1E"/>
    <w:rsid w:val="00597DFB"/>
    <w:rsid w:val="005A0089"/>
    <w:rsid w:val="005A017D"/>
    <w:rsid w:val="005A01FD"/>
    <w:rsid w:val="005A0BDC"/>
    <w:rsid w:val="005A0E88"/>
    <w:rsid w:val="005A1548"/>
    <w:rsid w:val="005A1895"/>
    <w:rsid w:val="005A1921"/>
    <w:rsid w:val="005A1C13"/>
    <w:rsid w:val="005A23AF"/>
    <w:rsid w:val="005A25C6"/>
    <w:rsid w:val="005A2C05"/>
    <w:rsid w:val="005A3716"/>
    <w:rsid w:val="005A3740"/>
    <w:rsid w:val="005A37CC"/>
    <w:rsid w:val="005A3C61"/>
    <w:rsid w:val="005A4540"/>
    <w:rsid w:val="005A4E05"/>
    <w:rsid w:val="005A61EC"/>
    <w:rsid w:val="005A6354"/>
    <w:rsid w:val="005A6BE5"/>
    <w:rsid w:val="005A7603"/>
    <w:rsid w:val="005A7698"/>
    <w:rsid w:val="005A794C"/>
    <w:rsid w:val="005A7A58"/>
    <w:rsid w:val="005A7F6E"/>
    <w:rsid w:val="005B02BB"/>
    <w:rsid w:val="005B065D"/>
    <w:rsid w:val="005B07A2"/>
    <w:rsid w:val="005B13D3"/>
    <w:rsid w:val="005B1507"/>
    <w:rsid w:val="005B18A1"/>
    <w:rsid w:val="005B1B9D"/>
    <w:rsid w:val="005B2972"/>
    <w:rsid w:val="005B2CC1"/>
    <w:rsid w:val="005B31F5"/>
    <w:rsid w:val="005B3423"/>
    <w:rsid w:val="005B3DE3"/>
    <w:rsid w:val="005B3E3F"/>
    <w:rsid w:val="005B4F3A"/>
    <w:rsid w:val="005B5556"/>
    <w:rsid w:val="005B582F"/>
    <w:rsid w:val="005B5A54"/>
    <w:rsid w:val="005B6038"/>
    <w:rsid w:val="005B6BE4"/>
    <w:rsid w:val="005B6EA7"/>
    <w:rsid w:val="005B6F24"/>
    <w:rsid w:val="005B702D"/>
    <w:rsid w:val="005B75A5"/>
    <w:rsid w:val="005B7807"/>
    <w:rsid w:val="005B783B"/>
    <w:rsid w:val="005C052C"/>
    <w:rsid w:val="005C06E4"/>
    <w:rsid w:val="005C0E34"/>
    <w:rsid w:val="005C11BA"/>
    <w:rsid w:val="005C131A"/>
    <w:rsid w:val="005C17D1"/>
    <w:rsid w:val="005C1A46"/>
    <w:rsid w:val="005C2DFC"/>
    <w:rsid w:val="005C3468"/>
    <w:rsid w:val="005C4442"/>
    <w:rsid w:val="005C4673"/>
    <w:rsid w:val="005C49BF"/>
    <w:rsid w:val="005C4B3B"/>
    <w:rsid w:val="005C4C7D"/>
    <w:rsid w:val="005C508B"/>
    <w:rsid w:val="005C5C28"/>
    <w:rsid w:val="005C65F6"/>
    <w:rsid w:val="005C68EF"/>
    <w:rsid w:val="005C6FCC"/>
    <w:rsid w:val="005C7668"/>
    <w:rsid w:val="005C7753"/>
    <w:rsid w:val="005D030F"/>
    <w:rsid w:val="005D0767"/>
    <w:rsid w:val="005D0816"/>
    <w:rsid w:val="005D0CF9"/>
    <w:rsid w:val="005D0F80"/>
    <w:rsid w:val="005D2641"/>
    <w:rsid w:val="005D298D"/>
    <w:rsid w:val="005D2BDC"/>
    <w:rsid w:val="005D2D5C"/>
    <w:rsid w:val="005D37E1"/>
    <w:rsid w:val="005D3839"/>
    <w:rsid w:val="005D3E48"/>
    <w:rsid w:val="005D3ED5"/>
    <w:rsid w:val="005D4870"/>
    <w:rsid w:val="005D48D3"/>
    <w:rsid w:val="005D4B32"/>
    <w:rsid w:val="005D4CE3"/>
    <w:rsid w:val="005D4F1B"/>
    <w:rsid w:val="005D5C20"/>
    <w:rsid w:val="005D5F4E"/>
    <w:rsid w:val="005D6B39"/>
    <w:rsid w:val="005D6C6D"/>
    <w:rsid w:val="005D6D78"/>
    <w:rsid w:val="005D726A"/>
    <w:rsid w:val="005D7609"/>
    <w:rsid w:val="005D7C21"/>
    <w:rsid w:val="005D7D5B"/>
    <w:rsid w:val="005D7EBC"/>
    <w:rsid w:val="005E009D"/>
    <w:rsid w:val="005E0506"/>
    <w:rsid w:val="005E064B"/>
    <w:rsid w:val="005E0D12"/>
    <w:rsid w:val="005E0FDE"/>
    <w:rsid w:val="005E1081"/>
    <w:rsid w:val="005E170F"/>
    <w:rsid w:val="005E1821"/>
    <w:rsid w:val="005E1970"/>
    <w:rsid w:val="005E2315"/>
    <w:rsid w:val="005E2C2E"/>
    <w:rsid w:val="005E2E0F"/>
    <w:rsid w:val="005E3E63"/>
    <w:rsid w:val="005E4671"/>
    <w:rsid w:val="005E4A7F"/>
    <w:rsid w:val="005E5421"/>
    <w:rsid w:val="005E5F4E"/>
    <w:rsid w:val="005E600C"/>
    <w:rsid w:val="005E6189"/>
    <w:rsid w:val="005E62BC"/>
    <w:rsid w:val="005E6498"/>
    <w:rsid w:val="005E670E"/>
    <w:rsid w:val="005E6C84"/>
    <w:rsid w:val="005E6E60"/>
    <w:rsid w:val="005F02A7"/>
    <w:rsid w:val="005F04AC"/>
    <w:rsid w:val="005F178F"/>
    <w:rsid w:val="005F1946"/>
    <w:rsid w:val="005F1C31"/>
    <w:rsid w:val="005F1DF6"/>
    <w:rsid w:val="005F1F42"/>
    <w:rsid w:val="005F250C"/>
    <w:rsid w:val="005F2667"/>
    <w:rsid w:val="005F32B3"/>
    <w:rsid w:val="005F3781"/>
    <w:rsid w:val="005F38D0"/>
    <w:rsid w:val="005F3EB1"/>
    <w:rsid w:val="005F40B2"/>
    <w:rsid w:val="005F4CA4"/>
    <w:rsid w:val="005F5288"/>
    <w:rsid w:val="005F52EA"/>
    <w:rsid w:val="005F544E"/>
    <w:rsid w:val="005F5917"/>
    <w:rsid w:val="005F601A"/>
    <w:rsid w:val="005F61DC"/>
    <w:rsid w:val="005F6553"/>
    <w:rsid w:val="005F6657"/>
    <w:rsid w:val="005F67E8"/>
    <w:rsid w:val="005F6A69"/>
    <w:rsid w:val="005F6B20"/>
    <w:rsid w:val="005F6E22"/>
    <w:rsid w:val="005F771A"/>
    <w:rsid w:val="005F7CB7"/>
    <w:rsid w:val="005F7D20"/>
    <w:rsid w:val="00600202"/>
    <w:rsid w:val="00600350"/>
    <w:rsid w:val="00600775"/>
    <w:rsid w:val="00600AF8"/>
    <w:rsid w:val="00600BCE"/>
    <w:rsid w:val="00600CFF"/>
    <w:rsid w:val="00600EBF"/>
    <w:rsid w:val="006013AB"/>
    <w:rsid w:val="00602914"/>
    <w:rsid w:val="00602B23"/>
    <w:rsid w:val="00602F4B"/>
    <w:rsid w:val="00603300"/>
    <w:rsid w:val="00604CAF"/>
    <w:rsid w:val="00604EE1"/>
    <w:rsid w:val="006057DD"/>
    <w:rsid w:val="00605AC8"/>
    <w:rsid w:val="00605B3A"/>
    <w:rsid w:val="00605D1E"/>
    <w:rsid w:val="0060677E"/>
    <w:rsid w:val="00606892"/>
    <w:rsid w:val="00606BC9"/>
    <w:rsid w:val="0061082A"/>
    <w:rsid w:val="00610B43"/>
    <w:rsid w:val="00610BB5"/>
    <w:rsid w:val="00610EC4"/>
    <w:rsid w:val="00610F13"/>
    <w:rsid w:val="00611A5D"/>
    <w:rsid w:val="00611BBE"/>
    <w:rsid w:val="0061216A"/>
    <w:rsid w:val="0061221A"/>
    <w:rsid w:val="00612393"/>
    <w:rsid w:val="00612543"/>
    <w:rsid w:val="0061297A"/>
    <w:rsid w:val="00612A70"/>
    <w:rsid w:val="00612C84"/>
    <w:rsid w:val="006131A4"/>
    <w:rsid w:val="00613F3F"/>
    <w:rsid w:val="006141C4"/>
    <w:rsid w:val="00614A6E"/>
    <w:rsid w:val="00614B09"/>
    <w:rsid w:val="0061539D"/>
    <w:rsid w:val="00615FB4"/>
    <w:rsid w:val="0061649E"/>
    <w:rsid w:val="00617103"/>
    <w:rsid w:val="00617144"/>
    <w:rsid w:val="0061740D"/>
    <w:rsid w:val="00617533"/>
    <w:rsid w:val="0061790B"/>
    <w:rsid w:val="00617A6C"/>
    <w:rsid w:val="00617BE1"/>
    <w:rsid w:val="00620083"/>
    <w:rsid w:val="00620E76"/>
    <w:rsid w:val="00620F08"/>
    <w:rsid w:val="00621009"/>
    <w:rsid w:val="0062164A"/>
    <w:rsid w:val="00621B8E"/>
    <w:rsid w:val="00621F42"/>
    <w:rsid w:val="006223B9"/>
    <w:rsid w:val="00622501"/>
    <w:rsid w:val="00622EE8"/>
    <w:rsid w:val="006230BD"/>
    <w:rsid w:val="006230E3"/>
    <w:rsid w:val="006233E9"/>
    <w:rsid w:val="006238B4"/>
    <w:rsid w:val="00623AD9"/>
    <w:rsid w:val="00623C0D"/>
    <w:rsid w:val="00623C71"/>
    <w:rsid w:val="006240A3"/>
    <w:rsid w:val="006243BF"/>
    <w:rsid w:val="00624C11"/>
    <w:rsid w:val="00625002"/>
    <w:rsid w:val="00625093"/>
    <w:rsid w:val="006250C8"/>
    <w:rsid w:val="006251E0"/>
    <w:rsid w:val="006256FB"/>
    <w:rsid w:val="006257C6"/>
    <w:rsid w:val="006259AD"/>
    <w:rsid w:val="0062632C"/>
    <w:rsid w:val="0062656A"/>
    <w:rsid w:val="00626689"/>
    <w:rsid w:val="0062684A"/>
    <w:rsid w:val="00626D4B"/>
    <w:rsid w:val="00626F98"/>
    <w:rsid w:val="00627841"/>
    <w:rsid w:val="006278DE"/>
    <w:rsid w:val="00630243"/>
    <w:rsid w:val="006305CC"/>
    <w:rsid w:val="006305E1"/>
    <w:rsid w:val="00631027"/>
    <w:rsid w:val="006323FC"/>
    <w:rsid w:val="0063250D"/>
    <w:rsid w:val="00632586"/>
    <w:rsid w:val="006329DB"/>
    <w:rsid w:val="00632F73"/>
    <w:rsid w:val="00632F83"/>
    <w:rsid w:val="006337A3"/>
    <w:rsid w:val="00633BB5"/>
    <w:rsid w:val="00633FA5"/>
    <w:rsid w:val="006341BB"/>
    <w:rsid w:val="0063472D"/>
    <w:rsid w:val="00634E99"/>
    <w:rsid w:val="00634EC2"/>
    <w:rsid w:val="00634F3D"/>
    <w:rsid w:val="006354F4"/>
    <w:rsid w:val="00635600"/>
    <w:rsid w:val="006357B3"/>
    <w:rsid w:val="0063729C"/>
    <w:rsid w:val="00637A1D"/>
    <w:rsid w:val="00637DFB"/>
    <w:rsid w:val="0064054F"/>
    <w:rsid w:val="006407FA"/>
    <w:rsid w:val="00640908"/>
    <w:rsid w:val="00641175"/>
    <w:rsid w:val="00641451"/>
    <w:rsid w:val="0064146D"/>
    <w:rsid w:val="006417A8"/>
    <w:rsid w:val="00641995"/>
    <w:rsid w:val="006419DE"/>
    <w:rsid w:val="00641A23"/>
    <w:rsid w:val="00641D92"/>
    <w:rsid w:val="00641DC2"/>
    <w:rsid w:val="00642590"/>
    <w:rsid w:val="006428B3"/>
    <w:rsid w:val="00642A5E"/>
    <w:rsid w:val="00642FC3"/>
    <w:rsid w:val="00643909"/>
    <w:rsid w:val="00643CFE"/>
    <w:rsid w:val="0064422B"/>
    <w:rsid w:val="0064457A"/>
    <w:rsid w:val="00644B89"/>
    <w:rsid w:val="00645653"/>
    <w:rsid w:val="006459F4"/>
    <w:rsid w:val="0064607F"/>
    <w:rsid w:val="00646434"/>
    <w:rsid w:val="00646498"/>
    <w:rsid w:val="00646518"/>
    <w:rsid w:val="0064688A"/>
    <w:rsid w:val="00646A3B"/>
    <w:rsid w:val="00647BE5"/>
    <w:rsid w:val="00647F44"/>
    <w:rsid w:val="00650094"/>
    <w:rsid w:val="00650AEB"/>
    <w:rsid w:val="00650C83"/>
    <w:rsid w:val="00650D3B"/>
    <w:rsid w:val="00650D80"/>
    <w:rsid w:val="00650F05"/>
    <w:rsid w:val="006510E1"/>
    <w:rsid w:val="006514C4"/>
    <w:rsid w:val="00651610"/>
    <w:rsid w:val="0065175E"/>
    <w:rsid w:val="00651BD2"/>
    <w:rsid w:val="006523CB"/>
    <w:rsid w:val="006524A6"/>
    <w:rsid w:val="006529A1"/>
    <w:rsid w:val="00652E94"/>
    <w:rsid w:val="00652EBA"/>
    <w:rsid w:val="006531E6"/>
    <w:rsid w:val="006533EA"/>
    <w:rsid w:val="00653531"/>
    <w:rsid w:val="00653710"/>
    <w:rsid w:val="00653FA6"/>
    <w:rsid w:val="00654213"/>
    <w:rsid w:val="00654521"/>
    <w:rsid w:val="006548EB"/>
    <w:rsid w:val="00654C02"/>
    <w:rsid w:val="00655080"/>
    <w:rsid w:val="0065540B"/>
    <w:rsid w:val="006554A2"/>
    <w:rsid w:val="006562FB"/>
    <w:rsid w:val="006565CD"/>
    <w:rsid w:val="006569E8"/>
    <w:rsid w:val="00656BE7"/>
    <w:rsid w:val="00657524"/>
    <w:rsid w:val="00657599"/>
    <w:rsid w:val="006576C2"/>
    <w:rsid w:val="006578E4"/>
    <w:rsid w:val="00657C61"/>
    <w:rsid w:val="00657FBB"/>
    <w:rsid w:val="0066008F"/>
    <w:rsid w:val="00660A6C"/>
    <w:rsid w:val="00660DA2"/>
    <w:rsid w:val="00660DAE"/>
    <w:rsid w:val="00660F44"/>
    <w:rsid w:val="00661AAD"/>
    <w:rsid w:val="00661E2B"/>
    <w:rsid w:val="0066219F"/>
    <w:rsid w:val="00662508"/>
    <w:rsid w:val="00662947"/>
    <w:rsid w:val="006629ED"/>
    <w:rsid w:val="00662FF2"/>
    <w:rsid w:val="0066308F"/>
    <w:rsid w:val="006631BF"/>
    <w:rsid w:val="0066349F"/>
    <w:rsid w:val="00663C6E"/>
    <w:rsid w:val="006645A8"/>
    <w:rsid w:val="0066496C"/>
    <w:rsid w:val="00664BCA"/>
    <w:rsid w:val="00664D57"/>
    <w:rsid w:val="00664DFA"/>
    <w:rsid w:val="00665314"/>
    <w:rsid w:val="006654FB"/>
    <w:rsid w:val="00665636"/>
    <w:rsid w:val="00665809"/>
    <w:rsid w:val="00666FC7"/>
    <w:rsid w:val="006670B5"/>
    <w:rsid w:val="0066723D"/>
    <w:rsid w:val="006674DB"/>
    <w:rsid w:val="00667897"/>
    <w:rsid w:val="00667C3A"/>
    <w:rsid w:val="00670447"/>
    <w:rsid w:val="00670641"/>
    <w:rsid w:val="0067070B"/>
    <w:rsid w:val="00670965"/>
    <w:rsid w:val="00670FD6"/>
    <w:rsid w:val="0067110A"/>
    <w:rsid w:val="006713F0"/>
    <w:rsid w:val="0067162D"/>
    <w:rsid w:val="00671843"/>
    <w:rsid w:val="006725C1"/>
    <w:rsid w:val="00672659"/>
    <w:rsid w:val="00672940"/>
    <w:rsid w:val="00672C54"/>
    <w:rsid w:val="00672FF9"/>
    <w:rsid w:val="006741C4"/>
    <w:rsid w:val="006743DB"/>
    <w:rsid w:val="00674B78"/>
    <w:rsid w:val="00675F48"/>
    <w:rsid w:val="00675FF1"/>
    <w:rsid w:val="006763D6"/>
    <w:rsid w:val="006763D7"/>
    <w:rsid w:val="00676A63"/>
    <w:rsid w:val="00676EC7"/>
    <w:rsid w:val="00677320"/>
    <w:rsid w:val="00677479"/>
    <w:rsid w:val="00680A0C"/>
    <w:rsid w:val="00680A3F"/>
    <w:rsid w:val="00680D8B"/>
    <w:rsid w:val="00681F6F"/>
    <w:rsid w:val="006825C0"/>
    <w:rsid w:val="00682E3E"/>
    <w:rsid w:val="00682E93"/>
    <w:rsid w:val="00683763"/>
    <w:rsid w:val="00683B2E"/>
    <w:rsid w:val="0068479F"/>
    <w:rsid w:val="006847A7"/>
    <w:rsid w:val="0068516C"/>
    <w:rsid w:val="006856C1"/>
    <w:rsid w:val="006856E8"/>
    <w:rsid w:val="00685727"/>
    <w:rsid w:val="00686084"/>
    <w:rsid w:val="00686446"/>
    <w:rsid w:val="00686C6A"/>
    <w:rsid w:val="00686DBF"/>
    <w:rsid w:val="00686F1C"/>
    <w:rsid w:val="0068729A"/>
    <w:rsid w:val="006872C3"/>
    <w:rsid w:val="006875A6"/>
    <w:rsid w:val="006878E3"/>
    <w:rsid w:val="00687B95"/>
    <w:rsid w:val="00687FAD"/>
    <w:rsid w:val="00690E17"/>
    <w:rsid w:val="0069105D"/>
    <w:rsid w:val="00691202"/>
    <w:rsid w:val="00691251"/>
    <w:rsid w:val="0069141A"/>
    <w:rsid w:val="00691854"/>
    <w:rsid w:val="00691EA7"/>
    <w:rsid w:val="006921EE"/>
    <w:rsid w:val="00692208"/>
    <w:rsid w:val="0069296B"/>
    <w:rsid w:val="0069308B"/>
    <w:rsid w:val="006936DD"/>
    <w:rsid w:val="006939F5"/>
    <w:rsid w:val="00693A48"/>
    <w:rsid w:val="00693F64"/>
    <w:rsid w:val="00694204"/>
    <w:rsid w:val="0069461E"/>
    <w:rsid w:val="0069499F"/>
    <w:rsid w:val="00694A5C"/>
    <w:rsid w:val="00695204"/>
    <w:rsid w:val="006956FC"/>
    <w:rsid w:val="006957D7"/>
    <w:rsid w:val="006962D2"/>
    <w:rsid w:val="006967E3"/>
    <w:rsid w:val="00696B54"/>
    <w:rsid w:val="0069752C"/>
    <w:rsid w:val="006A0BBB"/>
    <w:rsid w:val="006A107F"/>
    <w:rsid w:val="006A1759"/>
    <w:rsid w:val="006A199E"/>
    <w:rsid w:val="006A1AD5"/>
    <w:rsid w:val="006A208C"/>
    <w:rsid w:val="006A2361"/>
    <w:rsid w:val="006A305E"/>
    <w:rsid w:val="006A3A24"/>
    <w:rsid w:val="006A3CFF"/>
    <w:rsid w:val="006A454B"/>
    <w:rsid w:val="006A46D3"/>
    <w:rsid w:val="006A480F"/>
    <w:rsid w:val="006A4946"/>
    <w:rsid w:val="006A4CAD"/>
    <w:rsid w:val="006A4F22"/>
    <w:rsid w:val="006A5323"/>
    <w:rsid w:val="006A548A"/>
    <w:rsid w:val="006A5FB2"/>
    <w:rsid w:val="006A6707"/>
    <w:rsid w:val="006A6998"/>
    <w:rsid w:val="006A706B"/>
    <w:rsid w:val="006A70EC"/>
    <w:rsid w:val="006A7313"/>
    <w:rsid w:val="006A746A"/>
    <w:rsid w:val="006A7B43"/>
    <w:rsid w:val="006B0529"/>
    <w:rsid w:val="006B07CC"/>
    <w:rsid w:val="006B10C6"/>
    <w:rsid w:val="006B17A3"/>
    <w:rsid w:val="006B1CEE"/>
    <w:rsid w:val="006B22CC"/>
    <w:rsid w:val="006B2430"/>
    <w:rsid w:val="006B2864"/>
    <w:rsid w:val="006B2A6A"/>
    <w:rsid w:val="006B2D35"/>
    <w:rsid w:val="006B2E41"/>
    <w:rsid w:val="006B3300"/>
    <w:rsid w:val="006B3BF1"/>
    <w:rsid w:val="006B4349"/>
    <w:rsid w:val="006B4507"/>
    <w:rsid w:val="006B4CC9"/>
    <w:rsid w:val="006B5CE5"/>
    <w:rsid w:val="006B5FA0"/>
    <w:rsid w:val="006B6CAF"/>
    <w:rsid w:val="006B6F69"/>
    <w:rsid w:val="006B6FD3"/>
    <w:rsid w:val="006B74CB"/>
    <w:rsid w:val="006B784B"/>
    <w:rsid w:val="006C00EB"/>
    <w:rsid w:val="006C0298"/>
    <w:rsid w:val="006C02C0"/>
    <w:rsid w:val="006C0654"/>
    <w:rsid w:val="006C08E2"/>
    <w:rsid w:val="006C123C"/>
    <w:rsid w:val="006C136F"/>
    <w:rsid w:val="006C1698"/>
    <w:rsid w:val="006C1962"/>
    <w:rsid w:val="006C1C6F"/>
    <w:rsid w:val="006C2101"/>
    <w:rsid w:val="006C2178"/>
    <w:rsid w:val="006C22EA"/>
    <w:rsid w:val="006C2416"/>
    <w:rsid w:val="006C3196"/>
    <w:rsid w:val="006C3EFD"/>
    <w:rsid w:val="006C43DF"/>
    <w:rsid w:val="006C4C87"/>
    <w:rsid w:val="006C4D02"/>
    <w:rsid w:val="006C541E"/>
    <w:rsid w:val="006C5710"/>
    <w:rsid w:val="006C5A1A"/>
    <w:rsid w:val="006C5EF4"/>
    <w:rsid w:val="006C619A"/>
    <w:rsid w:val="006C6598"/>
    <w:rsid w:val="006C69B9"/>
    <w:rsid w:val="006C6CC5"/>
    <w:rsid w:val="006C6EDE"/>
    <w:rsid w:val="006C7651"/>
    <w:rsid w:val="006C7970"/>
    <w:rsid w:val="006C7FEE"/>
    <w:rsid w:val="006D0238"/>
    <w:rsid w:val="006D0794"/>
    <w:rsid w:val="006D0B2B"/>
    <w:rsid w:val="006D0DA8"/>
    <w:rsid w:val="006D10A6"/>
    <w:rsid w:val="006D11C3"/>
    <w:rsid w:val="006D1D85"/>
    <w:rsid w:val="006D1EFB"/>
    <w:rsid w:val="006D1FB6"/>
    <w:rsid w:val="006D228A"/>
    <w:rsid w:val="006D256A"/>
    <w:rsid w:val="006D2977"/>
    <w:rsid w:val="006D3170"/>
    <w:rsid w:val="006D3307"/>
    <w:rsid w:val="006D3E5A"/>
    <w:rsid w:val="006D4088"/>
    <w:rsid w:val="006D456E"/>
    <w:rsid w:val="006D48D8"/>
    <w:rsid w:val="006D4A44"/>
    <w:rsid w:val="006D4C93"/>
    <w:rsid w:val="006D4E74"/>
    <w:rsid w:val="006D51AD"/>
    <w:rsid w:val="006D5C69"/>
    <w:rsid w:val="006D72C0"/>
    <w:rsid w:val="006D753F"/>
    <w:rsid w:val="006D79C2"/>
    <w:rsid w:val="006D7ED5"/>
    <w:rsid w:val="006E035D"/>
    <w:rsid w:val="006E0CD2"/>
    <w:rsid w:val="006E0E4D"/>
    <w:rsid w:val="006E0FB8"/>
    <w:rsid w:val="006E1430"/>
    <w:rsid w:val="006E1437"/>
    <w:rsid w:val="006E2681"/>
    <w:rsid w:val="006E2690"/>
    <w:rsid w:val="006E274F"/>
    <w:rsid w:val="006E29E9"/>
    <w:rsid w:val="006E2D3C"/>
    <w:rsid w:val="006E3821"/>
    <w:rsid w:val="006E4337"/>
    <w:rsid w:val="006E4938"/>
    <w:rsid w:val="006E4954"/>
    <w:rsid w:val="006E4F7E"/>
    <w:rsid w:val="006E62D3"/>
    <w:rsid w:val="006E64E2"/>
    <w:rsid w:val="006E69D9"/>
    <w:rsid w:val="006E6F68"/>
    <w:rsid w:val="006E73D1"/>
    <w:rsid w:val="006E743F"/>
    <w:rsid w:val="006E7CA9"/>
    <w:rsid w:val="006F0537"/>
    <w:rsid w:val="006F0598"/>
    <w:rsid w:val="006F065C"/>
    <w:rsid w:val="006F1616"/>
    <w:rsid w:val="006F294B"/>
    <w:rsid w:val="006F2CAB"/>
    <w:rsid w:val="006F2D3E"/>
    <w:rsid w:val="006F2DD0"/>
    <w:rsid w:val="006F2EB7"/>
    <w:rsid w:val="006F30F2"/>
    <w:rsid w:val="006F3236"/>
    <w:rsid w:val="006F36E7"/>
    <w:rsid w:val="006F3AB4"/>
    <w:rsid w:val="006F3F88"/>
    <w:rsid w:val="006F4111"/>
    <w:rsid w:val="006F4A16"/>
    <w:rsid w:val="006F4CDC"/>
    <w:rsid w:val="006F4E8A"/>
    <w:rsid w:val="006F5051"/>
    <w:rsid w:val="006F58BD"/>
    <w:rsid w:val="006F5EAE"/>
    <w:rsid w:val="006F64F9"/>
    <w:rsid w:val="006F6F10"/>
    <w:rsid w:val="006F78FE"/>
    <w:rsid w:val="006F7A17"/>
    <w:rsid w:val="006F7F44"/>
    <w:rsid w:val="007000B2"/>
    <w:rsid w:val="007002B5"/>
    <w:rsid w:val="007005E9"/>
    <w:rsid w:val="0070113F"/>
    <w:rsid w:val="007021F5"/>
    <w:rsid w:val="00702A86"/>
    <w:rsid w:val="00703805"/>
    <w:rsid w:val="00703B75"/>
    <w:rsid w:val="00703E5D"/>
    <w:rsid w:val="00704057"/>
    <w:rsid w:val="007047DB"/>
    <w:rsid w:val="007048D5"/>
    <w:rsid w:val="007049F3"/>
    <w:rsid w:val="007057C2"/>
    <w:rsid w:val="00706153"/>
    <w:rsid w:val="0070618C"/>
    <w:rsid w:val="007064A6"/>
    <w:rsid w:val="007064EB"/>
    <w:rsid w:val="00706CE6"/>
    <w:rsid w:val="00706F39"/>
    <w:rsid w:val="0070712C"/>
    <w:rsid w:val="00707323"/>
    <w:rsid w:val="0070748F"/>
    <w:rsid w:val="007079B0"/>
    <w:rsid w:val="007079C5"/>
    <w:rsid w:val="007079D3"/>
    <w:rsid w:val="00707A87"/>
    <w:rsid w:val="00707BA2"/>
    <w:rsid w:val="00707BE4"/>
    <w:rsid w:val="007103A1"/>
    <w:rsid w:val="00710811"/>
    <w:rsid w:val="007108BD"/>
    <w:rsid w:val="007109DE"/>
    <w:rsid w:val="00710BB2"/>
    <w:rsid w:val="00711717"/>
    <w:rsid w:val="0071190F"/>
    <w:rsid w:val="00712247"/>
    <w:rsid w:val="0071227C"/>
    <w:rsid w:val="007122FC"/>
    <w:rsid w:val="00712AAB"/>
    <w:rsid w:val="00712B1F"/>
    <w:rsid w:val="00712E23"/>
    <w:rsid w:val="00712EC2"/>
    <w:rsid w:val="00712EEE"/>
    <w:rsid w:val="007131F3"/>
    <w:rsid w:val="0071383B"/>
    <w:rsid w:val="00713B99"/>
    <w:rsid w:val="00713E23"/>
    <w:rsid w:val="007141D3"/>
    <w:rsid w:val="00714718"/>
    <w:rsid w:val="0071556A"/>
    <w:rsid w:val="00715892"/>
    <w:rsid w:val="00715B13"/>
    <w:rsid w:val="00715C8C"/>
    <w:rsid w:val="00715DD6"/>
    <w:rsid w:val="0071622D"/>
    <w:rsid w:val="0071649F"/>
    <w:rsid w:val="00716671"/>
    <w:rsid w:val="0071678D"/>
    <w:rsid w:val="00716A83"/>
    <w:rsid w:val="00716B5B"/>
    <w:rsid w:val="007173CC"/>
    <w:rsid w:val="00717883"/>
    <w:rsid w:val="00717A7C"/>
    <w:rsid w:val="00717AFA"/>
    <w:rsid w:val="0072006A"/>
    <w:rsid w:val="007201B4"/>
    <w:rsid w:val="0072023E"/>
    <w:rsid w:val="007204A1"/>
    <w:rsid w:val="00721929"/>
    <w:rsid w:val="00721E78"/>
    <w:rsid w:val="00721E92"/>
    <w:rsid w:val="00722010"/>
    <w:rsid w:val="00722202"/>
    <w:rsid w:val="00722768"/>
    <w:rsid w:val="007227CA"/>
    <w:rsid w:val="00722937"/>
    <w:rsid w:val="00722B2F"/>
    <w:rsid w:val="00722DEB"/>
    <w:rsid w:val="00722FA9"/>
    <w:rsid w:val="00723318"/>
    <w:rsid w:val="007238CA"/>
    <w:rsid w:val="00723C80"/>
    <w:rsid w:val="007240BC"/>
    <w:rsid w:val="007247CE"/>
    <w:rsid w:val="00724FA4"/>
    <w:rsid w:val="00724FB4"/>
    <w:rsid w:val="00725804"/>
    <w:rsid w:val="007259A8"/>
    <w:rsid w:val="00725A2E"/>
    <w:rsid w:val="00725ADE"/>
    <w:rsid w:val="00726408"/>
    <w:rsid w:val="007266B1"/>
    <w:rsid w:val="0072709F"/>
    <w:rsid w:val="00727B12"/>
    <w:rsid w:val="00727E98"/>
    <w:rsid w:val="00730F2B"/>
    <w:rsid w:val="007311FE"/>
    <w:rsid w:val="00731369"/>
    <w:rsid w:val="00731AA1"/>
    <w:rsid w:val="00731CF9"/>
    <w:rsid w:val="00732AF8"/>
    <w:rsid w:val="00732B9E"/>
    <w:rsid w:val="00732BC2"/>
    <w:rsid w:val="0073324B"/>
    <w:rsid w:val="0073342D"/>
    <w:rsid w:val="007336C7"/>
    <w:rsid w:val="00733840"/>
    <w:rsid w:val="00733A8F"/>
    <w:rsid w:val="00733BFA"/>
    <w:rsid w:val="00733E7A"/>
    <w:rsid w:val="00733FFB"/>
    <w:rsid w:val="007342E0"/>
    <w:rsid w:val="00734842"/>
    <w:rsid w:val="00734D6A"/>
    <w:rsid w:val="0073524E"/>
    <w:rsid w:val="00735432"/>
    <w:rsid w:val="0073548E"/>
    <w:rsid w:val="007364CD"/>
    <w:rsid w:val="007369C2"/>
    <w:rsid w:val="00736CE4"/>
    <w:rsid w:val="0073752C"/>
    <w:rsid w:val="00737625"/>
    <w:rsid w:val="00737759"/>
    <w:rsid w:val="00737DB8"/>
    <w:rsid w:val="00740878"/>
    <w:rsid w:val="007409D3"/>
    <w:rsid w:val="00740BD7"/>
    <w:rsid w:val="00740DB6"/>
    <w:rsid w:val="00741683"/>
    <w:rsid w:val="0074193C"/>
    <w:rsid w:val="00741ECC"/>
    <w:rsid w:val="0074262E"/>
    <w:rsid w:val="00742654"/>
    <w:rsid w:val="007428D3"/>
    <w:rsid w:val="007436E4"/>
    <w:rsid w:val="007437C9"/>
    <w:rsid w:val="00744183"/>
    <w:rsid w:val="0074420E"/>
    <w:rsid w:val="00744589"/>
    <w:rsid w:val="00744B54"/>
    <w:rsid w:val="00744B98"/>
    <w:rsid w:val="00744E2A"/>
    <w:rsid w:val="00745204"/>
    <w:rsid w:val="0074561C"/>
    <w:rsid w:val="007459E4"/>
    <w:rsid w:val="0074646B"/>
    <w:rsid w:val="0074681B"/>
    <w:rsid w:val="0074727C"/>
    <w:rsid w:val="00747584"/>
    <w:rsid w:val="007475DD"/>
    <w:rsid w:val="0074771A"/>
    <w:rsid w:val="0074789E"/>
    <w:rsid w:val="00747FE1"/>
    <w:rsid w:val="00750549"/>
    <w:rsid w:val="007506C0"/>
    <w:rsid w:val="007507EE"/>
    <w:rsid w:val="00750E34"/>
    <w:rsid w:val="0075124F"/>
    <w:rsid w:val="00751688"/>
    <w:rsid w:val="007517CA"/>
    <w:rsid w:val="0075265F"/>
    <w:rsid w:val="00752775"/>
    <w:rsid w:val="007527E0"/>
    <w:rsid w:val="007529EB"/>
    <w:rsid w:val="007529FD"/>
    <w:rsid w:val="00752FA6"/>
    <w:rsid w:val="00753605"/>
    <w:rsid w:val="007548F6"/>
    <w:rsid w:val="00754C66"/>
    <w:rsid w:val="00755219"/>
    <w:rsid w:val="00756A5E"/>
    <w:rsid w:val="00756EDE"/>
    <w:rsid w:val="007571A2"/>
    <w:rsid w:val="0075754F"/>
    <w:rsid w:val="00757668"/>
    <w:rsid w:val="00757C27"/>
    <w:rsid w:val="00757C4C"/>
    <w:rsid w:val="007600A7"/>
    <w:rsid w:val="0076048A"/>
    <w:rsid w:val="007604FE"/>
    <w:rsid w:val="00760789"/>
    <w:rsid w:val="0076098C"/>
    <w:rsid w:val="00760CF2"/>
    <w:rsid w:val="00760FC5"/>
    <w:rsid w:val="00761508"/>
    <w:rsid w:val="00761523"/>
    <w:rsid w:val="00761779"/>
    <w:rsid w:val="00761C15"/>
    <w:rsid w:val="00761E04"/>
    <w:rsid w:val="00762081"/>
    <w:rsid w:val="00762882"/>
    <w:rsid w:val="00762B9B"/>
    <w:rsid w:val="00762E09"/>
    <w:rsid w:val="00763863"/>
    <w:rsid w:val="00763BC1"/>
    <w:rsid w:val="00763D28"/>
    <w:rsid w:val="00764729"/>
    <w:rsid w:val="00764798"/>
    <w:rsid w:val="00764BDA"/>
    <w:rsid w:val="00764E56"/>
    <w:rsid w:val="00764F55"/>
    <w:rsid w:val="00765205"/>
    <w:rsid w:val="007653B3"/>
    <w:rsid w:val="00766077"/>
    <w:rsid w:val="0076635B"/>
    <w:rsid w:val="00766401"/>
    <w:rsid w:val="00766613"/>
    <w:rsid w:val="007668DC"/>
    <w:rsid w:val="0076699B"/>
    <w:rsid w:val="007669A5"/>
    <w:rsid w:val="00766A6B"/>
    <w:rsid w:val="00766F6E"/>
    <w:rsid w:val="00767330"/>
    <w:rsid w:val="00767F97"/>
    <w:rsid w:val="00770786"/>
    <w:rsid w:val="00770C24"/>
    <w:rsid w:val="00771416"/>
    <w:rsid w:val="00771625"/>
    <w:rsid w:val="00771A3F"/>
    <w:rsid w:val="00771BB5"/>
    <w:rsid w:val="00771E2F"/>
    <w:rsid w:val="007723DA"/>
    <w:rsid w:val="00772809"/>
    <w:rsid w:val="007728C5"/>
    <w:rsid w:val="00772B39"/>
    <w:rsid w:val="007730A3"/>
    <w:rsid w:val="0077315F"/>
    <w:rsid w:val="00773415"/>
    <w:rsid w:val="00773C7B"/>
    <w:rsid w:val="00773D65"/>
    <w:rsid w:val="007744D1"/>
    <w:rsid w:val="00774C8A"/>
    <w:rsid w:val="00775026"/>
    <w:rsid w:val="00775C40"/>
    <w:rsid w:val="0077685B"/>
    <w:rsid w:val="0077719E"/>
    <w:rsid w:val="00777312"/>
    <w:rsid w:val="00777336"/>
    <w:rsid w:val="0077753D"/>
    <w:rsid w:val="0078189F"/>
    <w:rsid w:val="00781AF9"/>
    <w:rsid w:val="00781D88"/>
    <w:rsid w:val="007825D3"/>
    <w:rsid w:val="00782887"/>
    <w:rsid w:val="00782D04"/>
    <w:rsid w:val="00783188"/>
    <w:rsid w:val="00783565"/>
    <w:rsid w:val="007837FF"/>
    <w:rsid w:val="007839F3"/>
    <w:rsid w:val="00783B90"/>
    <w:rsid w:val="00783BDD"/>
    <w:rsid w:val="00784B53"/>
    <w:rsid w:val="00784B9F"/>
    <w:rsid w:val="00784E32"/>
    <w:rsid w:val="0078505D"/>
    <w:rsid w:val="00785301"/>
    <w:rsid w:val="00785F88"/>
    <w:rsid w:val="007860DC"/>
    <w:rsid w:val="0078669D"/>
    <w:rsid w:val="00786C65"/>
    <w:rsid w:val="007871B4"/>
    <w:rsid w:val="0078731C"/>
    <w:rsid w:val="0078734D"/>
    <w:rsid w:val="00787C70"/>
    <w:rsid w:val="00787F8C"/>
    <w:rsid w:val="00790D9A"/>
    <w:rsid w:val="00791236"/>
    <w:rsid w:val="007916F6"/>
    <w:rsid w:val="00791B68"/>
    <w:rsid w:val="0079252E"/>
    <w:rsid w:val="0079262A"/>
    <w:rsid w:val="00792CEE"/>
    <w:rsid w:val="00792E9E"/>
    <w:rsid w:val="00793419"/>
    <w:rsid w:val="00793614"/>
    <w:rsid w:val="00793871"/>
    <w:rsid w:val="00793C77"/>
    <w:rsid w:val="0079409D"/>
    <w:rsid w:val="007945A1"/>
    <w:rsid w:val="00794623"/>
    <w:rsid w:val="00794A41"/>
    <w:rsid w:val="00794AEA"/>
    <w:rsid w:val="00794D77"/>
    <w:rsid w:val="00794D98"/>
    <w:rsid w:val="00794F5C"/>
    <w:rsid w:val="0079505E"/>
    <w:rsid w:val="0079520E"/>
    <w:rsid w:val="00795520"/>
    <w:rsid w:val="007960E6"/>
    <w:rsid w:val="007961BA"/>
    <w:rsid w:val="007961DB"/>
    <w:rsid w:val="007964A7"/>
    <w:rsid w:val="007969A5"/>
    <w:rsid w:val="00796DC6"/>
    <w:rsid w:val="00797026"/>
    <w:rsid w:val="007975AF"/>
    <w:rsid w:val="0079784D"/>
    <w:rsid w:val="00797F77"/>
    <w:rsid w:val="007A06C6"/>
    <w:rsid w:val="007A0C9C"/>
    <w:rsid w:val="007A0E36"/>
    <w:rsid w:val="007A11DA"/>
    <w:rsid w:val="007A16B8"/>
    <w:rsid w:val="007A19AC"/>
    <w:rsid w:val="007A1D72"/>
    <w:rsid w:val="007A1F41"/>
    <w:rsid w:val="007A22C3"/>
    <w:rsid w:val="007A244C"/>
    <w:rsid w:val="007A27FB"/>
    <w:rsid w:val="007A2DF4"/>
    <w:rsid w:val="007A3075"/>
    <w:rsid w:val="007A35CC"/>
    <w:rsid w:val="007A3C8C"/>
    <w:rsid w:val="007A3DDC"/>
    <w:rsid w:val="007A48F5"/>
    <w:rsid w:val="007A4B08"/>
    <w:rsid w:val="007A4E83"/>
    <w:rsid w:val="007A567C"/>
    <w:rsid w:val="007A5AFE"/>
    <w:rsid w:val="007A6314"/>
    <w:rsid w:val="007A6960"/>
    <w:rsid w:val="007A71CE"/>
    <w:rsid w:val="007A7355"/>
    <w:rsid w:val="007A73FD"/>
    <w:rsid w:val="007A7B4D"/>
    <w:rsid w:val="007A7CA4"/>
    <w:rsid w:val="007B00EA"/>
    <w:rsid w:val="007B156C"/>
    <w:rsid w:val="007B1630"/>
    <w:rsid w:val="007B16A5"/>
    <w:rsid w:val="007B1844"/>
    <w:rsid w:val="007B1D27"/>
    <w:rsid w:val="007B2172"/>
    <w:rsid w:val="007B22C1"/>
    <w:rsid w:val="007B33E4"/>
    <w:rsid w:val="007B3529"/>
    <w:rsid w:val="007B375D"/>
    <w:rsid w:val="007B3E92"/>
    <w:rsid w:val="007B3F38"/>
    <w:rsid w:val="007B480C"/>
    <w:rsid w:val="007B5367"/>
    <w:rsid w:val="007B571C"/>
    <w:rsid w:val="007B5C52"/>
    <w:rsid w:val="007B63ED"/>
    <w:rsid w:val="007B6435"/>
    <w:rsid w:val="007B6471"/>
    <w:rsid w:val="007B7104"/>
    <w:rsid w:val="007C0172"/>
    <w:rsid w:val="007C0BB3"/>
    <w:rsid w:val="007C0CDF"/>
    <w:rsid w:val="007C0E3C"/>
    <w:rsid w:val="007C12FB"/>
    <w:rsid w:val="007C1414"/>
    <w:rsid w:val="007C149A"/>
    <w:rsid w:val="007C1F7C"/>
    <w:rsid w:val="007C246A"/>
    <w:rsid w:val="007C268E"/>
    <w:rsid w:val="007C3CB7"/>
    <w:rsid w:val="007C3E26"/>
    <w:rsid w:val="007C4622"/>
    <w:rsid w:val="007C496F"/>
    <w:rsid w:val="007C4B66"/>
    <w:rsid w:val="007C4FB6"/>
    <w:rsid w:val="007C501F"/>
    <w:rsid w:val="007C57A6"/>
    <w:rsid w:val="007C5A8A"/>
    <w:rsid w:val="007C5B69"/>
    <w:rsid w:val="007C5BA4"/>
    <w:rsid w:val="007C5C4D"/>
    <w:rsid w:val="007C5CF4"/>
    <w:rsid w:val="007C5CFA"/>
    <w:rsid w:val="007C64E6"/>
    <w:rsid w:val="007C694A"/>
    <w:rsid w:val="007C76D7"/>
    <w:rsid w:val="007D0270"/>
    <w:rsid w:val="007D08FC"/>
    <w:rsid w:val="007D0A44"/>
    <w:rsid w:val="007D0C0A"/>
    <w:rsid w:val="007D0DC4"/>
    <w:rsid w:val="007D1B95"/>
    <w:rsid w:val="007D1E88"/>
    <w:rsid w:val="007D28E2"/>
    <w:rsid w:val="007D2B06"/>
    <w:rsid w:val="007D3428"/>
    <w:rsid w:val="007D4145"/>
    <w:rsid w:val="007D4306"/>
    <w:rsid w:val="007D47CD"/>
    <w:rsid w:val="007D4B80"/>
    <w:rsid w:val="007D4CAE"/>
    <w:rsid w:val="007D56D8"/>
    <w:rsid w:val="007D5759"/>
    <w:rsid w:val="007D59C9"/>
    <w:rsid w:val="007D5A2D"/>
    <w:rsid w:val="007D6081"/>
    <w:rsid w:val="007D608C"/>
    <w:rsid w:val="007D60DE"/>
    <w:rsid w:val="007D62F1"/>
    <w:rsid w:val="007D63F1"/>
    <w:rsid w:val="007D684E"/>
    <w:rsid w:val="007D6BC6"/>
    <w:rsid w:val="007D737F"/>
    <w:rsid w:val="007D7804"/>
    <w:rsid w:val="007D7930"/>
    <w:rsid w:val="007E021C"/>
    <w:rsid w:val="007E0460"/>
    <w:rsid w:val="007E083B"/>
    <w:rsid w:val="007E10C4"/>
    <w:rsid w:val="007E11AB"/>
    <w:rsid w:val="007E1231"/>
    <w:rsid w:val="007E127C"/>
    <w:rsid w:val="007E1BCC"/>
    <w:rsid w:val="007E1F8A"/>
    <w:rsid w:val="007E26AE"/>
    <w:rsid w:val="007E3393"/>
    <w:rsid w:val="007E3BB1"/>
    <w:rsid w:val="007E46AB"/>
    <w:rsid w:val="007E484B"/>
    <w:rsid w:val="007E525C"/>
    <w:rsid w:val="007E530D"/>
    <w:rsid w:val="007E5983"/>
    <w:rsid w:val="007E5A0B"/>
    <w:rsid w:val="007E6445"/>
    <w:rsid w:val="007E6C8E"/>
    <w:rsid w:val="007E7264"/>
    <w:rsid w:val="007E75D6"/>
    <w:rsid w:val="007E7998"/>
    <w:rsid w:val="007E7C08"/>
    <w:rsid w:val="007F00FC"/>
    <w:rsid w:val="007F0468"/>
    <w:rsid w:val="007F0553"/>
    <w:rsid w:val="007F091E"/>
    <w:rsid w:val="007F0A70"/>
    <w:rsid w:val="007F0E74"/>
    <w:rsid w:val="007F1377"/>
    <w:rsid w:val="007F19BE"/>
    <w:rsid w:val="007F29F7"/>
    <w:rsid w:val="007F2C68"/>
    <w:rsid w:val="007F2D4F"/>
    <w:rsid w:val="007F31DC"/>
    <w:rsid w:val="007F3333"/>
    <w:rsid w:val="007F3660"/>
    <w:rsid w:val="007F52A8"/>
    <w:rsid w:val="007F5347"/>
    <w:rsid w:val="007F5349"/>
    <w:rsid w:val="007F5437"/>
    <w:rsid w:val="007F54A8"/>
    <w:rsid w:val="007F5630"/>
    <w:rsid w:val="007F56FA"/>
    <w:rsid w:val="007F5F69"/>
    <w:rsid w:val="007F64DD"/>
    <w:rsid w:val="007F66BA"/>
    <w:rsid w:val="007F6E26"/>
    <w:rsid w:val="007F725A"/>
    <w:rsid w:val="007F7419"/>
    <w:rsid w:val="007F7720"/>
    <w:rsid w:val="007F7AFD"/>
    <w:rsid w:val="007F7D23"/>
    <w:rsid w:val="008006D0"/>
    <w:rsid w:val="00801C50"/>
    <w:rsid w:val="00801CDB"/>
    <w:rsid w:val="00801D76"/>
    <w:rsid w:val="00801F0B"/>
    <w:rsid w:val="008020B4"/>
    <w:rsid w:val="00802BC0"/>
    <w:rsid w:val="00802D35"/>
    <w:rsid w:val="00802D3B"/>
    <w:rsid w:val="00802E04"/>
    <w:rsid w:val="0080375D"/>
    <w:rsid w:val="00803FB7"/>
    <w:rsid w:val="00804BDB"/>
    <w:rsid w:val="00804F69"/>
    <w:rsid w:val="008051C9"/>
    <w:rsid w:val="0080558C"/>
    <w:rsid w:val="00805834"/>
    <w:rsid w:val="00805A23"/>
    <w:rsid w:val="00805CE0"/>
    <w:rsid w:val="0080690B"/>
    <w:rsid w:val="00806D81"/>
    <w:rsid w:val="00807298"/>
    <w:rsid w:val="00807349"/>
    <w:rsid w:val="00807395"/>
    <w:rsid w:val="0080751F"/>
    <w:rsid w:val="0080779C"/>
    <w:rsid w:val="00807A99"/>
    <w:rsid w:val="00807AAF"/>
    <w:rsid w:val="00810060"/>
    <w:rsid w:val="00810128"/>
    <w:rsid w:val="008102E9"/>
    <w:rsid w:val="008103F9"/>
    <w:rsid w:val="00810510"/>
    <w:rsid w:val="00811326"/>
    <w:rsid w:val="008115E1"/>
    <w:rsid w:val="008115FB"/>
    <w:rsid w:val="00811605"/>
    <w:rsid w:val="00811A56"/>
    <w:rsid w:val="008127DD"/>
    <w:rsid w:val="00812D39"/>
    <w:rsid w:val="00813B28"/>
    <w:rsid w:val="00813DB9"/>
    <w:rsid w:val="00813E90"/>
    <w:rsid w:val="00813E96"/>
    <w:rsid w:val="00813F4F"/>
    <w:rsid w:val="008149F3"/>
    <w:rsid w:val="008156D6"/>
    <w:rsid w:val="00815936"/>
    <w:rsid w:val="00815961"/>
    <w:rsid w:val="00815AB1"/>
    <w:rsid w:val="00815BA6"/>
    <w:rsid w:val="00815CDE"/>
    <w:rsid w:val="00816307"/>
    <w:rsid w:val="0081678D"/>
    <w:rsid w:val="00816CAC"/>
    <w:rsid w:val="00816FFA"/>
    <w:rsid w:val="008170E6"/>
    <w:rsid w:val="0081712D"/>
    <w:rsid w:val="0081765D"/>
    <w:rsid w:val="008179D1"/>
    <w:rsid w:val="00817F9D"/>
    <w:rsid w:val="008207C3"/>
    <w:rsid w:val="00820969"/>
    <w:rsid w:val="008211D9"/>
    <w:rsid w:val="008211E7"/>
    <w:rsid w:val="008212F5"/>
    <w:rsid w:val="00821412"/>
    <w:rsid w:val="00821AFB"/>
    <w:rsid w:val="00821B65"/>
    <w:rsid w:val="00821EF9"/>
    <w:rsid w:val="00822F39"/>
    <w:rsid w:val="008237D1"/>
    <w:rsid w:val="00823BF8"/>
    <w:rsid w:val="00823EB1"/>
    <w:rsid w:val="00824249"/>
    <w:rsid w:val="0082427E"/>
    <w:rsid w:val="0082490F"/>
    <w:rsid w:val="00824971"/>
    <w:rsid w:val="00824C3F"/>
    <w:rsid w:val="008269EF"/>
    <w:rsid w:val="00826A15"/>
    <w:rsid w:val="00826D6F"/>
    <w:rsid w:val="00826E96"/>
    <w:rsid w:val="00826FFB"/>
    <w:rsid w:val="00827064"/>
    <w:rsid w:val="00827355"/>
    <w:rsid w:val="00827539"/>
    <w:rsid w:val="0082788C"/>
    <w:rsid w:val="00827994"/>
    <w:rsid w:val="00827BE1"/>
    <w:rsid w:val="008301C5"/>
    <w:rsid w:val="0083041D"/>
    <w:rsid w:val="00830805"/>
    <w:rsid w:val="008314AA"/>
    <w:rsid w:val="008318B7"/>
    <w:rsid w:val="00832321"/>
    <w:rsid w:val="008325FF"/>
    <w:rsid w:val="00832727"/>
    <w:rsid w:val="0083272A"/>
    <w:rsid w:val="00832947"/>
    <w:rsid w:val="00833129"/>
    <w:rsid w:val="008335AA"/>
    <w:rsid w:val="00833849"/>
    <w:rsid w:val="00834087"/>
    <w:rsid w:val="00834141"/>
    <w:rsid w:val="00834F4A"/>
    <w:rsid w:val="0083566B"/>
    <w:rsid w:val="00835E03"/>
    <w:rsid w:val="0083603F"/>
    <w:rsid w:val="00836148"/>
    <w:rsid w:val="0083618A"/>
    <w:rsid w:val="0083631C"/>
    <w:rsid w:val="00836422"/>
    <w:rsid w:val="008364EE"/>
    <w:rsid w:val="008378B7"/>
    <w:rsid w:val="00837965"/>
    <w:rsid w:val="0083799C"/>
    <w:rsid w:val="00837D6F"/>
    <w:rsid w:val="0084001A"/>
    <w:rsid w:val="00840061"/>
    <w:rsid w:val="00840306"/>
    <w:rsid w:val="00840978"/>
    <w:rsid w:val="008409D1"/>
    <w:rsid w:val="00840BB8"/>
    <w:rsid w:val="008410EA"/>
    <w:rsid w:val="008412B2"/>
    <w:rsid w:val="00842BDB"/>
    <w:rsid w:val="008431A9"/>
    <w:rsid w:val="008435CB"/>
    <w:rsid w:val="00843D6E"/>
    <w:rsid w:val="0084411C"/>
    <w:rsid w:val="00844D40"/>
    <w:rsid w:val="00844E71"/>
    <w:rsid w:val="00845A5D"/>
    <w:rsid w:val="0084663C"/>
    <w:rsid w:val="008469CD"/>
    <w:rsid w:val="00846D52"/>
    <w:rsid w:val="00846FD6"/>
    <w:rsid w:val="008474E1"/>
    <w:rsid w:val="008477DC"/>
    <w:rsid w:val="00850E9A"/>
    <w:rsid w:val="00851477"/>
    <w:rsid w:val="00851504"/>
    <w:rsid w:val="00851984"/>
    <w:rsid w:val="008519CF"/>
    <w:rsid w:val="00851D33"/>
    <w:rsid w:val="00851DA4"/>
    <w:rsid w:val="00851F67"/>
    <w:rsid w:val="008526D3"/>
    <w:rsid w:val="00852E7E"/>
    <w:rsid w:val="008533AC"/>
    <w:rsid w:val="008539C9"/>
    <w:rsid w:val="00853F3F"/>
    <w:rsid w:val="0085446E"/>
    <w:rsid w:val="00854648"/>
    <w:rsid w:val="008548FF"/>
    <w:rsid w:val="008549B9"/>
    <w:rsid w:val="00854D42"/>
    <w:rsid w:val="0085543C"/>
    <w:rsid w:val="00855848"/>
    <w:rsid w:val="008560C4"/>
    <w:rsid w:val="00856225"/>
    <w:rsid w:val="0085652A"/>
    <w:rsid w:val="00856575"/>
    <w:rsid w:val="00856716"/>
    <w:rsid w:val="0085775E"/>
    <w:rsid w:val="00857763"/>
    <w:rsid w:val="00857B2D"/>
    <w:rsid w:val="00857BB8"/>
    <w:rsid w:val="00860302"/>
    <w:rsid w:val="0086057A"/>
    <w:rsid w:val="00860719"/>
    <w:rsid w:val="008613C7"/>
    <w:rsid w:val="0086141C"/>
    <w:rsid w:val="008614AE"/>
    <w:rsid w:val="008617F0"/>
    <w:rsid w:val="00861DDA"/>
    <w:rsid w:val="0086292E"/>
    <w:rsid w:val="00862A86"/>
    <w:rsid w:val="00863278"/>
    <w:rsid w:val="00863FEF"/>
    <w:rsid w:val="008640D3"/>
    <w:rsid w:val="0086425D"/>
    <w:rsid w:val="008645B8"/>
    <w:rsid w:val="0086462E"/>
    <w:rsid w:val="00864782"/>
    <w:rsid w:val="00864806"/>
    <w:rsid w:val="00864947"/>
    <w:rsid w:val="00864B5D"/>
    <w:rsid w:val="00865524"/>
    <w:rsid w:val="00865945"/>
    <w:rsid w:val="008668CE"/>
    <w:rsid w:val="0086756F"/>
    <w:rsid w:val="00867BEA"/>
    <w:rsid w:val="00867F13"/>
    <w:rsid w:val="0087021F"/>
    <w:rsid w:val="008711B2"/>
    <w:rsid w:val="008718FD"/>
    <w:rsid w:val="00871D28"/>
    <w:rsid w:val="00872443"/>
    <w:rsid w:val="00872613"/>
    <w:rsid w:val="00872643"/>
    <w:rsid w:val="00873867"/>
    <w:rsid w:val="008744DE"/>
    <w:rsid w:val="00874BE8"/>
    <w:rsid w:val="00874F52"/>
    <w:rsid w:val="008754AB"/>
    <w:rsid w:val="00875AF9"/>
    <w:rsid w:val="00875BEB"/>
    <w:rsid w:val="00875F1D"/>
    <w:rsid w:val="0087671D"/>
    <w:rsid w:val="00876BB9"/>
    <w:rsid w:val="00876BBD"/>
    <w:rsid w:val="00876C97"/>
    <w:rsid w:val="008770A5"/>
    <w:rsid w:val="00877596"/>
    <w:rsid w:val="0087771B"/>
    <w:rsid w:val="008777E6"/>
    <w:rsid w:val="00877B9F"/>
    <w:rsid w:val="00877BE2"/>
    <w:rsid w:val="00880187"/>
    <w:rsid w:val="008806DF"/>
    <w:rsid w:val="00881A07"/>
    <w:rsid w:val="00881BCA"/>
    <w:rsid w:val="00881E76"/>
    <w:rsid w:val="00882717"/>
    <w:rsid w:val="00882D2A"/>
    <w:rsid w:val="00883595"/>
    <w:rsid w:val="00883720"/>
    <w:rsid w:val="00884318"/>
    <w:rsid w:val="0088467D"/>
    <w:rsid w:val="0088489D"/>
    <w:rsid w:val="00884EC1"/>
    <w:rsid w:val="00885526"/>
    <w:rsid w:val="00885529"/>
    <w:rsid w:val="0088570A"/>
    <w:rsid w:val="00885813"/>
    <w:rsid w:val="00885861"/>
    <w:rsid w:val="00886055"/>
    <w:rsid w:val="00886A98"/>
    <w:rsid w:val="00886B1F"/>
    <w:rsid w:val="0088710C"/>
    <w:rsid w:val="0088782D"/>
    <w:rsid w:val="00887943"/>
    <w:rsid w:val="00887AEA"/>
    <w:rsid w:val="00887E5A"/>
    <w:rsid w:val="00890164"/>
    <w:rsid w:val="008908B8"/>
    <w:rsid w:val="00890A1F"/>
    <w:rsid w:val="00890B52"/>
    <w:rsid w:val="00890B8C"/>
    <w:rsid w:val="008910BD"/>
    <w:rsid w:val="00891918"/>
    <w:rsid w:val="00891A5D"/>
    <w:rsid w:val="00891AEF"/>
    <w:rsid w:val="008924F2"/>
    <w:rsid w:val="008927C7"/>
    <w:rsid w:val="008928C3"/>
    <w:rsid w:val="008929F3"/>
    <w:rsid w:val="00892D52"/>
    <w:rsid w:val="00893EA9"/>
    <w:rsid w:val="008940AC"/>
    <w:rsid w:val="008945E5"/>
    <w:rsid w:val="00894603"/>
    <w:rsid w:val="00894CDF"/>
    <w:rsid w:val="0089519A"/>
    <w:rsid w:val="0089581A"/>
    <w:rsid w:val="0089586A"/>
    <w:rsid w:val="00895A73"/>
    <w:rsid w:val="00896524"/>
    <w:rsid w:val="00896794"/>
    <w:rsid w:val="008970BE"/>
    <w:rsid w:val="0089723D"/>
    <w:rsid w:val="008972CD"/>
    <w:rsid w:val="008972FF"/>
    <w:rsid w:val="00897397"/>
    <w:rsid w:val="008977A7"/>
    <w:rsid w:val="00897FA4"/>
    <w:rsid w:val="008A07D6"/>
    <w:rsid w:val="008A0873"/>
    <w:rsid w:val="008A08B0"/>
    <w:rsid w:val="008A098B"/>
    <w:rsid w:val="008A0C2D"/>
    <w:rsid w:val="008A0E4A"/>
    <w:rsid w:val="008A114D"/>
    <w:rsid w:val="008A1220"/>
    <w:rsid w:val="008A16C8"/>
    <w:rsid w:val="008A19FB"/>
    <w:rsid w:val="008A1D64"/>
    <w:rsid w:val="008A1D7C"/>
    <w:rsid w:val="008A25FF"/>
    <w:rsid w:val="008A2639"/>
    <w:rsid w:val="008A26A6"/>
    <w:rsid w:val="008A28B1"/>
    <w:rsid w:val="008A32D0"/>
    <w:rsid w:val="008A365B"/>
    <w:rsid w:val="008A3A21"/>
    <w:rsid w:val="008A3BAD"/>
    <w:rsid w:val="008A412E"/>
    <w:rsid w:val="008A44E7"/>
    <w:rsid w:val="008A4502"/>
    <w:rsid w:val="008A4660"/>
    <w:rsid w:val="008A4C53"/>
    <w:rsid w:val="008A4CC5"/>
    <w:rsid w:val="008A4D98"/>
    <w:rsid w:val="008A4DCE"/>
    <w:rsid w:val="008A500B"/>
    <w:rsid w:val="008A51C1"/>
    <w:rsid w:val="008A53E0"/>
    <w:rsid w:val="008A63A6"/>
    <w:rsid w:val="008A6467"/>
    <w:rsid w:val="008A6B60"/>
    <w:rsid w:val="008B027E"/>
    <w:rsid w:val="008B05C8"/>
    <w:rsid w:val="008B0968"/>
    <w:rsid w:val="008B0D80"/>
    <w:rsid w:val="008B1484"/>
    <w:rsid w:val="008B1A56"/>
    <w:rsid w:val="008B2175"/>
    <w:rsid w:val="008B2361"/>
    <w:rsid w:val="008B2600"/>
    <w:rsid w:val="008B27B3"/>
    <w:rsid w:val="008B27DB"/>
    <w:rsid w:val="008B3325"/>
    <w:rsid w:val="008B35B0"/>
    <w:rsid w:val="008B3BD7"/>
    <w:rsid w:val="008B3CE4"/>
    <w:rsid w:val="008B3D84"/>
    <w:rsid w:val="008B3F44"/>
    <w:rsid w:val="008B3F7E"/>
    <w:rsid w:val="008B423C"/>
    <w:rsid w:val="008B45C8"/>
    <w:rsid w:val="008B4B88"/>
    <w:rsid w:val="008B5228"/>
    <w:rsid w:val="008B6BBE"/>
    <w:rsid w:val="008B711B"/>
    <w:rsid w:val="008B7793"/>
    <w:rsid w:val="008B7C35"/>
    <w:rsid w:val="008B7D75"/>
    <w:rsid w:val="008B7FE5"/>
    <w:rsid w:val="008C0390"/>
    <w:rsid w:val="008C0EB3"/>
    <w:rsid w:val="008C14FC"/>
    <w:rsid w:val="008C1752"/>
    <w:rsid w:val="008C1E49"/>
    <w:rsid w:val="008C24BD"/>
    <w:rsid w:val="008C24EF"/>
    <w:rsid w:val="008C2C61"/>
    <w:rsid w:val="008C37BB"/>
    <w:rsid w:val="008C4235"/>
    <w:rsid w:val="008C43D8"/>
    <w:rsid w:val="008C463D"/>
    <w:rsid w:val="008C4760"/>
    <w:rsid w:val="008C490E"/>
    <w:rsid w:val="008C4A2D"/>
    <w:rsid w:val="008C51E5"/>
    <w:rsid w:val="008C5AA0"/>
    <w:rsid w:val="008C5F69"/>
    <w:rsid w:val="008C6599"/>
    <w:rsid w:val="008C6F85"/>
    <w:rsid w:val="008C7117"/>
    <w:rsid w:val="008C7366"/>
    <w:rsid w:val="008C7BFB"/>
    <w:rsid w:val="008D0191"/>
    <w:rsid w:val="008D0946"/>
    <w:rsid w:val="008D0CD3"/>
    <w:rsid w:val="008D0F07"/>
    <w:rsid w:val="008D1A8D"/>
    <w:rsid w:val="008D2528"/>
    <w:rsid w:val="008D25E1"/>
    <w:rsid w:val="008D3414"/>
    <w:rsid w:val="008D38E8"/>
    <w:rsid w:val="008D3F36"/>
    <w:rsid w:val="008D414F"/>
    <w:rsid w:val="008D42AE"/>
    <w:rsid w:val="008D49D4"/>
    <w:rsid w:val="008D574B"/>
    <w:rsid w:val="008D5E0E"/>
    <w:rsid w:val="008D5E1D"/>
    <w:rsid w:val="008D6125"/>
    <w:rsid w:val="008D6ECF"/>
    <w:rsid w:val="008D6F23"/>
    <w:rsid w:val="008E01E0"/>
    <w:rsid w:val="008E0588"/>
    <w:rsid w:val="008E08BA"/>
    <w:rsid w:val="008E0D95"/>
    <w:rsid w:val="008E0EB0"/>
    <w:rsid w:val="008E10EF"/>
    <w:rsid w:val="008E12E7"/>
    <w:rsid w:val="008E1812"/>
    <w:rsid w:val="008E1E2E"/>
    <w:rsid w:val="008E1FBC"/>
    <w:rsid w:val="008E1FCC"/>
    <w:rsid w:val="008E210A"/>
    <w:rsid w:val="008E2235"/>
    <w:rsid w:val="008E2317"/>
    <w:rsid w:val="008E2682"/>
    <w:rsid w:val="008E2DA8"/>
    <w:rsid w:val="008E3774"/>
    <w:rsid w:val="008E37F4"/>
    <w:rsid w:val="008E4325"/>
    <w:rsid w:val="008E4483"/>
    <w:rsid w:val="008E4575"/>
    <w:rsid w:val="008E45D4"/>
    <w:rsid w:val="008E4ACA"/>
    <w:rsid w:val="008E4F5A"/>
    <w:rsid w:val="008E5317"/>
    <w:rsid w:val="008E652C"/>
    <w:rsid w:val="008E6F8F"/>
    <w:rsid w:val="008E73C8"/>
    <w:rsid w:val="008E753A"/>
    <w:rsid w:val="008E7564"/>
    <w:rsid w:val="008E77CF"/>
    <w:rsid w:val="008E7EF1"/>
    <w:rsid w:val="008F003E"/>
    <w:rsid w:val="008F07A2"/>
    <w:rsid w:val="008F09DB"/>
    <w:rsid w:val="008F0B95"/>
    <w:rsid w:val="008F14A3"/>
    <w:rsid w:val="008F24F6"/>
    <w:rsid w:val="008F26B6"/>
    <w:rsid w:val="008F2739"/>
    <w:rsid w:val="008F284D"/>
    <w:rsid w:val="008F2CAC"/>
    <w:rsid w:val="008F30C7"/>
    <w:rsid w:val="008F3634"/>
    <w:rsid w:val="008F398C"/>
    <w:rsid w:val="008F3B9D"/>
    <w:rsid w:val="008F3F3F"/>
    <w:rsid w:val="008F423C"/>
    <w:rsid w:val="008F46F0"/>
    <w:rsid w:val="008F4C8C"/>
    <w:rsid w:val="008F4DD9"/>
    <w:rsid w:val="008F515D"/>
    <w:rsid w:val="008F544B"/>
    <w:rsid w:val="008F54A3"/>
    <w:rsid w:val="008F57B0"/>
    <w:rsid w:val="008F5D9E"/>
    <w:rsid w:val="008F5EB2"/>
    <w:rsid w:val="008F6101"/>
    <w:rsid w:val="008F611C"/>
    <w:rsid w:val="008F6457"/>
    <w:rsid w:val="008F64DC"/>
    <w:rsid w:val="008F6646"/>
    <w:rsid w:val="008F67F6"/>
    <w:rsid w:val="008F6B12"/>
    <w:rsid w:val="008F74AD"/>
    <w:rsid w:val="008F7883"/>
    <w:rsid w:val="008F78D4"/>
    <w:rsid w:val="008F78E6"/>
    <w:rsid w:val="008F7C7D"/>
    <w:rsid w:val="009000D5"/>
    <w:rsid w:val="00900767"/>
    <w:rsid w:val="009009DC"/>
    <w:rsid w:val="00900C42"/>
    <w:rsid w:val="00900F1B"/>
    <w:rsid w:val="00901402"/>
    <w:rsid w:val="009016D0"/>
    <w:rsid w:val="00901980"/>
    <w:rsid w:val="00901DF8"/>
    <w:rsid w:val="00902471"/>
    <w:rsid w:val="009027FB"/>
    <w:rsid w:val="009029E3"/>
    <w:rsid w:val="009038A4"/>
    <w:rsid w:val="00903C6B"/>
    <w:rsid w:val="00903FE9"/>
    <w:rsid w:val="0090454F"/>
    <w:rsid w:val="009049C9"/>
    <w:rsid w:val="00904CC7"/>
    <w:rsid w:val="00905132"/>
    <w:rsid w:val="00905278"/>
    <w:rsid w:val="00906281"/>
    <w:rsid w:val="00906D94"/>
    <w:rsid w:val="0090783E"/>
    <w:rsid w:val="00910424"/>
    <w:rsid w:val="009108F4"/>
    <w:rsid w:val="00910A31"/>
    <w:rsid w:val="00910AF8"/>
    <w:rsid w:val="009110FD"/>
    <w:rsid w:val="00911D1E"/>
    <w:rsid w:val="00911D7F"/>
    <w:rsid w:val="009122DD"/>
    <w:rsid w:val="009130BB"/>
    <w:rsid w:val="00913108"/>
    <w:rsid w:val="0091329D"/>
    <w:rsid w:val="00913466"/>
    <w:rsid w:val="00913576"/>
    <w:rsid w:val="009139C2"/>
    <w:rsid w:val="009139CE"/>
    <w:rsid w:val="009142A1"/>
    <w:rsid w:val="00914392"/>
    <w:rsid w:val="0091451E"/>
    <w:rsid w:val="00914949"/>
    <w:rsid w:val="00914A60"/>
    <w:rsid w:val="00914C83"/>
    <w:rsid w:val="00915278"/>
    <w:rsid w:val="009152A4"/>
    <w:rsid w:val="00915B4B"/>
    <w:rsid w:val="00915DE7"/>
    <w:rsid w:val="00916023"/>
    <w:rsid w:val="00916512"/>
    <w:rsid w:val="00916AC3"/>
    <w:rsid w:val="00916F27"/>
    <w:rsid w:val="0091739C"/>
    <w:rsid w:val="00917E61"/>
    <w:rsid w:val="009201BC"/>
    <w:rsid w:val="00920853"/>
    <w:rsid w:val="00920907"/>
    <w:rsid w:val="00920A9C"/>
    <w:rsid w:val="00921BA4"/>
    <w:rsid w:val="00922173"/>
    <w:rsid w:val="009229F7"/>
    <w:rsid w:val="00922BF7"/>
    <w:rsid w:val="00922CA8"/>
    <w:rsid w:val="009233FF"/>
    <w:rsid w:val="009236B4"/>
    <w:rsid w:val="00923AEA"/>
    <w:rsid w:val="00923B1A"/>
    <w:rsid w:val="00923C81"/>
    <w:rsid w:val="00923CCC"/>
    <w:rsid w:val="009240E6"/>
    <w:rsid w:val="009244E2"/>
    <w:rsid w:val="009249A7"/>
    <w:rsid w:val="00924A49"/>
    <w:rsid w:val="00924D7A"/>
    <w:rsid w:val="009252A0"/>
    <w:rsid w:val="0092566E"/>
    <w:rsid w:val="00925680"/>
    <w:rsid w:val="009259EB"/>
    <w:rsid w:val="00925B6F"/>
    <w:rsid w:val="0092647B"/>
    <w:rsid w:val="00926FC9"/>
    <w:rsid w:val="009270FC"/>
    <w:rsid w:val="00927200"/>
    <w:rsid w:val="0092762A"/>
    <w:rsid w:val="00927A74"/>
    <w:rsid w:val="00930213"/>
    <w:rsid w:val="00930498"/>
    <w:rsid w:val="00930575"/>
    <w:rsid w:val="009309DD"/>
    <w:rsid w:val="00931C05"/>
    <w:rsid w:val="00932304"/>
    <w:rsid w:val="0093230C"/>
    <w:rsid w:val="00932499"/>
    <w:rsid w:val="0093249F"/>
    <w:rsid w:val="009326A0"/>
    <w:rsid w:val="0093304D"/>
    <w:rsid w:val="0093315C"/>
    <w:rsid w:val="009338D3"/>
    <w:rsid w:val="00933D87"/>
    <w:rsid w:val="00933E9F"/>
    <w:rsid w:val="00933EFD"/>
    <w:rsid w:val="00934303"/>
    <w:rsid w:val="00934ABC"/>
    <w:rsid w:val="00934DD8"/>
    <w:rsid w:val="00935059"/>
    <w:rsid w:val="0093589A"/>
    <w:rsid w:val="009358B3"/>
    <w:rsid w:val="00935F16"/>
    <w:rsid w:val="009362A7"/>
    <w:rsid w:val="0093634D"/>
    <w:rsid w:val="00937989"/>
    <w:rsid w:val="00937AD3"/>
    <w:rsid w:val="00940996"/>
    <w:rsid w:val="009409D5"/>
    <w:rsid w:val="0094151C"/>
    <w:rsid w:val="0094185B"/>
    <w:rsid w:val="009425B0"/>
    <w:rsid w:val="00942C0C"/>
    <w:rsid w:val="00942F2A"/>
    <w:rsid w:val="009431E2"/>
    <w:rsid w:val="009434DA"/>
    <w:rsid w:val="009435B4"/>
    <w:rsid w:val="009436F0"/>
    <w:rsid w:val="00943A5D"/>
    <w:rsid w:val="009441B8"/>
    <w:rsid w:val="0094432E"/>
    <w:rsid w:val="00944412"/>
    <w:rsid w:val="00944AE0"/>
    <w:rsid w:val="009457E9"/>
    <w:rsid w:val="00945AAF"/>
    <w:rsid w:val="00945B23"/>
    <w:rsid w:val="009461A5"/>
    <w:rsid w:val="00946727"/>
    <w:rsid w:val="00946766"/>
    <w:rsid w:val="009467C8"/>
    <w:rsid w:val="009468CA"/>
    <w:rsid w:val="00946C24"/>
    <w:rsid w:val="00946E17"/>
    <w:rsid w:val="00946E48"/>
    <w:rsid w:val="00946E97"/>
    <w:rsid w:val="00946FAB"/>
    <w:rsid w:val="00947626"/>
    <w:rsid w:val="009477C6"/>
    <w:rsid w:val="009477DB"/>
    <w:rsid w:val="00947D8C"/>
    <w:rsid w:val="00950318"/>
    <w:rsid w:val="00950B24"/>
    <w:rsid w:val="00950F98"/>
    <w:rsid w:val="009510D3"/>
    <w:rsid w:val="0095221A"/>
    <w:rsid w:val="009525C9"/>
    <w:rsid w:val="009529AA"/>
    <w:rsid w:val="00952CE9"/>
    <w:rsid w:val="00952F72"/>
    <w:rsid w:val="00954434"/>
    <w:rsid w:val="009544DD"/>
    <w:rsid w:val="00954720"/>
    <w:rsid w:val="009548A0"/>
    <w:rsid w:val="009549CB"/>
    <w:rsid w:val="00954C52"/>
    <w:rsid w:val="0095587C"/>
    <w:rsid w:val="009561D1"/>
    <w:rsid w:val="00956CDE"/>
    <w:rsid w:val="00956DC1"/>
    <w:rsid w:val="00956DC4"/>
    <w:rsid w:val="00956F1F"/>
    <w:rsid w:val="00956F7E"/>
    <w:rsid w:val="00956F91"/>
    <w:rsid w:val="0095713D"/>
    <w:rsid w:val="00957694"/>
    <w:rsid w:val="009578EC"/>
    <w:rsid w:val="00957D4B"/>
    <w:rsid w:val="00957DC2"/>
    <w:rsid w:val="00960159"/>
    <w:rsid w:val="00960C4C"/>
    <w:rsid w:val="00960D17"/>
    <w:rsid w:val="00960FB6"/>
    <w:rsid w:val="00960FD1"/>
    <w:rsid w:val="0096111D"/>
    <w:rsid w:val="00961564"/>
    <w:rsid w:val="00961E0A"/>
    <w:rsid w:val="00961E0D"/>
    <w:rsid w:val="00961F45"/>
    <w:rsid w:val="009622C9"/>
    <w:rsid w:val="009622CB"/>
    <w:rsid w:val="0096298A"/>
    <w:rsid w:val="00962C20"/>
    <w:rsid w:val="00962C80"/>
    <w:rsid w:val="00962DE3"/>
    <w:rsid w:val="00963BCE"/>
    <w:rsid w:val="00963E99"/>
    <w:rsid w:val="009641A6"/>
    <w:rsid w:val="00964228"/>
    <w:rsid w:val="00964B28"/>
    <w:rsid w:val="00964D35"/>
    <w:rsid w:val="0096524F"/>
    <w:rsid w:val="0096692A"/>
    <w:rsid w:val="009671C0"/>
    <w:rsid w:val="009674A6"/>
    <w:rsid w:val="00967C8A"/>
    <w:rsid w:val="00967DBE"/>
    <w:rsid w:val="00967E0C"/>
    <w:rsid w:val="00967F08"/>
    <w:rsid w:val="0097009F"/>
    <w:rsid w:val="00970260"/>
    <w:rsid w:val="00970406"/>
    <w:rsid w:val="009707E7"/>
    <w:rsid w:val="0097141F"/>
    <w:rsid w:val="009728AB"/>
    <w:rsid w:val="00972F1B"/>
    <w:rsid w:val="00972FDC"/>
    <w:rsid w:val="00973B27"/>
    <w:rsid w:val="0097485F"/>
    <w:rsid w:val="00974A04"/>
    <w:rsid w:val="00974AF5"/>
    <w:rsid w:val="00974E6D"/>
    <w:rsid w:val="00975266"/>
    <w:rsid w:val="009756B4"/>
    <w:rsid w:val="00975AAE"/>
    <w:rsid w:val="00975E82"/>
    <w:rsid w:val="00975F90"/>
    <w:rsid w:val="009760DE"/>
    <w:rsid w:val="00976D5A"/>
    <w:rsid w:val="00977070"/>
    <w:rsid w:val="00977201"/>
    <w:rsid w:val="00977313"/>
    <w:rsid w:val="0097733D"/>
    <w:rsid w:val="00977C67"/>
    <w:rsid w:val="00977E27"/>
    <w:rsid w:val="00980064"/>
    <w:rsid w:val="0098094F"/>
    <w:rsid w:val="00980C3E"/>
    <w:rsid w:val="00980F18"/>
    <w:rsid w:val="00981324"/>
    <w:rsid w:val="00981970"/>
    <w:rsid w:val="00982235"/>
    <w:rsid w:val="00982845"/>
    <w:rsid w:val="00982955"/>
    <w:rsid w:val="00982B02"/>
    <w:rsid w:val="0098326E"/>
    <w:rsid w:val="009833E5"/>
    <w:rsid w:val="00983459"/>
    <w:rsid w:val="00983534"/>
    <w:rsid w:val="009836FC"/>
    <w:rsid w:val="00984DA2"/>
    <w:rsid w:val="009852E4"/>
    <w:rsid w:val="00985D43"/>
    <w:rsid w:val="00985E10"/>
    <w:rsid w:val="00986052"/>
    <w:rsid w:val="009861D6"/>
    <w:rsid w:val="00986700"/>
    <w:rsid w:val="00986993"/>
    <w:rsid w:val="009877AF"/>
    <w:rsid w:val="009903BE"/>
    <w:rsid w:val="009911F9"/>
    <w:rsid w:val="009914D9"/>
    <w:rsid w:val="00991CF8"/>
    <w:rsid w:val="0099285F"/>
    <w:rsid w:val="00992996"/>
    <w:rsid w:val="009930DB"/>
    <w:rsid w:val="0099330D"/>
    <w:rsid w:val="009940E6"/>
    <w:rsid w:val="00994341"/>
    <w:rsid w:val="0099483D"/>
    <w:rsid w:val="009948B1"/>
    <w:rsid w:val="00994CD9"/>
    <w:rsid w:val="009951F7"/>
    <w:rsid w:val="00995949"/>
    <w:rsid w:val="00995BC5"/>
    <w:rsid w:val="009967DD"/>
    <w:rsid w:val="00996B32"/>
    <w:rsid w:val="00996DB8"/>
    <w:rsid w:val="00996DFF"/>
    <w:rsid w:val="0099705C"/>
    <w:rsid w:val="009974A2"/>
    <w:rsid w:val="009978EF"/>
    <w:rsid w:val="009A03D7"/>
    <w:rsid w:val="009A0A2A"/>
    <w:rsid w:val="009A0D3B"/>
    <w:rsid w:val="009A1322"/>
    <w:rsid w:val="009A1EC4"/>
    <w:rsid w:val="009A235E"/>
    <w:rsid w:val="009A2550"/>
    <w:rsid w:val="009A2DDC"/>
    <w:rsid w:val="009A3304"/>
    <w:rsid w:val="009A3373"/>
    <w:rsid w:val="009A3747"/>
    <w:rsid w:val="009A3955"/>
    <w:rsid w:val="009A3AC4"/>
    <w:rsid w:val="009A41B9"/>
    <w:rsid w:val="009A4893"/>
    <w:rsid w:val="009A4F58"/>
    <w:rsid w:val="009A51E2"/>
    <w:rsid w:val="009A52ED"/>
    <w:rsid w:val="009A54C0"/>
    <w:rsid w:val="009A5535"/>
    <w:rsid w:val="009A6539"/>
    <w:rsid w:val="009A6739"/>
    <w:rsid w:val="009A6A63"/>
    <w:rsid w:val="009A70AF"/>
    <w:rsid w:val="009A71CA"/>
    <w:rsid w:val="009A7279"/>
    <w:rsid w:val="009A76A7"/>
    <w:rsid w:val="009A7793"/>
    <w:rsid w:val="009A779D"/>
    <w:rsid w:val="009A77F4"/>
    <w:rsid w:val="009A79A5"/>
    <w:rsid w:val="009A7FCA"/>
    <w:rsid w:val="009B0296"/>
    <w:rsid w:val="009B046E"/>
    <w:rsid w:val="009B0489"/>
    <w:rsid w:val="009B141A"/>
    <w:rsid w:val="009B14E2"/>
    <w:rsid w:val="009B1914"/>
    <w:rsid w:val="009B1F90"/>
    <w:rsid w:val="009B2156"/>
    <w:rsid w:val="009B2380"/>
    <w:rsid w:val="009B2A89"/>
    <w:rsid w:val="009B3B54"/>
    <w:rsid w:val="009B3EFD"/>
    <w:rsid w:val="009B4051"/>
    <w:rsid w:val="009B4142"/>
    <w:rsid w:val="009B4A5C"/>
    <w:rsid w:val="009B529A"/>
    <w:rsid w:val="009B5542"/>
    <w:rsid w:val="009B5701"/>
    <w:rsid w:val="009B5A21"/>
    <w:rsid w:val="009B5B61"/>
    <w:rsid w:val="009B6CE2"/>
    <w:rsid w:val="009B774A"/>
    <w:rsid w:val="009B795D"/>
    <w:rsid w:val="009B7A7E"/>
    <w:rsid w:val="009B7E57"/>
    <w:rsid w:val="009C0B9A"/>
    <w:rsid w:val="009C0BB1"/>
    <w:rsid w:val="009C0BEB"/>
    <w:rsid w:val="009C0FA5"/>
    <w:rsid w:val="009C10A7"/>
    <w:rsid w:val="009C10DC"/>
    <w:rsid w:val="009C11D5"/>
    <w:rsid w:val="009C19BD"/>
    <w:rsid w:val="009C1E8A"/>
    <w:rsid w:val="009C1FF3"/>
    <w:rsid w:val="009C2AFA"/>
    <w:rsid w:val="009C3046"/>
    <w:rsid w:val="009C31F0"/>
    <w:rsid w:val="009C359C"/>
    <w:rsid w:val="009C37BE"/>
    <w:rsid w:val="009C3908"/>
    <w:rsid w:val="009C3B01"/>
    <w:rsid w:val="009C3E4C"/>
    <w:rsid w:val="009C42A0"/>
    <w:rsid w:val="009C4341"/>
    <w:rsid w:val="009C44EC"/>
    <w:rsid w:val="009C46B0"/>
    <w:rsid w:val="009C481A"/>
    <w:rsid w:val="009C49AD"/>
    <w:rsid w:val="009C4CE1"/>
    <w:rsid w:val="009C4EC8"/>
    <w:rsid w:val="009C5AAB"/>
    <w:rsid w:val="009C617C"/>
    <w:rsid w:val="009C6688"/>
    <w:rsid w:val="009C719A"/>
    <w:rsid w:val="009C7513"/>
    <w:rsid w:val="009C78E5"/>
    <w:rsid w:val="009C7D1B"/>
    <w:rsid w:val="009C7F39"/>
    <w:rsid w:val="009D02C6"/>
    <w:rsid w:val="009D1C0F"/>
    <w:rsid w:val="009D2082"/>
    <w:rsid w:val="009D2247"/>
    <w:rsid w:val="009D22C5"/>
    <w:rsid w:val="009D249C"/>
    <w:rsid w:val="009D4808"/>
    <w:rsid w:val="009D4C92"/>
    <w:rsid w:val="009D4DAB"/>
    <w:rsid w:val="009D4FF5"/>
    <w:rsid w:val="009D502C"/>
    <w:rsid w:val="009D543D"/>
    <w:rsid w:val="009D571B"/>
    <w:rsid w:val="009D5876"/>
    <w:rsid w:val="009D5905"/>
    <w:rsid w:val="009D5955"/>
    <w:rsid w:val="009D5C41"/>
    <w:rsid w:val="009D5C7A"/>
    <w:rsid w:val="009D5F07"/>
    <w:rsid w:val="009D615E"/>
    <w:rsid w:val="009D6190"/>
    <w:rsid w:val="009D61F6"/>
    <w:rsid w:val="009D620F"/>
    <w:rsid w:val="009D6504"/>
    <w:rsid w:val="009D6687"/>
    <w:rsid w:val="009D66F8"/>
    <w:rsid w:val="009D676E"/>
    <w:rsid w:val="009D67EE"/>
    <w:rsid w:val="009D6A42"/>
    <w:rsid w:val="009D75F6"/>
    <w:rsid w:val="009D7624"/>
    <w:rsid w:val="009D7743"/>
    <w:rsid w:val="009D7A59"/>
    <w:rsid w:val="009D7FBE"/>
    <w:rsid w:val="009E0199"/>
    <w:rsid w:val="009E0345"/>
    <w:rsid w:val="009E07DF"/>
    <w:rsid w:val="009E0943"/>
    <w:rsid w:val="009E0C39"/>
    <w:rsid w:val="009E0D79"/>
    <w:rsid w:val="009E0E9A"/>
    <w:rsid w:val="009E18ED"/>
    <w:rsid w:val="009E1C70"/>
    <w:rsid w:val="009E1C8F"/>
    <w:rsid w:val="009E1CF9"/>
    <w:rsid w:val="009E1F0E"/>
    <w:rsid w:val="009E24DE"/>
    <w:rsid w:val="009E2DBB"/>
    <w:rsid w:val="009E30E1"/>
    <w:rsid w:val="009E3207"/>
    <w:rsid w:val="009E33BE"/>
    <w:rsid w:val="009E36E4"/>
    <w:rsid w:val="009E3909"/>
    <w:rsid w:val="009E3956"/>
    <w:rsid w:val="009E3BDE"/>
    <w:rsid w:val="009E4113"/>
    <w:rsid w:val="009E4220"/>
    <w:rsid w:val="009E432D"/>
    <w:rsid w:val="009E4645"/>
    <w:rsid w:val="009E5123"/>
    <w:rsid w:val="009E524D"/>
    <w:rsid w:val="009E52CB"/>
    <w:rsid w:val="009E5369"/>
    <w:rsid w:val="009E5808"/>
    <w:rsid w:val="009E59E2"/>
    <w:rsid w:val="009E5A07"/>
    <w:rsid w:val="009E606A"/>
    <w:rsid w:val="009E625B"/>
    <w:rsid w:val="009E69B2"/>
    <w:rsid w:val="009E69D9"/>
    <w:rsid w:val="009E74EF"/>
    <w:rsid w:val="009E7AE2"/>
    <w:rsid w:val="009F0314"/>
    <w:rsid w:val="009F0EBC"/>
    <w:rsid w:val="009F1383"/>
    <w:rsid w:val="009F173C"/>
    <w:rsid w:val="009F1A29"/>
    <w:rsid w:val="009F1DAC"/>
    <w:rsid w:val="009F2984"/>
    <w:rsid w:val="009F2DF7"/>
    <w:rsid w:val="009F2E42"/>
    <w:rsid w:val="009F2F13"/>
    <w:rsid w:val="009F3861"/>
    <w:rsid w:val="009F3EC3"/>
    <w:rsid w:val="009F3FE4"/>
    <w:rsid w:val="009F4427"/>
    <w:rsid w:val="009F4519"/>
    <w:rsid w:val="009F455F"/>
    <w:rsid w:val="009F47C3"/>
    <w:rsid w:val="009F4900"/>
    <w:rsid w:val="009F4E81"/>
    <w:rsid w:val="009F513C"/>
    <w:rsid w:val="009F524A"/>
    <w:rsid w:val="009F5300"/>
    <w:rsid w:val="009F60FE"/>
    <w:rsid w:val="009F6D31"/>
    <w:rsid w:val="00A0001E"/>
    <w:rsid w:val="00A00772"/>
    <w:rsid w:val="00A009A7"/>
    <w:rsid w:val="00A01215"/>
    <w:rsid w:val="00A013D2"/>
    <w:rsid w:val="00A013D6"/>
    <w:rsid w:val="00A018EB"/>
    <w:rsid w:val="00A019E0"/>
    <w:rsid w:val="00A01A92"/>
    <w:rsid w:val="00A01C74"/>
    <w:rsid w:val="00A01E27"/>
    <w:rsid w:val="00A02252"/>
    <w:rsid w:val="00A0296E"/>
    <w:rsid w:val="00A029A6"/>
    <w:rsid w:val="00A0311F"/>
    <w:rsid w:val="00A037A3"/>
    <w:rsid w:val="00A03F5A"/>
    <w:rsid w:val="00A04CE5"/>
    <w:rsid w:val="00A04F0C"/>
    <w:rsid w:val="00A050C0"/>
    <w:rsid w:val="00A0526E"/>
    <w:rsid w:val="00A05290"/>
    <w:rsid w:val="00A0584F"/>
    <w:rsid w:val="00A058A5"/>
    <w:rsid w:val="00A05958"/>
    <w:rsid w:val="00A05CF3"/>
    <w:rsid w:val="00A05DEC"/>
    <w:rsid w:val="00A05EB9"/>
    <w:rsid w:val="00A064AB"/>
    <w:rsid w:val="00A064D4"/>
    <w:rsid w:val="00A06826"/>
    <w:rsid w:val="00A0696A"/>
    <w:rsid w:val="00A069D7"/>
    <w:rsid w:val="00A06A73"/>
    <w:rsid w:val="00A06DD3"/>
    <w:rsid w:val="00A06DDE"/>
    <w:rsid w:val="00A076DA"/>
    <w:rsid w:val="00A077B6"/>
    <w:rsid w:val="00A077C5"/>
    <w:rsid w:val="00A07920"/>
    <w:rsid w:val="00A07B80"/>
    <w:rsid w:val="00A106D8"/>
    <w:rsid w:val="00A109B2"/>
    <w:rsid w:val="00A11675"/>
    <w:rsid w:val="00A117D7"/>
    <w:rsid w:val="00A117F9"/>
    <w:rsid w:val="00A11811"/>
    <w:rsid w:val="00A11AAD"/>
    <w:rsid w:val="00A11F80"/>
    <w:rsid w:val="00A125B7"/>
    <w:rsid w:val="00A1267F"/>
    <w:rsid w:val="00A12707"/>
    <w:rsid w:val="00A12933"/>
    <w:rsid w:val="00A12CC0"/>
    <w:rsid w:val="00A12D62"/>
    <w:rsid w:val="00A139CD"/>
    <w:rsid w:val="00A13F00"/>
    <w:rsid w:val="00A149E9"/>
    <w:rsid w:val="00A15206"/>
    <w:rsid w:val="00A15C50"/>
    <w:rsid w:val="00A15CAA"/>
    <w:rsid w:val="00A15DDD"/>
    <w:rsid w:val="00A17181"/>
    <w:rsid w:val="00A179DB"/>
    <w:rsid w:val="00A17EEC"/>
    <w:rsid w:val="00A20003"/>
    <w:rsid w:val="00A207DE"/>
    <w:rsid w:val="00A21503"/>
    <w:rsid w:val="00A21E6E"/>
    <w:rsid w:val="00A222FE"/>
    <w:rsid w:val="00A226E0"/>
    <w:rsid w:val="00A227B0"/>
    <w:rsid w:val="00A2323E"/>
    <w:rsid w:val="00A23BAE"/>
    <w:rsid w:val="00A24931"/>
    <w:rsid w:val="00A24C66"/>
    <w:rsid w:val="00A24D64"/>
    <w:rsid w:val="00A255C7"/>
    <w:rsid w:val="00A25841"/>
    <w:rsid w:val="00A2591D"/>
    <w:rsid w:val="00A2598D"/>
    <w:rsid w:val="00A2610D"/>
    <w:rsid w:val="00A261B7"/>
    <w:rsid w:val="00A2629C"/>
    <w:rsid w:val="00A2669F"/>
    <w:rsid w:val="00A26928"/>
    <w:rsid w:val="00A26AD8"/>
    <w:rsid w:val="00A26CA9"/>
    <w:rsid w:val="00A276AF"/>
    <w:rsid w:val="00A27B2C"/>
    <w:rsid w:val="00A27E3C"/>
    <w:rsid w:val="00A30789"/>
    <w:rsid w:val="00A30982"/>
    <w:rsid w:val="00A309E3"/>
    <w:rsid w:val="00A30A7D"/>
    <w:rsid w:val="00A30C88"/>
    <w:rsid w:val="00A30DF2"/>
    <w:rsid w:val="00A311D7"/>
    <w:rsid w:val="00A314CB"/>
    <w:rsid w:val="00A314F3"/>
    <w:rsid w:val="00A31AD6"/>
    <w:rsid w:val="00A325BF"/>
    <w:rsid w:val="00A335D4"/>
    <w:rsid w:val="00A3378A"/>
    <w:rsid w:val="00A347BC"/>
    <w:rsid w:val="00A34F61"/>
    <w:rsid w:val="00A36269"/>
    <w:rsid w:val="00A3631C"/>
    <w:rsid w:val="00A36485"/>
    <w:rsid w:val="00A36616"/>
    <w:rsid w:val="00A366B5"/>
    <w:rsid w:val="00A36700"/>
    <w:rsid w:val="00A36939"/>
    <w:rsid w:val="00A36941"/>
    <w:rsid w:val="00A36C69"/>
    <w:rsid w:val="00A37027"/>
    <w:rsid w:val="00A37087"/>
    <w:rsid w:val="00A371AE"/>
    <w:rsid w:val="00A3734A"/>
    <w:rsid w:val="00A37CD6"/>
    <w:rsid w:val="00A37E57"/>
    <w:rsid w:val="00A404EC"/>
    <w:rsid w:val="00A4095F"/>
    <w:rsid w:val="00A40B97"/>
    <w:rsid w:val="00A40EEF"/>
    <w:rsid w:val="00A4123A"/>
    <w:rsid w:val="00A41301"/>
    <w:rsid w:val="00A424F2"/>
    <w:rsid w:val="00A42614"/>
    <w:rsid w:val="00A427CB"/>
    <w:rsid w:val="00A42851"/>
    <w:rsid w:val="00A42CD8"/>
    <w:rsid w:val="00A42E46"/>
    <w:rsid w:val="00A42EB3"/>
    <w:rsid w:val="00A43AA3"/>
    <w:rsid w:val="00A4434F"/>
    <w:rsid w:val="00A44674"/>
    <w:rsid w:val="00A448BD"/>
    <w:rsid w:val="00A44E83"/>
    <w:rsid w:val="00A454CF"/>
    <w:rsid w:val="00A45CF7"/>
    <w:rsid w:val="00A467DA"/>
    <w:rsid w:val="00A46CE3"/>
    <w:rsid w:val="00A4792E"/>
    <w:rsid w:val="00A47A8E"/>
    <w:rsid w:val="00A47C62"/>
    <w:rsid w:val="00A51232"/>
    <w:rsid w:val="00A51A09"/>
    <w:rsid w:val="00A5237A"/>
    <w:rsid w:val="00A528FD"/>
    <w:rsid w:val="00A53470"/>
    <w:rsid w:val="00A53734"/>
    <w:rsid w:val="00A53D21"/>
    <w:rsid w:val="00A54052"/>
    <w:rsid w:val="00A5408F"/>
    <w:rsid w:val="00A54716"/>
    <w:rsid w:val="00A54750"/>
    <w:rsid w:val="00A549F2"/>
    <w:rsid w:val="00A54B57"/>
    <w:rsid w:val="00A54DD8"/>
    <w:rsid w:val="00A5518B"/>
    <w:rsid w:val="00A551B1"/>
    <w:rsid w:val="00A55843"/>
    <w:rsid w:val="00A5615C"/>
    <w:rsid w:val="00A56394"/>
    <w:rsid w:val="00A56DAE"/>
    <w:rsid w:val="00A57056"/>
    <w:rsid w:val="00A60B9D"/>
    <w:rsid w:val="00A611DF"/>
    <w:rsid w:val="00A62440"/>
    <w:rsid w:val="00A624F6"/>
    <w:rsid w:val="00A62A3E"/>
    <w:rsid w:val="00A62D6A"/>
    <w:rsid w:val="00A62E43"/>
    <w:rsid w:val="00A63165"/>
    <w:rsid w:val="00A6340D"/>
    <w:rsid w:val="00A63716"/>
    <w:rsid w:val="00A63A81"/>
    <w:rsid w:val="00A63B07"/>
    <w:rsid w:val="00A64312"/>
    <w:rsid w:val="00A6433D"/>
    <w:rsid w:val="00A643C5"/>
    <w:rsid w:val="00A644B9"/>
    <w:rsid w:val="00A645AD"/>
    <w:rsid w:val="00A64D3E"/>
    <w:rsid w:val="00A64FC1"/>
    <w:rsid w:val="00A6504E"/>
    <w:rsid w:val="00A65211"/>
    <w:rsid w:val="00A6541F"/>
    <w:rsid w:val="00A655C1"/>
    <w:rsid w:val="00A665F1"/>
    <w:rsid w:val="00A6661F"/>
    <w:rsid w:val="00A66D65"/>
    <w:rsid w:val="00A67310"/>
    <w:rsid w:val="00A674D9"/>
    <w:rsid w:val="00A6764B"/>
    <w:rsid w:val="00A67FA4"/>
    <w:rsid w:val="00A7058B"/>
    <w:rsid w:val="00A706D4"/>
    <w:rsid w:val="00A70D95"/>
    <w:rsid w:val="00A71250"/>
    <w:rsid w:val="00A7143E"/>
    <w:rsid w:val="00A715EE"/>
    <w:rsid w:val="00A717F3"/>
    <w:rsid w:val="00A71CF1"/>
    <w:rsid w:val="00A71D74"/>
    <w:rsid w:val="00A72BF6"/>
    <w:rsid w:val="00A7343D"/>
    <w:rsid w:val="00A73BCF"/>
    <w:rsid w:val="00A74216"/>
    <w:rsid w:val="00A7582A"/>
    <w:rsid w:val="00A75A4F"/>
    <w:rsid w:val="00A761E2"/>
    <w:rsid w:val="00A762EF"/>
    <w:rsid w:val="00A769D4"/>
    <w:rsid w:val="00A76C48"/>
    <w:rsid w:val="00A76E02"/>
    <w:rsid w:val="00A76E54"/>
    <w:rsid w:val="00A77289"/>
    <w:rsid w:val="00A77451"/>
    <w:rsid w:val="00A7751E"/>
    <w:rsid w:val="00A775BA"/>
    <w:rsid w:val="00A77CC3"/>
    <w:rsid w:val="00A8014B"/>
    <w:rsid w:val="00A80376"/>
    <w:rsid w:val="00A80A3E"/>
    <w:rsid w:val="00A80DCC"/>
    <w:rsid w:val="00A81515"/>
    <w:rsid w:val="00A81692"/>
    <w:rsid w:val="00A81BC4"/>
    <w:rsid w:val="00A8265E"/>
    <w:rsid w:val="00A82E8E"/>
    <w:rsid w:val="00A836B7"/>
    <w:rsid w:val="00A83944"/>
    <w:rsid w:val="00A83A0B"/>
    <w:rsid w:val="00A83AE0"/>
    <w:rsid w:val="00A83C08"/>
    <w:rsid w:val="00A83CB0"/>
    <w:rsid w:val="00A83D6B"/>
    <w:rsid w:val="00A83E56"/>
    <w:rsid w:val="00A83F5A"/>
    <w:rsid w:val="00A83FAB"/>
    <w:rsid w:val="00A8410D"/>
    <w:rsid w:val="00A84271"/>
    <w:rsid w:val="00A84889"/>
    <w:rsid w:val="00A84BCD"/>
    <w:rsid w:val="00A85586"/>
    <w:rsid w:val="00A858FF"/>
    <w:rsid w:val="00A85CB8"/>
    <w:rsid w:val="00A85D03"/>
    <w:rsid w:val="00A8611D"/>
    <w:rsid w:val="00A86493"/>
    <w:rsid w:val="00A86816"/>
    <w:rsid w:val="00A8709D"/>
    <w:rsid w:val="00A9001B"/>
    <w:rsid w:val="00A9010F"/>
    <w:rsid w:val="00A902C3"/>
    <w:rsid w:val="00A90350"/>
    <w:rsid w:val="00A9133F"/>
    <w:rsid w:val="00A916D7"/>
    <w:rsid w:val="00A91C32"/>
    <w:rsid w:val="00A91E34"/>
    <w:rsid w:val="00A92462"/>
    <w:rsid w:val="00A926E8"/>
    <w:rsid w:val="00A92964"/>
    <w:rsid w:val="00A92D65"/>
    <w:rsid w:val="00A9315A"/>
    <w:rsid w:val="00A931FD"/>
    <w:rsid w:val="00A9323E"/>
    <w:rsid w:val="00A9343A"/>
    <w:rsid w:val="00A936A5"/>
    <w:rsid w:val="00A93B98"/>
    <w:rsid w:val="00A93E48"/>
    <w:rsid w:val="00A93F0D"/>
    <w:rsid w:val="00A94B3E"/>
    <w:rsid w:val="00A95246"/>
    <w:rsid w:val="00A95A2B"/>
    <w:rsid w:val="00A95AC6"/>
    <w:rsid w:val="00A95B59"/>
    <w:rsid w:val="00A95C18"/>
    <w:rsid w:val="00A95C56"/>
    <w:rsid w:val="00A95D73"/>
    <w:rsid w:val="00A95FF9"/>
    <w:rsid w:val="00A961B8"/>
    <w:rsid w:val="00A962C2"/>
    <w:rsid w:val="00A968E1"/>
    <w:rsid w:val="00A968F7"/>
    <w:rsid w:val="00A96C99"/>
    <w:rsid w:val="00A96FA1"/>
    <w:rsid w:val="00A97AE3"/>
    <w:rsid w:val="00A97B04"/>
    <w:rsid w:val="00A97BA5"/>
    <w:rsid w:val="00AA0317"/>
    <w:rsid w:val="00AA0336"/>
    <w:rsid w:val="00AA0874"/>
    <w:rsid w:val="00AA0A06"/>
    <w:rsid w:val="00AA10A3"/>
    <w:rsid w:val="00AA19A4"/>
    <w:rsid w:val="00AA1E18"/>
    <w:rsid w:val="00AA230B"/>
    <w:rsid w:val="00AA2384"/>
    <w:rsid w:val="00AA2668"/>
    <w:rsid w:val="00AA2C1A"/>
    <w:rsid w:val="00AA2D36"/>
    <w:rsid w:val="00AA2FDD"/>
    <w:rsid w:val="00AA3096"/>
    <w:rsid w:val="00AA30F6"/>
    <w:rsid w:val="00AA331E"/>
    <w:rsid w:val="00AA3B75"/>
    <w:rsid w:val="00AA4A8A"/>
    <w:rsid w:val="00AA51E2"/>
    <w:rsid w:val="00AA52BF"/>
    <w:rsid w:val="00AA5859"/>
    <w:rsid w:val="00AA5AE4"/>
    <w:rsid w:val="00AA5E89"/>
    <w:rsid w:val="00AA61B9"/>
    <w:rsid w:val="00AA6409"/>
    <w:rsid w:val="00AA6470"/>
    <w:rsid w:val="00AA6AEA"/>
    <w:rsid w:val="00AA7E12"/>
    <w:rsid w:val="00AB0DB1"/>
    <w:rsid w:val="00AB17F8"/>
    <w:rsid w:val="00AB183E"/>
    <w:rsid w:val="00AB1AEC"/>
    <w:rsid w:val="00AB1FB9"/>
    <w:rsid w:val="00AB29CB"/>
    <w:rsid w:val="00AB30F0"/>
    <w:rsid w:val="00AB312D"/>
    <w:rsid w:val="00AB31BE"/>
    <w:rsid w:val="00AB3B1C"/>
    <w:rsid w:val="00AB3F3F"/>
    <w:rsid w:val="00AB44BE"/>
    <w:rsid w:val="00AB4863"/>
    <w:rsid w:val="00AB4BB2"/>
    <w:rsid w:val="00AB5541"/>
    <w:rsid w:val="00AB5974"/>
    <w:rsid w:val="00AB5C42"/>
    <w:rsid w:val="00AB66BA"/>
    <w:rsid w:val="00AB77F2"/>
    <w:rsid w:val="00AB7BF2"/>
    <w:rsid w:val="00AB7D4A"/>
    <w:rsid w:val="00AC01E9"/>
    <w:rsid w:val="00AC0AD8"/>
    <w:rsid w:val="00AC16E0"/>
    <w:rsid w:val="00AC1BF4"/>
    <w:rsid w:val="00AC2309"/>
    <w:rsid w:val="00AC23DE"/>
    <w:rsid w:val="00AC242A"/>
    <w:rsid w:val="00AC31CB"/>
    <w:rsid w:val="00AC3257"/>
    <w:rsid w:val="00AC3540"/>
    <w:rsid w:val="00AC4058"/>
    <w:rsid w:val="00AC434A"/>
    <w:rsid w:val="00AC590A"/>
    <w:rsid w:val="00AC5B0F"/>
    <w:rsid w:val="00AC6126"/>
    <w:rsid w:val="00AC6192"/>
    <w:rsid w:val="00AC6A72"/>
    <w:rsid w:val="00AC6C8E"/>
    <w:rsid w:val="00AC6CFB"/>
    <w:rsid w:val="00AC7052"/>
    <w:rsid w:val="00AC72C1"/>
    <w:rsid w:val="00AC7846"/>
    <w:rsid w:val="00AD0272"/>
    <w:rsid w:val="00AD05A8"/>
    <w:rsid w:val="00AD0681"/>
    <w:rsid w:val="00AD078F"/>
    <w:rsid w:val="00AD100F"/>
    <w:rsid w:val="00AD140E"/>
    <w:rsid w:val="00AD1592"/>
    <w:rsid w:val="00AD15FC"/>
    <w:rsid w:val="00AD1B5D"/>
    <w:rsid w:val="00AD1E9E"/>
    <w:rsid w:val="00AD289D"/>
    <w:rsid w:val="00AD33D6"/>
    <w:rsid w:val="00AD346D"/>
    <w:rsid w:val="00AD3609"/>
    <w:rsid w:val="00AD37E3"/>
    <w:rsid w:val="00AD3A44"/>
    <w:rsid w:val="00AD3BEA"/>
    <w:rsid w:val="00AD41CF"/>
    <w:rsid w:val="00AD5D8C"/>
    <w:rsid w:val="00AD6415"/>
    <w:rsid w:val="00AD6A47"/>
    <w:rsid w:val="00AD6A60"/>
    <w:rsid w:val="00AD7138"/>
    <w:rsid w:val="00AD76DF"/>
    <w:rsid w:val="00AD7781"/>
    <w:rsid w:val="00AE0277"/>
    <w:rsid w:val="00AE07D1"/>
    <w:rsid w:val="00AE0C6F"/>
    <w:rsid w:val="00AE0F83"/>
    <w:rsid w:val="00AE1F45"/>
    <w:rsid w:val="00AE1FBD"/>
    <w:rsid w:val="00AE2263"/>
    <w:rsid w:val="00AE2595"/>
    <w:rsid w:val="00AE284A"/>
    <w:rsid w:val="00AE2861"/>
    <w:rsid w:val="00AE29CF"/>
    <w:rsid w:val="00AE2D6C"/>
    <w:rsid w:val="00AE33FD"/>
    <w:rsid w:val="00AE3595"/>
    <w:rsid w:val="00AE3B74"/>
    <w:rsid w:val="00AE3C62"/>
    <w:rsid w:val="00AE3F2E"/>
    <w:rsid w:val="00AE5474"/>
    <w:rsid w:val="00AE5D2E"/>
    <w:rsid w:val="00AE6496"/>
    <w:rsid w:val="00AE688A"/>
    <w:rsid w:val="00AE6958"/>
    <w:rsid w:val="00AE6A29"/>
    <w:rsid w:val="00AE778F"/>
    <w:rsid w:val="00AE78C9"/>
    <w:rsid w:val="00AF03A6"/>
    <w:rsid w:val="00AF08C4"/>
    <w:rsid w:val="00AF0E8C"/>
    <w:rsid w:val="00AF1106"/>
    <w:rsid w:val="00AF1232"/>
    <w:rsid w:val="00AF146E"/>
    <w:rsid w:val="00AF15EC"/>
    <w:rsid w:val="00AF16B0"/>
    <w:rsid w:val="00AF18A9"/>
    <w:rsid w:val="00AF1C12"/>
    <w:rsid w:val="00AF275D"/>
    <w:rsid w:val="00AF2C9D"/>
    <w:rsid w:val="00AF2FAD"/>
    <w:rsid w:val="00AF3A99"/>
    <w:rsid w:val="00AF4027"/>
    <w:rsid w:val="00AF48DB"/>
    <w:rsid w:val="00AF4E41"/>
    <w:rsid w:val="00AF54E4"/>
    <w:rsid w:val="00AF5D2A"/>
    <w:rsid w:val="00AF5DE2"/>
    <w:rsid w:val="00AF5FB1"/>
    <w:rsid w:val="00AF6295"/>
    <w:rsid w:val="00AF63A6"/>
    <w:rsid w:val="00AF66BD"/>
    <w:rsid w:val="00AF6A05"/>
    <w:rsid w:val="00AF7D0F"/>
    <w:rsid w:val="00AF7E14"/>
    <w:rsid w:val="00B00070"/>
    <w:rsid w:val="00B00140"/>
    <w:rsid w:val="00B001B1"/>
    <w:rsid w:val="00B0059F"/>
    <w:rsid w:val="00B00896"/>
    <w:rsid w:val="00B00C7A"/>
    <w:rsid w:val="00B00DA5"/>
    <w:rsid w:val="00B00F14"/>
    <w:rsid w:val="00B01DE5"/>
    <w:rsid w:val="00B03719"/>
    <w:rsid w:val="00B03EA3"/>
    <w:rsid w:val="00B03FE7"/>
    <w:rsid w:val="00B04673"/>
    <w:rsid w:val="00B04B52"/>
    <w:rsid w:val="00B04F7B"/>
    <w:rsid w:val="00B0514E"/>
    <w:rsid w:val="00B05333"/>
    <w:rsid w:val="00B05573"/>
    <w:rsid w:val="00B055DE"/>
    <w:rsid w:val="00B05F65"/>
    <w:rsid w:val="00B06237"/>
    <w:rsid w:val="00B067D1"/>
    <w:rsid w:val="00B0683E"/>
    <w:rsid w:val="00B06884"/>
    <w:rsid w:val="00B0698F"/>
    <w:rsid w:val="00B06A3F"/>
    <w:rsid w:val="00B06DE1"/>
    <w:rsid w:val="00B06E39"/>
    <w:rsid w:val="00B0710A"/>
    <w:rsid w:val="00B0716C"/>
    <w:rsid w:val="00B07309"/>
    <w:rsid w:val="00B0748E"/>
    <w:rsid w:val="00B10264"/>
    <w:rsid w:val="00B104B1"/>
    <w:rsid w:val="00B10C1F"/>
    <w:rsid w:val="00B10E03"/>
    <w:rsid w:val="00B11760"/>
    <w:rsid w:val="00B11875"/>
    <w:rsid w:val="00B11DE3"/>
    <w:rsid w:val="00B1201F"/>
    <w:rsid w:val="00B12755"/>
    <w:rsid w:val="00B12988"/>
    <w:rsid w:val="00B129CB"/>
    <w:rsid w:val="00B13509"/>
    <w:rsid w:val="00B13701"/>
    <w:rsid w:val="00B13E09"/>
    <w:rsid w:val="00B14A5C"/>
    <w:rsid w:val="00B14E3D"/>
    <w:rsid w:val="00B15C0D"/>
    <w:rsid w:val="00B1650C"/>
    <w:rsid w:val="00B1657F"/>
    <w:rsid w:val="00B17249"/>
    <w:rsid w:val="00B20BB6"/>
    <w:rsid w:val="00B21788"/>
    <w:rsid w:val="00B21B79"/>
    <w:rsid w:val="00B22AF5"/>
    <w:rsid w:val="00B22DA6"/>
    <w:rsid w:val="00B23942"/>
    <w:rsid w:val="00B23F1E"/>
    <w:rsid w:val="00B246D4"/>
    <w:rsid w:val="00B26373"/>
    <w:rsid w:val="00B268A7"/>
    <w:rsid w:val="00B26A1B"/>
    <w:rsid w:val="00B26C03"/>
    <w:rsid w:val="00B2723A"/>
    <w:rsid w:val="00B2758C"/>
    <w:rsid w:val="00B275B6"/>
    <w:rsid w:val="00B2793D"/>
    <w:rsid w:val="00B3076F"/>
    <w:rsid w:val="00B30C8E"/>
    <w:rsid w:val="00B30F51"/>
    <w:rsid w:val="00B30FA5"/>
    <w:rsid w:val="00B31001"/>
    <w:rsid w:val="00B31097"/>
    <w:rsid w:val="00B315B7"/>
    <w:rsid w:val="00B31680"/>
    <w:rsid w:val="00B31958"/>
    <w:rsid w:val="00B31DBF"/>
    <w:rsid w:val="00B328F5"/>
    <w:rsid w:val="00B32CD9"/>
    <w:rsid w:val="00B32EB8"/>
    <w:rsid w:val="00B32FC8"/>
    <w:rsid w:val="00B333AF"/>
    <w:rsid w:val="00B33423"/>
    <w:rsid w:val="00B339B1"/>
    <w:rsid w:val="00B33B31"/>
    <w:rsid w:val="00B348AA"/>
    <w:rsid w:val="00B348E4"/>
    <w:rsid w:val="00B34D7F"/>
    <w:rsid w:val="00B35043"/>
    <w:rsid w:val="00B3561E"/>
    <w:rsid w:val="00B35840"/>
    <w:rsid w:val="00B35B1B"/>
    <w:rsid w:val="00B35C8F"/>
    <w:rsid w:val="00B35ED7"/>
    <w:rsid w:val="00B36097"/>
    <w:rsid w:val="00B3619E"/>
    <w:rsid w:val="00B362AD"/>
    <w:rsid w:val="00B3665F"/>
    <w:rsid w:val="00B370F7"/>
    <w:rsid w:val="00B37292"/>
    <w:rsid w:val="00B372D5"/>
    <w:rsid w:val="00B37B70"/>
    <w:rsid w:val="00B37F10"/>
    <w:rsid w:val="00B400A9"/>
    <w:rsid w:val="00B405C0"/>
    <w:rsid w:val="00B4093D"/>
    <w:rsid w:val="00B409D3"/>
    <w:rsid w:val="00B40CFD"/>
    <w:rsid w:val="00B41F0C"/>
    <w:rsid w:val="00B42526"/>
    <w:rsid w:val="00B4253A"/>
    <w:rsid w:val="00B42846"/>
    <w:rsid w:val="00B42E6C"/>
    <w:rsid w:val="00B42EF7"/>
    <w:rsid w:val="00B430E5"/>
    <w:rsid w:val="00B43E12"/>
    <w:rsid w:val="00B4409D"/>
    <w:rsid w:val="00B44261"/>
    <w:rsid w:val="00B446E4"/>
    <w:rsid w:val="00B44BB7"/>
    <w:rsid w:val="00B45098"/>
    <w:rsid w:val="00B452F3"/>
    <w:rsid w:val="00B45411"/>
    <w:rsid w:val="00B45A8A"/>
    <w:rsid w:val="00B4613D"/>
    <w:rsid w:val="00B46271"/>
    <w:rsid w:val="00B46390"/>
    <w:rsid w:val="00B46547"/>
    <w:rsid w:val="00B46696"/>
    <w:rsid w:val="00B46764"/>
    <w:rsid w:val="00B46929"/>
    <w:rsid w:val="00B46AF4"/>
    <w:rsid w:val="00B471CC"/>
    <w:rsid w:val="00B47E3C"/>
    <w:rsid w:val="00B50890"/>
    <w:rsid w:val="00B508B1"/>
    <w:rsid w:val="00B50953"/>
    <w:rsid w:val="00B50A03"/>
    <w:rsid w:val="00B50A3B"/>
    <w:rsid w:val="00B50B21"/>
    <w:rsid w:val="00B50F33"/>
    <w:rsid w:val="00B51266"/>
    <w:rsid w:val="00B513AC"/>
    <w:rsid w:val="00B51BBE"/>
    <w:rsid w:val="00B51D24"/>
    <w:rsid w:val="00B52B78"/>
    <w:rsid w:val="00B534BC"/>
    <w:rsid w:val="00B53B4C"/>
    <w:rsid w:val="00B53BCE"/>
    <w:rsid w:val="00B53DFD"/>
    <w:rsid w:val="00B54229"/>
    <w:rsid w:val="00B54341"/>
    <w:rsid w:val="00B545CF"/>
    <w:rsid w:val="00B54FB5"/>
    <w:rsid w:val="00B554F8"/>
    <w:rsid w:val="00B557C0"/>
    <w:rsid w:val="00B55EA4"/>
    <w:rsid w:val="00B565E5"/>
    <w:rsid w:val="00B566EA"/>
    <w:rsid w:val="00B570AF"/>
    <w:rsid w:val="00B578B0"/>
    <w:rsid w:val="00B60141"/>
    <w:rsid w:val="00B61694"/>
    <w:rsid w:val="00B61C5D"/>
    <w:rsid w:val="00B62150"/>
    <w:rsid w:val="00B624AC"/>
    <w:rsid w:val="00B6259A"/>
    <w:rsid w:val="00B625F0"/>
    <w:rsid w:val="00B6279F"/>
    <w:rsid w:val="00B63319"/>
    <w:rsid w:val="00B63ADF"/>
    <w:rsid w:val="00B64235"/>
    <w:rsid w:val="00B6429F"/>
    <w:rsid w:val="00B643D9"/>
    <w:rsid w:val="00B64610"/>
    <w:rsid w:val="00B648B5"/>
    <w:rsid w:val="00B650C8"/>
    <w:rsid w:val="00B650F4"/>
    <w:rsid w:val="00B65DF0"/>
    <w:rsid w:val="00B66410"/>
    <w:rsid w:val="00B664AD"/>
    <w:rsid w:val="00B670BF"/>
    <w:rsid w:val="00B6717D"/>
    <w:rsid w:val="00B6737B"/>
    <w:rsid w:val="00B67535"/>
    <w:rsid w:val="00B67B5E"/>
    <w:rsid w:val="00B702D2"/>
    <w:rsid w:val="00B71404"/>
    <w:rsid w:val="00B71FE5"/>
    <w:rsid w:val="00B72408"/>
    <w:rsid w:val="00B72609"/>
    <w:rsid w:val="00B7293E"/>
    <w:rsid w:val="00B729CC"/>
    <w:rsid w:val="00B745D2"/>
    <w:rsid w:val="00B74694"/>
    <w:rsid w:val="00B74B29"/>
    <w:rsid w:val="00B74DDF"/>
    <w:rsid w:val="00B75847"/>
    <w:rsid w:val="00B75A9A"/>
    <w:rsid w:val="00B7637D"/>
    <w:rsid w:val="00B763EF"/>
    <w:rsid w:val="00B76506"/>
    <w:rsid w:val="00B800F1"/>
    <w:rsid w:val="00B80190"/>
    <w:rsid w:val="00B802DB"/>
    <w:rsid w:val="00B81216"/>
    <w:rsid w:val="00B81E27"/>
    <w:rsid w:val="00B81F22"/>
    <w:rsid w:val="00B8259F"/>
    <w:rsid w:val="00B82878"/>
    <w:rsid w:val="00B82AFE"/>
    <w:rsid w:val="00B82DB2"/>
    <w:rsid w:val="00B83635"/>
    <w:rsid w:val="00B83CA1"/>
    <w:rsid w:val="00B83DF4"/>
    <w:rsid w:val="00B83E01"/>
    <w:rsid w:val="00B84229"/>
    <w:rsid w:val="00B84B00"/>
    <w:rsid w:val="00B84D3C"/>
    <w:rsid w:val="00B85176"/>
    <w:rsid w:val="00B85295"/>
    <w:rsid w:val="00B852F1"/>
    <w:rsid w:val="00B85405"/>
    <w:rsid w:val="00B856D6"/>
    <w:rsid w:val="00B863DC"/>
    <w:rsid w:val="00B86796"/>
    <w:rsid w:val="00B8693E"/>
    <w:rsid w:val="00B86D02"/>
    <w:rsid w:val="00B86D63"/>
    <w:rsid w:val="00B9021F"/>
    <w:rsid w:val="00B908F4"/>
    <w:rsid w:val="00B909FA"/>
    <w:rsid w:val="00B91227"/>
    <w:rsid w:val="00B9138B"/>
    <w:rsid w:val="00B915C1"/>
    <w:rsid w:val="00B917B7"/>
    <w:rsid w:val="00B918D7"/>
    <w:rsid w:val="00B91B26"/>
    <w:rsid w:val="00B930B1"/>
    <w:rsid w:val="00B93B25"/>
    <w:rsid w:val="00B93C3A"/>
    <w:rsid w:val="00B93EBD"/>
    <w:rsid w:val="00B94140"/>
    <w:rsid w:val="00B947AD"/>
    <w:rsid w:val="00B94843"/>
    <w:rsid w:val="00B948F3"/>
    <w:rsid w:val="00B94A96"/>
    <w:rsid w:val="00B94B13"/>
    <w:rsid w:val="00B94DDE"/>
    <w:rsid w:val="00B9542C"/>
    <w:rsid w:val="00B955A0"/>
    <w:rsid w:val="00B959BD"/>
    <w:rsid w:val="00B961D8"/>
    <w:rsid w:val="00B9646A"/>
    <w:rsid w:val="00B964A7"/>
    <w:rsid w:val="00B96A91"/>
    <w:rsid w:val="00B96FB4"/>
    <w:rsid w:val="00B97249"/>
    <w:rsid w:val="00B9787A"/>
    <w:rsid w:val="00B97C1D"/>
    <w:rsid w:val="00B97DFD"/>
    <w:rsid w:val="00BA02A5"/>
    <w:rsid w:val="00BA0571"/>
    <w:rsid w:val="00BA1659"/>
    <w:rsid w:val="00BA1909"/>
    <w:rsid w:val="00BA1CC6"/>
    <w:rsid w:val="00BA1F99"/>
    <w:rsid w:val="00BA3D35"/>
    <w:rsid w:val="00BA3D57"/>
    <w:rsid w:val="00BA3EBC"/>
    <w:rsid w:val="00BA4482"/>
    <w:rsid w:val="00BA44C4"/>
    <w:rsid w:val="00BA49DA"/>
    <w:rsid w:val="00BA566D"/>
    <w:rsid w:val="00BA5C66"/>
    <w:rsid w:val="00BA68AD"/>
    <w:rsid w:val="00BA6B79"/>
    <w:rsid w:val="00BA753B"/>
    <w:rsid w:val="00BA774E"/>
    <w:rsid w:val="00BB0527"/>
    <w:rsid w:val="00BB054C"/>
    <w:rsid w:val="00BB07CE"/>
    <w:rsid w:val="00BB092D"/>
    <w:rsid w:val="00BB0976"/>
    <w:rsid w:val="00BB0D57"/>
    <w:rsid w:val="00BB1387"/>
    <w:rsid w:val="00BB233B"/>
    <w:rsid w:val="00BB298F"/>
    <w:rsid w:val="00BB303E"/>
    <w:rsid w:val="00BB324C"/>
    <w:rsid w:val="00BB36C6"/>
    <w:rsid w:val="00BB3B61"/>
    <w:rsid w:val="00BB3BE5"/>
    <w:rsid w:val="00BB3E8E"/>
    <w:rsid w:val="00BB444B"/>
    <w:rsid w:val="00BB4524"/>
    <w:rsid w:val="00BB4E57"/>
    <w:rsid w:val="00BB51A9"/>
    <w:rsid w:val="00BB5537"/>
    <w:rsid w:val="00BB568E"/>
    <w:rsid w:val="00BB5C59"/>
    <w:rsid w:val="00BB5D95"/>
    <w:rsid w:val="00BB6065"/>
    <w:rsid w:val="00BB6250"/>
    <w:rsid w:val="00BB68EA"/>
    <w:rsid w:val="00BB69CD"/>
    <w:rsid w:val="00BB6DF4"/>
    <w:rsid w:val="00BB711C"/>
    <w:rsid w:val="00BB751E"/>
    <w:rsid w:val="00BB76F5"/>
    <w:rsid w:val="00BB7D9B"/>
    <w:rsid w:val="00BC07EE"/>
    <w:rsid w:val="00BC0899"/>
    <w:rsid w:val="00BC08D2"/>
    <w:rsid w:val="00BC0A4B"/>
    <w:rsid w:val="00BC0F03"/>
    <w:rsid w:val="00BC10D0"/>
    <w:rsid w:val="00BC1206"/>
    <w:rsid w:val="00BC17E1"/>
    <w:rsid w:val="00BC1F08"/>
    <w:rsid w:val="00BC21F0"/>
    <w:rsid w:val="00BC25F6"/>
    <w:rsid w:val="00BC33B3"/>
    <w:rsid w:val="00BC38E2"/>
    <w:rsid w:val="00BC3D46"/>
    <w:rsid w:val="00BC413A"/>
    <w:rsid w:val="00BC4174"/>
    <w:rsid w:val="00BC46C5"/>
    <w:rsid w:val="00BC4BD2"/>
    <w:rsid w:val="00BC54D1"/>
    <w:rsid w:val="00BC56D3"/>
    <w:rsid w:val="00BC6186"/>
    <w:rsid w:val="00BC6891"/>
    <w:rsid w:val="00BC7223"/>
    <w:rsid w:val="00BC7D71"/>
    <w:rsid w:val="00BC7FE2"/>
    <w:rsid w:val="00BD0673"/>
    <w:rsid w:val="00BD12EF"/>
    <w:rsid w:val="00BD15FB"/>
    <w:rsid w:val="00BD1889"/>
    <w:rsid w:val="00BD1F4F"/>
    <w:rsid w:val="00BD2339"/>
    <w:rsid w:val="00BD2606"/>
    <w:rsid w:val="00BD2CD9"/>
    <w:rsid w:val="00BD30A9"/>
    <w:rsid w:val="00BD32C8"/>
    <w:rsid w:val="00BD39DF"/>
    <w:rsid w:val="00BD3A6C"/>
    <w:rsid w:val="00BD3D2E"/>
    <w:rsid w:val="00BD3D80"/>
    <w:rsid w:val="00BD403A"/>
    <w:rsid w:val="00BD4377"/>
    <w:rsid w:val="00BD49FD"/>
    <w:rsid w:val="00BD4BC4"/>
    <w:rsid w:val="00BD5075"/>
    <w:rsid w:val="00BD64A3"/>
    <w:rsid w:val="00BD6FB2"/>
    <w:rsid w:val="00BD780E"/>
    <w:rsid w:val="00BE0644"/>
    <w:rsid w:val="00BE09D0"/>
    <w:rsid w:val="00BE09D7"/>
    <w:rsid w:val="00BE0CBB"/>
    <w:rsid w:val="00BE0E6F"/>
    <w:rsid w:val="00BE0F19"/>
    <w:rsid w:val="00BE1743"/>
    <w:rsid w:val="00BE1797"/>
    <w:rsid w:val="00BE29D1"/>
    <w:rsid w:val="00BE2B42"/>
    <w:rsid w:val="00BE49F4"/>
    <w:rsid w:val="00BE5611"/>
    <w:rsid w:val="00BE57F5"/>
    <w:rsid w:val="00BE6191"/>
    <w:rsid w:val="00BE71EE"/>
    <w:rsid w:val="00BE7427"/>
    <w:rsid w:val="00BE7521"/>
    <w:rsid w:val="00BE7896"/>
    <w:rsid w:val="00BE7D68"/>
    <w:rsid w:val="00BE7E6E"/>
    <w:rsid w:val="00BE7E83"/>
    <w:rsid w:val="00BE7F6A"/>
    <w:rsid w:val="00BF0121"/>
    <w:rsid w:val="00BF027C"/>
    <w:rsid w:val="00BF0626"/>
    <w:rsid w:val="00BF086B"/>
    <w:rsid w:val="00BF08ED"/>
    <w:rsid w:val="00BF0939"/>
    <w:rsid w:val="00BF0CC6"/>
    <w:rsid w:val="00BF0D5C"/>
    <w:rsid w:val="00BF0DE9"/>
    <w:rsid w:val="00BF1194"/>
    <w:rsid w:val="00BF158D"/>
    <w:rsid w:val="00BF1BB5"/>
    <w:rsid w:val="00BF1E2D"/>
    <w:rsid w:val="00BF325B"/>
    <w:rsid w:val="00BF340B"/>
    <w:rsid w:val="00BF37B5"/>
    <w:rsid w:val="00BF3E60"/>
    <w:rsid w:val="00BF4207"/>
    <w:rsid w:val="00BF43BF"/>
    <w:rsid w:val="00BF4410"/>
    <w:rsid w:val="00BF4C22"/>
    <w:rsid w:val="00BF52F4"/>
    <w:rsid w:val="00BF5381"/>
    <w:rsid w:val="00BF53A3"/>
    <w:rsid w:val="00BF553E"/>
    <w:rsid w:val="00BF5E6C"/>
    <w:rsid w:val="00BF61F9"/>
    <w:rsid w:val="00BF692F"/>
    <w:rsid w:val="00BF78AD"/>
    <w:rsid w:val="00BF7B39"/>
    <w:rsid w:val="00BF7DF6"/>
    <w:rsid w:val="00C01555"/>
    <w:rsid w:val="00C019CD"/>
    <w:rsid w:val="00C01C84"/>
    <w:rsid w:val="00C01E5A"/>
    <w:rsid w:val="00C02A35"/>
    <w:rsid w:val="00C02CBD"/>
    <w:rsid w:val="00C0370C"/>
    <w:rsid w:val="00C03806"/>
    <w:rsid w:val="00C03E2C"/>
    <w:rsid w:val="00C042A4"/>
    <w:rsid w:val="00C04892"/>
    <w:rsid w:val="00C04C8F"/>
    <w:rsid w:val="00C04DD6"/>
    <w:rsid w:val="00C0511F"/>
    <w:rsid w:val="00C057D1"/>
    <w:rsid w:val="00C05E4D"/>
    <w:rsid w:val="00C0615B"/>
    <w:rsid w:val="00C062B0"/>
    <w:rsid w:val="00C06563"/>
    <w:rsid w:val="00C065E2"/>
    <w:rsid w:val="00C065E8"/>
    <w:rsid w:val="00C068C9"/>
    <w:rsid w:val="00C06B63"/>
    <w:rsid w:val="00C06BAF"/>
    <w:rsid w:val="00C06CC1"/>
    <w:rsid w:val="00C06F4D"/>
    <w:rsid w:val="00C07214"/>
    <w:rsid w:val="00C07992"/>
    <w:rsid w:val="00C079D1"/>
    <w:rsid w:val="00C07C75"/>
    <w:rsid w:val="00C07FF6"/>
    <w:rsid w:val="00C103B1"/>
    <w:rsid w:val="00C10461"/>
    <w:rsid w:val="00C109F6"/>
    <w:rsid w:val="00C11516"/>
    <w:rsid w:val="00C1180C"/>
    <w:rsid w:val="00C118D9"/>
    <w:rsid w:val="00C11BA4"/>
    <w:rsid w:val="00C12465"/>
    <w:rsid w:val="00C12562"/>
    <w:rsid w:val="00C12634"/>
    <w:rsid w:val="00C12B7E"/>
    <w:rsid w:val="00C12CB7"/>
    <w:rsid w:val="00C12DAD"/>
    <w:rsid w:val="00C12FD1"/>
    <w:rsid w:val="00C14729"/>
    <w:rsid w:val="00C14ADF"/>
    <w:rsid w:val="00C14C98"/>
    <w:rsid w:val="00C14CB0"/>
    <w:rsid w:val="00C14EB5"/>
    <w:rsid w:val="00C153B7"/>
    <w:rsid w:val="00C15512"/>
    <w:rsid w:val="00C16086"/>
    <w:rsid w:val="00C161C9"/>
    <w:rsid w:val="00C164BC"/>
    <w:rsid w:val="00C167D5"/>
    <w:rsid w:val="00C16844"/>
    <w:rsid w:val="00C16D87"/>
    <w:rsid w:val="00C16DFE"/>
    <w:rsid w:val="00C16F31"/>
    <w:rsid w:val="00C171A0"/>
    <w:rsid w:val="00C1778F"/>
    <w:rsid w:val="00C17977"/>
    <w:rsid w:val="00C17B34"/>
    <w:rsid w:val="00C204F1"/>
    <w:rsid w:val="00C2069D"/>
    <w:rsid w:val="00C206F1"/>
    <w:rsid w:val="00C20927"/>
    <w:rsid w:val="00C20DF5"/>
    <w:rsid w:val="00C21A90"/>
    <w:rsid w:val="00C2254C"/>
    <w:rsid w:val="00C23335"/>
    <w:rsid w:val="00C2342A"/>
    <w:rsid w:val="00C234E0"/>
    <w:rsid w:val="00C23A48"/>
    <w:rsid w:val="00C23ABC"/>
    <w:rsid w:val="00C23B86"/>
    <w:rsid w:val="00C23D85"/>
    <w:rsid w:val="00C23F95"/>
    <w:rsid w:val="00C24335"/>
    <w:rsid w:val="00C2463D"/>
    <w:rsid w:val="00C24A8B"/>
    <w:rsid w:val="00C24AD8"/>
    <w:rsid w:val="00C24BA1"/>
    <w:rsid w:val="00C2545E"/>
    <w:rsid w:val="00C25A8B"/>
    <w:rsid w:val="00C25AD8"/>
    <w:rsid w:val="00C25DFD"/>
    <w:rsid w:val="00C25E26"/>
    <w:rsid w:val="00C264D1"/>
    <w:rsid w:val="00C26751"/>
    <w:rsid w:val="00C269A3"/>
    <w:rsid w:val="00C26A8A"/>
    <w:rsid w:val="00C26CD0"/>
    <w:rsid w:val="00C270C4"/>
    <w:rsid w:val="00C27215"/>
    <w:rsid w:val="00C27F80"/>
    <w:rsid w:val="00C3029D"/>
    <w:rsid w:val="00C3041C"/>
    <w:rsid w:val="00C30659"/>
    <w:rsid w:val="00C306E7"/>
    <w:rsid w:val="00C308EC"/>
    <w:rsid w:val="00C30BD4"/>
    <w:rsid w:val="00C30C70"/>
    <w:rsid w:val="00C30DA5"/>
    <w:rsid w:val="00C315A6"/>
    <w:rsid w:val="00C32064"/>
    <w:rsid w:val="00C326D7"/>
    <w:rsid w:val="00C3279D"/>
    <w:rsid w:val="00C329C9"/>
    <w:rsid w:val="00C32BDB"/>
    <w:rsid w:val="00C33977"/>
    <w:rsid w:val="00C33B02"/>
    <w:rsid w:val="00C34253"/>
    <w:rsid w:val="00C3443F"/>
    <w:rsid w:val="00C35139"/>
    <w:rsid w:val="00C35449"/>
    <w:rsid w:val="00C35980"/>
    <w:rsid w:val="00C35D86"/>
    <w:rsid w:val="00C36C86"/>
    <w:rsid w:val="00C36E27"/>
    <w:rsid w:val="00C36FB3"/>
    <w:rsid w:val="00C374AB"/>
    <w:rsid w:val="00C3789A"/>
    <w:rsid w:val="00C37AA5"/>
    <w:rsid w:val="00C37C03"/>
    <w:rsid w:val="00C40376"/>
    <w:rsid w:val="00C4085E"/>
    <w:rsid w:val="00C40B74"/>
    <w:rsid w:val="00C40EB1"/>
    <w:rsid w:val="00C41183"/>
    <w:rsid w:val="00C41191"/>
    <w:rsid w:val="00C425A6"/>
    <w:rsid w:val="00C42640"/>
    <w:rsid w:val="00C429C1"/>
    <w:rsid w:val="00C42EE1"/>
    <w:rsid w:val="00C436D5"/>
    <w:rsid w:val="00C437DC"/>
    <w:rsid w:val="00C43C73"/>
    <w:rsid w:val="00C43CA8"/>
    <w:rsid w:val="00C43D1E"/>
    <w:rsid w:val="00C43F80"/>
    <w:rsid w:val="00C44364"/>
    <w:rsid w:val="00C448C3"/>
    <w:rsid w:val="00C44907"/>
    <w:rsid w:val="00C44A78"/>
    <w:rsid w:val="00C45131"/>
    <w:rsid w:val="00C459F3"/>
    <w:rsid w:val="00C45E27"/>
    <w:rsid w:val="00C466B0"/>
    <w:rsid w:val="00C4714F"/>
    <w:rsid w:val="00C4756E"/>
    <w:rsid w:val="00C47956"/>
    <w:rsid w:val="00C47B59"/>
    <w:rsid w:val="00C47CEF"/>
    <w:rsid w:val="00C47D4B"/>
    <w:rsid w:val="00C47F19"/>
    <w:rsid w:val="00C50DDA"/>
    <w:rsid w:val="00C50EFA"/>
    <w:rsid w:val="00C50F13"/>
    <w:rsid w:val="00C510EC"/>
    <w:rsid w:val="00C512DF"/>
    <w:rsid w:val="00C513EC"/>
    <w:rsid w:val="00C5172C"/>
    <w:rsid w:val="00C5204B"/>
    <w:rsid w:val="00C52278"/>
    <w:rsid w:val="00C52323"/>
    <w:rsid w:val="00C5234A"/>
    <w:rsid w:val="00C536CA"/>
    <w:rsid w:val="00C539BF"/>
    <w:rsid w:val="00C53B84"/>
    <w:rsid w:val="00C54766"/>
    <w:rsid w:val="00C54963"/>
    <w:rsid w:val="00C54C9C"/>
    <w:rsid w:val="00C5514D"/>
    <w:rsid w:val="00C55F3B"/>
    <w:rsid w:val="00C5602F"/>
    <w:rsid w:val="00C56051"/>
    <w:rsid w:val="00C56604"/>
    <w:rsid w:val="00C567FB"/>
    <w:rsid w:val="00C56BEA"/>
    <w:rsid w:val="00C573EB"/>
    <w:rsid w:val="00C5761F"/>
    <w:rsid w:val="00C57C3C"/>
    <w:rsid w:val="00C6048C"/>
    <w:rsid w:val="00C604ED"/>
    <w:rsid w:val="00C606BD"/>
    <w:rsid w:val="00C609E0"/>
    <w:rsid w:val="00C60B05"/>
    <w:rsid w:val="00C61021"/>
    <w:rsid w:val="00C613CC"/>
    <w:rsid w:val="00C61514"/>
    <w:rsid w:val="00C61CC6"/>
    <w:rsid w:val="00C62168"/>
    <w:rsid w:val="00C623E2"/>
    <w:rsid w:val="00C62B25"/>
    <w:rsid w:val="00C62BB9"/>
    <w:rsid w:val="00C62C4F"/>
    <w:rsid w:val="00C630AC"/>
    <w:rsid w:val="00C63523"/>
    <w:rsid w:val="00C638CB"/>
    <w:rsid w:val="00C638D0"/>
    <w:rsid w:val="00C63EDB"/>
    <w:rsid w:val="00C64165"/>
    <w:rsid w:val="00C64248"/>
    <w:rsid w:val="00C64500"/>
    <w:rsid w:val="00C6483A"/>
    <w:rsid w:val="00C64D9B"/>
    <w:rsid w:val="00C655E6"/>
    <w:rsid w:val="00C65738"/>
    <w:rsid w:val="00C65823"/>
    <w:rsid w:val="00C660BD"/>
    <w:rsid w:val="00C66118"/>
    <w:rsid w:val="00C66307"/>
    <w:rsid w:val="00C66814"/>
    <w:rsid w:val="00C66852"/>
    <w:rsid w:val="00C67814"/>
    <w:rsid w:val="00C67B1F"/>
    <w:rsid w:val="00C704ED"/>
    <w:rsid w:val="00C709E1"/>
    <w:rsid w:val="00C7102F"/>
    <w:rsid w:val="00C7115D"/>
    <w:rsid w:val="00C7192B"/>
    <w:rsid w:val="00C71D6E"/>
    <w:rsid w:val="00C726F4"/>
    <w:rsid w:val="00C72709"/>
    <w:rsid w:val="00C72E77"/>
    <w:rsid w:val="00C72F73"/>
    <w:rsid w:val="00C733E2"/>
    <w:rsid w:val="00C736C2"/>
    <w:rsid w:val="00C7416B"/>
    <w:rsid w:val="00C742A4"/>
    <w:rsid w:val="00C748E6"/>
    <w:rsid w:val="00C7546E"/>
    <w:rsid w:val="00C76142"/>
    <w:rsid w:val="00C7641F"/>
    <w:rsid w:val="00C766BF"/>
    <w:rsid w:val="00C768DA"/>
    <w:rsid w:val="00C777A4"/>
    <w:rsid w:val="00C77CD4"/>
    <w:rsid w:val="00C8011C"/>
    <w:rsid w:val="00C8022B"/>
    <w:rsid w:val="00C805DF"/>
    <w:rsid w:val="00C8069F"/>
    <w:rsid w:val="00C80B35"/>
    <w:rsid w:val="00C80DD4"/>
    <w:rsid w:val="00C8134F"/>
    <w:rsid w:val="00C814B8"/>
    <w:rsid w:val="00C814D8"/>
    <w:rsid w:val="00C81681"/>
    <w:rsid w:val="00C819BE"/>
    <w:rsid w:val="00C82277"/>
    <w:rsid w:val="00C8230B"/>
    <w:rsid w:val="00C82611"/>
    <w:rsid w:val="00C8284A"/>
    <w:rsid w:val="00C82BA2"/>
    <w:rsid w:val="00C834FF"/>
    <w:rsid w:val="00C835FC"/>
    <w:rsid w:val="00C8374B"/>
    <w:rsid w:val="00C845F4"/>
    <w:rsid w:val="00C846EA"/>
    <w:rsid w:val="00C84A72"/>
    <w:rsid w:val="00C852BD"/>
    <w:rsid w:val="00C85C99"/>
    <w:rsid w:val="00C85DAB"/>
    <w:rsid w:val="00C86421"/>
    <w:rsid w:val="00C865A0"/>
    <w:rsid w:val="00C87248"/>
    <w:rsid w:val="00C90366"/>
    <w:rsid w:val="00C9074E"/>
    <w:rsid w:val="00C91684"/>
    <w:rsid w:val="00C916F8"/>
    <w:rsid w:val="00C9184A"/>
    <w:rsid w:val="00C91C4A"/>
    <w:rsid w:val="00C9359E"/>
    <w:rsid w:val="00C9396E"/>
    <w:rsid w:val="00C94160"/>
    <w:rsid w:val="00C945C4"/>
    <w:rsid w:val="00C9481C"/>
    <w:rsid w:val="00C9495B"/>
    <w:rsid w:val="00C94E34"/>
    <w:rsid w:val="00C94F6F"/>
    <w:rsid w:val="00C951CD"/>
    <w:rsid w:val="00C9521C"/>
    <w:rsid w:val="00C95538"/>
    <w:rsid w:val="00C95AC3"/>
    <w:rsid w:val="00C95F3C"/>
    <w:rsid w:val="00C9606C"/>
    <w:rsid w:val="00C967DA"/>
    <w:rsid w:val="00C969E3"/>
    <w:rsid w:val="00C970DC"/>
    <w:rsid w:val="00C97388"/>
    <w:rsid w:val="00C975F9"/>
    <w:rsid w:val="00C9779B"/>
    <w:rsid w:val="00C97AD1"/>
    <w:rsid w:val="00C97D7F"/>
    <w:rsid w:val="00C97E21"/>
    <w:rsid w:val="00C97F00"/>
    <w:rsid w:val="00CA0415"/>
    <w:rsid w:val="00CA049D"/>
    <w:rsid w:val="00CA126C"/>
    <w:rsid w:val="00CA1317"/>
    <w:rsid w:val="00CA1415"/>
    <w:rsid w:val="00CA15AC"/>
    <w:rsid w:val="00CA18B6"/>
    <w:rsid w:val="00CA19EC"/>
    <w:rsid w:val="00CA28B6"/>
    <w:rsid w:val="00CA2988"/>
    <w:rsid w:val="00CA300A"/>
    <w:rsid w:val="00CA3119"/>
    <w:rsid w:val="00CA37FF"/>
    <w:rsid w:val="00CA39D4"/>
    <w:rsid w:val="00CA426D"/>
    <w:rsid w:val="00CA4688"/>
    <w:rsid w:val="00CA48D4"/>
    <w:rsid w:val="00CA4CBB"/>
    <w:rsid w:val="00CA5033"/>
    <w:rsid w:val="00CA50DD"/>
    <w:rsid w:val="00CA5B23"/>
    <w:rsid w:val="00CA64E2"/>
    <w:rsid w:val="00CA65E7"/>
    <w:rsid w:val="00CA67C3"/>
    <w:rsid w:val="00CA7E6D"/>
    <w:rsid w:val="00CB0064"/>
    <w:rsid w:val="00CB027F"/>
    <w:rsid w:val="00CB0280"/>
    <w:rsid w:val="00CB13A9"/>
    <w:rsid w:val="00CB168E"/>
    <w:rsid w:val="00CB1740"/>
    <w:rsid w:val="00CB17E2"/>
    <w:rsid w:val="00CB1B17"/>
    <w:rsid w:val="00CB1EC9"/>
    <w:rsid w:val="00CB215A"/>
    <w:rsid w:val="00CB254A"/>
    <w:rsid w:val="00CB2551"/>
    <w:rsid w:val="00CB2628"/>
    <w:rsid w:val="00CB2C00"/>
    <w:rsid w:val="00CB2DAD"/>
    <w:rsid w:val="00CB30FF"/>
    <w:rsid w:val="00CB365E"/>
    <w:rsid w:val="00CB36B3"/>
    <w:rsid w:val="00CB3B2A"/>
    <w:rsid w:val="00CB407E"/>
    <w:rsid w:val="00CB422C"/>
    <w:rsid w:val="00CB4738"/>
    <w:rsid w:val="00CB51F9"/>
    <w:rsid w:val="00CB5263"/>
    <w:rsid w:val="00CB53BA"/>
    <w:rsid w:val="00CB55D5"/>
    <w:rsid w:val="00CB56EC"/>
    <w:rsid w:val="00CB5734"/>
    <w:rsid w:val="00CB58A6"/>
    <w:rsid w:val="00CB5D43"/>
    <w:rsid w:val="00CB6270"/>
    <w:rsid w:val="00CB6DA7"/>
    <w:rsid w:val="00CB7692"/>
    <w:rsid w:val="00CB76AE"/>
    <w:rsid w:val="00CB773B"/>
    <w:rsid w:val="00CB78EB"/>
    <w:rsid w:val="00CB7EDF"/>
    <w:rsid w:val="00CC01A2"/>
    <w:rsid w:val="00CC0482"/>
    <w:rsid w:val="00CC0D2B"/>
    <w:rsid w:val="00CC0E7D"/>
    <w:rsid w:val="00CC1566"/>
    <w:rsid w:val="00CC19E0"/>
    <w:rsid w:val="00CC1B3D"/>
    <w:rsid w:val="00CC1B56"/>
    <w:rsid w:val="00CC24DA"/>
    <w:rsid w:val="00CC2574"/>
    <w:rsid w:val="00CC2BFF"/>
    <w:rsid w:val="00CC2DE8"/>
    <w:rsid w:val="00CC2E3C"/>
    <w:rsid w:val="00CC2EB7"/>
    <w:rsid w:val="00CC2FCB"/>
    <w:rsid w:val="00CC316A"/>
    <w:rsid w:val="00CC320C"/>
    <w:rsid w:val="00CC328C"/>
    <w:rsid w:val="00CC3468"/>
    <w:rsid w:val="00CC3C61"/>
    <w:rsid w:val="00CC4594"/>
    <w:rsid w:val="00CC4A8D"/>
    <w:rsid w:val="00CC4B63"/>
    <w:rsid w:val="00CC4F82"/>
    <w:rsid w:val="00CC502C"/>
    <w:rsid w:val="00CC60F4"/>
    <w:rsid w:val="00CC65FB"/>
    <w:rsid w:val="00CC6CE6"/>
    <w:rsid w:val="00CC785F"/>
    <w:rsid w:val="00CC7F0F"/>
    <w:rsid w:val="00CD029E"/>
    <w:rsid w:val="00CD0545"/>
    <w:rsid w:val="00CD0A7C"/>
    <w:rsid w:val="00CD0BD1"/>
    <w:rsid w:val="00CD0F4F"/>
    <w:rsid w:val="00CD188B"/>
    <w:rsid w:val="00CD2F46"/>
    <w:rsid w:val="00CD34F7"/>
    <w:rsid w:val="00CD35AC"/>
    <w:rsid w:val="00CD39A2"/>
    <w:rsid w:val="00CD3A4A"/>
    <w:rsid w:val="00CD3EC5"/>
    <w:rsid w:val="00CD4611"/>
    <w:rsid w:val="00CD4914"/>
    <w:rsid w:val="00CD4ADE"/>
    <w:rsid w:val="00CD4B71"/>
    <w:rsid w:val="00CD4EE9"/>
    <w:rsid w:val="00CD5183"/>
    <w:rsid w:val="00CD5A35"/>
    <w:rsid w:val="00CD6166"/>
    <w:rsid w:val="00CD6366"/>
    <w:rsid w:val="00CD66CC"/>
    <w:rsid w:val="00CD6D7B"/>
    <w:rsid w:val="00CD7791"/>
    <w:rsid w:val="00CD779A"/>
    <w:rsid w:val="00CD77A5"/>
    <w:rsid w:val="00CD7AB3"/>
    <w:rsid w:val="00CE027D"/>
    <w:rsid w:val="00CE09A3"/>
    <w:rsid w:val="00CE09D6"/>
    <w:rsid w:val="00CE0A8A"/>
    <w:rsid w:val="00CE0BDE"/>
    <w:rsid w:val="00CE138A"/>
    <w:rsid w:val="00CE17F5"/>
    <w:rsid w:val="00CE1887"/>
    <w:rsid w:val="00CE1A03"/>
    <w:rsid w:val="00CE21C2"/>
    <w:rsid w:val="00CE2208"/>
    <w:rsid w:val="00CE22DF"/>
    <w:rsid w:val="00CE2335"/>
    <w:rsid w:val="00CE267A"/>
    <w:rsid w:val="00CE268B"/>
    <w:rsid w:val="00CE2B29"/>
    <w:rsid w:val="00CE2FED"/>
    <w:rsid w:val="00CE36FC"/>
    <w:rsid w:val="00CE371D"/>
    <w:rsid w:val="00CE4284"/>
    <w:rsid w:val="00CE48A8"/>
    <w:rsid w:val="00CE54D4"/>
    <w:rsid w:val="00CE5929"/>
    <w:rsid w:val="00CE5FCA"/>
    <w:rsid w:val="00CE6018"/>
    <w:rsid w:val="00CE6032"/>
    <w:rsid w:val="00CE6109"/>
    <w:rsid w:val="00CE6602"/>
    <w:rsid w:val="00CE6837"/>
    <w:rsid w:val="00CE6962"/>
    <w:rsid w:val="00CE7A22"/>
    <w:rsid w:val="00CE7C1C"/>
    <w:rsid w:val="00CF077B"/>
    <w:rsid w:val="00CF084F"/>
    <w:rsid w:val="00CF0C91"/>
    <w:rsid w:val="00CF0F9A"/>
    <w:rsid w:val="00CF1156"/>
    <w:rsid w:val="00CF1178"/>
    <w:rsid w:val="00CF1601"/>
    <w:rsid w:val="00CF1AF8"/>
    <w:rsid w:val="00CF226C"/>
    <w:rsid w:val="00CF386F"/>
    <w:rsid w:val="00CF3C9F"/>
    <w:rsid w:val="00CF3CD6"/>
    <w:rsid w:val="00CF47DA"/>
    <w:rsid w:val="00CF4A23"/>
    <w:rsid w:val="00CF4DF3"/>
    <w:rsid w:val="00CF509F"/>
    <w:rsid w:val="00CF537E"/>
    <w:rsid w:val="00CF5BD2"/>
    <w:rsid w:val="00CF6080"/>
    <w:rsid w:val="00CF62D0"/>
    <w:rsid w:val="00CF6BCD"/>
    <w:rsid w:val="00CF6C61"/>
    <w:rsid w:val="00CF6CF2"/>
    <w:rsid w:val="00CF7012"/>
    <w:rsid w:val="00CF7624"/>
    <w:rsid w:val="00CF772A"/>
    <w:rsid w:val="00CF781B"/>
    <w:rsid w:val="00D0016E"/>
    <w:rsid w:val="00D001DF"/>
    <w:rsid w:val="00D00727"/>
    <w:rsid w:val="00D00740"/>
    <w:rsid w:val="00D0076E"/>
    <w:rsid w:val="00D0089D"/>
    <w:rsid w:val="00D00F32"/>
    <w:rsid w:val="00D01130"/>
    <w:rsid w:val="00D01518"/>
    <w:rsid w:val="00D0214E"/>
    <w:rsid w:val="00D02355"/>
    <w:rsid w:val="00D029AE"/>
    <w:rsid w:val="00D03526"/>
    <w:rsid w:val="00D03A74"/>
    <w:rsid w:val="00D03D10"/>
    <w:rsid w:val="00D040A1"/>
    <w:rsid w:val="00D04300"/>
    <w:rsid w:val="00D04741"/>
    <w:rsid w:val="00D04A32"/>
    <w:rsid w:val="00D04B40"/>
    <w:rsid w:val="00D04B4A"/>
    <w:rsid w:val="00D04DEA"/>
    <w:rsid w:val="00D050F2"/>
    <w:rsid w:val="00D0538F"/>
    <w:rsid w:val="00D05672"/>
    <w:rsid w:val="00D056F6"/>
    <w:rsid w:val="00D0622B"/>
    <w:rsid w:val="00D06247"/>
    <w:rsid w:val="00D06593"/>
    <w:rsid w:val="00D068AC"/>
    <w:rsid w:val="00D068E3"/>
    <w:rsid w:val="00D069A5"/>
    <w:rsid w:val="00D06E34"/>
    <w:rsid w:val="00D07734"/>
    <w:rsid w:val="00D07969"/>
    <w:rsid w:val="00D07F13"/>
    <w:rsid w:val="00D1001D"/>
    <w:rsid w:val="00D10618"/>
    <w:rsid w:val="00D117A7"/>
    <w:rsid w:val="00D1182B"/>
    <w:rsid w:val="00D11B9C"/>
    <w:rsid w:val="00D11BA9"/>
    <w:rsid w:val="00D11F6B"/>
    <w:rsid w:val="00D124E8"/>
    <w:rsid w:val="00D130A5"/>
    <w:rsid w:val="00D1336B"/>
    <w:rsid w:val="00D137E8"/>
    <w:rsid w:val="00D13BFE"/>
    <w:rsid w:val="00D141D8"/>
    <w:rsid w:val="00D15011"/>
    <w:rsid w:val="00D154C6"/>
    <w:rsid w:val="00D156C9"/>
    <w:rsid w:val="00D16176"/>
    <w:rsid w:val="00D162FE"/>
    <w:rsid w:val="00D17DE1"/>
    <w:rsid w:val="00D20193"/>
    <w:rsid w:val="00D201AF"/>
    <w:rsid w:val="00D203AD"/>
    <w:rsid w:val="00D207D2"/>
    <w:rsid w:val="00D21E22"/>
    <w:rsid w:val="00D22023"/>
    <w:rsid w:val="00D2208E"/>
    <w:rsid w:val="00D22321"/>
    <w:rsid w:val="00D2322D"/>
    <w:rsid w:val="00D23727"/>
    <w:rsid w:val="00D23C5A"/>
    <w:rsid w:val="00D23EEF"/>
    <w:rsid w:val="00D23F3E"/>
    <w:rsid w:val="00D24068"/>
    <w:rsid w:val="00D24DAF"/>
    <w:rsid w:val="00D254EE"/>
    <w:rsid w:val="00D25819"/>
    <w:rsid w:val="00D259E6"/>
    <w:rsid w:val="00D26367"/>
    <w:rsid w:val="00D268FA"/>
    <w:rsid w:val="00D26A8A"/>
    <w:rsid w:val="00D26B4B"/>
    <w:rsid w:val="00D26D70"/>
    <w:rsid w:val="00D27139"/>
    <w:rsid w:val="00D27319"/>
    <w:rsid w:val="00D27908"/>
    <w:rsid w:val="00D27DB5"/>
    <w:rsid w:val="00D27EA0"/>
    <w:rsid w:val="00D300CD"/>
    <w:rsid w:val="00D3054B"/>
    <w:rsid w:val="00D30956"/>
    <w:rsid w:val="00D30A06"/>
    <w:rsid w:val="00D31020"/>
    <w:rsid w:val="00D312EA"/>
    <w:rsid w:val="00D3138E"/>
    <w:rsid w:val="00D31624"/>
    <w:rsid w:val="00D319A6"/>
    <w:rsid w:val="00D31AC0"/>
    <w:rsid w:val="00D31AC9"/>
    <w:rsid w:val="00D31CB8"/>
    <w:rsid w:val="00D32375"/>
    <w:rsid w:val="00D32CC6"/>
    <w:rsid w:val="00D32E41"/>
    <w:rsid w:val="00D33B4D"/>
    <w:rsid w:val="00D33D38"/>
    <w:rsid w:val="00D3405B"/>
    <w:rsid w:val="00D34290"/>
    <w:rsid w:val="00D355F6"/>
    <w:rsid w:val="00D35A5D"/>
    <w:rsid w:val="00D35BD0"/>
    <w:rsid w:val="00D35E28"/>
    <w:rsid w:val="00D35E97"/>
    <w:rsid w:val="00D36104"/>
    <w:rsid w:val="00D36430"/>
    <w:rsid w:val="00D377E3"/>
    <w:rsid w:val="00D37879"/>
    <w:rsid w:val="00D37972"/>
    <w:rsid w:val="00D379C5"/>
    <w:rsid w:val="00D37A6E"/>
    <w:rsid w:val="00D37DE9"/>
    <w:rsid w:val="00D4008D"/>
    <w:rsid w:val="00D40650"/>
    <w:rsid w:val="00D40CDD"/>
    <w:rsid w:val="00D41692"/>
    <w:rsid w:val="00D41C3E"/>
    <w:rsid w:val="00D41D15"/>
    <w:rsid w:val="00D421C7"/>
    <w:rsid w:val="00D42337"/>
    <w:rsid w:val="00D426C6"/>
    <w:rsid w:val="00D42ECB"/>
    <w:rsid w:val="00D430E6"/>
    <w:rsid w:val="00D43327"/>
    <w:rsid w:val="00D434FC"/>
    <w:rsid w:val="00D439FB"/>
    <w:rsid w:val="00D43A78"/>
    <w:rsid w:val="00D43E3E"/>
    <w:rsid w:val="00D4401C"/>
    <w:rsid w:val="00D44F13"/>
    <w:rsid w:val="00D44F91"/>
    <w:rsid w:val="00D4518D"/>
    <w:rsid w:val="00D45234"/>
    <w:rsid w:val="00D455EA"/>
    <w:rsid w:val="00D4588B"/>
    <w:rsid w:val="00D46580"/>
    <w:rsid w:val="00D4697E"/>
    <w:rsid w:val="00D470A4"/>
    <w:rsid w:val="00D478C8"/>
    <w:rsid w:val="00D503D2"/>
    <w:rsid w:val="00D50787"/>
    <w:rsid w:val="00D509A6"/>
    <w:rsid w:val="00D50B2C"/>
    <w:rsid w:val="00D50FE8"/>
    <w:rsid w:val="00D513CF"/>
    <w:rsid w:val="00D51872"/>
    <w:rsid w:val="00D51873"/>
    <w:rsid w:val="00D51D01"/>
    <w:rsid w:val="00D52A61"/>
    <w:rsid w:val="00D52D52"/>
    <w:rsid w:val="00D531D3"/>
    <w:rsid w:val="00D535A3"/>
    <w:rsid w:val="00D53E0E"/>
    <w:rsid w:val="00D53F67"/>
    <w:rsid w:val="00D5434A"/>
    <w:rsid w:val="00D54417"/>
    <w:rsid w:val="00D54705"/>
    <w:rsid w:val="00D54874"/>
    <w:rsid w:val="00D5499E"/>
    <w:rsid w:val="00D5516D"/>
    <w:rsid w:val="00D556C9"/>
    <w:rsid w:val="00D56262"/>
    <w:rsid w:val="00D5674D"/>
    <w:rsid w:val="00D56A09"/>
    <w:rsid w:val="00D56C65"/>
    <w:rsid w:val="00D576A6"/>
    <w:rsid w:val="00D5776A"/>
    <w:rsid w:val="00D60503"/>
    <w:rsid w:val="00D60534"/>
    <w:rsid w:val="00D6083C"/>
    <w:rsid w:val="00D60B93"/>
    <w:rsid w:val="00D610D9"/>
    <w:rsid w:val="00D61830"/>
    <w:rsid w:val="00D61A40"/>
    <w:rsid w:val="00D62EEF"/>
    <w:rsid w:val="00D62F61"/>
    <w:rsid w:val="00D6304D"/>
    <w:rsid w:val="00D631A5"/>
    <w:rsid w:val="00D632F3"/>
    <w:rsid w:val="00D633A6"/>
    <w:rsid w:val="00D6388B"/>
    <w:rsid w:val="00D63C8C"/>
    <w:rsid w:val="00D64083"/>
    <w:rsid w:val="00D643FD"/>
    <w:rsid w:val="00D649CB"/>
    <w:rsid w:val="00D64E02"/>
    <w:rsid w:val="00D64FB3"/>
    <w:rsid w:val="00D650E5"/>
    <w:rsid w:val="00D6512F"/>
    <w:rsid w:val="00D652AC"/>
    <w:rsid w:val="00D65423"/>
    <w:rsid w:val="00D658F2"/>
    <w:rsid w:val="00D65AFA"/>
    <w:rsid w:val="00D6611E"/>
    <w:rsid w:val="00D661D7"/>
    <w:rsid w:val="00D663AB"/>
    <w:rsid w:val="00D6696D"/>
    <w:rsid w:val="00D70013"/>
    <w:rsid w:val="00D703A8"/>
    <w:rsid w:val="00D707D4"/>
    <w:rsid w:val="00D70966"/>
    <w:rsid w:val="00D70B02"/>
    <w:rsid w:val="00D70F4E"/>
    <w:rsid w:val="00D712DE"/>
    <w:rsid w:val="00D719E1"/>
    <w:rsid w:val="00D72CC0"/>
    <w:rsid w:val="00D736F3"/>
    <w:rsid w:val="00D73C72"/>
    <w:rsid w:val="00D74771"/>
    <w:rsid w:val="00D74781"/>
    <w:rsid w:val="00D74801"/>
    <w:rsid w:val="00D75A7C"/>
    <w:rsid w:val="00D75D6B"/>
    <w:rsid w:val="00D75E22"/>
    <w:rsid w:val="00D75EC0"/>
    <w:rsid w:val="00D76222"/>
    <w:rsid w:val="00D76416"/>
    <w:rsid w:val="00D773CE"/>
    <w:rsid w:val="00D810AC"/>
    <w:rsid w:val="00D811A3"/>
    <w:rsid w:val="00D815CC"/>
    <w:rsid w:val="00D81880"/>
    <w:rsid w:val="00D822BD"/>
    <w:rsid w:val="00D82AA9"/>
    <w:rsid w:val="00D83237"/>
    <w:rsid w:val="00D83412"/>
    <w:rsid w:val="00D84110"/>
    <w:rsid w:val="00D84377"/>
    <w:rsid w:val="00D843AF"/>
    <w:rsid w:val="00D845B7"/>
    <w:rsid w:val="00D84C5E"/>
    <w:rsid w:val="00D85947"/>
    <w:rsid w:val="00D8594A"/>
    <w:rsid w:val="00D868E2"/>
    <w:rsid w:val="00D86FEB"/>
    <w:rsid w:val="00D871E1"/>
    <w:rsid w:val="00D875F4"/>
    <w:rsid w:val="00D8769E"/>
    <w:rsid w:val="00D87987"/>
    <w:rsid w:val="00D87D4D"/>
    <w:rsid w:val="00D901BC"/>
    <w:rsid w:val="00D90348"/>
    <w:rsid w:val="00D90685"/>
    <w:rsid w:val="00D91201"/>
    <w:rsid w:val="00D913FC"/>
    <w:rsid w:val="00D9159E"/>
    <w:rsid w:val="00D91BA1"/>
    <w:rsid w:val="00D91EDC"/>
    <w:rsid w:val="00D92144"/>
    <w:rsid w:val="00D92653"/>
    <w:rsid w:val="00D92836"/>
    <w:rsid w:val="00D92A34"/>
    <w:rsid w:val="00D92CA2"/>
    <w:rsid w:val="00D9300C"/>
    <w:rsid w:val="00D9318E"/>
    <w:rsid w:val="00D932FA"/>
    <w:rsid w:val="00D93C2A"/>
    <w:rsid w:val="00D93CA9"/>
    <w:rsid w:val="00D93DC5"/>
    <w:rsid w:val="00D9463B"/>
    <w:rsid w:val="00D946C4"/>
    <w:rsid w:val="00D958DA"/>
    <w:rsid w:val="00D95926"/>
    <w:rsid w:val="00D9608D"/>
    <w:rsid w:val="00D96635"/>
    <w:rsid w:val="00D96ED6"/>
    <w:rsid w:val="00D971A7"/>
    <w:rsid w:val="00D97284"/>
    <w:rsid w:val="00D97287"/>
    <w:rsid w:val="00D9747D"/>
    <w:rsid w:val="00D97820"/>
    <w:rsid w:val="00DA065B"/>
    <w:rsid w:val="00DA088E"/>
    <w:rsid w:val="00DA096B"/>
    <w:rsid w:val="00DA108D"/>
    <w:rsid w:val="00DA1271"/>
    <w:rsid w:val="00DA1564"/>
    <w:rsid w:val="00DA2C7C"/>
    <w:rsid w:val="00DA2ED2"/>
    <w:rsid w:val="00DA3056"/>
    <w:rsid w:val="00DA38ED"/>
    <w:rsid w:val="00DA4055"/>
    <w:rsid w:val="00DA4827"/>
    <w:rsid w:val="00DA4C89"/>
    <w:rsid w:val="00DA5227"/>
    <w:rsid w:val="00DA558A"/>
    <w:rsid w:val="00DA55FB"/>
    <w:rsid w:val="00DA5F2D"/>
    <w:rsid w:val="00DA611B"/>
    <w:rsid w:val="00DA634E"/>
    <w:rsid w:val="00DA675C"/>
    <w:rsid w:val="00DA676D"/>
    <w:rsid w:val="00DA6AF9"/>
    <w:rsid w:val="00DA6E4A"/>
    <w:rsid w:val="00DA70A9"/>
    <w:rsid w:val="00DA7669"/>
    <w:rsid w:val="00DA7816"/>
    <w:rsid w:val="00DB032A"/>
    <w:rsid w:val="00DB0485"/>
    <w:rsid w:val="00DB0E6C"/>
    <w:rsid w:val="00DB1C64"/>
    <w:rsid w:val="00DB2374"/>
    <w:rsid w:val="00DB27F8"/>
    <w:rsid w:val="00DB28B2"/>
    <w:rsid w:val="00DB2D3D"/>
    <w:rsid w:val="00DB3234"/>
    <w:rsid w:val="00DB4352"/>
    <w:rsid w:val="00DB450A"/>
    <w:rsid w:val="00DB485F"/>
    <w:rsid w:val="00DB4CAA"/>
    <w:rsid w:val="00DB5203"/>
    <w:rsid w:val="00DB5352"/>
    <w:rsid w:val="00DB53C5"/>
    <w:rsid w:val="00DB57E1"/>
    <w:rsid w:val="00DB5C94"/>
    <w:rsid w:val="00DB7334"/>
    <w:rsid w:val="00DB773B"/>
    <w:rsid w:val="00DB7D36"/>
    <w:rsid w:val="00DC0149"/>
    <w:rsid w:val="00DC03E5"/>
    <w:rsid w:val="00DC099C"/>
    <w:rsid w:val="00DC0CB9"/>
    <w:rsid w:val="00DC0E3D"/>
    <w:rsid w:val="00DC140E"/>
    <w:rsid w:val="00DC1432"/>
    <w:rsid w:val="00DC17C2"/>
    <w:rsid w:val="00DC1DB1"/>
    <w:rsid w:val="00DC2305"/>
    <w:rsid w:val="00DC3430"/>
    <w:rsid w:val="00DC365B"/>
    <w:rsid w:val="00DC3801"/>
    <w:rsid w:val="00DC3AD1"/>
    <w:rsid w:val="00DC420C"/>
    <w:rsid w:val="00DC434B"/>
    <w:rsid w:val="00DC45E0"/>
    <w:rsid w:val="00DC49EA"/>
    <w:rsid w:val="00DC4C4A"/>
    <w:rsid w:val="00DC4C63"/>
    <w:rsid w:val="00DC5598"/>
    <w:rsid w:val="00DC5828"/>
    <w:rsid w:val="00DC584E"/>
    <w:rsid w:val="00DC5B11"/>
    <w:rsid w:val="00DC680D"/>
    <w:rsid w:val="00DC6873"/>
    <w:rsid w:val="00DC6F18"/>
    <w:rsid w:val="00DC7193"/>
    <w:rsid w:val="00DC7A60"/>
    <w:rsid w:val="00DD07CF"/>
    <w:rsid w:val="00DD0807"/>
    <w:rsid w:val="00DD0BF8"/>
    <w:rsid w:val="00DD1ED3"/>
    <w:rsid w:val="00DD2516"/>
    <w:rsid w:val="00DD2BFF"/>
    <w:rsid w:val="00DD2D9A"/>
    <w:rsid w:val="00DD2E97"/>
    <w:rsid w:val="00DD2F90"/>
    <w:rsid w:val="00DD33E8"/>
    <w:rsid w:val="00DD3446"/>
    <w:rsid w:val="00DD3DF4"/>
    <w:rsid w:val="00DD43E3"/>
    <w:rsid w:val="00DD446C"/>
    <w:rsid w:val="00DD4F71"/>
    <w:rsid w:val="00DD5365"/>
    <w:rsid w:val="00DD5C15"/>
    <w:rsid w:val="00DD6686"/>
    <w:rsid w:val="00DD6791"/>
    <w:rsid w:val="00DD6AC5"/>
    <w:rsid w:val="00DD6F18"/>
    <w:rsid w:val="00DD74C5"/>
    <w:rsid w:val="00DD783B"/>
    <w:rsid w:val="00DD7C62"/>
    <w:rsid w:val="00DE0263"/>
    <w:rsid w:val="00DE03D6"/>
    <w:rsid w:val="00DE0822"/>
    <w:rsid w:val="00DE0AE7"/>
    <w:rsid w:val="00DE180A"/>
    <w:rsid w:val="00DE1BE8"/>
    <w:rsid w:val="00DE1F48"/>
    <w:rsid w:val="00DE2D82"/>
    <w:rsid w:val="00DE334D"/>
    <w:rsid w:val="00DE354F"/>
    <w:rsid w:val="00DE35DC"/>
    <w:rsid w:val="00DE3A40"/>
    <w:rsid w:val="00DE3EB1"/>
    <w:rsid w:val="00DE3F19"/>
    <w:rsid w:val="00DE3F22"/>
    <w:rsid w:val="00DE4234"/>
    <w:rsid w:val="00DE47F5"/>
    <w:rsid w:val="00DE4BF8"/>
    <w:rsid w:val="00DE4C52"/>
    <w:rsid w:val="00DE4C9B"/>
    <w:rsid w:val="00DE61C6"/>
    <w:rsid w:val="00DE6BB6"/>
    <w:rsid w:val="00DE6DBA"/>
    <w:rsid w:val="00DE7394"/>
    <w:rsid w:val="00DE739A"/>
    <w:rsid w:val="00DE73D3"/>
    <w:rsid w:val="00DE7557"/>
    <w:rsid w:val="00DE7747"/>
    <w:rsid w:val="00DE7888"/>
    <w:rsid w:val="00DE78BB"/>
    <w:rsid w:val="00DF0267"/>
    <w:rsid w:val="00DF0AC7"/>
    <w:rsid w:val="00DF0C68"/>
    <w:rsid w:val="00DF0FF9"/>
    <w:rsid w:val="00DF11B4"/>
    <w:rsid w:val="00DF168B"/>
    <w:rsid w:val="00DF169B"/>
    <w:rsid w:val="00DF17AB"/>
    <w:rsid w:val="00DF1A69"/>
    <w:rsid w:val="00DF1C1A"/>
    <w:rsid w:val="00DF2465"/>
    <w:rsid w:val="00DF256E"/>
    <w:rsid w:val="00DF27DC"/>
    <w:rsid w:val="00DF2C27"/>
    <w:rsid w:val="00DF2CD0"/>
    <w:rsid w:val="00DF3658"/>
    <w:rsid w:val="00DF3F34"/>
    <w:rsid w:val="00DF475B"/>
    <w:rsid w:val="00DF492B"/>
    <w:rsid w:val="00DF5C46"/>
    <w:rsid w:val="00DF6C21"/>
    <w:rsid w:val="00DF6D51"/>
    <w:rsid w:val="00DF76B8"/>
    <w:rsid w:val="00DF7B91"/>
    <w:rsid w:val="00E004AB"/>
    <w:rsid w:val="00E005D0"/>
    <w:rsid w:val="00E005D7"/>
    <w:rsid w:val="00E0070C"/>
    <w:rsid w:val="00E01AB9"/>
    <w:rsid w:val="00E01E48"/>
    <w:rsid w:val="00E0263B"/>
    <w:rsid w:val="00E02677"/>
    <w:rsid w:val="00E02748"/>
    <w:rsid w:val="00E028CE"/>
    <w:rsid w:val="00E02D94"/>
    <w:rsid w:val="00E02E47"/>
    <w:rsid w:val="00E02ECE"/>
    <w:rsid w:val="00E03117"/>
    <w:rsid w:val="00E03185"/>
    <w:rsid w:val="00E031DE"/>
    <w:rsid w:val="00E03228"/>
    <w:rsid w:val="00E03A0A"/>
    <w:rsid w:val="00E03F5E"/>
    <w:rsid w:val="00E03F7C"/>
    <w:rsid w:val="00E05C20"/>
    <w:rsid w:val="00E05F4D"/>
    <w:rsid w:val="00E0616C"/>
    <w:rsid w:val="00E061E2"/>
    <w:rsid w:val="00E06CAB"/>
    <w:rsid w:val="00E06D46"/>
    <w:rsid w:val="00E07183"/>
    <w:rsid w:val="00E0752D"/>
    <w:rsid w:val="00E07704"/>
    <w:rsid w:val="00E1075C"/>
    <w:rsid w:val="00E10BC4"/>
    <w:rsid w:val="00E1104F"/>
    <w:rsid w:val="00E1112C"/>
    <w:rsid w:val="00E11526"/>
    <w:rsid w:val="00E11753"/>
    <w:rsid w:val="00E11998"/>
    <w:rsid w:val="00E11C5B"/>
    <w:rsid w:val="00E12204"/>
    <w:rsid w:val="00E12365"/>
    <w:rsid w:val="00E1274D"/>
    <w:rsid w:val="00E129D2"/>
    <w:rsid w:val="00E13179"/>
    <w:rsid w:val="00E13471"/>
    <w:rsid w:val="00E1353B"/>
    <w:rsid w:val="00E139E2"/>
    <w:rsid w:val="00E13A00"/>
    <w:rsid w:val="00E1460E"/>
    <w:rsid w:val="00E1506B"/>
    <w:rsid w:val="00E152B3"/>
    <w:rsid w:val="00E15587"/>
    <w:rsid w:val="00E15A4D"/>
    <w:rsid w:val="00E15B69"/>
    <w:rsid w:val="00E15D70"/>
    <w:rsid w:val="00E15DB2"/>
    <w:rsid w:val="00E160D0"/>
    <w:rsid w:val="00E16411"/>
    <w:rsid w:val="00E1669A"/>
    <w:rsid w:val="00E16939"/>
    <w:rsid w:val="00E169BC"/>
    <w:rsid w:val="00E16C26"/>
    <w:rsid w:val="00E17063"/>
    <w:rsid w:val="00E170F1"/>
    <w:rsid w:val="00E17189"/>
    <w:rsid w:val="00E17720"/>
    <w:rsid w:val="00E201CE"/>
    <w:rsid w:val="00E2032D"/>
    <w:rsid w:val="00E2060F"/>
    <w:rsid w:val="00E20660"/>
    <w:rsid w:val="00E20BA1"/>
    <w:rsid w:val="00E20CF0"/>
    <w:rsid w:val="00E211AE"/>
    <w:rsid w:val="00E211C9"/>
    <w:rsid w:val="00E2146B"/>
    <w:rsid w:val="00E21ADE"/>
    <w:rsid w:val="00E2254B"/>
    <w:rsid w:val="00E227B3"/>
    <w:rsid w:val="00E23080"/>
    <w:rsid w:val="00E23BB5"/>
    <w:rsid w:val="00E24854"/>
    <w:rsid w:val="00E24ACF"/>
    <w:rsid w:val="00E24D93"/>
    <w:rsid w:val="00E250C2"/>
    <w:rsid w:val="00E25187"/>
    <w:rsid w:val="00E253BC"/>
    <w:rsid w:val="00E255D2"/>
    <w:rsid w:val="00E25CF0"/>
    <w:rsid w:val="00E27183"/>
    <w:rsid w:val="00E271C8"/>
    <w:rsid w:val="00E2741C"/>
    <w:rsid w:val="00E27F93"/>
    <w:rsid w:val="00E30A3D"/>
    <w:rsid w:val="00E30CC5"/>
    <w:rsid w:val="00E30F64"/>
    <w:rsid w:val="00E3109D"/>
    <w:rsid w:val="00E31357"/>
    <w:rsid w:val="00E31846"/>
    <w:rsid w:val="00E31EEA"/>
    <w:rsid w:val="00E31F0F"/>
    <w:rsid w:val="00E32040"/>
    <w:rsid w:val="00E323A9"/>
    <w:rsid w:val="00E32575"/>
    <w:rsid w:val="00E3265E"/>
    <w:rsid w:val="00E33015"/>
    <w:rsid w:val="00E33362"/>
    <w:rsid w:val="00E33456"/>
    <w:rsid w:val="00E335D7"/>
    <w:rsid w:val="00E33720"/>
    <w:rsid w:val="00E338EF"/>
    <w:rsid w:val="00E33A09"/>
    <w:rsid w:val="00E344E5"/>
    <w:rsid w:val="00E3458A"/>
    <w:rsid w:val="00E3495C"/>
    <w:rsid w:val="00E34988"/>
    <w:rsid w:val="00E34B55"/>
    <w:rsid w:val="00E34CB4"/>
    <w:rsid w:val="00E34F77"/>
    <w:rsid w:val="00E356D2"/>
    <w:rsid w:val="00E35CA8"/>
    <w:rsid w:val="00E35CB5"/>
    <w:rsid w:val="00E35EBC"/>
    <w:rsid w:val="00E360CC"/>
    <w:rsid w:val="00E361E4"/>
    <w:rsid w:val="00E365AF"/>
    <w:rsid w:val="00E3664E"/>
    <w:rsid w:val="00E36C2D"/>
    <w:rsid w:val="00E37042"/>
    <w:rsid w:val="00E373C6"/>
    <w:rsid w:val="00E375E8"/>
    <w:rsid w:val="00E37D57"/>
    <w:rsid w:val="00E4068E"/>
    <w:rsid w:val="00E406B8"/>
    <w:rsid w:val="00E409D5"/>
    <w:rsid w:val="00E41355"/>
    <w:rsid w:val="00E4158B"/>
    <w:rsid w:val="00E417B3"/>
    <w:rsid w:val="00E4209D"/>
    <w:rsid w:val="00E42373"/>
    <w:rsid w:val="00E4237A"/>
    <w:rsid w:val="00E42401"/>
    <w:rsid w:val="00E42628"/>
    <w:rsid w:val="00E42654"/>
    <w:rsid w:val="00E4279A"/>
    <w:rsid w:val="00E4287D"/>
    <w:rsid w:val="00E428FE"/>
    <w:rsid w:val="00E42FCA"/>
    <w:rsid w:val="00E43667"/>
    <w:rsid w:val="00E4392B"/>
    <w:rsid w:val="00E43D96"/>
    <w:rsid w:val="00E43DAD"/>
    <w:rsid w:val="00E44465"/>
    <w:rsid w:val="00E44860"/>
    <w:rsid w:val="00E4498F"/>
    <w:rsid w:val="00E44F7E"/>
    <w:rsid w:val="00E44FED"/>
    <w:rsid w:val="00E4512C"/>
    <w:rsid w:val="00E451A5"/>
    <w:rsid w:val="00E458D8"/>
    <w:rsid w:val="00E45D96"/>
    <w:rsid w:val="00E463B2"/>
    <w:rsid w:val="00E47160"/>
    <w:rsid w:val="00E47628"/>
    <w:rsid w:val="00E47856"/>
    <w:rsid w:val="00E5060D"/>
    <w:rsid w:val="00E51063"/>
    <w:rsid w:val="00E51FA9"/>
    <w:rsid w:val="00E52569"/>
    <w:rsid w:val="00E52634"/>
    <w:rsid w:val="00E52AAB"/>
    <w:rsid w:val="00E530A4"/>
    <w:rsid w:val="00E53198"/>
    <w:rsid w:val="00E5321B"/>
    <w:rsid w:val="00E53450"/>
    <w:rsid w:val="00E53646"/>
    <w:rsid w:val="00E53C2A"/>
    <w:rsid w:val="00E53E3F"/>
    <w:rsid w:val="00E542AB"/>
    <w:rsid w:val="00E54806"/>
    <w:rsid w:val="00E54D47"/>
    <w:rsid w:val="00E55716"/>
    <w:rsid w:val="00E558B5"/>
    <w:rsid w:val="00E5623A"/>
    <w:rsid w:val="00E562FE"/>
    <w:rsid w:val="00E56684"/>
    <w:rsid w:val="00E56A67"/>
    <w:rsid w:val="00E57602"/>
    <w:rsid w:val="00E57968"/>
    <w:rsid w:val="00E60299"/>
    <w:rsid w:val="00E60C2B"/>
    <w:rsid w:val="00E61001"/>
    <w:rsid w:val="00E61645"/>
    <w:rsid w:val="00E6185F"/>
    <w:rsid w:val="00E621C8"/>
    <w:rsid w:val="00E6236C"/>
    <w:rsid w:val="00E6278E"/>
    <w:rsid w:val="00E62A2D"/>
    <w:rsid w:val="00E62BDB"/>
    <w:rsid w:val="00E62CD9"/>
    <w:rsid w:val="00E62E56"/>
    <w:rsid w:val="00E635C7"/>
    <w:rsid w:val="00E637B5"/>
    <w:rsid w:val="00E638B8"/>
    <w:rsid w:val="00E63C41"/>
    <w:rsid w:val="00E63C7E"/>
    <w:rsid w:val="00E63CF6"/>
    <w:rsid w:val="00E63CFD"/>
    <w:rsid w:val="00E63F4F"/>
    <w:rsid w:val="00E640F9"/>
    <w:rsid w:val="00E6411F"/>
    <w:rsid w:val="00E64D34"/>
    <w:rsid w:val="00E64D96"/>
    <w:rsid w:val="00E6540D"/>
    <w:rsid w:val="00E66345"/>
    <w:rsid w:val="00E6657B"/>
    <w:rsid w:val="00E66A5D"/>
    <w:rsid w:val="00E66AD1"/>
    <w:rsid w:val="00E66C5F"/>
    <w:rsid w:val="00E66F83"/>
    <w:rsid w:val="00E7031D"/>
    <w:rsid w:val="00E70E1A"/>
    <w:rsid w:val="00E712C8"/>
    <w:rsid w:val="00E714FF"/>
    <w:rsid w:val="00E7167E"/>
    <w:rsid w:val="00E720CF"/>
    <w:rsid w:val="00E7235A"/>
    <w:rsid w:val="00E72440"/>
    <w:rsid w:val="00E724C8"/>
    <w:rsid w:val="00E7270E"/>
    <w:rsid w:val="00E735E7"/>
    <w:rsid w:val="00E746DF"/>
    <w:rsid w:val="00E7560A"/>
    <w:rsid w:val="00E75C7A"/>
    <w:rsid w:val="00E767F0"/>
    <w:rsid w:val="00E7680B"/>
    <w:rsid w:val="00E770A1"/>
    <w:rsid w:val="00E77394"/>
    <w:rsid w:val="00E775FE"/>
    <w:rsid w:val="00E7784A"/>
    <w:rsid w:val="00E77874"/>
    <w:rsid w:val="00E77A0D"/>
    <w:rsid w:val="00E80348"/>
    <w:rsid w:val="00E80488"/>
    <w:rsid w:val="00E80AE6"/>
    <w:rsid w:val="00E80BDB"/>
    <w:rsid w:val="00E80E8D"/>
    <w:rsid w:val="00E81291"/>
    <w:rsid w:val="00E8131F"/>
    <w:rsid w:val="00E817ED"/>
    <w:rsid w:val="00E81B6F"/>
    <w:rsid w:val="00E81E01"/>
    <w:rsid w:val="00E822AF"/>
    <w:rsid w:val="00E82A40"/>
    <w:rsid w:val="00E82CBE"/>
    <w:rsid w:val="00E82E50"/>
    <w:rsid w:val="00E836EA"/>
    <w:rsid w:val="00E83CAD"/>
    <w:rsid w:val="00E83E33"/>
    <w:rsid w:val="00E8506C"/>
    <w:rsid w:val="00E851E5"/>
    <w:rsid w:val="00E85266"/>
    <w:rsid w:val="00E852C6"/>
    <w:rsid w:val="00E85BD1"/>
    <w:rsid w:val="00E85C14"/>
    <w:rsid w:val="00E85C79"/>
    <w:rsid w:val="00E8673B"/>
    <w:rsid w:val="00E86EC0"/>
    <w:rsid w:val="00E86F21"/>
    <w:rsid w:val="00E86FFB"/>
    <w:rsid w:val="00E8712D"/>
    <w:rsid w:val="00E8727D"/>
    <w:rsid w:val="00E87912"/>
    <w:rsid w:val="00E87BBF"/>
    <w:rsid w:val="00E90595"/>
    <w:rsid w:val="00E90A01"/>
    <w:rsid w:val="00E90C8B"/>
    <w:rsid w:val="00E90F95"/>
    <w:rsid w:val="00E91A50"/>
    <w:rsid w:val="00E9281E"/>
    <w:rsid w:val="00E928A2"/>
    <w:rsid w:val="00E93169"/>
    <w:rsid w:val="00E93F77"/>
    <w:rsid w:val="00E946AA"/>
    <w:rsid w:val="00E94A96"/>
    <w:rsid w:val="00E94B06"/>
    <w:rsid w:val="00E94BC5"/>
    <w:rsid w:val="00E94FDF"/>
    <w:rsid w:val="00E95109"/>
    <w:rsid w:val="00E95191"/>
    <w:rsid w:val="00E9632D"/>
    <w:rsid w:val="00E963CD"/>
    <w:rsid w:val="00E964D5"/>
    <w:rsid w:val="00E964E5"/>
    <w:rsid w:val="00E9710E"/>
    <w:rsid w:val="00E97197"/>
    <w:rsid w:val="00E97400"/>
    <w:rsid w:val="00E97937"/>
    <w:rsid w:val="00E97D25"/>
    <w:rsid w:val="00EA0494"/>
    <w:rsid w:val="00EA0817"/>
    <w:rsid w:val="00EA0889"/>
    <w:rsid w:val="00EA1030"/>
    <w:rsid w:val="00EA1E6E"/>
    <w:rsid w:val="00EA2790"/>
    <w:rsid w:val="00EA2A76"/>
    <w:rsid w:val="00EA2BAC"/>
    <w:rsid w:val="00EA3895"/>
    <w:rsid w:val="00EA3C75"/>
    <w:rsid w:val="00EA4333"/>
    <w:rsid w:val="00EA43B1"/>
    <w:rsid w:val="00EA46E6"/>
    <w:rsid w:val="00EA4A45"/>
    <w:rsid w:val="00EA4FE5"/>
    <w:rsid w:val="00EA500B"/>
    <w:rsid w:val="00EA531C"/>
    <w:rsid w:val="00EA5C05"/>
    <w:rsid w:val="00EA633C"/>
    <w:rsid w:val="00EA6515"/>
    <w:rsid w:val="00EA6645"/>
    <w:rsid w:val="00EA6D86"/>
    <w:rsid w:val="00EA6ECA"/>
    <w:rsid w:val="00EA72B3"/>
    <w:rsid w:val="00EA75D9"/>
    <w:rsid w:val="00EB041B"/>
    <w:rsid w:val="00EB07A6"/>
    <w:rsid w:val="00EB0B91"/>
    <w:rsid w:val="00EB0C74"/>
    <w:rsid w:val="00EB10CB"/>
    <w:rsid w:val="00EB1B71"/>
    <w:rsid w:val="00EB1B99"/>
    <w:rsid w:val="00EB1E57"/>
    <w:rsid w:val="00EB1E72"/>
    <w:rsid w:val="00EB208D"/>
    <w:rsid w:val="00EB209C"/>
    <w:rsid w:val="00EB2241"/>
    <w:rsid w:val="00EB225D"/>
    <w:rsid w:val="00EB27EB"/>
    <w:rsid w:val="00EB2BAD"/>
    <w:rsid w:val="00EB2E5E"/>
    <w:rsid w:val="00EB2FFA"/>
    <w:rsid w:val="00EB3264"/>
    <w:rsid w:val="00EB33EC"/>
    <w:rsid w:val="00EB3A54"/>
    <w:rsid w:val="00EB3C80"/>
    <w:rsid w:val="00EB3F78"/>
    <w:rsid w:val="00EB4984"/>
    <w:rsid w:val="00EB4B0B"/>
    <w:rsid w:val="00EB4C4B"/>
    <w:rsid w:val="00EB4FB5"/>
    <w:rsid w:val="00EB5146"/>
    <w:rsid w:val="00EB53D9"/>
    <w:rsid w:val="00EB59C4"/>
    <w:rsid w:val="00EB5B54"/>
    <w:rsid w:val="00EB6155"/>
    <w:rsid w:val="00EB64EC"/>
    <w:rsid w:val="00EB6FC6"/>
    <w:rsid w:val="00EB70A6"/>
    <w:rsid w:val="00EB7590"/>
    <w:rsid w:val="00EB7D85"/>
    <w:rsid w:val="00EB7E64"/>
    <w:rsid w:val="00EC031D"/>
    <w:rsid w:val="00EC0EFB"/>
    <w:rsid w:val="00EC182C"/>
    <w:rsid w:val="00EC199A"/>
    <w:rsid w:val="00EC349D"/>
    <w:rsid w:val="00EC3AC9"/>
    <w:rsid w:val="00EC3E4D"/>
    <w:rsid w:val="00EC459D"/>
    <w:rsid w:val="00EC4639"/>
    <w:rsid w:val="00EC4701"/>
    <w:rsid w:val="00EC54A3"/>
    <w:rsid w:val="00EC5B49"/>
    <w:rsid w:val="00EC612C"/>
    <w:rsid w:val="00EC6459"/>
    <w:rsid w:val="00EC65DE"/>
    <w:rsid w:val="00EC7402"/>
    <w:rsid w:val="00EC748C"/>
    <w:rsid w:val="00ED050D"/>
    <w:rsid w:val="00ED061B"/>
    <w:rsid w:val="00ED07DF"/>
    <w:rsid w:val="00ED09E1"/>
    <w:rsid w:val="00ED0A03"/>
    <w:rsid w:val="00ED0CD3"/>
    <w:rsid w:val="00ED0EAC"/>
    <w:rsid w:val="00ED0F53"/>
    <w:rsid w:val="00ED1646"/>
    <w:rsid w:val="00ED1ADD"/>
    <w:rsid w:val="00ED1ED2"/>
    <w:rsid w:val="00ED2471"/>
    <w:rsid w:val="00ED29AD"/>
    <w:rsid w:val="00ED29CA"/>
    <w:rsid w:val="00ED2B82"/>
    <w:rsid w:val="00ED2FEF"/>
    <w:rsid w:val="00ED314B"/>
    <w:rsid w:val="00ED3500"/>
    <w:rsid w:val="00ED355E"/>
    <w:rsid w:val="00ED3778"/>
    <w:rsid w:val="00ED39A0"/>
    <w:rsid w:val="00ED40F0"/>
    <w:rsid w:val="00ED44E0"/>
    <w:rsid w:val="00ED4788"/>
    <w:rsid w:val="00ED4B47"/>
    <w:rsid w:val="00ED55BA"/>
    <w:rsid w:val="00ED600A"/>
    <w:rsid w:val="00ED6544"/>
    <w:rsid w:val="00ED6827"/>
    <w:rsid w:val="00ED688F"/>
    <w:rsid w:val="00ED6D36"/>
    <w:rsid w:val="00ED732E"/>
    <w:rsid w:val="00ED7669"/>
    <w:rsid w:val="00ED775D"/>
    <w:rsid w:val="00ED78B8"/>
    <w:rsid w:val="00EE00D3"/>
    <w:rsid w:val="00EE0297"/>
    <w:rsid w:val="00EE073A"/>
    <w:rsid w:val="00EE0AF0"/>
    <w:rsid w:val="00EE1039"/>
    <w:rsid w:val="00EE1933"/>
    <w:rsid w:val="00EE1A35"/>
    <w:rsid w:val="00EE24AF"/>
    <w:rsid w:val="00EE2B27"/>
    <w:rsid w:val="00EE2B53"/>
    <w:rsid w:val="00EE2BB4"/>
    <w:rsid w:val="00EE2FD9"/>
    <w:rsid w:val="00EE2FFB"/>
    <w:rsid w:val="00EE32E1"/>
    <w:rsid w:val="00EE35F2"/>
    <w:rsid w:val="00EE36BF"/>
    <w:rsid w:val="00EE3968"/>
    <w:rsid w:val="00EE3EEB"/>
    <w:rsid w:val="00EE43AF"/>
    <w:rsid w:val="00EE46AB"/>
    <w:rsid w:val="00EE47E1"/>
    <w:rsid w:val="00EE4ADB"/>
    <w:rsid w:val="00EE5051"/>
    <w:rsid w:val="00EE516A"/>
    <w:rsid w:val="00EE5306"/>
    <w:rsid w:val="00EE5BE6"/>
    <w:rsid w:val="00EE5DAF"/>
    <w:rsid w:val="00EE64B1"/>
    <w:rsid w:val="00EE68AD"/>
    <w:rsid w:val="00EE68BE"/>
    <w:rsid w:val="00EE6CEF"/>
    <w:rsid w:val="00EE720E"/>
    <w:rsid w:val="00EE799D"/>
    <w:rsid w:val="00EE7CC9"/>
    <w:rsid w:val="00EF0006"/>
    <w:rsid w:val="00EF016D"/>
    <w:rsid w:val="00EF0A13"/>
    <w:rsid w:val="00EF145D"/>
    <w:rsid w:val="00EF159D"/>
    <w:rsid w:val="00EF2473"/>
    <w:rsid w:val="00EF258F"/>
    <w:rsid w:val="00EF2C90"/>
    <w:rsid w:val="00EF2F9E"/>
    <w:rsid w:val="00EF319C"/>
    <w:rsid w:val="00EF3E78"/>
    <w:rsid w:val="00EF418B"/>
    <w:rsid w:val="00EF42A2"/>
    <w:rsid w:val="00EF4752"/>
    <w:rsid w:val="00EF486B"/>
    <w:rsid w:val="00EF50F1"/>
    <w:rsid w:val="00EF6304"/>
    <w:rsid w:val="00EF63D7"/>
    <w:rsid w:val="00EF6A23"/>
    <w:rsid w:val="00EF6FA4"/>
    <w:rsid w:val="00EF7178"/>
    <w:rsid w:val="00EF721D"/>
    <w:rsid w:val="00EF768F"/>
    <w:rsid w:val="00F0006E"/>
    <w:rsid w:val="00F0008A"/>
    <w:rsid w:val="00F0057F"/>
    <w:rsid w:val="00F009BE"/>
    <w:rsid w:val="00F00CA3"/>
    <w:rsid w:val="00F01206"/>
    <w:rsid w:val="00F019A9"/>
    <w:rsid w:val="00F01AC8"/>
    <w:rsid w:val="00F01AF3"/>
    <w:rsid w:val="00F02510"/>
    <w:rsid w:val="00F028A3"/>
    <w:rsid w:val="00F02CD9"/>
    <w:rsid w:val="00F02D9E"/>
    <w:rsid w:val="00F02E1B"/>
    <w:rsid w:val="00F03148"/>
    <w:rsid w:val="00F0324D"/>
    <w:rsid w:val="00F0380E"/>
    <w:rsid w:val="00F039EA"/>
    <w:rsid w:val="00F03A1F"/>
    <w:rsid w:val="00F04887"/>
    <w:rsid w:val="00F04DE2"/>
    <w:rsid w:val="00F0537B"/>
    <w:rsid w:val="00F053A5"/>
    <w:rsid w:val="00F05455"/>
    <w:rsid w:val="00F05507"/>
    <w:rsid w:val="00F0552E"/>
    <w:rsid w:val="00F05729"/>
    <w:rsid w:val="00F05849"/>
    <w:rsid w:val="00F0591D"/>
    <w:rsid w:val="00F05D5B"/>
    <w:rsid w:val="00F061ED"/>
    <w:rsid w:val="00F064DD"/>
    <w:rsid w:val="00F06D1D"/>
    <w:rsid w:val="00F0749F"/>
    <w:rsid w:val="00F07D9B"/>
    <w:rsid w:val="00F07F37"/>
    <w:rsid w:val="00F10034"/>
    <w:rsid w:val="00F105F1"/>
    <w:rsid w:val="00F10705"/>
    <w:rsid w:val="00F10734"/>
    <w:rsid w:val="00F10D27"/>
    <w:rsid w:val="00F10D71"/>
    <w:rsid w:val="00F11733"/>
    <w:rsid w:val="00F122DF"/>
    <w:rsid w:val="00F12B7D"/>
    <w:rsid w:val="00F12F10"/>
    <w:rsid w:val="00F12F98"/>
    <w:rsid w:val="00F13085"/>
    <w:rsid w:val="00F132A5"/>
    <w:rsid w:val="00F14DF9"/>
    <w:rsid w:val="00F14F0B"/>
    <w:rsid w:val="00F15DD1"/>
    <w:rsid w:val="00F1627E"/>
    <w:rsid w:val="00F16A4B"/>
    <w:rsid w:val="00F1741A"/>
    <w:rsid w:val="00F1743F"/>
    <w:rsid w:val="00F174D2"/>
    <w:rsid w:val="00F176F9"/>
    <w:rsid w:val="00F17ED8"/>
    <w:rsid w:val="00F20017"/>
    <w:rsid w:val="00F20102"/>
    <w:rsid w:val="00F218F5"/>
    <w:rsid w:val="00F2196A"/>
    <w:rsid w:val="00F2205A"/>
    <w:rsid w:val="00F2253B"/>
    <w:rsid w:val="00F2259C"/>
    <w:rsid w:val="00F230B5"/>
    <w:rsid w:val="00F2375C"/>
    <w:rsid w:val="00F23ACA"/>
    <w:rsid w:val="00F23E99"/>
    <w:rsid w:val="00F2409B"/>
    <w:rsid w:val="00F24691"/>
    <w:rsid w:val="00F246E8"/>
    <w:rsid w:val="00F25627"/>
    <w:rsid w:val="00F25726"/>
    <w:rsid w:val="00F25ABC"/>
    <w:rsid w:val="00F27191"/>
    <w:rsid w:val="00F272FD"/>
    <w:rsid w:val="00F27DD3"/>
    <w:rsid w:val="00F30136"/>
    <w:rsid w:val="00F30410"/>
    <w:rsid w:val="00F30A5A"/>
    <w:rsid w:val="00F30CE8"/>
    <w:rsid w:val="00F30EB4"/>
    <w:rsid w:val="00F30EFD"/>
    <w:rsid w:val="00F3110C"/>
    <w:rsid w:val="00F31358"/>
    <w:rsid w:val="00F31938"/>
    <w:rsid w:val="00F319AC"/>
    <w:rsid w:val="00F3238C"/>
    <w:rsid w:val="00F3243A"/>
    <w:rsid w:val="00F32470"/>
    <w:rsid w:val="00F32807"/>
    <w:rsid w:val="00F328C7"/>
    <w:rsid w:val="00F32A3C"/>
    <w:rsid w:val="00F334A2"/>
    <w:rsid w:val="00F33538"/>
    <w:rsid w:val="00F33AB5"/>
    <w:rsid w:val="00F33AEC"/>
    <w:rsid w:val="00F3407E"/>
    <w:rsid w:val="00F34187"/>
    <w:rsid w:val="00F3456C"/>
    <w:rsid w:val="00F34866"/>
    <w:rsid w:val="00F34E21"/>
    <w:rsid w:val="00F35289"/>
    <w:rsid w:val="00F35AFB"/>
    <w:rsid w:val="00F3643B"/>
    <w:rsid w:val="00F36694"/>
    <w:rsid w:val="00F366BA"/>
    <w:rsid w:val="00F36A52"/>
    <w:rsid w:val="00F37071"/>
    <w:rsid w:val="00F373C1"/>
    <w:rsid w:val="00F37593"/>
    <w:rsid w:val="00F37779"/>
    <w:rsid w:val="00F37794"/>
    <w:rsid w:val="00F37CB8"/>
    <w:rsid w:val="00F37D18"/>
    <w:rsid w:val="00F400E8"/>
    <w:rsid w:val="00F407F9"/>
    <w:rsid w:val="00F40DD2"/>
    <w:rsid w:val="00F411BC"/>
    <w:rsid w:val="00F41813"/>
    <w:rsid w:val="00F4188F"/>
    <w:rsid w:val="00F41F35"/>
    <w:rsid w:val="00F41FA7"/>
    <w:rsid w:val="00F4223F"/>
    <w:rsid w:val="00F42816"/>
    <w:rsid w:val="00F42C22"/>
    <w:rsid w:val="00F4327C"/>
    <w:rsid w:val="00F43346"/>
    <w:rsid w:val="00F4378D"/>
    <w:rsid w:val="00F44695"/>
    <w:rsid w:val="00F44C59"/>
    <w:rsid w:val="00F44DE4"/>
    <w:rsid w:val="00F45125"/>
    <w:rsid w:val="00F4516A"/>
    <w:rsid w:val="00F45425"/>
    <w:rsid w:val="00F45989"/>
    <w:rsid w:val="00F45AF8"/>
    <w:rsid w:val="00F45B1A"/>
    <w:rsid w:val="00F4747B"/>
    <w:rsid w:val="00F474F8"/>
    <w:rsid w:val="00F475CB"/>
    <w:rsid w:val="00F47635"/>
    <w:rsid w:val="00F47B52"/>
    <w:rsid w:val="00F47DC1"/>
    <w:rsid w:val="00F5000D"/>
    <w:rsid w:val="00F50010"/>
    <w:rsid w:val="00F500B9"/>
    <w:rsid w:val="00F5013A"/>
    <w:rsid w:val="00F505B7"/>
    <w:rsid w:val="00F5071C"/>
    <w:rsid w:val="00F51086"/>
    <w:rsid w:val="00F516DE"/>
    <w:rsid w:val="00F5182D"/>
    <w:rsid w:val="00F51AC4"/>
    <w:rsid w:val="00F51C68"/>
    <w:rsid w:val="00F51D42"/>
    <w:rsid w:val="00F51D5D"/>
    <w:rsid w:val="00F529C9"/>
    <w:rsid w:val="00F52A09"/>
    <w:rsid w:val="00F5392F"/>
    <w:rsid w:val="00F53987"/>
    <w:rsid w:val="00F53AC3"/>
    <w:rsid w:val="00F53AE8"/>
    <w:rsid w:val="00F53E46"/>
    <w:rsid w:val="00F54090"/>
    <w:rsid w:val="00F542AB"/>
    <w:rsid w:val="00F544B5"/>
    <w:rsid w:val="00F5483D"/>
    <w:rsid w:val="00F54D69"/>
    <w:rsid w:val="00F55069"/>
    <w:rsid w:val="00F550F3"/>
    <w:rsid w:val="00F55247"/>
    <w:rsid w:val="00F5526B"/>
    <w:rsid w:val="00F5552A"/>
    <w:rsid w:val="00F55C1A"/>
    <w:rsid w:val="00F55CD4"/>
    <w:rsid w:val="00F55F5A"/>
    <w:rsid w:val="00F5613A"/>
    <w:rsid w:val="00F5647A"/>
    <w:rsid w:val="00F56DF4"/>
    <w:rsid w:val="00F57F81"/>
    <w:rsid w:val="00F6041B"/>
    <w:rsid w:val="00F60C49"/>
    <w:rsid w:val="00F61128"/>
    <w:rsid w:val="00F61A8F"/>
    <w:rsid w:val="00F61A91"/>
    <w:rsid w:val="00F61F1B"/>
    <w:rsid w:val="00F626ED"/>
    <w:rsid w:val="00F6270C"/>
    <w:rsid w:val="00F63531"/>
    <w:rsid w:val="00F63701"/>
    <w:rsid w:val="00F63C0F"/>
    <w:rsid w:val="00F63D93"/>
    <w:rsid w:val="00F63DFE"/>
    <w:rsid w:val="00F63E04"/>
    <w:rsid w:val="00F64190"/>
    <w:rsid w:val="00F64237"/>
    <w:rsid w:val="00F643CB"/>
    <w:rsid w:val="00F64584"/>
    <w:rsid w:val="00F64B6B"/>
    <w:rsid w:val="00F64BFE"/>
    <w:rsid w:val="00F65102"/>
    <w:rsid w:val="00F6568C"/>
    <w:rsid w:val="00F657E8"/>
    <w:rsid w:val="00F6647B"/>
    <w:rsid w:val="00F66630"/>
    <w:rsid w:val="00F6676E"/>
    <w:rsid w:val="00F66A6C"/>
    <w:rsid w:val="00F66CA1"/>
    <w:rsid w:val="00F66CB5"/>
    <w:rsid w:val="00F671C7"/>
    <w:rsid w:val="00F67202"/>
    <w:rsid w:val="00F67AFF"/>
    <w:rsid w:val="00F70BC7"/>
    <w:rsid w:val="00F70D79"/>
    <w:rsid w:val="00F70E0F"/>
    <w:rsid w:val="00F70E1F"/>
    <w:rsid w:val="00F70E22"/>
    <w:rsid w:val="00F70EAC"/>
    <w:rsid w:val="00F71403"/>
    <w:rsid w:val="00F717B3"/>
    <w:rsid w:val="00F71C48"/>
    <w:rsid w:val="00F723C2"/>
    <w:rsid w:val="00F72853"/>
    <w:rsid w:val="00F72975"/>
    <w:rsid w:val="00F72B22"/>
    <w:rsid w:val="00F72BCA"/>
    <w:rsid w:val="00F73358"/>
    <w:rsid w:val="00F733EF"/>
    <w:rsid w:val="00F7394E"/>
    <w:rsid w:val="00F73952"/>
    <w:rsid w:val="00F7395D"/>
    <w:rsid w:val="00F73AF2"/>
    <w:rsid w:val="00F7461A"/>
    <w:rsid w:val="00F748A1"/>
    <w:rsid w:val="00F74994"/>
    <w:rsid w:val="00F749C1"/>
    <w:rsid w:val="00F750F6"/>
    <w:rsid w:val="00F763ED"/>
    <w:rsid w:val="00F76AE0"/>
    <w:rsid w:val="00F7752A"/>
    <w:rsid w:val="00F80283"/>
    <w:rsid w:val="00F803EC"/>
    <w:rsid w:val="00F8054D"/>
    <w:rsid w:val="00F80832"/>
    <w:rsid w:val="00F80AB0"/>
    <w:rsid w:val="00F81DC8"/>
    <w:rsid w:val="00F824E7"/>
    <w:rsid w:val="00F82840"/>
    <w:rsid w:val="00F83031"/>
    <w:rsid w:val="00F83E04"/>
    <w:rsid w:val="00F83E31"/>
    <w:rsid w:val="00F848D2"/>
    <w:rsid w:val="00F84AA0"/>
    <w:rsid w:val="00F84DE7"/>
    <w:rsid w:val="00F8526C"/>
    <w:rsid w:val="00F85423"/>
    <w:rsid w:val="00F8543E"/>
    <w:rsid w:val="00F858AB"/>
    <w:rsid w:val="00F86004"/>
    <w:rsid w:val="00F86ADE"/>
    <w:rsid w:val="00F86C82"/>
    <w:rsid w:val="00F876AF"/>
    <w:rsid w:val="00F879C9"/>
    <w:rsid w:val="00F87C61"/>
    <w:rsid w:val="00F90051"/>
    <w:rsid w:val="00F9040B"/>
    <w:rsid w:val="00F90EA4"/>
    <w:rsid w:val="00F9121D"/>
    <w:rsid w:val="00F91774"/>
    <w:rsid w:val="00F9198E"/>
    <w:rsid w:val="00F91E47"/>
    <w:rsid w:val="00F921DF"/>
    <w:rsid w:val="00F92669"/>
    <w:rsid w:val="00F9288E"/>
    <w:rsid w:val="00F92BC6"/>
    <w:rsid w:val="00F92BDC"/>
    <w:rsid w:val="00F9352A"/>
    <w:rsid w:val="00F943A6"/>
    <w:rsid w:val="00F94676"/>
    <w:rsid w:val="00F94A80"/>
    <w:rsid w:val="00F94C1B"/>
    <w:rsid w:val="00F94D4A"/>
    <w:rsid w:val="00F94DCD"/>
    <w:rsid w:val="00F94EEA"/>
    <w:rsid w:val="00F94FF4"/>
    <w:rsid w:val="00F9500D"/>
    <w:rsid w:val="00F955EC"/>
    <w:rsid w:val="00F95843"/>
    <w:rsid w:val="00F958CB"/>
    <w:rsid w:val="00F95B20"/>
    <w:rsid w:val="00F95E7E"/>
    <w:rsid w:val="00F968C3"/>
    <w:rsid w:val="00F97231"/>
    <w:rsid w:val="00FA184D"/>
    <w:rsid w:val="00FA1899"/>
    <w:rsid w:val="00FA1BBE"/>
    <w:rsid w:val="00FA285D"/>
    <w:rsid w:val="00FA29FD"/>
    <w:rsid w:val="00FA2AF4"/>
    <w:rsid w:val="00FA2BF3"/>
    <w:rsid w:val="00FA2D2E"/>
    <w:rsid w:val="00FA311F"/>
    <w:rsid w:val="00FA3461"/>
    <w:rsid w:val="00FA3867"/>
    <w:rsid w:val="00FA4231"/>
    <w:rsid w:val="00FA4321"/>
    <w:rsid w:val="00FA44CA"/>
    <w:rsid w:val="00FA4B70"/>
    <w:rsid w:val="00FA4C67"/>
    <w:rsid w:val="00FA4F16"/>
    <w:rsid w:val="00FA54D8"/>
    <w:rsid w:val="00FA568F"/>
    <w:rsid w:val="00FA5B6B"/>
    <w:rsid w:val="00FA64AF"/>
    <w:rsid w:val="00FA73DD"/>
    <w:rsid w:val="00FA769F"/>
    <w:rsid w:val="00FA7D5C"/>
    <w:rsid w:val="00FB0630"/>
    <w:rsid w:val="00FB0674"/>
    <w:rsid w:val="00FB06EC"/>
    <w:rsid w:val="00FB0B41"/>
    <w:rsid w:val="00FB0E71"/>
    <w:rsid w:val="00FB2301"/>
    <w:rsid w:val="00FB24F6"/>
    <w:rsid w:val="00FB2EBF"/>
    <w:rsid w:val="00FB3B75"/>
    <w:rsid w:val="00FB490B"/>
    <w:rsid w:val="00FB568E"/>
    <w:rsid w:val="00FB568F"/>
    <w:rsid w:val="00FB5B3E"/>
    <w:rsid w:val="00FB5BBD"/>
    <w:rsid w:val="00FB6238"/>
    <w:rsid w:val="00FB69C5"/>
    <w:rsid w:val="00FB6A56"/>
    <w:rsid w:val="00FB6E28"/>
    <w:rsid w:val="00FB7186"/>
    <w:rsid w:val="00FB7240"/>
    <w:rsid w:val="00FB7363"/>
    <w:rsid w:val="00FB74F9"/>
    <w:rsid w:val="00FB7E74"/>
    <w:rsid w:val="00FC024D"/>
    <w:rsid w:val="00FC029A"/>
    <w:rsid w:val="00FC08D0"/>
    <w:rsid w:val="00FC0DFE"/>
    <w:rsid w:val="00FC15BD"/>
    <w:rsid w:val="00FC1729"/>
    <w:rsid w:val="00FC2C84"/>
    <w:rsid w:val="00FC300C"/>
    <w:rsid w:val="00FC3105"/>
    <w:rsid w:val="00FC32FE"/>
    <w:rsid w:val="00FC34BE"/>
    <w:rsid w:val="00FC3C8F"/>
    <w:rsid w:val="00FC44E0"/>
    <w:rsid w:val="00FC47FF"/>
    <w:rsid w:val="00FC4850"/>
    <w:rsid w:val="00FC597A"/>
    <w:rsid w:val="00FC5D54"/>
    <w:rsid w:val="00FC5E00"/>
    <w:rsid w:val="00FC60D1"/>
    <w:rsid w:val="00FC645E"/>
    <w:rsid w:val="00FC6E78"/>
    <w:rsid w:val="00FC775C"/>
    <w:rsid w:val="00FC78B4"/>
    <w:rsid w:val="00FC7CDB"/>
    <w:rsid w:val="00FD08A1"/>
    <w:rsid w:val="00FD12CE"/>
    <w:rsid w:val="00FD13D5"/>
    <w:rsid w:val="00FD13DB"/>
    <w:rsid w:val="00FD192C"/>
    <w:rsid w:val="00FD1961"/>
    <w:rsid w:val="00FD1B87"/>
    <w:rsid w:val="00FD2473"/>
    <w:rsid w:val="00FD2A9A"/>
    <w:rsid w:val="00FD2C45"/>
    <w:rsid w:val="00FD3D5E"/>
    <w:rsid w:val="00FD4221"/>
    <w:rsid w:val="00FD550E"/>
    <w:rsid w:val="00FD598B"/>
    <w:rsid w:val="00FD5B5E"/>
    <w:rsid w:val="00FD5CD6"/>
    <w:rsid w:val="00FD5FCC"/>
    <w:rsid w:val="00FD6C03"/>
    <w:rsid w:val="00FD6D9F"/>
    <w:rsid w:val="00FD7308"/>
    <w:rsid w:val="00FD794C"/>
    <w:rsid w:val="00FD79B9"/>
    <w:rsid w:val="00FD7A05"/>
    <w:rsid w:val="00FD7D1D"/>
    <w:rsid w:val="00FD7E3B"/>
    <w:rsid w:val="00FD7F39"/>
    <w:rsid w:val="00FE00F9"/>
    <w:rsid w:val="00FE0115"/>
    <w:rsid w:val="00FE0602"/>
    <w:rsid w:val="00FE0668"/>
    <w:rsid w:val="00FE07F7"/>
    <w:rsid w:val="00FE0C10"/>
    <w:rsid w:val="00FE0F8B"/>
    <w:rsid w:val="00FE13CA"/>
    <w:rsid w:val="00FE18FC"/>
    <w:rsid w:val="00FE1E10"/>
    <w:rsid w:val="00FE2042"/>
    <w:rsid w:val="00FE261E"/>
    <w:rsid w:val="00FE3755"/>
    <w:rsid w:val="00FE3835"/>
    <w:rsid w:val="00FE3955"/>
    <w:rsid w:val="00FE3A72"/>
    <w:rsid w:val="00FE3D12"/>
    <w:rsid w:val="00FE3D58"/>
    <w:rsid w:val="00FE46B1"/>
    <w:rsid w:val="00FE4CCB"/>
    <w:rsid w:val="00FE61F2"/>
    <w:rsid w:val="00FE6C00"/>
    <w:rsid w:val="00FE6D64"/>
    <w:rsid w:val="00FE72BB"/>
    <w:rsid w:val="00FE7569"/>
    <w:rsid w:val="00FE7960"/>
    <w:rsid w:val="00FE7A13"/>
    <w:rsid w:val="00FE7BEA"/>
    <w:rsid w:val="00FE7C51"/>
    <w:rsid w:val="00FE7D29"/>
    <w:rsid w:val="00FE7E12"/>
    <w:rsid w:val="00FF074D"/>
    <w:rsid w:val="00FF0914"/>
    <w:rsid w:val="00FF0A09"/>
    <w:rsid w:val="00FF0B9B"/>
    <w:rsid w:val="00FF0EFA"/>
    <w:rsid w:val="00FF14E2"/>
    <w:rsid w:val="00FF1683"/>
    <w:rsid w:val="00FF196B"/>
    <w:rsid w:val="00FF27C2"/>
    <w:rsid w:val="00FF29BF"/>
    <w:rsid w:val="00FF2CC1"/>
    <w:rsid w:val="00FF2CFA"/>
    <w:rsid w:val="00FF2E0E"/>
    <w:rsid w:val="00FF3BAB"/>
    <w:rsid w:val="00FF4056"/>
    <w:rsid w:val="00FF4066"/>
    <w:rsid w:val="00FF4409"/>
    <w:rsid w:val="00FF514F"/>
    <w:rsid w:val="00FF53F6"/>
    <w:rsid w:val="00FF60F1"/>
    <w:rsid w:val="00FF61E8"/>
    <w:rsid w:val="00FF61EB"/>
    <w:rsid w:val="00FF640F"/>
    <w:rsid w:val="00FF6FAF"/>
    <w:rsid w:val="00FF6FEB"/>
    <w:rsid w:val="00FF76E0"/>
    <w:rsid w:val="00FF7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qFormat="1"/>
    <w:lsdException w:name="List 2" w:uiPriority="99"/>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F48DB"/>
    <w:rPr>
      <w:sz w:val="26"/>
      <w:szCs w:val="26"/>
    </w:rPr>
  </w:style>
  <w:style w:type="paragraph" w:styleId="1">
    <w:name w:val="heading 1"/>
    <w:basedOn w:val="a0"/>
    <w:next w:val="a0"/>
    <w:link w:val="10"/>
    <w:qFormat/>
    <w:rsid w:val="00EF7178"/>
    <w:pPr>
      <w:keepNext/>
      <w:outlineLvl w:val="0"/>
    </w:pPr>
    <w:rPr>
      <w:b/>
      <w:bCs/>
      <w:sz w:val="24"/>
      <w:szCs w:val="24"/>
    </w:rPr>
  </w:style>
  <w:style w:type="paragraph" w:styleId="2">
    <w:name w:val="heading 2"/>
    <w:basedOn w:val="a0"/>
    <w:next w:val="a0"/>
    <w:link w:val="20"/>
    <w:qFormat/>
    <w:rsid w:val="00EF7178"/>
    <w:pPr>
      <w:keepNext/>
      <w:jc w:val="both"/>
      <w:outlineLvl w:val="1"/>
    </w:pPr>
    <w:rPr>
      <w:sz w:val="24"/>
      <w:szCs w:val="24"/>
    </w:rPr>
  </w:style>
  <w:style w:type="paragraph" w:styleId="3">
    <w:name w:val="heading 3"/>
    <w:basedOn w:val="a0"/>
    <w:next w:val="a0"/>
    <w:link w:val="30"/>
    <w:qFormat/>
    <w:rsid w:val="00EF7178"/>
    <w:pPr>
      <w:keepNext/>
      <w:spacing w:before="120"/>
      <w:jc w:val="both"/>
      <w:outlineLvl w:val="2"/>
    </w:pPr>
    <w:rPr>
      <w:b/>
      <w:bCs/>
      <w:sz w:val="24"/>
      <w:szCs w:val="24"/>
    </w:rPr>
  </w:style>
  <w:style w:type="paragraph" w:styleId="4">
    <w:name w:val="heading 4"/>
    <w:basedOn w:val="a0"/>
    <w:next w:val="a0"/>
    <w:link w:val="40"/>
    <w:qFormat/>
    <w:rsid w:val="00EF7178"/>
    <w:pPr>
      <w:keepNext/>
      <w:spacing w:before="120"/>
      <w:ind w:firstLine="708"/>
      <w:jc w:val="both"/>
      <w:outlineLvl w:val="3"/>
    </w:pPr>
    <w:rPr>
      <w:sz w:val="24"/>
      <w:szCs w:val="24"/>
    </w:rPr>
  </w:style>
  <w:style w:type="paragraph" w:styleId="5">
    <w:name w:val="heading 5"/>
    <w:basedOn w:val="a0"/>
    <w:next w:val="a0"/>
    <w:link w:val="50"/>
    <w:qFormat/>
    <w:rsid w:val="00ED29CA"/>
    <w:pPr>
      <w:spacing w:before="240" w:after="60"/>
      <w:outlineLvl w:val="4"/>
    </w:pPr>
    <w:rPr>
      <w:b/>
      <w:bCs/>
      <w:i/>
      <w:iCs/>
    </w:rPr>
  </w:style>
  <w:style w:type="paragraph" w:styleId="6">
    <w:name w:val="heading 6"/>
    <w:basedOn w:val="a0"/>
    <w:next w:val="a0"/>
    <w:link w:val="60"/>
    <w:qFormat/>
    <w:rsid w:val="00ED29CA"/>
    <w:pPr>
      <w:spacing w:before="240" w:after="60"/>
      <w:outlineLvl w:val="5"/>
    </w:pPr>
    <w:rPr>
      <w:b/>
      <w:bCs/>
      <w:sz w:val="22"/>
      <w:szCs w:val="22"/>
    </w:rPr>
  </w:style>
  <w:style w:type="paragraph" w:styleId="7">
    <w:name w:val="heading 7"/>
    <w:basedOn w:val="a0"/>
    <w:next w:val="a0"/>
    <w:link w:val="70"/>
    <w:qFormat/>
    <w:rsid w:val="00ED29CA"/>
    <w:pPr>
      <w:spacing w:before="240" w:after="60"/>
      <w:outlineLvl w:val="6"/>
    </w:pPr>
    <w:rPr>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F29F7"/>
    <w:rPr>
      <w:b/>
      <w:bCs/>
      <w:sz w:val="24"/>
      <w:szCs w:val="24"/>
    </w:rPr>
  </w:style>
  <w:style w:type="character" w:customStyle="1" w:styleId="20">
    <w:name w:val="Заголовок 2 Знак"/>
    <w:basedOn w:val="a1"/>
    <w:link w:val="2"/>
    <w:rsid w:val="00C64248"/>
    <w:rPr>
      <w:sz w:val="24"/>
      <w:szCs w:val="24"/>
    </w:rPr>
  </w:style>
  <w:style w:type="character" w:customStyle="1" w:styleId="30">
    <w:name w:val="Заголовок 3 Знак"/>
    <w:basedOn w:val="a1"/>
    <w:link w:val="3"/>
    <w:rsid w:val="006A5323"/>
    <w:rPr>
      <w:b/>
      <w:bCs/>
      <w:sz w:val="24"/>
      <w:szCs w:val="24"/>
    </w:rPr>
  </w:style>
  <w:style w:type="paragraph" w:styleId="a4">
    <w:name w:val="footer"/>
    <w:basedOn w:val="a0"/>
    <w:link w:val="a5"/>
    <w:rsid w:val="00387453"/>
    <w:pPr>
      <w:tabs>
        <w:tab w:val="center" w:pos="4677"/>
        <w:tab w:val="right" w:pos="9355"/>
      </w:tabs>
    </w:pPr>
  </w:style>
  <w:style w:type="character" w:styleId="a6">
    <w:name w:val="page number"/>
    <w:basedOn w:val="a1"/>
    <w:rsid w:val="00387453"/>
  </w:style>
  <w:style w:type="paragraph" w:styleId="a7">
    <w:name w:val="header"/>
    <w:aliases w:val="ВерхКолонтитул Знак,Верхний колонтитул Знак Знак,ВерхКолонтитул"/>
    <w:basedOn w:val="a0"/>
    <w:link w:val="a8"/>
    <w:rsid w:val="00387453"/>
    <w:pPr>
      <w:tabs>
        <w:tab w:val="center" w:pos="4677"/>
        <w:tab w:val="right" w:pos="9355"/>
      </w:tabs>
    </w:pPr>
  </w:style>
  <w:style w:type="character" w:customStyle="1" w:styleId="a8">
    <w:name w:val="Верхний колонтитул Знак"/>
    <w:aliases w:val="ВерхКолонтитул Знак Знак,Верхний колонтитул Знак Знак Знак,ВерхКолонтитул Знак1"/>
    <w:basedOn w:val="a1"/>
    <w:link w:val="a7"/>
    <w:rsid w:val="00490A50"/>
    <w:rPr>
      <w:sz w:val="26"/>
      <w:szCs w:val="26"/>
    </w:rPr>
  </w:style>
  <w:style w:type="table" w:styleId="a9">
    <w:name w:val="Table Grid"/>
    <w:basedOn w:val="a2"/>
    <w:uiPriority w:val="59"/>
    <w:rsid w:val="00166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ED3778"/>
    <w:pPr>
      <w:widowControl w:val="0"/>
      <w:autoSpaceDE w:val="0"/>
      <w:autoSpaceDN w:val="0"/>
      <w:adjustRightInd w:val="0"/>
    </w:pPr>
    <w:rPr>
      <w:rFonts w:ascii="Arial" w:hAnsi="Arial" w:cs="Arial"/>
      <w:b/>
      <w:bCs/>
      <w:sz w:val="16"/>
      <w:szCs w:val="16"/>
    </w:rPr>
  </w:style>
  <w:style w:type="character" w:styleId="aa">
    <w:name w:val="Hyperlink"/>
    <w:basedOn w:val="a1"/>
    <w:uiPriority w:val="99"/>
    <w:rsid w:val="00B670BF"/>
    <w:rPr>
      <w:color w:val="0000FF"/>
      <w:u w:val="single"/>
    </w:rPr>
  </w:style>
  <w:style w:type="paragraph" w:customStyle="1" w:styleId="12pt0">
    <w:name w:val="Стиль 12 pt полужирный по центру Междустр.интервал:  множитель 0..."/>
    <w:basedOn w:val="a0"/>
    <w:rsid w:val="00F65102"/>
    <w:pPr>
      <w:spacing w:line="192" w:lineRule="auto"/>
      <w:jc w:val="center"/>
    </w:pPr>
    <w:rPr>
      <w:b/>
      <w:bCs/>
      <w:sz w:val="24"/>
      <w:szCs w:val="20"/>
    </w:rPr>
  </w:style>
  <w:style w:type="paragraph" w:styleId="ab">
    <w:name w:val="Body Text"/>
    <w:basedOn w:val="a0"/>
    <w:link w:val="ac"/>
    <w:rsid w:val="00EF7178"/>
    <w:pPr>
      <w:spacing w:after="120"/>
      <w:jc w:val="both"/>
    </w:pPr>
    <w:rPr>
      <w:sz w:val="24"/>
      <w:szCs w:val="24"/>
    </w:rPr>
  </w:style>
  <w:style w:type="paragraph" w:styleId="ad">
    <w:name w:val="Body Text Indent"/>
    <w:basedOn w:val="a0"/>
    <w:link w:val="ae"/>
    <w:rsid w:val="00EF7178"/>
    <w:pPr>
      <w:spacing w:before="120"/>
      <w:ind w:firstLine="709"/>
      <w:jc w:val="both"/>
    </w:pPr>
    <w:rPr>
      <w:sz w:val="24"/>
      <w:szCs w:val="24"/>
    </w:rPr>
  </w:style>
  <w:style w:type="paragraph" w:styleId="21">
    <w:name w:val="Body Text Indent 2"/>
    <w:basedOn w:val="a0"/>
    <w:link w:val="22"/>
    <w:rsid w:val="00EF7178"/>
    <w:pPr>
      <w:spacing w:before="120"/>
      <w:ind w:firstLine="708"/>
      <w:jc w:val="both"/>
    </w:pPr>
    <w:rPr>
      <w:sz w:val="24"/>
      <w:szCs w:val="24"/>
    </w:rPr>
  </w:style>
  <w:style w:type="paragraph" w:styleId="31">
    <w:name w:val="Body Text Indent 3"/>
    <w:basedOn w:val="a0"/>
    <w:link w:val="32"/>
    <w:rsid w:val="00EF7178"/>
    <w:pPr>
      <w:spacing w:before="120" w:after="120"/>
      <w:ind w:firstLine="708"/>
    </w:pPr>
    <w:rPr>
      <w:sz w:val="24"/>
      <w:szCs w:val="24"/>
    </w:rPr>
  </w:style>
  <w:style w:type="paragraph" w:styleId="af">
    <w:name w:val="caption"/>
    <w:basedOn w:val="a0"/>
    <w:next w:val="a0"/>
    <w:qFormat/>
    <w:rsid w:val="00ED29CA"/>
    <w:pPr>
      <w:spacing w:before="120" w:after="120"/>
      <w:ind w:firstLine="708"/>
      <w:jc w:val="both"/>
    </w:pPr>
    <w:rPr>
      <w:b/>
      <w:bCs/>
      <w:i/>
      <w:iCs/>
      <w:sz w:val="24"/>
      <w:szCs w:val="24"/>
    </w:rPr>
  </w:style>
  <w:style w:type="paragraph" w:styleId="33">
    <w:name w:val="Body Text 3"/>
    <w:basedOn w:val="a0"/>
    <w:link w:val="34"/>
    <w:rsid w:val="00181DA7"/>
    <w:pPr>
      <w:spacing w:after="120"/>
    </w:pPr>
    <w:rPr>
      <w:sz w:val="16"/>
      <w:szCs w:val="16"/>
    </w:rPr>
  </w:style>
  <w:style w:type="paragraph" w:customStyle="1" w:styleId="210">
    <w:name w:val="Îñíîâíîé òåêñò 21"/>
    <w:basedOn w:val="a0"/>
    <w:rsid w:val="00181DA7"/>
    <w:pPr>
      <w:jc w:val="both"/>
    </w:pPr>
    <w:rPr>
      <w:sz w:val="24"/>
      <w:szCs w:val="20"/>
    </w:rPr>
  </w:style>
  <w:style w:type="paragraph" w:styleId="af0">
    <w:name w:val="Normal (Web)"/>
    <w:basedOn w:val="a0"/>
    <w:link w:val="af1"/>
    <w:uiPriority w:val="99"/>
    <w:rsid w:val="00066ECD"/>
    <w:pPr>
      <w:spacing w:before="100" w:beforeAutospacing="1" w:after="100" w:afterAutospacing="1"/>
    </w:pPr>
    <w:rPr>
      <w:color w:val="000000"/>
      <w:sz w:val="24"/>
      <w:szCs w:val="24"/>
    </w:rPr>
  </w:style>
  <w:style w:type="character" w:styleId="af2">
    <w:name w:val="Strong"/>
    <w:basedOn w:val="a1"/>
    <w:uiPriority w:val="22"/>
    <w:qFormat/>
    <w:rsid w:val="00066ECD"/>
    <w:rPr>
      <w:b/>
      <w:bCs/>
    </w:rPr>
  </w:style>
  <w:style w:type="paragraph" w:customStyle="1" w:styleId="ConsNormal">
    <w:name w:val="ConsNormal"/>
    <w:rsid w:val="009E3207"/>
    <w:pPr>
      <w:widowControl w:val="0"/>
      <w:autoSpaceDE w:val="0"/>
      <w:autoSpaceDN w:val="0"/>
      <w:adjustRightInd w:val="0"/>
      <w:ind w:firstLine="720"/>
    </w:pPr>
    <w:rPr>
      <w:rFonts w:ascii="Arial" w:hAnsi="Arial" w:cs="Arial"/>
    </w:rPr>
  </w:style>
  <w:style w:type="paragraph" w:styleId="af3">
    <w:name w:val="Balloon Text"/>
    <w:basedOn w:val="a0"/>
    <w:link w:val="af4"/>
    <w:semiHidden/>
    <w:rsid w:val="00662947"/>
    <w:rPr>
      <w:rFonts w:ascii="Tahoma" w:hAnsi="Tahoma" w:cs="Tahoma"/>
      <w:sz w:val="16"/>
      <w:szCs w:val="16"/>
    </w:rPr>
  </w:style>
  <w:style w:type="paragraph" w:styleId="11">
    <w:name w:val="toc 1"/>
    <w:basedOn w:val="a0"/>
    <w:next w:val="a0"/>
    <w:autoRedefine/>
    <w:uiPriority w:val="39"/>
    <w:rsid w:val="003B79F1"/>
    <w:pPr>
      <w:tabs>
        <w:tab w:val="right" w:leader="dot" w:pos="10490"/>
      </w:tabs>
      <w:spacing w:beforeLines="60" w:before="144" w:afterLines="60" w:after="144"/>
    </w:pPr>
    <w:rPr>
      <w:rFonts w:ascii="Bookman Old Style" w:hAnsi="Bookman Old Style"/>
      <w:noProof/>
      <w:sz w:val="20"/>
      <w:szCs w:val="20"/>
    </w:rPr>
  </w:style>
  <w:style w:type="paragraph" w:styleId="35">
    <w:name w:val="toc 3"/>
    <w:basedOn w:val="a0"/>
    <w:next w:val="a0"/>
    <w:autoRedefine/>
    <w:uiPriority w:val="39"/>
    <w:rsid w:val="007A27FB"/>
    <w:pPr>
      <w:tabs>
        <w:tab w:val="right" w:leader="dot" w:pos="10206"/>
      </w:tabs>
      <w:spacing w:before="80" w:after="80"/>
    </w:pPr>
  </w:style>
  <w:style w:type="paragraph" w:styleId="23">
    <w:name w:val="List 2"/>
    <w:basedOn w:val="a0"/>
    <w:uiPriority w:val="99"/>
    <w:rsid w:val="008D6F23"/>
    <w:pPr>
      <w:ind w:left="566" w:hanging="283"/>
    </w:pPr>
  </w:style>
  <w:style w:type="paragraph" w:styleId="36">
    <w:name w:val="List 3"/>
    <w:basedOn w:val="a0"/>
    <w:rsid w:val="008D6F23"/>
    <w:pPr>
      <w:ind w:left="849" w:hanging="283"/>
    </w:pPr>
  </w:style>
  <w:style w:type="paragraph" w:styleId="af5">
    <w:name w:val="List Bullet"/>
    <w:basedOn w:val="a0"/>
    <w:rsid w:val="008D6F23"/>
    <w:pPr>
      <w:tabs>
        <w:tab w:val="num" w:pos="360"/>
      </w:tabs>
      <w:ind w:left="360" w:hanging="360"/>
    </w:pPr>
  </w:style>
  <w:style w:type="paragraph" w:styleId="24">
    <w:name w:val="List Bullet 2"/>
    <w:basedOn w:val="a0"/>
    <w:rsid w:val="008D6F23"/>
    <w:pPr>
      <w:tabs>
        <w:tab w:val="num" w:pos="643"/>
      </w:tabs>
      <w:ind w:left="643" w:hanging="360"/>
    </w:pPr>
  </w:style>
  <w:style w:type="paragraph" w:styleId="25">
    <w:name w:val="List Continue 2"/>
    <w:basedOn w:val="a0"/>
    <w:rsid w:val="008D6F23"/>
    <w:pPr>
      <w:spacing w:after="120"/>
      <w:ind w:left="566"/>
    </w:pPr>
  </w:style>
  <w:style w:type="paragraph" w:styleId="af6">
    <w:name w:val="Title"/>
    <w:basedOn w:val="a0"/>
    <w:link w:val="af7"/>
    <w:qFormat/>
    <w:rsid w:val="008D6F23"/>
    <w:pPr>
      <w:spacing w:before="240" w:after="60"/>
      <w:jc w:val="center"/>
      <w:outlineLvl w:val="0"/>
    </w:pPr>
    <w:rPr>
      <w:rFonts w:ascii="Arial" w:hAnsi="Arial" w:cs="Arial"/>
      <w:b/>
      <w:bCs/>
      <w:kern w:val="28"/>
      <w:sz w:val="32"/>
      <w:szCs w:val="32"/>
    </w:rPr>
  </w:style>
  <w:style w:type="paragraph" w:styleId="af8">
    <w:name w:val="Subtitle"/>
    <w:basedOn w:val="a0"/>
    <w:link w:val="af9"/>
    <w:uiPriority w:val="11"/>
    <w:qFormat/>
    <w:rsid w:val="008D6F23"/>
    <w:pPr>
      <w:spacing w:after="60"/>
      <w:jc w:val="center"/>
      <w:outlineLvl w:val="1"/>
    </w:pPr>
    <w:rPr>
      <w:rFonts w:ascii="Arial" w:hAnsi="Arial" w:cs="Arial"/>
      <w:sz w:val="24"/>
      <w:szCs w:val="24"/>
    </w:rPr>
  </w:style>
  <w:style w:type="paragraph" w:styleId="afa">
    <w:name w:val="Body Text First Indent"/>
    <w:basedOn w:val="ab"/>
    <w:link w:val="afb"/>
    <w:rsid w:val="008D6F23"/>
    <w:pPr>
      <w:ind w:firstLine="210"/>
      <w:jc w:val="left"/>
    </w:pPr>
    <w:rPr>
      <w:sz w:val="26"/>
      <w:szCs w:val="26"/>
    </w:rPr>
  </w:style>
  <w:style w:type="paragraph" w:styleId="26">
    <w:name w:val="Body Text First Indent 2"/>
    <w:basedOn w:val="ad"/>
    <w:link w:val="27"/>
    <w:rsid w:val="008D6F23"/>
    <w:pPr>
      <w:spacing w:before="0" w:after="120"/>
      <w:ind w:left="283" w:firstLine="210"/>
      <w:jc w:val="left"/>
    </w:pPr>
    <w:rPr>
      <w:sz w:val="26"/>
      <w:szCs w:val="26"/>
    </w:rPr>
  </w:style>
  <w:style w:type="paragraph" w:customStyle="1" w:styleId="ConsCell">
    <w:name w:val="ConsCell"/>
    <w:rsid w:val="00762B9B"/>
    <w:pPr>
      <w:widowControl w:val="0"/>
      <w:autoSpaceDE w:val="0"/>
      <w:autoSpaceDN w:val="0"/>
      <w:adjustRightInd w:val="0"/>
    </w:pPr>
    <w:rPr>
      <w:rFonts w:ascii="Arial" w:hAnsi="Arial" w:cs="Arial"/>
    </w:rPr>
  </w:style>
  <w:style w:type="paragraph" w:styleId="afc">
    <w:name w:val="Document Map"/>
    <w:basedOn w:val="a0"/>
    <w:link w:val="afd"/>
    <w:semiHidden/>
    <w:rsid w:val="00435F37"/>
    <w:pPr>
      <w:shd w:val="clear" w:color="auto" w:fill="000080"/>
    </w:pPr>
    <w:rPr>
      <w:rFonts w:ascii="Tahoma" w:hAnsi="Tahoma" w:cs="Tahoma"/>
      <w:sz w:val="20"/>
      <w:szCs w:val="20"/>
    </w:rPr>
  </w:style>
  <w:style w:type="paragraph" w:styleId="28">
    <w:name w:val="toc 2"/>
    <w:basedOn w:val="a0"/>
    <w:next w:val="a0"/>
    <w:autoRedefine/>
    <w:uiPriority w:val="39"/>
    <w:rsid w:val="001434FD"/>
    <w:pPr>
      <w:tabs>
        <w:tab w:val="right" w:leader="dot" w:pos="10479"/>
      </w:tabs>
      <w:spacing w:before="120" w:after="120"/>
      <w:ind w:left="261"/>
    </w:pPr>
    <w:rPr>
      <w:rFonts w:ascii="Bookman Old Style" w:hAnsi="Bookman Old Style"/>
      <w:noProof/>
      <w:sz w:val="20"/>
      <w:szCs w:val="20"/>
    </w:rPr>
  </w:style>
  <w:style w:type="paragraph" w:customStyle="1" w:styleId="ConsNonformat">
    <w:name w:val="ConsNonformat"/>
    <w:rsid w:val="0089586A"/>
    <w:pPr>
      <w:widowControl w:val="0"/>
      <w:autoSpaceDE w:val="0"/>
      <w:autoSpaceDN w:val="0"/>
      <w:adjustRightInd w:val="0"/>
    </w:pPr>
    <w:rPr>
      <w:rFonts w:ascii="Courier New" w:hAnsi="Courier New" w:cs="Courier New"/>
    </w:rPr>
  </w:style>
  <w:style w:type="paragraph" w:styleId="afe">
    <w:name w:val="footnote text"/>
    <w:aliases w:val="Текст сноски Знак Знак,Текст сноски Знак1 Знак,Текст сноски Знак Знак1 Знак,Table_Footnote_last,Текст сноски Знак Знак Знак Знак Знак Знак Знак,Текст сноски Знак Знак Знак Знак Знак Знак Знак Знак,Текст примечания Знак Знак Знак,Зна,Знак1,З"/>
    <w:basedOn w:val="a0"/>
    <w:link w:val="aff"/>
    <w:uiPriority w:val="99"/>
    <w:rsid w:val="003408B0"/>
    <w:rPr>
      <w:sz w:val="20"/>
      <w:szCs w:val="20"/>
    </w:rPr>
  </w:style>
  <w:style w:type="character" w:customStyle="1" w:styleId="aff">
    <w:name w:val="Текст сноски Знак"/>
    <w:aliases w:val="Текст сноски Знак Знак Знак,Текст сноски Знак1 Знак Знак,Текст сноски Знак Знак1 Знак Знак,Table_Footnote_last Знак,Текст сноски Знак Знак Знак Знак Знак Знак Знак Знак1,Текст сноски Знак Знак Знак Знак Знак Знак Знак Знак Знак,З Знак"/>
    <w:basedOn w:val="a1"/>
    <w:link w:val="afe"/>
    <w:uiPriority w:val="99"/>
    <w:rsid w:val="00EB07A6"/>
  </w:style>
  <w:style w:type="character" w:styleId="aff0">
    <w:name w:val="footnote reference"/>
    <w:aliases w:val="Знак сноски 1,Знак сноски-FN,ftref,сноска,вески,Ciae niinee-FN,Referencia nota al pie,СНОСКА,сноска1,fr,Used by Word for Help footnote symbols,ХИА_ЗС,Знак сноски1,SUPERS,Avg - Знак сноски,Avg,ООО Знак сноски,avg-Знак сноски"/>
    <w:basedOn w:val="a1"/>
    <w:qFormat/>
    <w:rsid w:val="003408B0"/>
    <w:rPr>
      <w:vertAlign w:val="superscript"/>
    </w:rPr>
  </w:style>
  <w:style w:type="paragraph" w:customStyle="1" w:styleId="ConsPlusNormal">
    <w:name w:val="ConsPlusNormal"/>
    <w:rsid w:val="00380BAF"/>
    <w:pPr>
      <w:widowControl w:val="0"/>
      <w:autoSpaceDE w:val="0"/>
      <w:autoSpaceDN w:val="0"/>
      <w:adjustRightInd w:val="0"/>
      <w:ind w:firstLine="720"/>
    </w:pPr>
    <w:rPr>
      <w:rFonts w:ascii="Arial" w:hAnsi="Arial" w:cs="Arial"/>
    </w:rPr>
  </w:style>
  <w:style w:type="paragraph" w:customStyle="1" w:styleId="ConsPlusTitle">
    <w:name w:val="ConsPlusTitle"/>
    <w:rsid w:val="001C655C"/>
    <w:pPr>
      <w:widowControl w:val="0"/>
      <w:autoSpaceDE w:val="0"/>
      <w:autoSpaceDN w:val="0"/>
      <w:adjustRightInd w:val="0"/>
    </w:pPr>
    <w:rPr>
      <w:rFonts w:ascii="Arial" w:hAnsi="Arial" w:cs="Arial"/>
      <w:b/>
      <w:bCs/>
    </w:rPr>
  </w:style>
  <w:style w:type="character" w:styleId="aff1">
    <w:name w:val="Emphasis"/>
    <w:basedOn w:val="a1"/>
    <w:uiPriority w:val="20"/>
    <w:qFormat/>
    <w:rsid w:val="00392C78"/>
    <w:rPr>
      <w:i/>
      <w:iCs/>
    </w:rPr>
  </w:style>
  <w:style w:type="paragraph" w:customStyle="1" w:styleId="just">
    <w:name w:val="just"/>
    <w:basedOn w:val="a0"/>
    <w:rsid w:val="00293D86"/>
    <w:pPr>
      <w:spacing w:before="100" w:beforeAutospacing="1" w:after="100" w:afterAutospacing="1"/>
    </w:pPr>
    <w:rPr>
      <w:sz w:val="24"/>
      <w:szCs w:val="24"/>
    </w:rPr>
  </w:style>
  <w:style w:type="paragraph" w:customStyle="1" w:styleId="pcss">
    <w:name w:val="pcss"/>
    <w:basedOn w:val="a0"/>
    <w:rsid w:val="005E670E"/>
    <w:pPr>
      <w:spacing w:before="100" w:beforeAutospacing="1" w:after="100" w:afterAutospacing="1"/>
      <w:ind w:firstLine="720"/>
    </w:pPr>
    <w:rPr>
      <w:rFonts w:ascii="Verdana" w:hAnsi="Verdana"/>
      <w:sz w:val="18"/>
      <w:szCs w:val="18"/>
    </w:rPr>
  </w:style>
  <w:style w:type="paragraph" w:styleId="aff2">
    <w:name w:val="List Paragraph"/>
    <w:aliases w:val="Абзац списка основной"/>
    <w:basedOn w:val="a0"/>
    <w:link w:val="aff3"/>
    <w:uiPriority w:val="34"/>
    <w:qFormat/>
    <w:rsid w:val="00AC72C1"/>
    <w:pPr>
      <w:ind w:left="720"/>
      <w:contextualSpacing/>
    </w:pPr>
  </w:style>
  <w:style w:type="paragraph" w:styleId="aff4">
    <w:name w:val="Revision"/>
    <w:hidden/>
    <w:uiPriority w:val="99"/>
    <w:semiHidden/>
    <w:rsid w:val="007342E0"/>
    <w:rPr>
      <w:sz w:val="26"/>
      <w:szCs w:val="26"/>
    </w:rPr>
  </w:style>
  <w:style w:type="paragraph" w:styleId="a">
    <w:name w:val="Plain Text"/>
    <w:basedOn w:val="a0"/>
    <w:link w:val="aff5"/>
    <w:autoRedefine/>
    <w:rsid w:val="00F94C1B"/>
    <w:pPr>
      <w:widowControl w:val="0"/>
      <w:numPr>
        <w:numId w:val="9"/>
      </w:numPr>
      <w:autoSpaceDE w:val="0"/>
      <w:autoSpaceDN w:val="0"/>
      <w:adjustRightInd w:val="0"/>
      <w:spacing w:before="120" w:after="120"/>
    </w:pPr>
    <w:rPr>
      <w:rFonts w:ascii="Bookman Old Style" w:hAnsi="Bookman Old Style"/>
      <w:sz w:val="20"/>
      <w:szCs w:val="20"/>
    </w:rPr>
  </w:style>
  <w:style w:type="character" w:customStyle="1" w:styleId="aff5">
    <w:name w:val="Текст Знак"/>
    <w:basedOn w:val="a1"/>
    <w:link w:val="a"/>
    <w:rsid w:val="00F94C1B"/>
    <w:rPr>
      <w:rFonts w:ascii="Bookman Old Style" w:hAnsi="Bookman Old Style"/>
    </w:rPr>
  </w:style>
  <w:style w:type="character" w:styleId="aff6">
    <w:name w:val="Placeholder Text"/>
    <w:basedOn w:val="a1"/>
    <w:uiPriority w:val="99"/>
    <w:semiHidden/>
    <w:rsid w:val="009D676E"/>
    <w:rPr>
      <w:color w:val="808080"/>
    </w:rPr>
  </w:style>
  <w:style w:type="paragraph" w:customStyle="1" w:styleId="ConsPlusNonformat">
    <w:name w:val="ConsPlusNonformat"/>
    <w:rsid w:val="00ED600A"/>
    <w:pPr>
      <w:widowControl w:val="0"/>
      <w:autoSpaceDE w:val="0"/>
      <w:autoSpaceDN w:val="0"/>
      <w:adjustRightInd w:val="0"/>
    </w:pPr>
    <w:rPr>
      <w:rFonts w:ascii="Courier New" w:hAnsi="Courier New" w:cs="Courier New"/>
    </w:rPr>
  </w:style>
  <w:style w:type="paragraph" w:customStyle="1" w:styleId="text">
    <w:name w:val="text"/>
    <w:basedOn w:val="a0"/>
    <w:rsid w:val="002C0BA7"/>
    <w:pPr>
      <w:spacing w:before="100" w:beforeAutospacing="1" w:after="100" w:afterAutospacing="1"/>
    </w:pPr>
    <w:rPr>
      <w:sz w:val="24"/>
      <w:szCs w:val="24"/>
    </w:rPr>
  </w:style>
  <w:style w:type="paragraph" w:customStyle="1" w:styleId="u">
    <w:name w:val="u"/>
    <w:basedOn w:val="a0"/>
    <w:rsid w:val="00E746DF"/>
    <w:pPr>
      <w:ind w:firstLine="390"/>
      <w:jc w:val="both"/>
    </w:pPr>
    <w:rPr>
      <w:sz w:val="24"/>
      <w:szCs w:val="24"/>
    </w:rPr>
  </w:style>
  <w:style w:type="character" w:styleId="HTML">
    <w:name w:val="HTML Cite"/>
    <w:basedOn w:val="a1"/>
    <w:uiPriority w:val="99"/>
    <w:unhideWhenUsed/>
    <w:rsid w:val="00EE1A35"/>
    <w:rPr>
      <w:i/>
      <w:iCs/>
    </w:rPr>
  </w:style>
  <w:style w:type="character" w:customStyle="1" w:styleId="small">
    <w:name w:val="small"/>
    <w:basedOn w:val="a1"/>
    <w:rsid w:val="00F544B5"/>
  </w:style>
  <w:style w:type="character" w:customStyle="1" w:styleId="char1">
    <w:name w:val="char1"/>
    <w:basedOn w:val="a1"/>
    <w:rsid w:val="00F544B5"/>
    <w:rPr>
      <w:rFonts w:ascii="Tahoma" w:hAnsi="Tahoma" w:cs="Tahoma" w:hint="default"/>
      <w:color w:val="1167AC"/>
    </w:rPr>
  </w:style>
  <w:style w:type="paragraph" w:styleId="aff7">
    <w:name w:val="No Spacing"/>
    <w:link w:val="aff8"/>
    <w:uiPriority w:val="1"/>
    <w:qFormat/>
    <w:rsid w:val="00EC349D"/>
    <w:rPr>
      <w:rFonts w:ascii="Calibri" w:hAnsi="Calibri"/>
      <w:sz w:val="22"/>
      <w:szCs w:val="22"/>
      <w:lang w:eastAsia="en-US"/>
    </w:rPr>
  </w:style>
  <w:style w:type="character" w:customStyle="1" w:styleId="aff8">
    <w:name w:val="Без интервала Знак"/>
    <w:link w:val="aff7"/>
    <w:uiPriority w:val="1"/>
    <w:rsid w:val="00EC349D"/>
    <w:rPr>
      <w:rFonts w:ascii="Calibri" w:hAnsi="Calibri"/>
      <w:sz w:val="22"/>
      <w:szCs w:val="22"/>
      <w:lang w:eastAsia="en-US"/>
    </w:rPr>
  </w:style>
  <w:style w:type="character" w:styleId="aff9">
    <w:name w:val="FollowedHyperlink"/>
    <w:basedOn w:val="a1"/>
    <w:uiPriority w:val="99"/>
    <w:rsid w:val="00F64584"/>
    <w:rPr>
      <w:color w:val="800080" w:themeColor="followedHyperlink"/>
      <w:u w:val="single"/>
    </w:rPr>
  </w:style>
  <w:style w:type="numbering" w:customStyle="1" w:styleId="12">
    <w:name w:val="Нет списка1"/>
    <w:next w:val="a3"/>
    <w:uiPriority w:val="99"/>
    <w:semiHidden/>
    <w:unhideWhenUsed/>
    <w:rsid w:val="00E44FED"/>
  </w:style>
  <w:style w:type="character" w:customStyle="1" w:styleId="40">
    <w:name w:val="Заголовок 4 Знак"/>
    <w:basedOn w:val="a1"/>
    <w:link w:val="4"/>
    <w:rsid w:val="00E44FED"/>
    <w:rPr>
      <w:sz w:val="24"/>
      <w:szCs w:val="24"/>
    </w:rPr>
  </w:style>
  <w:style w:type="character" w:customStyle="1" w:styleId="50">
    <w:name w:val="Заголовок 5 Знак"/>
    <w:basedOn w:val="a1"/>
    <w:link w:val="5"/>
    <w:rsid w:val="00E44FED"/>
    <w:rPr>
      <w:b/>
      <w:bCs/>
      <w:i/>
      <w:iCs/>
      <w:sz w:val="26"/>
      <w:szCs w:val="26"/>
    </w:rPr>
  </w:style>
  <w:style w:type="character" w:customStyle="1" w:styleId="60">
    <w:name w:val="Заголовок 6 Знак"/>
    <w:basedOn w:val="a1"/>
    <w:link w:val="6"/>
    <w:rsid w:val="00E44FED"/>
    <w:rPr>
      <w:b/>
      <w:bCs/>
      <w:sz w:val="22"/>
      <w:szCs w:val="22"/>
    </w:rPr>
  </w:style>
  <w:style w:type="character" w:customStyle="1" w:styleId="70">
    <w:name w:val="Заголовок 7 Знак"/>
    <w:basedOn w:val="a1"/>
    <w:link w:val="7"/>
    <w:rsid w:val="00E44FED"/>
    <w:rPr>
      <w:sz w:val="24"/>
      <w:szCs w:val="24"/>
    </w:rPr>
  </w:style>
  <w:style w:type="character" w:customStyle="1" w:styleId="a5">
    <w:name w:val="Нижний колонтитул Знак"/>
    <w:basedOn w:val="a1"/>
    <w:link w:val="a4"/>
    <w:rsid w:val="00E44FED"/>
    <w:rPr>
      <w:sz w:val="26"/>
      <w:szCs w:val="26"/>
    </w:rPr>
  </w:style>
  <w:style w:type="table" w:customStyle="1" w:styleId="13">
    <w:name w:val="Сетка таблицы1"/>
    <w:basedOn w:val="a2"/>
    <w:next w:val="a9"/>
    <w:rsid w:val="00E44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 Знак"/>
    <w:basedOn w:val="a1"/>
    <w:link w:val="ab"/>
    <w:rsid w:val="00E44FED"/>
    <w:rPr>
      <w:sz w:val="24"/>
      <w:szCs w:val="24"/>
    </w:rPr>
  </w:style>
  <w:style w:type="character" w:customStyle="1" w:styleId="ae">
    <w:name w:val="Основной текст с отступом Знак"/>
    <w:basedOn w:val="a1"/>
    <w:link w:val="ad"/>
    <w:rsid w:val="00E44FED"/>
    <w:rPr>
      <w:sz w:val="24"/>
      <w:szCs w:val="24"/>
    </w:rPr>
  </w:style>
  <w:style w:type="character" w:customStyle="1" w:styleId="22">
    <w:name w:val="Основной текст с отступом 2 Знак"/>
    <w:basedOn w:val="a1"/>
    <w:link w:val="21"/>
    <w:rsid w:val="00E44FED"/>
    <w:rPr>
      <w:sz w:val="24"/>
      <w:szCs w:val="24"/>
    </w:rPr>
  </w:style>
  <w:style w:type="character" w:customStyle="1" w:styleId="32">
    <w:name w:val="Основной текст с отступом 3 Знак"/>
    <w:basedOn w:val="a1"/>
    <w:link w:val="31"/>
    <w:rsid w:val="00E44FED"/>
    <w:rPr>
      <w:sz w:val="24"/>
      <w:szCs w:val="24"/>
    </w:rPr>
  </w:style>
  <w:style w:type="character" w:customStyle="1" w:styleId="34">
    <w:name w:val="Основной текст 3 Знак"/>
    <w:basedOn w:val="a1"/>
    <w:link w:val="33"/>
    <w:rsid w:val="00E44FED"/>
    <w:rPr>
      <w:sz w:val="16"/>
      <w:szCs w:val="16"/>
    </w:rPr>
  </w:style>
  <w:style w:type="character" w:customStyle="1" w:styleId="af4">
    <w:name w:val="Текст выноски Знак"/>
    <w:basedOn w:val="a1"/>
    <w:link w:val="af3"/>
    <w:uiPriority w:val="99"/>
    <w:semiHidden/>
    <w:rsid w:val="00E44FED"/>
    <w:rPr>
      <w:rFonts w:ascii="Tahoma" w:hAnsi="Tahoma" w:cs="Tahoma"/>
      <w:sz w:val="16"/>
      <w:szCs w:val="16"/>
    </w:rPr>
  </w:style>
  <w:style w:type="character" w:customStyle="1" w:styleId="af7">
    <w:name w:val="Название Знак"/>
    <w:basedOn w:val="a1"/>
    <w:link w:val="af6"/>
    <w:rsid w:val="00E44FED"/>
    <w:rPr>
      <w:rFonts w:ascii="Arial" w:hAnsi="Arial" w:cs="Arial"/>
      <w:b/>
      <w:bCs/>
      <w:kern w:val="28"/>
      <w:sz w:val="32"/>
      <w:szCs w:val="32"/>
    </w:rPr>
  </w:style>
  <w:style w:type="character" w:customStyle="1" w:styleId="af9">
    <w:name w:val="Подзаголовок Знак"/>
    <w:basedOn w:val="a1"/>
    <w:link w:val="af8"/>
    <w:uiPriority w:val="11"/>
    <w:rsid w:val="00E44FED"/>
    <w:rPr>
      <w:rFonts w:ascii="Arial" w:hAnsi="Arial" w:cs="Arial"/>
      <w:sz w:val="24"/>
      <w:szCs w:val="24"/>
    </w:rPr>
  </w:style>
  <w:style w:type="character" w:customStyle="1" w:styleId="afb">
    <w:name w:val="Красная строка Знак"/>
    <w:basedOn w:val="ac"/>
    <w:link w:val="afa"/>
    <w:rsid w:val="00E44FED"/>
    <w:rPr>
      <w:sz w:val="26"/>
      <w:szCs w:val="26"/>
    </w:rPr>
  </w:style>
  <w:style w:type="character" w:customStyle="1" w:styleId="27">
    <w:name w:val="Красная строка 2 Знак"/>
    <w:basedOn w:val="ae"/>
    <w:link w:val="26"/>
    <w:rsid w:val="00E44FED"/>
    <w:rPr>
      <w:sz w:val="26"/>
      <w:szCs w:val="26"/>
    </w:rPr>
  </w:style>
  <w:style w:type="character" w:customStyle="1" w:styleId="afd">
    <w:name w:val="Схема документа Знак"/>
    <w:basedOn w:val="a1"/>
    <w:link w:val="afc"/>
    <w:semiHidden/>
    <w:rsid w:val="00E44FED"/>
    <w:rPr>
      <w:rFonts w:ascii="Tahoma" w:hAnsi="Tahoma" w:cs="Tahoma"/>
      <w:shd w:val="clear" w:color="auto" w:fill="000080"/>
    </w:rPr>
  </w:style>
  <w:style w:type="numbering" w:customStyle="1" w:styleId="29">
    <w:name w:val="Нет списка2"/>
    <w:next w:val="a3"/>
    <w:uiPriority w:val="99"/>
    <w:semiHidden/>
    <w:unhideWhenUsed/>
    <w:rsid w:val="00DA2ED2"/>
  </w:style>
  <w:style w:type="numbering" w:customStyle="1" w:styleId="37">
    <w:name w:val="Нет списка3"/>
    <w:next w:val="a3"/>
    <w:uiPriority w:val="99"/>
    <w:semiHidden/>
    <w:unhideWhenUsed/>
    <w:rsid w:val="009C11D5"/>
  </w:style>
  <w:style w:type="paragraph" w:customStyle="1" w:styleId="affa">
    <w:name w:val="Таблица текст влево"/>
    <w:basedOn w:val="a0"/>
    <w:rsid w:val="00704057"/>
    <w:rPr>
      <w:rFonts w:ascii="Tahoma" w:hAnsi="Tahoma" w:cs="Tahoma"/>
      <w:spacing w:val="-5"/>
      <w:sz w:val="18"/>
      <w:szCs w:val="24"/>
    </w:rPr>
  </w:style>
  <w:style w:type="paragraph" w:styleId="41">
    <w:name w:val="toc 4"/>
    <w:basedOn w:val="a0"/>
    <w:next w:val="a0"/>
    <w:autoRedefine/>
    <w:uiPriority w:val="39"/>
    <w:unhideWhenUsed/>
    <w:rsid w:val="00453AB8"/>
    <w:pPr>
      <w:spacing w:after="100" w:line="276" w:lineRule="auto"/>
      <w:ind w:left="660"/>
    </w:pPr>
    <w:rPr>
      <w:rFonts w:asciiTheme="minorHAnsi" w:eastAsiaTheme="minorEastAsia" w:hAnsiTheme="minorHAnsi" w:cstheme="minorBidi"/>
      <w:sz w:val="22"/>
      <w:szCs w:val="22"/>
    </w:rPr>
  </w:style>
  <w:style w:type="paragraph" w:styleId="51">
    <w:name w:val="toc 5"/>
    <w:basedOn w:val="a0"/>
    <w:next w:val="a0"/>
    <w:autoRedefine/>
    <w:uiPriority w:val="39"/>
    <w:unhideWhenUsed/>
    <w:rsid w:val="00453AB8"/>
    <w:pPr>
      <w:spacing w:after="100" w:line="276" w:lineRule="auto"/>
      <w:ind w:left="880"/>
    </w:pPr>
    <w:rPr>
      <w:rFonts w:asciiTheme="minorHAnsi" w:eastAsiaTheme="minorEastAsia" w:hAnsiTheme="minorHAnsi" w:cstheme="minorBidi"/>
      <w:sz w:val="22"/>
      <w:szCs w:val="22"/>
    </w:rPr>
  </w:style>
  <w:style w:type="paragraph" w:styleId="61">
    <w:name w:val="toc 6"/>
    <w:basedOn w:val="a0"/>
    <w:next w:val="a0"/>
    <w:autoRedefine/>
    <w:uiPriority w:val="39"/>
    <w:unhideWhenUsed/>
    <w:rsid w:val="00453AB8"/>
    <w:pPr>
      <w:spacing w:after="100" w:line="276" w:lineRule="auto"/>
      <w:ind w:left="1100"/>
    </w:pPr>
    <w:rPr>
      <w:rFonts w:asciiTheme="minorHAnsi" w:eastAsiaTheme="minorEastAsia" w:hAnsiTheme="minorHAnsi" w:cstheme="minorBidi"/>
      <w:sz w:val="22"/>
      <w:szCs w:val="22"/>
    </w:rPr>
  </w:style>
  <w:style w:type="paragraph" w:styleId="71">
    <w:name w:val="toc 7"/>
    <w:basedOn w:val="a0"/>
    <w:next w:val="a0"/>
    <w:autoRedefine/>
    <w:uiPriority w:val="39"/>
    <w:unhideWhenUsed/>
    <w:rsid w:val="00453AB8"/>
    <w:pPr>
      <w:spacing w:after="100" w:line="276" w:lineRule="auto"/>
      <w:ind w:left="1320"/>
    </w:pPr>
    <w:rPr>
      <w:rFonts w:asciiTheme="minorHAnsi" w:eastAsiaTheme="minorEastAsia" w:hAnsiTheme="minorHAnsi" w:cstheme="minorBidi"/>
      <w:sz w:val="22"/>
      <w:szCs w:val="22"/>
    </w:rPr>
  </w:style>
  <w:style w:type="paragraph" w:styleId="8">
    <w:name w:val="toc 8"/>
    <w:basedOn w:val="a0"/>
    <w:next w:val="a0"/>
    <w:autoRedefine/>
    <w:uiPriority w:val="39"/>
    <w:unhideWhenUsed/>
    <w:rsid w:val="00453AB8"/>
    <w:pPr>
      <w:spacing w:after="100" w:line="276" w:lineRule="auto"/>
      <w:ind w:left="1540"/>
    </w:pPr>
    <w:rPr>
      <w:rFonts w:asciiTheme="minorHAnsi" w:eastAsiaTheme="minorEastAsia" w:hAnsiTheme="minorHAnsi" w:cstheme="minorBidi"/>
      <w:sz w:val="22"/>
      <w:szCs w:val="22"/>
    </w:rPr>
  </w:style>
  <w:style w:type="paragraph" w:styleId="9">
    <w:name w:val="toc 9"/>
    <w:basedOn w:val="a0"/>
    <w:next w:val="a0"/>
    <w:autoRedefine/>
    <w:uiPriority w:val="39"/>
    <w:unhideWhenUsed/>
    <w:rsid w:val="00453AB8"/>
    <w:pPr>
      <w:spacing w:after="100" w:line="276" w:lineRule="auto"/>
      <w:ind w:left="1760"/>
    </w:pPr>
    <w:rPr>
      <w:rFonts w:asciiTheme="minorHAnsi" w:eastAsiaTheme="minorEastAsia" w:hAnsiTheme="minorHAnsi" w:cstheme="minorBidi"/>
      <w:sz w:val="22"/>
      <w:szCs w:val="22"/>
    </w:rPr>
  </w:style>
  <w:style w:type="numbering" w:customStyle="1" w:styleId="42">
    <w:name w:val="Нет списка4"/>
    <w:next w:val="a3"/>
    <w:uiPriority w:val="99"/>
    <w:semiHidden/>
    <w:unhideWhenUsed/>
    <w:rsid w:val="00D478C8"/>
  </w:style>
  <w:style w:type="numbering" w:customStyle="1" w:styleId="52">
    <w:name w:val="Нет списка5"/>
    <w:next w:val="a3"/>
    <w:uiPriority w:val="99"/>
    <w:semiHidden/>
    <w:unhideWhenUsed/>
    <w:rsid w:val="00431CC5"/>
  </w:style>
  <w:style w:type="numbering" w:customStyle="1" w:styleId="110">
    <w:name w:val="Нет списка11"/>
    <w:next w:val="a3"/>
    <w:uiPriority w:val="99"/>
    <w:semiHidden/>
    <w:unhideWhenUsed/>
    <w:rsid w:val="00431CC5"/>
  </w:style>
  <w:style w:type="table" w:customStyle="1" w:styleId="2a">
    <w:name w:val="Сетка таблицы2"/>
    <w:basedOn w:val="a2"/>
    <w:next w:val="a9"/>
    <w:uiPriority w:val="59"/>
    <w:rsid w:val="00431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 (веб)1"/>
    <w:basedOn w:val="a0"/>
    <w:rsid w:val="00431CC5"/>
    <w:pPr>
      <w:spacing w:after="360"/>
      <w:jc w:val="both"/>
    </w:pPr>
    <w:rPr>
      <w:rFonts w:ascii="Arial" w:hAnsi="Arial" w:cs="Arial"/>
      <w:color w:val="3D3D3D"/>
      <w:sz w:val="24"/>
      <w:szCs w:val="24"/>
    </w:rPr>
  </w:style>
  <w:style w:type="paragraph" w:customStyle="1" w:styleId="xl65">
    <w:name w:val="xl6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6">
    <w:name w:val="xl66"/>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67">
    <w:name w:val="xl6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68">
    <w:name w:val="xl6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9">
    <w:name w:val="xl6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0">
    <w:name w:val="xl7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71">
    <w:name w:val="xl7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2">
    <w:name w:val="xl7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3">
    <w:name w:val="xl73"/>
    <w:basedOn w:val="a0"/>
    <w:rsid w:val="00431CC5"/>
    <w:pPr>
      <w:pBdr>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4">
    <w:name w:val="xl7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75">
    <w:name w:val="xl7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6">
    <w:name w:val="xl7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7">
    <w:name w:val="xl77"/>
    <w:basedOn w:val="a0"/>
    <w:rsid w:val="00431CC5"/>
    <w:pPr>
      <w:spacing w:before="100" w:beforeAutospacing="1" w:after="100" w:afterAutospacing="1"/>
    </w:pPr>
    <w:rPr>
      <w:rFonts w:ascii="Bookman Old Style" w:hAnsi="Bookman Old Style"/>
      <w:sz w:val="24"/>
      <w:szCs w:val="24"/>
    </w:rPr>
  </w:style>
  <w:style w:type="paragraph" w:customStyle="1" w:styleId="xl78">
    <w:name w:val="xl7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9">
    <w:name w:val="xl7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0">
    <w:name w:val="xl80"/>
    <w:basedOn w:val="a0"/>
    <w:rsid w:val="00431CC5"/>
    <w:pPr>
      <w:spacing w:before="100" w:beforeAutospacing="1" w:after="100" w:afterAutospacing="1"/>
      <w:jc w:val="center"/>
    </w:pPr>
    <w:rPr>
      <w:rFonts w:ascii="Bookman Old Style" w:hAnsi="Bookman Old Style"/>
      <w:sz w:val="16"/>
      <w:szCs w:val="16"/>
    </w:rPr>
  </w:style>
  <w:style w:type="paragraph" w:customStyle="1" w:styleId="xl81">
    <w:name w:val="xl8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2">
    <w:name w:val="xl8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3">
    <w:name w:val="xl83"/>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84">
    <w:name w:val="xl8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5">
    <w:name w:val="xl8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6">
    <w:name w:val="xl8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7">
    <w:name w:val="xl8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88">
    <w:name w:val="xl8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9">
    <w:name w:val="xl8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0">
    <w:name w:val="xl90"/>
    <w:basedOn w:val="a0"/>
    <w:rsid w:val="00431CC5"/>
    <w:pPr>
      <w:pBdr>
        <w:left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1">
    <w:name w:val="xl9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2">
    <w:name w:val="xl92"/>
    <w:basedOn w:val="a0"/>
    <w:rsid w:val="00431CC5"/>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3">
    <w:name w:val="xl9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4">
    <w:name w:val="xl9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95">
    <w:name w:val="xl9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96">
    <w:name w:val="xl96"/>
    <w:basedOn w:val="a0"/>
    <w:rsid w:val="00431CC5"/>
    <w:pPr>
      <w:pBdr>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7">
    <w:name w:val="xl9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8">
    <w:name w:val="xl98"/>
    <w:basedOn w:val="a0"/>
    <w:rsid w:val="00431CC5"/>
    <w:pPr>
      <w:pBdr>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99">
    <w:name w:val="xl9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00">
    <w:name w:val="xl100"/>
    <w:basedOn w:val="a0"/>
    <w:rsid w:val="00431CC5"/>
    <w:pPr>
      <w:spacing w:before="100" w:beforeAutospacing="1" w:after="100" w:afterAutospacing="1"/>
    </w:pPr>
    <w:rPr>
      <w:rFonts w:ascii="Bookman Old Style" w:hAnsi="Bookman Old Style"/>
      <w:sz w:val="16"/>
      <w:szCs w:val="16"/>
    </w:rPr>
  </w:style>
  <w:style w:type="paragraph" w:customStyle="1" w:styleId="xl101">
    <w:name w:val="xl10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2">
    <w:name w:val="xl102"/>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3">
    <w:name w:val="xl10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4">
    <w:name w:val="xl10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105">
    <w:name w:val="xl105"/>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6">
    <w:name w:val="xl106"/>
    <w:basedOn w:val="a0"/>
    <w:rsid w:val="00431CC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7">
    <w:name w:val="xl10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8">
    <w:name w:val="xl108"/>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9">
    <w:name w:val="xl109"/>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10">
    <w:name w:val="xl110"/>
    <w:basedOn w:val="a0"/>
    <w:rsid w:val="00431CC5"/>
    <w:pPr>
      <w:shd w:val="clear" w:color="000000" w:fill="FFFFFF"/>
      <w:spacing w:before="100" w:beforeAutospacing="1" w:after="100" w:afterAutospacing="1"/>
    </w:pPr>
    <w:rPr>
      <w:rFonts w:ascii="Bookman Old Style" w:hAnsi="Bookman Old Style"/>
      <w:sz w:val="24"/>
      <w:szCs w:val="24"/>
    </w:rPr>
  </w:style>
  <w:style w:type="paragraph" w:customStyle="1" w:styleId="xl111">
    <w:name w:val="xl111"/>
    <w:basedOn w:val="a0"/>
    <w:rsid w:val="00431CC5"/>
    <w:pPr>
      <w:shd w:val="clear" w:color="000000" w:fill="FFFFFF"/>
      <w:spacing w:before="100" w:beforeAutospacing="1" w:after="100" w:afterAutospacing="1"/>
      <w:jc w:val="center"/>
      <w:textAlignment w:val="center"/>
    </w:pPr>
    <w:rPr>
      <w:rFonts w:ascii="Bookman Old Style" w:hAnsi="Bookman Old Style"/>
      <w:sz w:val="24"/>
      <w:szCs w:val="24"/>
    </w:rPr>
  </w:style>
  <w:style w:type="paragraph" w:customStyle="1" w:styleId="xl112">
    <w:name w:val="xl112"/>
    <w:basedOn w:val="a0"/>
    <w:rsid w:val="00431CC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3">
    <w:name w:val="xl113"/>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4">
    <w:name w:val="xl114"/>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5">
    <w:name w:val="xl115"/>
    <w:basedOn w:val="a0"/>
    <w:rsid w:val="00431CC5"/>
    <w:pPr>
      <w:pBdr>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6">
    <w:name w:val="xl116"/>
    <w:basedOn w:val="a0"/>
    <w:rsid w:val="00431CC5"/>
    <w:pPr>
      <w:pBdr>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7">
    <w:name w:val="xl117"/>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8">
    <w:name w:val="xl118"/>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9">
    <w:name w:val="xl119"/>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0">
    <w:name w:val="xl120"/>
    <w:basedOn w:val="a0"/>
    <w:rsid w:val="00431CC5"/>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1">
    <w:name w:val="xl121"/>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2">
    <w:name w:val="xl122"/>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3">
    <w:name w:val="xl123"/>
    <w:basedOn w:val="a0"/>
    <w:rsid w:val="00431CC5"/>
    <w:pPr>
      <w:pBdr>
        <w:top w:val="single" w:sz="4" w:space="0" w:color="auto"/>
        <w:lef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4">
    <w:name w:val="xl124"/>
    <w:basedOn w:val="a0"/>
    <w:rsid w:val="00431CC5"/>
    <w:pPr>
      <w:pBdr>
        <w:top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5">
    <w:name w:val="xl125"/>
    <w:basedOn w:val="a0"/>
    <w:rsid w:val="00431CC5"/>
    <w:pPr>
      <w:pBdr>
        <w:top w:val="single" w:sz="4" w:space="0" w:color="auto"/>
        <w:left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126">
    <w:name w:val="xl126"/>
    <w:basedOn w:val="a0"/>
    <w:rsid w:val="00431CC5"/>
    <w:pPr>
      <w:pBdr>
        <w:top w:val="single" w:sz="4" w:space="0" w:color="auto"/>
        <w:left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127">
    <w:name w:val="xl12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28">
    <w:name w:val="xl12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b/>
      <w:bCs/>
      <w:sz w:val="16"/>
      <w:szCs w:val="16"/>
    </w:rPr>
  </w:style>
  <w:style w:type="paragraph" w:customStyle="1" w:styleId="xl129">
    <w:name w:val="xl12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color w:val="000000"/>
      <w:sz w:val="16"/>
      <w:szCs w:val="16"/>
    </w:rPr>
  </w:style>
  <w:style w:type="paragraph" w:customStyle="1" w:styleId="xl130">
    <w:name w:val="xl13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paragraph" w:customStyle="1" w:styleId="xl131">
    <w:name w:val="xl13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table" w:customStyle="1" w:styleId="111">
    <w:name w:val="Сетка таблицы11"/>
    <w:basedOn w:val="a2"/>
    <w:next w:val="a9"/>
    <w:uiPriority w:val="59"/>
    <w:rsid w:val="00431CC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0"/>
    <w:rsid w:val="00431CC5"/>
    <w:pPr>
      <w:spacing w:before="100" w:beforeAutospacing="1" w:after="100" w:afterAutospacing="1"/>
    </w:pPr>
    <w:rPr>
      <w:rFonts w:ascii="Bookman Old Style" w:hAnsi="Bookman Old Style"/>
      <w:sz w:val="16"/>
      <w:szCs w:val="16"/>
    </w:rPr>
  </w:style>
  <w:style w:type="paragraph" w:customStyle="1" w:styleId="font6">
    <w:name w:val="font6"/>
    <w:basedOn w:val="a0"/>
    <w:rsid w:val="00431CC5"/>
    <w:pPr>
      <w:spacing w:before="100" w:beforeAutospacing="1" w:after="100" w:afterAutospacing="1"/>
    </w:pPr>
    <w:rPr>
      <w:rFonts w:ascii="Bookman Old Style" w:hAnsi="Bookman Old Style"/>
      <w:color w:val="FF0000"/>
      <w:sz w:val="16"/>
      <w:szCs w:val="16"/>
    </w:rPr>
  </w:style>
  <w:style w:type="paragraph" w:customStyle="1" w:styleId="xl63">
    <w:name w:val="xl63"/>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xl64">
    <w:name w:val="xl64"/>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affb">
    <w:name w:val="Знак Знак Знак"/>
    <w:basedOn w:val="a0"/>
    <w:rsid w:val="00431CC5"/>
    <w:pPr>
      <w:spacing w:after="160" w:line="240" w:lineRule="exact"/>
    </w:pPr>
    <w:rPr>
      <w:rFonts w:ascii="Verdana" w:hAnsi="Verdana"/>
      <w:sz w:val="20"/>
      <w:szCs w:val="20"/>
      <w:lang w:val="en-US" w:eastAsia="en-US"/>
    </w:rPr>
  </w:style>
  <w:style w:type="paragraph" w:customStyle="1" w:styleId="Preformatted">
    <w:name w:val="Preformatted"/>
    <w:basedOn w:val="a0"/>
    <w:rsid w:val="00431CC5"/>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sz w:val="20"/>
      <w:szCs w:val="20"/>
    </w:rPr>
  </w:style>
  <w:style w:type="paragraph" w:styleId="affc">
    <w:name w:val="List Number"/>
    <w:basedOn w:val="a0"/>
    <w:rsid w:val="00431CC5"/>
    <w:pPr>
      <w:keepLines/>
      <w:tabs>
        <w:tab w:val="num" w:pos="1531"/>
      </w:tabs>
      <w:spacing w:after="240" w:line="240" w:lineRule="atLeast"/>
      <w:ind w:left="1531" w:hanging="454"/>
      <w:jc w:val="both"/>
    </w:pPr>
    <w:rPr>
      <w:rFonts w:ascii="Tahoma" w:hAnsi="Tahoma" w:cs="Tahoma"/>
      <w:sz w:val="20"/>
      <w:szCs w:val="24"/>
    </w:rPr>
  </w:style>
  <w:style w:type="paragraph" w:styleId="2b">
    <w:name w:val="List Number 2"/>
    <w:basedOn w:val="a0"/>
    <w:rsid w:val="00431CC5"/>
    <w:pPr>
      <w:keepLines/>
      <w:tabs>
        <w:tab w:val="num" w:pos="1985"/>
      </w:tabs>
      <w:spacing w:after="240" w:line="240" w:lineRule="atLeast"/>
      <w:ind w:left="1985" w:hanging="454"/>
      <w:jc w:val="both"/>
    </w:pPr>
    <w:rPr>
      <w:rFonts w:ascii="Tahoma" w:hAnsi="Tahoma" w:cs="Tahoma"/>
      <w:sz w:val="20"/>
      <w:szCs w:val="24"/>
    </w:rPr>
  </w:style>
  <w:style w:type="paragraph" w:styleId="38">
    <w:name w:val="List Number 3"/>
    <w:basedOn w:val="a0"/>
    <w:rsid w:val="00431CC5"/>
    <w:pPr>
      <w:keepLines/>
      <w:tabs>
        <w:tab w:val="num" w:pos="2438"/>
      </w:tabs>
      <w:spacing w:after="120" w:line="240" w:lineRule="atLeast"/>
      <w:ind w:left="2438" w:hanging="453"/>
    </w:pPr>
    <w:rPr>
      <w:rFonts w:ascii="Tahoma" w:hAnsi="Tahoma" w:cs="Tahoma"/>
      <w:sz w:val="20"/>
      <w:szCs w:val="24"/>
    </w:rPr>
  </w:style>
  <w:style w:type="paragraph" w:styleId="43">
    <w:name w:val="List Number 4"/>
    <w:basedOn w:val="a0"/>
    <w:rsid w:val="00431CC5"/>
    <w:pPr>
      <w:keepLines/>
      <w:tabs>
        <w:tab w:val="num" w:pos="2892"/>
      </w:tabs>
      <w:spacing w:after="120" w:line="240" w:lineRule="atLeast"/>
      <w:ind w:left="2892" w:hanging="454"/>
    </w:pPr>
    <w:rPr>
      <w:rFonts w:ascii="Tahoma" w:hAnsi="Tahoma" w:cs="Tahoma"/>
      <w:sz w:val="20"/>
      <w:szCs w:val="24"/>
    </w:rPr>
  </w:style>
  <w:style w:type="paragraph" w:styleId="53">
    <w:name w:val="List Number 5"/>
    <w:basedOn w:val="a0"/>
    <w:rsid w:val="00431CC5"/>
    <w:pPr>
      <w:keepLines/>
      <w:tabs>
        <w:tab w:val="num" w:pos="3345"/>
      </w:tabs>
      <w:spacing w:after="120" w:line="240" w:lineRule="atLeast"/>
      <w:ind w:left="3345" w:hanging="453"/>
    </w:pPr>
    <w:rPr>
      <w:rFonts w:ascii="Tahoma" w:hAnsi="Tahoma" w:cs="Tahoma"/>
      <w:sz w:val="20"/>
      <w:szCs w:val="24"/>
    </w:rPr>
  </w:style>
  <w:style w:type="paragraph" w:styleId="39">
    <w:name w:val="List Bullet 3"/>
    <w:basedOn w:val="a0"/>
    <w:rsid w:val="00431CC5"/>
    <w:pPr>
      <w:keepLines/>
      <w:tabs>
        <w:tab w:val="num" w:pos="2438"/>
      </w:tabs>
      <w:spacing w:after="240" w:line="240" w:lineRule="atLeast"/>
      <w:ind w:left="2438" w:hanging="453"/>
    </w:pPr>
    <w:rPr>
      <w:rFonts w:ascii="Tahoma" w:hAnsi="Tahoma" w:cs="Tahoma"/>
      <w:sz w:val="20"/>
      <w:szCs w:val="24"/>
    </w:rPr>
  </w:style>
  <w:style w:type="paragraph" w:styleId="44">
    <w:name w:val="List Bullet 4"/>
    <w:basedOn w:val="a0"/>
    <w:rsid w:val="00431CC5"/>
    <w:pPr>
      <w:keepLines/>
      <w:tabs>
        <w:tab w:val="num" w:pos="2892"/>
      </w:tabs>
      <w:spacing w:after="240" w:line="240" w:lineRule="atLeast"/>
      <w:ind w:left="2892" w:hanging="454"/>
    </w:pPr>
    <w:rPr>
      <w:rFonts w:ascii="Tahoma" w:hAnsi="Tahoma" w:cs="Tahoma"/>
      <w:sz w:val="20"/>
      <w:szCs w:val="24"/>
    </w:rPr>
  </w:style>
  <w:style w:type="paragraph" w:styleId="54">
    <w:name w:val="List Bullet 5"/>
    <w:basedOn w:val="a0"/>
    <w:rsid w:val="00431CC5"/>
    <w:pPr>
      <w:keepLines/>
      <w:tabs>
        <w:tab w:val="num" w:pos="3345"/>
      </w:tabs>
      <w:spacing w:after="240" w:line="240" w:lineRule="atLeast"/>
      <w:ind w:left="3345" w:hanging="453"/>
    </w:pPr>
    <w:rPr>
      <w:rFonts w:ascii="Tahoma" w:hAnsi="Tahoma" w:cs="Tahoma"/>
      <w:sz w:val="20"/>
      <w:szCs w:val="24"/>
    </w:rPr>
  </w:style>
  <w:style w:type="paragraph" w:customStyle="1" w:styleId="clear">
    <w:name w:val="clear"/>
    <w:basedOn w:val="a0"/>
    <w:rsid w:val="00431CC5"/>
    <w:pPr>
      <w:spacing w:after="119"/>
    </w:pPr>
    <w:rPr>
      <w:sz w:val="24"/>
      <w:szCs w:val="24"/>
    </w:rPr>
  </w:style>
  <w:style w:type="table" w:customStyle="1" w:styleId="3-61">
    <w:name w:val="Средняя сетка 3 - Акцент 61"/>
    <w:basedOn w:val="a2"/>
    <w:next w:val="3-6"/>
    <w:uiPriority w:val="69"/>
    <w:rsid w:val="00431CC5"/>
    <w:rPr>
      <w:rFonts w:ascii="Bookman Old Style" w:hAnsi="Bookman Old Style"/>
      <w:sz w:val="14"/>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1">
    <w:name w:val="Темный список - Акцент 31"/>
    <w:basedOn w:val="a2"/>
    <w:next w:val="-3"/>
    <w:uiPriority w:val="70"/>
    <w:rsid w:val="00431CC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character" w:customStyle="1" w:styleId="15">
    <w:name w:val="Текст сноски Знак Знак Знак1"/>
    <w:aliases w:val="Текст сноски Знак1 Знак Знак1,Текст сноски Знак Знак1 Знак Знак1"/>
    <w:basedOn w:val="a1"/>
    <w:uiPriority w:val="99"/>
    <w:rsid w:val="00431CC5"/>
    <w:rPr>
      <w:rFonts w:ascii="Bookman Old Style" w:hAnsi="Bookman Old Style"/>
      <w:sz w:val="16"/>
    </w:rPr>
  </w:style>
  <w:style w:type="paragraph" w:customStyle="1" w:styleId="211">
    <w:name w:val="Основной текст 21"/>
    <w:basedOn w:val="a0"/>
    <w:rsid w:val="00431CC5"/>
    <w:pPr>
      <w:overflowPunct w:val="0"/>
      <w:autoSpaceDE w:val="0"/>
      <w:autoSpaceDN w:val="0"/>
      <w:adjustRightInd w:val="0"/>
      <w:ind w:firstLine="720"/>
      <w:textAlignment w:val="baseline"/>
    </w:pPr>
    <w:rPr>
      <w:sz w:val="24"/>
      <w:szCs w:val="20"/>
    </w:rPr>
  </w:style>
  <w:style w:type="paragraph" w:customStyle="1" w:styleId="410">
    <w:name w:val="Оглавление 41"/>
    <w:basedOn w:val="a0"/>
    <w:next w:val="a0"/>
    <w:autoRedefine/>
    <w:uiPriority w:val="39"/>
    <w:unhideWhenUsed/>
    <w:rsid w:val="00431CC5"/>
    <w:pPr>
      <w:spacing w:after="100" w:line="276" w:lineRule="auto"/>
      <w:ind w:left="660"/>
    </w:pPr>
    <w:rPr>
      <w:rFonts w:ascii="Calibri" w:hAnsi="Calibri"/>
      <w:sz w:val="22"/>
      <w:szCs w:val="22"/>
    </w:rPr>
  </w:style>
  <w:style w:type="paragraph" w:customStyle="1" w:styleId="510">
    <w:name w:val="Оглавление 51"/>
    <w:basedOn w:val="a0"/>
    <w:next w:val="a0"/>
    <w:autoRedefine/>
    <w:uiPriority w:val="39"/>
    <w:unhideWhenUsed/>
    <w:rsid w:val="00431CC5"/>
    <w:pPr>
      <w:spacing w:after="100" w:line="276" w:lineRule="auto"/>
      <w:ind w:left="880"/>
    </w:pPr>
    <w:rPr>
      <w:rFonts w:ascii="Calibri" w:hAnsi="Calibri"/>
      <w:sz w:val="22"/>
      <w:szCs w:val="22"/>
    </w:rPr>
  </w:style>
  <w:style w:type="paragraph" w:customStyle="1" w:styleId="610">
    <w:name w:val="Оглавление 61"/>
    <w:basedOn w:val="a0"/>
    <w:next w:val="a0"/>
    <w:autoRedefine/>
    <w:uiPriority w:val="39"/>
    <w:unhideWhenUsed/>
    <w:rsid w:val="00431CC5"/>
    <w:pPr>
      <w:spacing w:after="100" w:line="276" w:lineRule="auto"/>
      <w:ind w:left="1100"/>
    </w:pPr>
    <w:rPr>
      <w:rFonts w:ascii="Calibri" w:hAnsi="Calibri"/>
      <w:sz w:val="22"/>
      <w:szCs w:val="22"/>
    </w:rPr>
  </w:style>
  <w:style w:type="paragraph" w:customStyle="1" w:styleId="710">
    <w:name w:val="Оглавление 71"/>
    <w:basedOn w:val="a0"/>
    <w:next w:val="a0"/>
    <w:autoRedefine/>
    <w:uiPriority w:val="39"/>
    <w:unhideWhenUsed/>
    <w:rsid w:val="00431CC5"/>
    <w:pPr>
      <w:spacing w:after="100" w:line="276" w:lineRule="auto"/>
      <w:ind w:left="1320"/>
    </w:pPr>
    <w:rPr>
      <w:rFonts w:ascii="Calibri" w:hAnsi="Calibri"/>
      <w:sz w:val="22"/>
      <w:szCs w:val="22"/>
    </w:rPr>
  </w:style>
  <w:style w:type="paragraph" w:customStyle="1" w:styleId="81">
    <w:name w:val="Оглавление 81"/>
    <w:basedOn w:val="a0"/>
    <w:next w:val="a0"/>
    <w:autoRedefine/>
    <w:uiPriority w:val="39"/>
    <w:unhideWhenUsed/>
    <w:rsid w:val="00431CC5"/>
    <w:pPr>
      <w:spacing w:after="100" w:line="276" w:lineRule="auto"/>
      <w:ind w:left="1540"/>
    </w:pPr>
    <w:rPr>
      <w:rFonts w:ascii="Calibri" w:hAnsi="Calibri"/>
      <w:sz w:val="22"/>
      <w:szCs w:val="22"/>
    </w:rPr>
  </w:style>
  <w:style w:type="paragraph" w:customStyle="1" w:styleId="91">
    <w:name w:val="Оглавление 91"/>
    <w:basedOn w:val="a0"/>
    <w:next w:val="a0"/>
    <w:autoRedefine/>
    <w:uiPriority w:val="39"/>
    <w:unhideWhenUsed/>
    <w:rsid w:val="00431CC5"/>
    <w:pPr>
      <w:spacing w:after="100" w:line="276" w:lineRule="auto"/>
      <w:ind w:left="1760"/>
    </w:pPr>
    <w:rPr>
      <w:rFonts w:ascii="Calibri" w:hAnsi="Calibri"/>
      <w:sz w:val="22"/>
      <w:szCs w:val="22"/>
    </w:rPr>
  </w:style>
  <w:style w:type="character" w:customStyle="1" w:styleId="mw-headline">
    <w:name w:val="mw-headline"/>
    <w:basedOn w:val="a1"/>
    <w:rsid w:val="00431CC5"/>
  </w:style>
  <w:style w:type="character" w:customStyle="1" w:styleId="editsection">
    <w:name w:val="editsection"/>
    <w:basedOn w:val="a1"/>
    <w:rsid w:val="00431CC5"/>
  </w:style>
  <w:style w:type="table" w:customStyle="1" w:styleId="16">
    <w:name w:val="Светлая заливка1"/>
    <w:basedOn w:val="a2"/>
    <w:next w:val="affd"/>
    <w:uiPriority w:val="60"/>
    <w:rsid w:val="00431CC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7">
    <w:name w:val="Подзаголовок1"/>
    <w:basedOn w:val="a0"/>
    <w:next w:val="a0"/>
    <w:uiPriority w:val="11"/>
    <w:qFormat/>
    <w:rsid w:val="00431CC5"/>
    <w:pPr>
      <w:numPr>
        <w:ilvl w:val="1"/>
      </w:numPr>
    </w:pPr>
    <w:rPr>
      <w:rFonts w:ascii="Cambria" w:hAnsi="Cambria"/>
      <w:i/>
      <w:iCs/>
      <w:color w:val="4F81BD"/>
      <w:spacing w:val="15"/>
      <w:sz w:val="24"/>
      <w:szCs w:val="24"/>
    </w:rPr>
  </w:style>
  <w:style w:type="paragraph" w:customStyle="1" w:styleId="Default">
    <w:name w:val="Default"/>
    <w:rsid w:val="00431CC5"/>
    <w:pPr>
      <w:autoSpaceDE w:val="0"/>
      <w:autoSpaceDN w:val="0"/>
      <w:adjustRightInd w:val="0"/>
    </w:pPr>
    <w:rPr>
      <w:color w:val="000000"/>
      <w:sz w:val="24"/>
      <w:szCs w:val="24"/>
    </w:rPr>
  </w:style>
  <w:style w:type="character" w:customStyle="1" w:styleId="apple-converted-space">
    <w:name w:val="apple-converted-space"/>
    <w:basedOn w:val="a1"/>
    <w:rsid w:val="00431CC5"/>
  </w:style>
  <w:style w:type="table" w:customStyle="1" w:styleId="3-62">
    <w:name w:val="Средняя сетка 3 - Акцент 62"/>
    <w:basedOn w:val="a2"/>
    <w:next w:val="3-6"/>
    <w:uiPriority w:val="69"/>
    <w:rsid w:val="00431CC5"/>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2">
    <w:name w:val="Темный список - Акцент 32"/>
    <w:basedOn w:val="a2"/>
    <w:next w:val="-3"/>
    <w:uiPriority w:val="70"/>
    <w:rsid w:val="00431CC5"/>
    <w:rPr>
      <w:rFonts w:ascii="Calibri" w:eastAsia="Calibri" w:hAnsi="Calibri"/>
      <w:color w:val="FFFFFF"/>
      <w:sz w:val="22"/>
      <w:szCs w:val="22"/>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c">
    <w:name w:val="Светлая заливка2"/>
    <w:basedOn w:val="a2"/>
    <w:next w:val="affd"/>
    <w:uiPriority w:val="60"/>
    <w:rsid w:val="00431CC5"/>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8">
    <w:name w:val="Подзаголовок Знак1"/>
    <w:basedOn w:val="a1"/>
    <w:uiPriority w:val="11"/>
    <w:rsid w:val="00431CC5"/>
    <w:rPr>
      <w:rFonts w:ascii="Cambria" w:eastAsia="Times New Roman" w:hAnsi="Cambria" w:cs="Times New Roman"/>
      <w:i/>
      <w:iCs/>
      <w:color w:val="4F81BD"/>
      <w:spacing w:val="15"/>
      <w:sz w:val="24"/>
      <w:szCs w:val="24"/>
    </w:rPr>
  </w:style>
  <w:style w:type="table" w:styleId="3-6">
    <w:name w:val="Medium Grid 3 Accent 6"/>
    <w:basedOn w:val="a2"/>
    <w:uiPriority w:val="69"/>
    <w:rsid w:val="00431CC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
    <w:name w:val="Dark List Accent 3"/>
    <w:basedOn w:val="a2"/>
    <w:uiPriority w:val="70"/>
    <w:rsid w:val="00431CC5"/>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affd">
    <w:name w:val="Light Shading"/>
    <w:basedOn w:val="a2"/>
    <w:uiPriority w:val="60"/>
    <w:rsid w:val="00431C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f1">
    <w:name w:val="Обычный (веб) Знак"/>
    <w:link w:val="af0"/>
    <w:rsid w:val="001F45ED"/>
    <w:rPr>
      <w:color w:val="000000"/>
      <w:sz w:val="24"/>
      <w:szCs w:val="24"/>
    </w:rPr>
  </w:style>
  <w:style w:type="table" w:customStyle="1" w:styleId="3a">
    <w:name w:val="Сетка таблицы3"/>
    <w:basedOn w:val="a2"/>
    <w:next w:val="a9"/>
    <w:uiPriority w:val="59"/>
    <w:rsid w:val="001F09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9"/>
    <w:uiPriority w:val="59"/>
    <w:rsid w:val="006265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Абзац списка Знак"/>
    <w:aliases w:val="Абзац списка основной Знак"/>
    <w:link w:val="aff2"/>
    <w:uiPriority w:val="34"/>
    <w:locked/>
    <w:rsid w:val="005132F7"/>
    <w:rPr>
      <w:sz w:val="26"/>
      <w:szCs w:val="26"/>
    </w:rPr>
  </w:style>
  <w:style w:type="paragraph" w:styleId="2d">
    <w:name w:val="Body Text 2"/>
    <w:basedOn w:val="a0"/>
    <w:link w:val="2e"/>
    <w:rsid w:val="00B12755"/>
    <w:pPr>
      <w:spacing w:after="120" w:line="480" w:lineRule="auto"/>
    </w:pPr>
  </w:style>
  <w:style w:type="character" w:customStyle="1" w:styleId="2e">
    <w:name w:val="Основной текст 2 Знак"/>
    <w:basedOn w:val="a1"/>
    <w:link w:val="2d"/>
    <w:rsid w:val="00B12755"/>
    <w:rPr>
      <w:sz w:val="26"/>
      <w:szCs w:val="26"/>
    </w:rPr>
  </w:style>
  <w:style w:type="paragraph" w:styleId="affe">
    <w:name w:val="Salutation"/>
    <w:basedOn w:val="a0"/>
    <w:link w:val="afff"/>
    <w:rsid w:val="00B12755"/>
    <w:rPr>
      <w:sz w:val="28"/>
      <w:szCs w:val="20"/>
    </w:rPr>
  </w:style>
  <w:style w:type="character" w:customStyle="1" w:styleId="afff">
    <w:name w:val="Приветствие Знак"/>
    <w:basedOn w:val="a1"/>
    <w:link w:val="affe"/>
    <w:rsid w:val="00B1275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qFormat="1"/>
    <w:lsdException w:name="List 2" w:uiPriority="99"/>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F48DB"/>
    <w:rPr>
      <w:sz w:val="26"/>
      <w:szCs w:val="26"/>
    </w:rPr>
  </w:style>
  <w:style w:type="paragraph" w:styleId="1">
    <w:name w:val="heading 1"/>
    <w:basedOn w:val="a0"/>
    <w:next w:val="a0"/>
    <w:link w:val="10"/>
    <w:qFormat/>
    <w:rsid w:val="00EF7178"/>
    <w:pPr>
      <w:keepNext/>
      <w:outlineLvl w:val="0"/>
    </w:pPr>
    <w:rPr>
      <w:b/>
      <w:bCs/>
      <w:sz w:val="24"/>
      <w:szCs w:val="24"/>
    </w:rPr>
  </w:style>
  <w:style w:type="paragraph" w:styleId="2">
    <w:name w:val="heading 2"/>
    <w:basedOn w:val="a0"/>
    <w:next w:val="a0"/>
    <w:link w:val="20"/>
    <w:qFormat/>
    <w:rsid w:val="00EF7178"/>
    <w:pPr>
      <w:keepNext/>
      <w:jc w:val="both"/>
      <w:outlineLvl w:val="1"/>
    </w:pPr>
    <w:rPr>
      <w:sz w:val="24"/>
      <w:szCs w:val="24"/>
    </w:rPr>
  </w:style>
  <w:style w:type="paragraph" w:styleId="3">
    <w:name w:val="heading 3"/>
    <w:basedOn w:val="a0"/>
    <w:next w:val="a0"/>
    <w:link w:val="30"/>
    <w:qFormat/>
    <w:rsid w:val="00EF7178"/>
    <w:pPr>
      <w:keepNext/>
      <w:spacing w:before="120"/>
      <w:jc w:val="both"/>
      <w:outlineLvl w:val="2"/>
    </w:pPr>
    <w:rPr>
      <w:b/>
      <w:bCs/>
      <w:sz w:val="24"/>
      <w:szCs w:val="24"/>
    </w:rPr>
  </w:style>
  <w:style w:type="paragraph" w:styleId="4">
    <w:name w:val="heading 4"/>
    <w:basedOn w:val="a0"/>
    <w:next w:val="a0"/>
    <w:link w:val="40"/>
    <w:qFormat/>
    <w:rsid w:val="00EF7178"/>
    <w:pPr>
      <w:keepNext/>
      <w:spacing w:before="120"/>
      <w:ind w:firstLine="708"/>
      <w:jc w:val="both"/>
      <w:outlineLvl w:val="3"/>
    </w:pPr>
    <w:rPr>
      <w:sz w:val="24"/>
      <w:szCs w:val="24"/>
    </w:rPr>
  </w:style>
  <w:style w:type="paragraph" w:styleId="5">
    <w:name w:val="heading 5"/>
    <w:basedOn w:val="a0"/>
    <w:next w:val="a0"/>
    <w:link w:val="50"/>
    <w:qFormat/>
    <w:rsid w:val="00ED29CA"/>
    <w:pPr>
      <w:spacing w:before="240" w:after="60"/>
      <w:outlineLvl w:val="4"/>
    </w:pPr>
    <w:rPr>
      <w:b/>
      <w:bCs/>
      <w:i/>
      <w:iCs/>
    </w:rPr>
  </w:style>
  <w:style w:type="paragraph" w:styleId="6">
    <w:name w:val="heading 6"/>
    <w:basedOn w:val="a0"/>
    <w:next w:val="a0"/>
    <w:link w:val="60"/>
    <w:qFormat/>
    <w:rsid w:val="00ED29CA"/>
    <w:pPr>
      <w:spacing w:before="240" w:after="60"/>
      <w:outlineLvl w:val="5"/>
    </w:pPr>
    <w:rPr>
      <w:b/>
      <w:bCs/>
      <w:sz w:val="22"/>
      <w:szCs w:val="22"/>
    </w:rPr>
  </w:style>
  <w:style w:type="paragraph" w:styleId="7">
    <w:name w:val="heading 7"/>
    <w:basedOn w:val="a0"/>
    <w:next w:val="a0"/>
    <w:link w:val="70"/>
    <w:qFormat/>
    <w:rsid w:val="00ED29CA"/>
    <w:pPr>
      <w:spacing w:before="240" w:after="60"/>
      <w:outlineLvl w:val="6"/>
    </w:pPr>
    <w:rPr>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F29F7"/>
    <w:rPr>
      <w:b/>
      <w:bCs/>
      <w:sz w:val="24"/>
      <w:szCs w:val="24"/>
    </w:rPr>
  </w:style>
  <w:style w:type="character" w:customStyle="1" w:styleId="20">
    <w:name w:val="Заголовок 2 Знак"/>
    <w:basedOn w:val="a1"/>
    <w:link w:val="2"/>
    <w:rsid w:val="00C64248"/>
    <w:rPr>
      <w:sz w:val="24"/>
      <w:szCs w:val="24"/>
    </w:rPr>
  </w:style>
  <w:style w:type="character" w:customStyle="1" w:styleId="30">
    <w:name w:val="Заголовок 3 Знак"/>
    <w:basedOn w:val="a1"/>
    <w:link w:val="3"/>
    <w:rsid w:val="006A5323"/>
    <w:rPr>
      <w:b/>
      <w:bCs/>
      <w:sz w:val="24"/>
      <w:szCs w:val="24"/>
    </w:rPr>
  </w:style>
  <w:style w:type="paragraph" w:styleId="a4">
    <w:name w:val="footer"/>
    <w:basedOn w:val="a0"/>
    <w:link w:val="a5"/>
    <w:rsid w:val="00387453"/>
    <w:pPr>
      <w:tabs>
        <w:tab w:val="center" w:pos="4677"/>
        <w:tab w:val="right" w:pos="9355"/>
      </w:tabs>
    </w:pPr>
  </w:style>
  <w:style w:type="character" w:styleId="a6">
    <w:name w:val="page number"/>
    <w:basedOn w:val="a1"/>
    <w:rsid w:val="00387453"/>
  </w:style>
  <w:style w:type="paragraph" w:styleId="a7">
    <w:name w:val="header"/>
    <w:aliases w:val="ВерхКолонтитул Знак,Верхний колонтитул Знак Знак,ВерхКолонтитул"/>
    <w:basedOn w:val="a0"/>
    <w:link w:val="a8"/>
    <w:rsid w:val="00387453"/>
    <w:pPr>
      <w:tabs>
        <w:tab w:val="center" w:pos="4677"/>
        <w:tab w:val="right" w:pos="9355"/>
      </w:tabs>
    </w:pPr>
  </w:style>
  <w:style w:type="character" w:customStyle="1" w:styleId="a8">
    <w:name w:val="Верхний колонтитул Знак"/>
    <w:aliases w:val="ВерхКолонтитул Знак Знак,Верхний колонтитул Знак Знак Знак,ВерхКолонтитул Знак1"/>
    <w:basedOn w:val="a1"/>
    <w:link w:val="a7"/>
    <w:rsid w:val="00490A50"/>
    <w:rPr>
      <w:sz w:val="26"/>
      <w:szCs w:val="26"/>
    </w:rPr>
  </w:style>
  <w:style w:type="table" w:styleId="a9">
    <w:name w:val="Table Grid"/>
    <w:basedOn w:val="a2"/>
    <w:uiPriority w:val="59"/>
    <w:rsid w:val="00166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ED3778"/>
    <w:pPr>
      <w:widowControl w:val="0"/>
      <w:autoSpaceDE w:val="0"/>
      <w:autoSpaceDN w:val="0"/>
      <w:adjustRightInd w:val="0"/>
    </w:pPr>
    <w:rPr>
      <w:rFonts w:ascii="Arial" w:hAnsi="Arial" w:cs="Arial"/>
      <w:b/>
      <w:bCs/>
      <w:sz w:val="16"/>
      <w:szCs w:val="16"/>
    </w:rPr>
  </w:style>
  <w:style w:type="character" w:styleId="aa">
    <w:name w:val="Hyperlink"/>
    <w:basedOn w:val="a1"/>
    <w:uiPriority w:val="99"/>
    <w:rsid w:val="00B670BF"/>
    <w:rPr>
      <w:color w:val="0000FF"/>
      <w:u w:val="single"/>
    </w:rPr>
  </w:style>
  <w:style w:type="paragraph" w:customStyle="1" w:styleId="12pt0">
    <w:name w:val="Стиль 12 pt полужирный по центру Междустр.интервал:  множитель 0..."/>
    <w:basedOn w:val="a0"/>
    <w:rsid w:val="00F65102"/>
    <w:pPr>
      <w:spacing w:line="192" w:lineRule="auto"/>
      <w:jc w:val="center"/>
    </w:pPr>
    <w:rPr>
      <w:b/>
      <w:bCs/>
      <w:sz w:val="24"/>
      <w:szCs w:val="20"/>
    </w:rPr>
  </w:style>
  <w:style w:type="paragraph" w:styleId="ab">
    <w:name w:val="Body Text"/>
    <w:basedOn w:val="a0"/>
    <w:link w:val="ac"/>
    <w:rsid w:val="00EF7178"/>
    <w:pPr>
      <w:spacing w:after="120"/>
      <w:jc w:val="both"/>
    </w:pPr>
    <w:rPr>
      <w:sz w:val="24"/>
      <w:szCs w:val="24"/>
    </w:rPr>
  </w:style>
  <w:style w:type="paragraph" w:styleId="ad">
    <w:name w:val="Body Text Indent"/>
    <w:basedOn w:val="a0"/>
    <w:link w:val="ae"/>
    <w:rsid w:val="00EF7178"/>
    <w:pPr>
      <w:spacing w:before="120"/>
      <w:ind w:firstLine="709"/>
      <w:jc w:val="both"/>
    </w:pPr>
    <w:rPr>
      <w:sz w:val="24"/>
      <w:szCs w:val="24"/>
    </w:rPr>
  </w:style>
  <w:style w:type="paragraph" w:styleId="21">
    <w:name w:val="Body Text Indent 2"/>
    <w:basedOn w:val="a0"/>
    <w:link w:val="22"/>
    <w:rsid w:val="00EF7178"/>
    <w:pPr>
      <w:spacing w:before="120"/>
      <w:ind w:firstLine="708"/>
      <w:jc w:val="both"/>
    </w:pPr>
    <w:rPr>
      <w:sz w:val="24"/>
      <w:szCs w:val="24"/>
    </w:rPr>
  </w:style>
  <w:style w:type="paragraph" w:styleId="31">
    <w:name w:val="Body Text Indent 3"/>
    <w:basedOn w:val="a0"/>
    <w:link w:val="32"/>
    <w:rsid w:val="00EF7178"/>
    <w:pPr>
      <w:spacing w:before="120" w:after="120"/>
      <w:ind w:firstLine="708"/>
    </w:pPr>
    <w:rPr>
      <w:sz w:val="24"/>
      <w:szCs w:val="24"/>
    </w:rPr>
  </w:style>
  <w:style w:type="paragraph" w:styleId="af">
    <w:name w:val="caption"/>
    <w:basedOn w:val="a0"/>
    <w:next w:val="a0"/>
    <w:qFormat/>
    <w:rsid w:val="00ED29CA"/>
    <w:pPr>
      <w:spacing w:before="120" w:after="120"/>
      <w:ind w:firstLine="708"/>
      <w:jc w:val="both"/>
    </w:pPr>
    <w:rPr>
      <w:b/>
      <w:bCs/>
      <w:i/>
      <w:iCs/>
      <w:sz w:val="24"/>
      <w:szCs w:val="24"/>
    </w:rPr>
  </w:style>
  <w:style w:type="paragraph" w:styleId="33">
    <w:name w:val="Body Text 3"/>
    <w:basedOn w:val="a0"/>
    <w:link w:val="34"/>
    <w:rsid w:val="00181DA7"/>
    <w:pPr>
      <w:spacing w:after="120"/>
    </w:pPr>
    <w:rPr>
      <w:sz w:val="16"/>
      <w:szCs w:val="16"/>
    </w:rPr>
  </w:style>
  <w:style w:type="paragraph" w:customStyle="1" w:styleId="210">
    <w:name w:val="Îñíîâíîé òåêñò 21"/>
    <w:basedOn w:val="a0"/>
    <w:rsid w:val="00181DA7"/>
    <w:pPr>
      <w:jc w:val="both"/>
    </w:pPr>
    <w:rPr>
      <w:sz w:val="24"/>
      <w:szCs w:val="20"/>
    </w:rPr>
  </w:style>
  <w:style w:type="paragraph" w:styleId="af0">
    <w:name w:val="Normal (Web)"/>
    <w:basedOn w:val="a0"/>
    <w:link w:val="af1"/>
    <w:uiPriority w:val="99"/>
    <w:rsid w:val="00066ECD"/>
    <w:pPr>
      <w:spacing w:before="100" w:beforeAutospacing="1" w:after="100" w:afterAutospacing="1"/>
    </w:pPr>
    <w:rPr>
      <w:color w:val="000000"/>
      <w:sz w:val="24"/>
      <w:szCs w:val="24"/>
    </w:rPr>
  </w:style>
  <w:style w:type="character" w:styleId="af2">
    <w:name w:val="Strong"/>
    <w:basedOn w:val="a1"/>
    <w:uiPriority w:val="22"/>
    <w:qFormat/>
    <w:rsid w:val="00066ECD"/>
    <w:rPr>
      <w:b/>
      <w:bCs/>
    </w:rPr>
  </w:style>
  <w:style w:type="paragraph" w:customStyle="1" w:styleId="ConsNormal">
    <w:name w:val="ConsNormal"/>
    <w:rsid w:val="009E3207"/>
    <w:pPr>
      <w:widowControl w:val="0"/>
      <w:autoSpaceDE w:val="0"/>
      <w:autoSpaceDN w:val="0"/>
      <w:adjustRightInd w:val="0"/>
      <w:ind w:firstLine="720"/>
    </w:pPr>
    <w:rPr>
      <w:rFonts w:ascii="Arial" w:hAnsi="Arial" w:cs="Arial"/>
    </w:rPr>
  </w:style>
  <w:style w:type="paragraph" w:styleId="af3">
    <w:name w:val="Balloon Text"/>
    <w:basedOn w:val="a0"/>
    <w:link w:val="af4"/>
    <w:semiHidden/>
    <w:rsid w:val="00662947"/>
    <w:rPr>
      <w:rFonts w:ascii="Tahoma" w:hAnsi="Tahoma" w:cs="Tahoma"/>
      <w:sz w:val="16"/>
      <w:szCs w:val="16"/>
    </w:rPr>
  </w:style>
  <w:style w:type="paragraph" w:styleId="11">
    <w:name w:val="toc 1"/>
    <w:basedOn w:val="a0"/>
    <w:next w:val="a0"/>
    <w:autoRedefine/>
    <w:uiPriority w:val="39"/>
    <w:rsid w:val="003B79F1"/>
    <w:pPr>
      <w:tabs>
        <w:tab w:val="right" w:leader="dot" w:pos="10490"/>
      </w:tabs>
      <w:spacing w:beforeLines="60" w:before="144" w:afterLines="60" w:after="144"/>
    </w:pPr>
    <w:rPr>
      <w:rFonts w:ascii="Bookman Old Style" w:hAnsi="Bookman Old Style"/>
      <w:noProof/>
      <w:sz w:val="20"/>
      <w:szCs w:val="20"/>
    </w:rPr>
  </w:style>
  <w:style w:type="paragraph" w:styleId="35">
    <w:name w:val="toc 3"/>
    <w:basedOn w:val="a0"/>
    <w:next w:val="a0"/>
    <w:autoRedefine/>
    <w:uiPriority w:val="39"/>
    <w:rsid w:val="007A27FB"/>
    <w:pPr>
      <w:tabs>
        <w:tab w:val="right" w:leader="dot" w:pos="10206"/>
      </w:tabs>
      <w:spacing w:before="80" w:after="80"/>
    </w:pPr>
  </w:style>
  <w:style w:type="paragraph" w:styleId="23">
    <w:name w:val="List 2"/>
    <w:basedOn w:val="a0"/>
    <w:uiPriority w:val="99"/>
    <w:rsid w:val="008D6F23"/>
    <w:pPr>
      <w:ind w:left="566" w:hanging="283"/>
    </w:pPr>
  </w:style>
  <w:style w:type="paragraph" w:styleId="36">
    <w:name w:val="List 3"/>
    <w:basedOn w:val="a0"/>
    <w:rsid w:val="008D6F23"/>
    <w:pPr>
      <w:ind w:left="849" w:hanging="283"/>
    </w:pPr>
  </w:style>
  <w:style w:type="paragraph" w:styleId="af5">
    <w:name w:val="List Bullet"/>
    <w:basedOn w:val="a0"/>
    <w:rsid w:val="008D6F23"/>
    <w:pPr>
      <w:tabs>
        <w:tab w:val="num" w:pos="360"/>
      </w:tabs>
      <w:ind w:left="360" w:hanging="360"/>
    </w:pPr>
  </w:style>
  <w:style w:type="paragraph" w:styleId="24">
    <w:name w:val="List Bullet 2"/>
    <w:basedOn w:val="a0"/>
    <w:rsid w:val="008D6F23"/>
    <w:pPr>
      <w:tabs>
        <w:tab w:val="num" w:pos="643"/>
      </w:tabs>
      <w:ind w:left="643" w:hanging="360"/>
    </w:pPr>
  </w:style>
  <w:style w:type="paragraph" w:styleId="25">
    <w:name w:val="List Continue 2"/>
    <w:basedOn w:val="a0"/>
    <w:rsid w:val="008D6F23"/>
    <w:pPr>
      <w:spacing w:after="120"/>
      <w:ind w:left="566"/>
    </w:pPr>
  </w:style>
  <w:style w:type="paragraph" w:styleId="af6">
    <w:name w:val="Title"/>
    <w:basedOn w:val="a0"/>
    <w:link w:val="af7"/>
    <w:qFormat/>
    <w:rsid w:val="008D6F23"/>
    <w:pPr>
      <w:spacing w:before="240" w:after="60"/>
      <w:jc w:val="center"/>
      <w:outlineLvl w:val="0"/>
    </w:pPr>
    <w:rPr>
      <w:rFonts w:ascii="Arial" w:hAnsi="Arial" w:cs="Arial"/>
      <w:b/>
      <w:bCs/>
      <w:kern w:val="28"/>
      <w:sz w:val="32"/>
      <w:szCs w:val="32"/>
    </w:rPr>
  </w:style>
  <w:style w:type="paragraph" w:styleId="af8">
    <w:name w:val="Subtitle"/>
    <w:basedOn w:val="a0"/>
    <w:link w:val="af9"/>
    <w:uiPriority w:val="11"/>
    <w:qFormat/>
    <w:rsid w:val="008D6F23"/>
    <w:pPr>
      <w:spacing w:after="60"/>
      <w:jc w:val="center"/>
      <w:outlineLvl w:val="1"/>
    </w:pPr>
    <w:rPr>
      <w:rFonts w:ascii="Arial" w:hAnsi="Arial" w:cs="Arial"/>
      <w:sz w:val="24"/>
      <w:szCs w:val="24"/>
    </w:rPr>
  </w:style>
  <w:style w:type="paragraph" w:styleId="afa">
    <w:name w:val="Body Text First Indent"/>
    <w:basedOn w:val="ab"/>
    <w:link w:val="afb"/>
    <w:rsid w:val="008D6F23"/>
    <w:pPr>
      <w:ind w:firstLine="210"/>
      <w:jc w:val="left"/>
    </w:pPr>
    <w:rPr>
      <w:sz w:val="26"/>
      <w:szCs w:val="26"/>
    </w:rPr>
  </w:style>
  <w:style w:type="paragraph" w:styleId="26">
    <w:name w:val="Body Text First Indent 2"/>
    <w:basedOn w:val="ad"/>
    <w:link w:val="27"/>
    <w:rsid w:val="008D6F23"/>
    <w:pPr>
      <w:spacing w:before="0" w:after="120"/>
      <w:ind w:left="283" w:firstLine="210"/>
      <w:jc w:val="left"/>
    </w:pPr>
    <w:rPr>
      <w:sz w:val="26"/>
      <w:szCs w:val="26"/>
    </w:rPr>
  </w:style>
  <w:style w:type="paragraph" w:customStyle="1" w:styleId="ConsCell">
    <w:name w:val="ConsCell"/>
    <w:rsid w:val="00762B9B"/>
    <w:pPr>
      <w:widowControl w:val="0"/>
      <w:autoSpaceDE w:val="0"/>
      <w:autoSpaceDN w:val="0"/>
      <w:adjustRightInd w:val="0"/>
    </w:pPr>
    <w:rPr>
      <w:rFonts w:ascii="Arial" w:hAnsi="Arial" w:cs="Arial"/>
    </w:rPr>
  </w:style>
  <w:style w:type="paragraph" w:styleId="afc">
    <w:name w:val="Document Map"/>
    <w:basedOn w:val="a0"/>
    <w:link w:val="afd"/>
    <w:semiHidden/>
    <w:rsid w:val="00435F37"/>
    <w:pPr>
      <w:shd w:val="clear" w:color="auto" w:fill="000080"/>
    </w:pPr>
    <w:rPr>
      <w:rFonts w:ascii="Tahoma" w:hAnsi="Tahoma" w:cs="Tahoma"/>
      <w:sz w:val="20"/>
      <w:szCs w:val="20"/>
    </w:rPr>
  </w:style>
  <w:style w:type="paragraph" w:styleId="28">
    <w:name w:val="toc 2"/>
    <w:basedOn w:val="a0"/>
    <w:next w:val="a0"/>
    <w:autoRedefine/>
    <w:uiPriority w:val="39"/>
    <w:rsid w:val="001434FD"/>
    <w:pPr>
      <w:tabs>
        <w:tab w:val="right" w:leader="dot" w:pos="10479"/>
      </w:tabs>
      <w:spacing w:before="120" w:after="120"/>
      <w:ind w:left="261"/>
    </w:pPr>
    <w:rPr>
      <w:rFonts w:ascii="Bookman Old Style" w:hAnsi="Bookman Old Style"/>
      <w:noProof/>
      <w:sz w:val="20"/>
      <w:szCs w:val="20"/>
    </w:rPr>
  </w:style>
  <w:style w:type="paragraph" w:customStyle="1" w:styleId="ConsNonformat">
    <w:name w:val="ConsNonformat"/>
    <w:rsid w:val="0089586A"/>
    <w:pPr>
      <w:widowControl w:val="0"/>
      <w:autoSpaceDE w:val="0"/>
      <w:autoSpaceDN w:val="0"/>
      <w:adjustRightInd w:val="0"/>
    </w:pPr>
    <w:rPr>
      <w:rFonts w:ascii="Courier New" w:hAnsi="Courier New" w:cs="Courier New"/>
    </w:rPr>
  </w:style>
  <w:style w:type="paragraph" w:styleId="afe">
    <w:name w:val="footnote text"/>
    <w:aliases w:val="Текст сноски Знак Знак,Текст сноски Знак1 Знак,Текст сноски Знак Знак1 Знак,Table_Footnote_last,Текст сноски Знак Знак Знак Знак Знак Знак Знак,Текст сноски Знак Знак Знак Знак Знак Знак Знак Знак,Текст примечания Знак Знак Знак,Зна,Знак1,З"/>
    <w:basedOn w:val="a0"/>
    <w:link w:val="aff"/>
    <w:uiPriority w:val="99"/>
    <w:rsid w:val="003408B0"/>
    <w:rPr>
      <w:sz w:val="20"/>
      <w:szCs w:val="20"/>
    </w:rPr>
  </w:style>
  <w:style w:type="character" w:customStyle="1" w:styleId="aff">
    <w:name w:val="Текст сноски Знак"/>
    <w:aliases w:val="Текст сноски Знак Знак Знак,Текст сноски Знак1 Знак Знак,Текст сноски Знак Знак1 Знак Знак,Table_Footnote_last Знак,Текст сноски Знак Знак Знак Знак Знак Знак Знак Знак1,Текст сноски Знак Знак Знак Знак Знак Знак Знак Знак Знак,З Знак"/>
    <w:basedOn w:val="a1"/>
    <w:link w:val="afe"/>
    <w:uiPriority w:val="99"/>
    <w:rsid w:val="00EB07A6"/>
  </w:style>
  <w:style w:type="character" w:styleId="aff0">
    <w:name w:val="footnote reference"/>
    <w:aliases w:val="Знак сноски 1,Знак сноски-FN,ftref,сноска,вески,Ciae niinee-FN,Referencia nota al pie,СНОСКА,сноска1,fr,Used by Word for Help footnote symbols,ХИА_ЗС,Знак сноски1,SUPERS,Avg - Знак сноски,Avg,ООО Знак сноски,avg-Знак сноски"/>
    <w:basedOn w:val="a1"/>
    <w:qFormat/>
    <w:rsid w:val="003408B0"/>
    <w:rPr>
      <w:vertAlign w:val="superscript"/>
    </w:rPr>
  </w:style>
  <w:style w:type="paragraph" w:customStyle="1" w:styleId="ConsPlusNormal">
    <w:name w:val="ConsPlusNormal"/>
    <w:rsid w:val="00380BAF"/>
    <w:pPr>
      <w:widowControl w:val="0"/>
      <w:autoSpaceDE w:val="0"/>
      <w:autoSpaceDN w:val="0"/>
      <w:adjustRightInd w:val="0"/>
      <w:ind w:firstLine="720"/>
    </w:pPr>
    <w:rPr>
      <w:rFonts w:ascii="Arial" w:hAnsi="Arial" w:cs="Arial"/>
    </w:rPr>
  </w:style>
  <w:style w:type="paragraph" w:customStyle="1" w:styleId="ConsPlusTitle">
    <w:name w:val="ConsPlusTitle"/>
    <w:rsid w:val="001C655C"/>
    <w:pPr>
      <w:widowControl w:val="0"/>
      <w:autoSpaceDE w:val="0"/>
      <w:autoSpaceDN w:val="0"/>
      <w:adjustRightInd w:val="0"/>
    </w:pPr>
    <w:rPr>
      <w:rFonts w:ascii="Arial" w:hAnsi="Arial" w:cs="Arial"/>
      <w:b/>
      <w:bCs/>
    </w:rPr>
  </w:style>
  <w:style w:type="character" w:styleId="aff1">
    <w:name w:val="Emphasis"/>
    <w:basedOn w:val="a1"/>
    <w:uiPriority w:val="20"/>
    <w:qFormat/>
    <w:rsid w:val="00392C78"/>
    <w:rPr>
      <w:i/>
      <w:iCs/>
    </w:rPr>
  </w:style>
  <w:style w:type="paragraph" w:customStyle="1" w:styleId="just">
    <w:name w:val="just"/>
    <w:basedOn w:val="a0"/>
    <w:rsid w:val="00293D86"/>
    <w:pPr>
      <w:spacing w:before="100" w:beforeAutospacing="1" w:after="100" w:afterAutospacing="1"/>
    </w:pPr>
    <w:rPr>
      <w:sz w:val="24"/>
      <w:szCs w:val="24"/>
    </w:rPr>
  </w:style>
  <w:style w:type="paragraph" w:customStyle="1" w:styleId="pcss">
    <w:name w:val="pcss"/>
    <w:basedOn w:val="a0"/>
    <w:rsid w:val="005E670E"/>
    <w:pPr>
      <w:spacing w:before="100" w:beforeAutospacing="1" w:after="100" w:afterAutospacing="1"/>
      <w:ind w:firstLine="720"/>
    </w:pPr>
    <w:rPr>
      <w:rFonts w:ascii="Verdana" w:hAnsi="Verdana"/>
      <w:sz w:val="18"/>
      <w:szCs w:val="18"/>
    </w:rPr>
  </w:style>
  <w:style w:type="paragraph" w:styleId="aff2">
    <w:name w:val="List Paragraph"/>
    <w:aliases w:val="Абзац списка основной"/>
    <w:basedOn w:val="a0"/>
    <w:link w:val="aff3"/>
    <w:uiPriority w:val="34"/>
    <w:qFormat/>
    <w:rsid w:val="00AC72C1"/>
    <w:pPr>
      <w:ind w:left="720"/>
      <w:contextualSpacing/>
    </w:pPr>
  </w:style>
  <w:style w:type="paragraph" w:styleId="aff4">
    <w:name w:val="Revision"/>
    <w:hidden/>
    <w:uiPriority w:val="99"/>
    <w:semiHidden/>
    <w:rsid w:val="007342E0"/>
    <w:rPr>
      <w:sz w:val="26"/>
      <w:szCs w:val="26"/>
    </w:rPr>
  </w:style>
  <w:style w:type="paragraph" w:styleId="a">
    <w:name w:val="Plain Text"/>
    <w:basedOn w:val="a0"/>
    <w:link w:val="aff5"/>
    <w:autoRedefine/>
    <w:rsid w:val="00F94C1B"/>
    <w:pPr>
      <w:widowControl w:val="0"/>
      <w:numPr>
        <w:numId w:val="9"/>
      </w:numPr>
      <w:autoSpaceDE w:val="0"/>
      <w:autoSpaceDN w:val="0"/>
      <w:adjustRightInd w:val="0"/>
      <w:spacing w:before="120" w:after="120"/>
    </w:pPr>
    <w:rPr>
      <w:rFonts w:ascii="Bookman Old Style" w:hAnsi="Bookman Old Style"/>
      <w:sz w:val="20"/>
      <w:szCs w:val="20"/>
    </w:rPr>
  </w:style>
  <w:style w:type="character" w:customStyle="1" w:styleId="aff5">
    <w:name w:val="Текст Знак"/>
    <w:basedOn w:val="a1"/>
    <w:link w:val="a"/>
    <w:rsid w:val="00F94C1B"/>
    <w:rPr>
      <w:rFonts w:ascii="Bookman Old Style" w:hAnsi="Bookman Old Style"/>
    </w:rPr>
  </w:style>
  <w:style w:type="character" w:styleId="aff6">
    <w:name w:val="Placeholder Text"/>
    <w:basedOn w:val="a1"/>
    <w:uiPriority w:val="99"/>
    <w:semiHidden/>
    <w:rsid w:val="009D676E"/>
    <w:rPr>
      <w:color w:val="808080"/>
    </w:rPr>
  </w:style>
  <w:style w:type="paragraph" w:customStyle="1" w:styleId="ConsPlusNonformat">
    <w:name w:val="ConsPlusNonformat"/>
    <w:rsid w:val="00ED600A"/>
    <w:pPr>
      <w:widowControl w:val="0"/>
      <w:autoSpaceDE w:val="0"/>
      <w:autoSpaceDN w:val="0"/>
      <w:adjustRightInd w:val="0"/>
    </w:pPr>
    <w:rPr>
      <w:rFonts w:ascii="Courier New" w:hAnsi="Courier New" w:cs="Courier New"/>
    </w:rPr>
  </w:style>
  <w:style w:type="paragraph" w:customStyle="1" w:styleId="text">
    <w:name w:val="text"/>
    <w:basedOn w:val="a0"/>
    <w:rsid w:val="002C0BA7"/>
    <w:pPr>
      <w:spacing w:before="100" w:beforeAutospacing="1" w:after="100" w:afterAutospacing="1"/>
    </w:pPr>
    <w:rPr>
      <w:sz w:val="24"/>
      <w:szCs w:val="24"/>
    </w:rPr>
  </w:style>
  <w:style w:type="paragraph" w:customStyle="1" w:styleId="u">
    <w:name w:val="u"/>
    <w:basedOn w:val="a0"/>
    <w:rsid w:val="00E746DF"/>
    <w:pPr>
      <w:ind w:firstLine="390"/>
      <w:jc w:val="both"/>
    </w:pPr>
    <w:rPr>
      <w:sz w:val="24"/>
      <w:szCs w:val="24"/>
    </w:rPr>
  </w:style>
  <w:style w:type="character" w:styleId="HTML">
    <w:name w:val="HTML Cite"/>
    <w:basedOn w:val="a1"/>
    <w:uiPriority w:val="99"/>
    <w:unhideWhenUsed/>
    <w:rsid w:val="00EE1A35"/>
    <w:rPr>
      <w:i/>
      <w:iCs/>
    </w:rPr>
  </w:style>
  <w:style w:type="character" w:customStyle="1" w:styleId="small">
    <w:name w:val="small"/>
    <w:basedOn w:val="a1"/>
    <w:rsid w:val="00F544B5"/>
  </w:style>
  <w:style w:type="character" w:customStyle="1" w:styleId="char1">
    <w:name w:val="char1"/>
    <w:basedOn w:val="a1"/>
    <w:rsid w:val="00F544B5"/>
    <w:rPr>
      <w:rFonts w:ascii="Tahoma" w:hAnsi="Tahoma" w:cs="Tahoma" w:hint="default"/>
      <w:color w:val="1167AC"/>
    </w:rPr>
  </w:style>
  <w:style w:type="paragraph" w:styleId="aff7">
    <w:name w:val="No Spacing"/>
    <w:link w:val="aff8"/>
    <w:uiPriority w:val="1"/>
    <w:qFormat/>
    <w:rsid w:val="00EC349D"/>
    <w:rPr>
      <w:rFonts w:ascii="Calibri" w:hAnsi="Calibri"/>
      <w:sz w:val="22"/>
      <w:szCs w:val="22"/>
      <w:lang w:eastAsia="en-US"/>
    </w:rPr>
  </w:style>
  <w:style w:type="character" w:customStyle="1" w:styleId="aff8">
    <w:name w:val="Без интервала Знак"/>
    <w:link w:val="aff7"/>
    <w:uiPriority w:val="1"/>
    <w:rsid w:val="00EC349D"/>
    <w:rPr>
      <w:rFonts w:ascii="Calibri" w:hAnsi="Calibri"/>
      <w:sz w:val="22"/>
      <w:szCs w:val="22"/>
      <w:lang w:eastAsia="en-US"/>
    </w:rPr>
  </w:style>
  <w:style w:type="character" w:styleId="aff9">
    <w:name w:val="FollowedHyperlink"/>
    <w:basedOn w:val="a1"/>
    <w:uiPriority w:val="99"/>
    <w:rsid w:val="00F64584"/>
    <w:rPr>
      <w:color w:val="800080" w:themeColor="followedHyperlink"/>
      <w:u w:val="single"/>
    </w:rPr>
  </w:style>
  <w:style w:type="numbering" w:customStyle="1" w:styleId="12">
    <w:name w:val="Нет списка1"/>
    <w:next w:val="a3"/>
    <w:uiPriority w:val="99"/>
    <w:semiHidden/>
    <w:unhideWhenUsed/>
    <w:rsid w:val="00E44FED"/>
  </w:style>
  <w:style w:type="character" w:customStyle="1" w:styleId="40">
    <w:name w:val="Заголовок 4 Знак"/>
    <w:basedOn w:val="a1"/>
    <w:link w:val="4"/>
    <w:rsid w:val="00E44FED"/>
    <w:rPr>
      <w:sz w:val="24"/>
      <w:szCs w:val="24"/>
    </w:rPr>
  </w:style>
  <w:style w:type="character" w:customStyle="1" w:styleId="50">
    <w:name w:val="Заголовок 5 Знак"/>
    <w:basedOn w:val="a1"/>
    <w:link w:val="5"/>
    <w:rsid w:val="00E44FED"/>
    <w:rPr>
      <w:b/>
      <w:bCs/>
      <w:i/>
      <w:iCs/>
      <w:sz w:val="26"/>
      <w:szCs w:val="26"/>
    </w:rPr>
  </w:style>
  <w:style w:type="character" w:customStyle="1" w:styleId="60">
    <w:name w:val="Заголовок 6 Знак"/>
    <w:basedOn w:val="a1"/>
    <w:link w:val="6"/>
    <w:rsid w:val="00E44FED"/>
    <w:rPr>
      <w:b/>
      <w:bCs/>
      <w:sz w:val="22"/>
      <w:szCs w:val="22"/>
    </w:rPr>
  </w:style>
  <w:style w:type="character" w:customStyle="1" w:styleId="70">
    <w:name w:val="Заголовок 7 Знак"/>
    <w:basedOn w:val="a1"/>
    <w:link w:val="7"/>
    <w:rsid w:val="00E44FED"/>
    <w:rPr>
      <w:sz w:val="24"/>
      <w:szCs w:val="24"/>
    </w:rPr>
  </w:style>
  <w:style w:type="character" w:customStyle="1" w:styleId="a5">
    <w:name w:val="Нижний колонтитул Знак"/>
    <w:basedOn w:val="a1"/>
    <w:link w:val="a4"/>
    <w:rsid w:val="00E44FED"/>
    <w:rPr>
      <w:sz w:val="26"/>
      <w:szCs w:val="26"/>
    </w:rPr>
  </w:style>
  <w:style w:type="table" w:customStyle="1" w:styleId="13">
    <w:name w:val="Сетка таблицы1"/>
    <w:basedOn w:val="a2"/>
    <w:next w:val="a9"/>
    <w:rsid w:val="00E44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 Знак"/>
    <w:basedOn w:val="a1"/>
    <w:link w:val="ab"/>
    <w:rsid w:val="00E44FED"/>
    <w:rPr>
      <w:sz w:val="24"/>
      <w:szCs w:val="24"/>
    </w:rPr>
  </w:style>
  <w:style w:type="character" w:customStyle="1" w:styleId="ae">
    <w:name w:val="Основной текст с отступом Знак"/>
    <w:basedOn w:val="a1"/>
    <w:link w:val="ad"/>
    <w:rsid w:val="00E44FED"/>
    <w:rPr>
      <w:sz w:val="24"/>
      <w:szCs w:val="24"/>
    </w:rPr>
  </w:style>
  <w:style w:type="character" w:customStyle="1" w:styleId="22">
    <w:name w:val="Основной текст с отступом 2 Знак"/>
    <w:basedOn w:val="a1"/>
    <w:link w:val="21"/>
    <w:rsid w:val="00E44FED"/>
    <w:rPr>
      <w:sz w:val="24"/>
      <w:szCs w:val="24"/>
    </w:rPr>
  </w:style>
  <w:style w:type="character" w:customStyle="1" w:styleId="32">
    <w:name w:val="Основной текст с отступом 3 Знак"/>
    <w:basedOn w:val="a1"/>
    <w:link w:val="31"/>
    <w:rsid w:val="00E44FED"/>
    <w:rPr>
      <w:sz w:val="24"/>
      <w:szCs w:val="24"/>
    </w:rPr>
  </w:style>
  <w:style w:type="character" w:customStyle="1" w:styleId="34">
    <w:name w:val="Основной текст 3 Знак"/>
    <w:basedOn w:val="a1"/>
    <w:link w:val="33"/>
    <w:rsid w:val="00E44FED"/>
    <w:rPr>
      <w:sz w:val="16"/>
      <w:szCs w:val="16"/>
    </w:rPr>
  </w:style>
  <w:style w:type="character" w:customStyle="1" w:styleId="af4">
    <w:name w:val="Текст выноски Знак"/>
    <w:basedOn w:val="a1"/>
    <w:link w:val="af3"/>
    <w:uiPriority w:val="99"/>
    <w:semiHidden/>
    <w:rsid w:val="00E44FED"/>
    <w:rPr>
      <w:rFonts w:ascii="Tahoma" w:hAnsi="Tahoma" w:cs="Tahoma"/>
      <w:sz w:val="16"/>
      <w:szCs w:val="16"/>
    </w:rPr>
  </w:style>
  <w:style w:type="character" w:customStyle="1" w:styleId="af7">
    <w:name w:val="Название Знак"/>
    <w:basedOn w:val="a1"/>
    <w:link w:val="af6"/>
    <w:rsid w:val="00E44FED"/>
    <w:rPr>
      <w:rFonts w:ascii="Arial" w:hAnsi="Arial" w:cs="Arial"/>
      <w:b/>
      <w:bCs/>
      <w:kern w:val="28"/>
      <w:sz w:val="32"/>
      <w:szCs w:val="32"/>
    </w:rPr>
  </w:style>
  <w:style w:type="character" w:customStyle="1" w:styleId="af9">
    <w:name w:val="Подзаголовок Знак"/>
    <w:basedOn w:val="a1"/>
    <w:link w:val="af8"/>
    <w:uiPriority w:val="11"/>
    <w:rsid w:val="00E44FED"/>
    <w:rPr>
      <w:rFonts w:ascii="Arial" w:hAnsi="Arial" w:cs="Arial"/>
      <w:sz w:val="24"/>
      <w:szCs w:val="24"/>
    </w:rPr>
  </w:style>
  <w:style w:type="character" w:customStyle="1" w:styleId="afb">
    <w:name w:val="Красная строка Знак"/>
    <w:basedOn w:val="ac"/>
    <w:link w:val="afa"/>
    <w:rsid w:val="00E44FED"/>
    <w:rPr>
      <w:sz w:val="26"/>
      <w:szCs w:val="26"/>
    </w:rPr>
  </w:style>
  <w:style w:type="character" w:customStyle="1" w:styleId="27">
    <w:name w:val="Красная строка 2 Знак"/>
    <w:basedOn w:val="ae"/>
    <w:link w:val="26"/>
    <w:rsid w:val="00E44FED"/>
    <w:rPr>
      <w:sz w:val="26"/>
      <w:szCs w:val="26"/>
    </w:rPr>
  </w:style>
  <w:style w:type="character" w:customStyle="1" w:styleId="afd">
    <w:name w:val="Схема документа Знак"/>
    <w:basedOn w:val="a1"/>
    <w:link w:val="afc"/>
    <w:semiHidden/>
    <w:rsid w:val="00E44FED"/>
    <w:rPr>
      <w:rFonts w:ascii="Tahoma" w:hAnsi="Tahoma" w:cs="Tahoma"/>
      <w:shd w:val="clear" w:color="auto" w:fill="000080"/>
    </w:rPr>
  </w:style>
  <w:style w:type="numbering" w:customStyle="1" w:styleId="29">
    <w:name w:val="Нет списка2"/>
    <w:next w:val="a3"/>
    <w:uiPriority w:val="99"/>
    <w:semiHidden/>
    <w:unhideWhenUsed/>
    <w:rsid w:val="00DA2ED2"/>
  </w:style>
  <w:style w:type="numbering" w:customStyle="1" w:styleId="37">
    <w:name w:val="Нет списка3"/>
    <w:next w:val="a3"/>
    <w:uiPriority w:val="99"/>
    <w:semiHidden/>
    <w:unhideWhenUsed/>
    <w:rsid w:val="009C11D5"/>
  </w:style>
  <w:style w:type="paragraph" w:customStyle="1" w:styleId="affa">
    <w:name w:val="Таблица текст влево"/>
    <w:basedOn w:val="a0"/>
    <w:rsid w:val="00704057"/>
    <w:rPr>
      <w:rFonts w:ascii="Tahoma" w:hAnsi="Tahoma" w:cs="Tahoma"/>
      <w:spacing w:val="-5"/>
      <w:sz w:val="18"/>
      <w:szCs w:val="24"/>
    </w:rPr>
  </w:style>
  <w:style w:type="paragraph" w:styleId="41">
    <w:name w:val="toc 4"/>
    <w:basedOn w:val="a0"/>
    <w:next w:val="a0"/>
    <w:autoRedefine/>
    <w:uiPriority w:val="39"/>
    <w:unhideWhenUsed/>
    <w:rsid w:val="00453AB8"/>
    <w:pPr>
      <w:spacing w:after="100" w:line="276" w:lineRule="auto"/>
      <w:ind w:left="660"/>
    </w:pPr>
    <w:rPr>
      <w:rFonts w:asciiTheme="minorHAnsi" w:eastAsiaTheme="minorEastAsia" w:hAnsiTheme="minorHAnsi" w:cstheme="minorBidi"/>
      <w:sz w:val="22"/>
      <w:szCs w:val="22"/>
    </w:rPr>
  </w:style>
  <w:style w:type="paragraph" w:styleId="51">
    <w:name w:val="toc 5"/>
    <w:basedOn w:val="a0"/>
    <w:next w:val="a0"/>
    <w:autoRedefine/>
    <w:uiPriority w:val="39"/>
    <w:unhideWhenUsed/>
    <w:rsid w:val="00453AB8"/>
    <w:pPr>
      <w:spacing w:after="100" w:line="276" w:lineRule="auto"/>
      <w:ind w:left="880"/>
    </w:pPr>
    <w:rPr>
      <w:rFonts w:asciiTheme="minorHAnsi" w:eastAsiaTheme="minorEastAsia" w:hAnsiTheme="minorHAnsi" w:cstheme="minorBidi"/>
      <w:sz w:val="22"/>
      <w:szCs w:val="22"/>
    </w:rPr>
  </w:style>
  <w:style w:type="paragraph" w:styleId="61">
    <w:name w:val="toc 6"/>
    <w:basedOn w:val="a0"/>
    <w:next w:val="a0"/>
    <w:autoRedefine/>
    <w:uiPriority w:val="39"/>
    <w:unhideWhenUsed/>
    <w:rsid w:val="00453AB8"/>
    <w:pPr>
      <w:spacing w:after="100" w:line="276" w:lineRule="auto"/>
      <w:ind w:left="1100"/>
    </w:pPr>
    <w:rPr>
      <w:rFonts w:asciiTheme="minorHAnsi" w:eastAsiaTheme="minorEastAsia" w:hAnsiTheme="minorHAnsi" w:cstheme="minorBidi"/>
      <w:sz w:val="22"/>
      <w:szCs w:val="22"/>
    </w:rPr>
  </w:style>
  <w:style w:type="paragraph" w:styleId="71">
    <w:name w:val="toc 7"/>
    <w:basedOn w:val="a0"/>
    <w:next w:val="a0"/>
    <w:autoRedefine/>
    <w:uiPriority w:val="39"/>
    <w:unhideWhenUsed/>
    <w:rsid w:val="00453AB8"/>
    <w:pPr>
      <w:spacing w:after="100" w:line="276" w:lineRule="auto"/>
      <w:ind w:left="1320"/>
    </w:pPr>
    <w:rPr>
      <w:rFonts w:asciiTheme="minorHAnsi" w:eastAsiaTheme="minorEastAsia" w:hAnsiTheme="minorHAnsi" w:cstheme="minorBidi"/>
      <w:sz w:val="22"/>
      <w:szCs w:val="22"/>
    </w:rPr>
  </w:style>
  <w:style w:type="paragraph" w:styleId="8">
    <w:name w:val="toc 8"/>
    <w:basedOn w:val="a0"/>
    <w:next w:val="a0"/>
    <w:autoRedefine/>
    <w:uiPriority w:val="39"/>
    <w:unhideWhenUsed/>
    <w:rsid w:val="00453AB8"/>
    <w:pPr>
      <w:spacing w:after="100" w:line="276" w:lineRule="auto"/>
      <w:ind w:left="1540"/>
    </w:pPr>
    <w:rPr>
      <w:rFonts w:asciiTheme="minorHAnsi" w:eastAsiaTheme="minorEastAsia" w:hAnsiTheme="minorHAnsi" w:cstheme="minorBidi"/>
      <w:sz w:val="22"/>
      <w:szCs w:val="22"/>
    </w:rPr>
  </w:style>
  <w:style w:type="paragraph" w:styleId="9">
    <w:name w:val="toc 9"/>
    <w:basedOn w:val="a0"/>
    <w:next w:val="a0"/>
    <w:autoRedefine/>
    <w:uiPriority w:val="39"/>
    <w:unhideWhenUsed/>
    <w:rsid w:val="00453AB8"/>
    <w:pPr>
      <w:spacing w:after="100" w:line="276" w:lineRule="auto"/>
      <w:ind w:left="1760"/>
    </w:pPr>
    <w:rPr>
      <w:rFonts w:asciiTheme="minorHAnsi" w:eastAsiaTheme="minorEastAsia" w:hAnsiTheme="minorHAnsi" w:cstheme="minorBidi"/>
      <w:sz w:val="22"/>
      <w:szCs w:val="22"/>
    </w:rPr>
  </w:style>
  <w:style w:type="numbering" w:customStyle="1" w:styleId="42">
    <w:name w:val="Нет списка4"/>
    <w:next w:val="a3"/>
    <w:uiPriority w:val="99"/>
    <w:semiHidden/>
    <w:unhideWhenUsed/>
    <w:rsid w:val="00D478C8"/>
  </w:style>
  <w:style w:type="numbering" w:customStyle="1" w:styleId="52">
    <w:name w:val="Нет списка5"/>
    <w:next w:val="a3"/>
    <w:uiPriority w:val="99"/>
    <w:semiHidden/>
    <w:unhideWhenUsed/>
    <w:rsid w:val="00431CC5"/>
  </w:style>
  <w:style w:type="numbering" w:customStyle="1" w:styleId="110">
    <w:name w:val="Нет списка11"/>
    <w:next w:val="a3"/>
    <w:uiPriority w:val="99"/>
    <w:semiHidden/>
    <w:unhideWhenUsed/>
    <w:rsid w:val="00431CC5"/>
  </w:style>
  <w:style w:type="table" w:customStyle="1" w:styleId="2a">
    <w:name w:val="Сетка таблицы2"/>
    <w:basedOn w:val="a2"/>
    <w:next w:val="a9"/>
    <w:uiPriority w:val="59"/>
    <w:rsid w:val="00431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 (веб)1"/>
    <w:basedOn w:val="a0"/>
    <w:rsid w:val="00431CC5"/>
    <w:pPr>
      <w:spacing w:after="360"/>
      <w:jc w:val="both"/>
    </w:pPr>
    <w:rPr>
      <w:rFonts w:ascii="Arial" w:hAnsi="Arial" w:cs="Arial"/>
      <w:color w:val="3D3D3D"/>
      <w:sz w:val="24"/>
      <w:szCs w:val="24"/>
    </w:rPr>
  </w:style>
  <w:style w:type="paragraph" w:customStyle="1" w:styleId="xl65">
    <w:name w:val="xl6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6">
    <w:name w:val="xl66"/>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67">
    <w:name w:val="xl6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68">
    <w:name w:val="xl6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9">
    <w:name w:val="xl6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0">
    <w:name w:val="xl7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71">
    <w:name w:val="xl7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2">
    <w:name w:val="xl7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3">
    <w:name w:val="xl73"/>
    <w:basedOn w:val="a0"/>
    <w:rsid w:val="00431CC5"/>
    <w:pPr>
      <w:pBdr>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4">
    <w:name w:val="xl7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75">
    <w:name w:val="xl7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6">
    <w:name w:val="xl7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7">
    <w:name w:val="xl77"/>
    <w:basedOn w:val="a0"/>
    <w:rsid w:val="00431CC5"/>
    <w:pPr>
      <w:spacing w:before="100" w:beforeAutospacing="1" w:after="100" w:afterAutospacing="1"/>
    </w:pPr>
    <w:rPr>
      <w:rFonts w:ascii="Bookman Old Style" w:hAnsi="Bookman Old Style"/>
      <w:sz w:val="24"/>
      <w:szCs w:val="24"/>
    </w:rPr>
  </w:style>
  <w:style w:type="paragraph" w:customStyle="1" w:styleId="xl78">
    <w:name w:val="xl7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9">
    <w:name w:val="xl7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0">
    <w:name w:val="xl80"/>
    <w:basedOn w:val="a0"/>
    <w:rsid w:val="00431CC5"/>
    <w:pPr>
      <w:spacing w:before="100" w:beforeAutospacing="1" w:after="100" w:afterAutospacing="1"/>
      <w:jc w:val="center"/>
    </w:pPr>
    <w:rPr>
      <w:rFonts w:ascii="Bookman Old Style" w:hAnsi="Bookman Old Style"/>
      <w:sz w:val="16"/>
      <w:szCs w:val="16"/>
    </w:rPr>
  </w:style>
  <w:style w:type="paragraph" w:customStyle="1" w:styleId="xl81">
    <w:name w:val="xl8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2">
    <w:name w:val="xl8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3">
    <w:name w:val="xl83"/>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84">
    <w:name w:val="xl8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5">
    <w:name w:val="xl8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6">
    <w:name w:val="xl8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7">
    <w:name w:val="xl8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88">
    <w:name w:val="xl8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9">
    <w:name w:val="xl8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0">
    <w:name w:val="xl90"/>
    <w:basedOn w:val="a0"/>
    <w:rsid w:val="00431CC5"/>
    <w:pPr>
      <w:pBdr>
        <w:left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1">
    <w:name w:val="xl9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2">
    <w:name w:val="xl92"/>
    <w:basedOn w:val="a0"/>
    <w:rsid w:val="00431CC5"/>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3">
    <w:name w:val="xl9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4">
    <w:name w:val="xl9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95">
    <w:name w:val="xl9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96">
    <w:name w:val="xl96"/>
    <w:basedOn w:val="a0"/>
    <w:rsid w:val="00431CC5"/>
    <w:pPr>
      <w:pBdr>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7">
    <w:name w:val="xl9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8">
    <w:name w:val="xl98"/>
    <w:basedOn w:val="a0"/>
    <w:rsid w:val="00431CC5"/>
    <w:pPr>
      <w:pBdr>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99">
    <w:name w:val="xl9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00">
    <w:name w:val="xl100"/>
    <w:basedOn w:val="a0"/>
    <w:rsid w:val="00431CC5"/>
    <w:pPr>
      <w:spacing w:before="100" w:beforeAutospacing="1" w:after="100" w:afterAutospacing="1"/>
    </w:pPr>
    <w:rPr>
      <w:rFonts w:ascii="Bookman Old Style" w:hAnsi="Bookman Old Style"/>
      <w:sz w:val="16"/>
      <w:szCs w:val="16"/>
    </w:rPr>
  </w:style>
  <w:style w:type="paragraph" w:customStyle="1" w:styleId="xl101">
    <w:name w:val="xl10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2">
    <w:name w:val="xl102"/>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3">
    <w:name w:val="xl10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4">
    <w:name w:val="xl10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105">
    <w:name w:val="xl105"/>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6">
    <w:name w:val="xl106"/>
    <w:basedOn w:val="a0"/>
    <w:rsid w:val="00431CC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7">
    <w:name w:val="xl10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8">
    <w:name w:val="xl108"/>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9">
    <w:name w:val="xl109"/>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10">
    <w:name w:val="xl110"/>
    <w:basedOn w:val="a0"/>
    <w:rsid w:val="00431CC5"/>
    <w:pPr>
      <w:shd w:val="clear" w:color="000000" w:fill="FFFFFF"/>
      <w:spacing w:before="100" w:beforeAutospacing="1" w:after="100" w:afterAutospacing="1"/>
    </w:pPr>
    <w:rPr>
      <w:rFonts w:ascii="Bookman Old Style" w:hAnsi="Bookman Old Style"/>
      <w:sz w:val="24"/>
      <w:szCs w:val="24"/>
    </w:rPr>
  </w:style>
  <w:style w:type="paragraph" w:customStyle="1" w:styleId="xl111">
    <w:name w:val="xl111"/>
    <w:basedOn w:val="a0"/>
    <w:rsid w:val="00431CC5"/>
    <w:pPr>
      <w:shd w:val="clear" w:color="000000" w:fill="FFFFFF"/>
      <w:spacing w:before="100" w:beforeAutospacing="1" w:after="100" w:afterAutospacing="1"/>
      <w:jc w:val="center"/>
      <w:textAlignment w:val="center"/>
    </w:pPr>
    <w:rPr>
      <w:rFonts w:ascii="Bookman Old Style" w:hAnsi="Bookman Old Style"/>
      <w:sz w:val="24"/>
      <w:szCs w:val="24"/>
    </w:rPr>
  </w:style>
  <w:style w:type="paragraph" w:customStyle="1" w:styleId="xl112">
    <w:name w:val="xl112"/>
    <w:basedOn w:val="a0"/>
    <w:rsid w:val="00431CC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3">
    <w:name w:val="xl113"/>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4">
    <w:name w:val="xl114"/>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5">
    <w:name w:val="xl115"/>
    <w:basedOn w:val="a0"/>
    <w:rsid w:val="00431CC5"/>
    <w:pPr>
      <w:pBdr>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6">
    <w:name w:val="xl116"/>
    <w:basedOn w:val="a0"/>
    <w:rsid w:val="00431CC5"/>
    <w:pPr>
      <w:pBdr>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7">
    <w:name w:val="xl117"/>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8">
    <w:name w:val="xl118"/>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9">
    <w:name w:val="xl119"/>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0">
    <w:name w:val="xl120"/>
    <w:basedOn w:val="a0"/>
    <w:rsid w:val="00431CC5"/>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1">
    <w:name w:val="xl121"/>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2">
    <w:name w:val="xl122"/>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3">
    <w:name w:val="xl123"/>
    <w:basedOn w:val="a0"/>
    <w:rsid w:val="00431CC5"/>
    <w:pPr>
      <w:pBdr>
        <w:top w:val="single" w:sz="4" w:space="0" w:color="auto"/>
        <w:lef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4">
    <w:name w:val="xl124"/>
    <w:basedOn w:val="a0"/>
    <w:rsid w:val="00431CC5"/>
    <w:pPr>
      <w:pBdr>
        <w:top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5">
    <w:name w:val="xl125"/>
    <w:basedOn w:val="a0"/>
    <w:rsid w:val="00431CC5"/>
    <w:pPr>
      <w:pBdr>
        <w:top w:val="single" w:sz="4" w:space="0" w:color="auto"/>
        <w:left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126">
    <w:name w:val="xl126"/>
    <w:basedOn w:val="a0"/>
    <w:rsid w:val="00431CC5"/>
    <w:pPr>
      <w:pBdr>
        <w:top w:val="single" w:sz="4" w:space="0" w:color="auto"/>
        <w:left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127">
    <w:name w:val="xl12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28">
    <w:name w:val="xl12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b/>
      <w:bCs/>
      <w:sz w:val="16"/>
      <w:szCs w:val="16"/>
    </w:rPr>
  </w:style>
  <w:style w:type="paragraph" w:customStyle="1" w:styleId="xl129">
    <w:name w:val="xl12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color w:val="000000"/>
      <w:sz w:val="16"/>
      <w:szCs w:val="16"/>
    </w:rPr>
  </w:style>
  <w:style w:type="paragraph" w:customStyle="1" w:styleId="xl130">
    <w:name w:val="xl13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paragraph" w:customStyle="1" w:styleId="xl131">
    <w:name w:val="xl13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table" w:customStyle="1" w:styleId="111">
    <w:name w:val="Сетка таблицы11"/>
    <w:basedOn w:val="a2"/>
    <w:next w:val="a9"/>
    <w:uiPriority w:val="59"/>
    <w:rsid w:val="00431CC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0"/>
    <w:rsid w:val="00431CC5"/>
    <w:pPr>
      <w:spacing w:before="100" w:beforeAutospacing="1" w:after="100" w:afterAutospacing="1"/>
    </w:pPr>
    <w:rPr>
      <w:rFonts w:ascii="Bookman Old Style" w:hAnsi="Bookman Old Style"/>
      <w:sz w:val="16"/>
      <w:szCs w:val="16"/>
    </w:rPr>
  </w:style>
  <w:style w:type="paragraph" w:customStyle="1" w:styleId="font6">
    <w:name w:val="font6"/>
    <w:basedOn w:val="a0"/>
    <w:rsid w:val="00431CC5"/>
    <w:pPr>
      <w:spacing w:before="100" w:beforeAutospacing="1" w:after="100" w:afterAutospacing="1"/>
    </w:pPr>
    <w:rPr>
      <w:rFonts w:ascii="Bookman Old Style" w:hAnsi="Bookman Old Style"/>
      <w:color w:val="FF0000"/>
      <w:sz w:val="16"/>
      <w:szCs w:val="16"/>
    </w:rPr>
  </w:style>
  <w:style w:type="paragraph" w:customStyle="1" w:styleId="xl63">
    <w:name w:val="xl63"/>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xl64">
    <w:name w:val="xl64"/>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affb">
    <w:name w:val="Знак Знак Знак"/>
    <w:basedOn w:val="a0"/>
    <w:rsid w:val="00431CC5"/>
    <w:pPr>
      <w:spacing w:after="160" w:line="240" w:lineRule="exact"/>
    </w:pPr>
    <w:rPr>
      <w:rFonts w:ascii="Verdana" w:hAnsi="Verdana"/>
      <w:sz w:val="20"/>
      <w:szCs w:val="20"/>
      <w:lang w:val="en-US" w:eastAsia="en-US"/>
    </w:rPr>
  </w:style>
  <w:style w:type="paragraph" w:customStyle="1" w:styleId="Preformatted">
    <w:name w:val="Preformatted"/>
    <w:basedOn w:val="a0"/>
    <w:rsid w:val="00431CC5"/>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sz w:val="20"/>
      <w:szCs w:val="20"/>
    </w:rPr>
  </w:style>
  <w:style w:type="paragraph" w:styleId="affc">
    <w:name w:val="List Number"/>
    <w:basedOn w:val="a0"/>
    <w:rsid w:val="00431CC5"/>
    <w:pPr>
      <w:keepLines/>
      <w:tabs>
        <w:tab w:val="num" w:pos="1531"/>
      </w:tabs>
      <w:spacing w:after="240" w:line="240" w:lineRule="atLeast"/>
      <w:ind w:left="1531" w:hanging="454"/>
      <w:jc w:val="both"/>
    </w:pPr>
    <w:rPr>
      <w:rFonts w:ascii="Tahoma" w:hAnsi="Tahoma" w:cs="Tahoma"/>
      <w:sz w:val="20"/>
      <w:szCs w:val="24"/>
    </w:rPr>
  </w:style>
  <w:style w:type="paragraph" w:styleId="2b">
    <w:name w:val="List Number 2"/>
    <w:basedOn w:val="a0"/>
    <w:rsid w:val="00431CC5"/>
    <w:pPr>
      <w:keepLines/>
      <w:tabs>
        <w:tab w:val="num" w:pos="1985"/>
      </w:tabs>
      <w:spacing w:after="240" w:line="240" w:lineRule="atLeast"/>
      <w:ind w:left="1985" w:hanging="454"/>
      <w:jc w:val="both"/>
    </w:pPr>
    <w:rPr>
      <w:rFonts w:ascii="Tahoma" w:hAnsi="Tahoma" w:cs="Tahoma"/>
      <w:sz w:val="20"/>
      <w:szCs w:val="24"/>
    </w:rPr>
  </w:style>
  <w:style w:type="paragraph" w:styleId="38">
    <w:name w:val="List Number 3"/>
    <w:basedOn w:val="a0"/>
    <w:rsid w:val="00431CC5"/>
    <w:pPr>
      <w:keepLines/>
      <w:tabs>
        <w:tab w:val="num" w:pos="2438"/>
      </w:tabs>
      <w:spacing w:after="120" w:line="240" w:lineRule="atLeast"/>
      <w:ind w:left="2438" w:hanging="453"/>
    </w:pPr>
    <w:rPr>
      <w:rFonts w:ascii="Tahoma" w:hAnsi="Tahoma" w:cs="Tahoma"/>
      <w:sz w:val="20"/>
      <w:szCs w:val="24"/>
    </w:rPr>
  </w:style>
  <w:style w:type="paragraph" w:styleId="43">
    <w:name w:val="List Number 4"/>
    <w:basedOn w:val="a0"/>
    <w:rsid w:val="00431CC5"/>
    <w:pPr>
      <w:keepLines/>
      <w:tabs>
        <w:tab w:val="num" w:pos="2892"/>
      </w:tabs>
      <w:spacing w:after="120" w:line="240" w:lineRule="atLeast"/>
      <w:ind w:left="2892" w:hanging="454"/>
    </w:pPr>
    <w:rPr>
      <w:rFonts w:ascii="Tahoma" w:hAnsi="Tahoma" w:cs="Tahoma"/>
      <w:sz w:val="20"/>
      <w:szCs w:val="24"/>
    </w:rPr>
  </w:style>
  <w:style w:type="paragraph" w:styleId="53">
    <w:name w:val="List Number 5"/>
    <w:basedOn w:val="a0"/>
    <w:rsid w:val="00431CC5"/>
    <w:pPr>
      <w:keepLines/>
      <w:tabs>
        <w:tab w:val="num" w:pos="3345"/>
      </w:tabs>
      <w:spacing w:after="120" w:line="240" w:lineRule="atLeast"/>
      <w:ind w:left="3345" w:hanging="453"/>
    </w:pPr>
    <w:rPr>
      <w:rFonts w:ascii="Tahoma" w:hAnsi="Tahoma" w:cs="Tahoma"/>
      <w:sz w:val="20"/>
      <w:szCs w:val="24"/>
    </w:rPr>
  </w:style>
  <w:style w:type="paragraph" w:styleId="39">
    <w:name w:val="List Bullet 3"/>
    <w:basedOn w:val="a0"/>
    <w:rsid w:val="00431CC5"/>
    <w:pPr>
      <w:keepLines/>
      <w:tabs>
        <w:tab w:val="num" w:pos="2438"/>
      </w:tabs>
      <w:spacing w:after="240" w:line="240" w:lineRule="atLeast"/>
      <w:ind w:left="2438" w:hanging="453"/>
    </w:pPr>
    <w:rPr>
      <w:rFonts w:ascii="Tahoma" w:hAnsi="Tahoma" w:cs="Tahoma"/>
      <w:sz w:val="20"/>
      <w:szCs w:val="24"/>
    </w:rPr>
  </w:style>
  <w:style w:type="paragraph" w:styleId="44">
    <w:name w:val="List Bullet 4"/>
    <w:basedOn w:val="a0"/>
    <w:rsid w:val="00431CC5"/>
    <w:pPr>
      <w:keepLines/>
      <w:tabs>
        <w:tab w:val="num" w:pos="2892"/>
      </w:tabs>
      <w:spacing w:after="240" w:line="240" w:lineRule="atLeast"/>
      <w:ind w:left="2892" w:hanging="454"/>
    </w:pPr>
    <w:rPr>
      <w:rFonts w:ascii="Tahoma" w:hAnsi="Tahoma" w:cs="Tahoma"/>
      <w:sz w:val="20"/>
      <w:szCs w:val="24"/>
    </w:rPr>
  </w:style>
  <w:style w:type="paragraph" w:styleId="54">
    <w:name w:val="List Bullet 5"/>
    <w:basedOn w:val="a0"/>
    <w:rsid w:val="00431CC5"/>
    <w:pPr>
      <w:keepLines/>
      <w:tabs>
        <w:tab w:val="num" w:pos="3345"/>
      </w:tabs>
      <w:spacing w:after="240" w:line="240" w:lineRule="atLeast"/>
      <w:ind w:left="3345" w:hanging="453"/>
    </w:pPr>
    <w:rPr>
      <w:rFonts w:ascii="Tahoma" w:hAnsi="Tahoma" w:cs="Tahoma"/>
      <w:sz w:val="20"/>
      <w:szCs w:val="24"/>
    </w:rPr>
  </w:style>
  <w:style w:type="paragraph" w:customStyle="1" w:styleId="clear">
    <w:name w:val="clear"/>
    <w:basedOn w:val="a0"/>
    <w:rsid w:val="00431CC5"/>
    <w:pPr>
      <w:spacing w:after="119"/>
    </w:pPr>
    <w:rPr>
      <w:sz w:val="24"/>
      <w:szCs w:val="24"/>
    </w:rPr>
  </w:style>
  <w:style w:type="table" w:customStyle="1" w:styleId="3-61">
    <w:name w:val="Средняя сетка 3 - Акцент 61"/>
    <w:basedOn w:val="a2"/>
    <w:next w:val="3-6"/>
    <w:uiPriority w:val="69"/>
    <w:rsid w:val="00431CC5"/>
    <w:rPr>
      <w:rFonts w:ascii="Bookman Old Style" w:hAnsi="Bookman Old Style"/>
      <w:sz w:val="14"/>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1">
    <w:name w:val="Темный список - Акцент 31"/>
    <w:basedOn w:val="a2"/>
    <w:next w:val="-3"/>
    <w:uiPriority w:val="70"/>
    <w:rsid w:val="00431CC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character" w:customStyle="1" w:styleId="15">
    <w:name w:val="Текст сноски Знак Знак Знак1"/>
    <w:aliases w:val="Текст сноски Знак1 Знак Знак1,Текст сноски Знак Знак1 Знак Знак1"/>
    <w:basedOn w:val="a1"/>
    <w:uiPriority w:val="99"/>
    <w:rsid w:val="00431CC5"/>
    <w:rPr>
      <w:rFonts w:ascii="Bookman Old Style" w:hAnsi="Bookman Old Style"/>
      <w:sz w:val="16"/>
    </w:rPr>
  </w:style>
  <w:style w:type="paragraph" w:customStyle="1" w:styleId="211">
    <w:name w:val="Основной текст 21"/>
    <w:basedOn w:val="a0"/>
    <w:rsid w:val="00431CC5"/>
    <w:pPr>
      <w:overflowPunct w:val="0"/>
      <w:autoSpaceDE w:val="0"/>
      <w:autoSpaceDN w:val="0"/>
      <w:adjustRightInd w:val="0"/>
      <w:ind w:firstLine="720"/>
      <w:textAlignment w:val="baseline"/>
    </w:pPr>
    <w:rPr>
      <w:sz w:val="24"/>
      <w:szCs w:val="20"/>
    </w:rPr>
  </w:style>
  <w:style w:type="paragraph" w:customStyle="1" w:styleId="410">
    <w:name w:val="Оглавление 41"/>
    <w:basedOn w:val="a0"/>
    <w:next w:val="a0"/>
    <w:autoRedefine/>
    <w:uiPriority w:val="39"/>
    <w:unhideWhenUsed/>
    <w:rsid w:val="00431CC5"/>
    <w:pPr>
      <w:spacing w:after="100" w:line="276" w:lineRule="auto"/>
      <w:ind w:left="660"/>
    </w:pPr>
    <w:rPr>
      <w:rFonts w:ascii="Calibri" w:hAnsi="Calibri"/>
      <w:sz w:val="22"/>
      <w:szCs w:val="22"/>
    </w:rPr>
  </w:style>
  <w:style w:type="paragraph" w:customStyle="1" w:styleId="510">
    <w:name w:val="Оглавление 51"/>
    <w:basedOn w:val="a0"/>
    <w:next w:val="a0"/>
    <w:autoRedefine/>
    <w:uiPriority w:val="39"/>
    <w:unhideWhenUsed/>
    <w:rsid w:val="00431CC5"/>
    <w:pPr>
      <w:spacing w:after="100" w:line="276" w:lineRule="auto"/>
      <w:ind w:left="880"/>
    </w:pPr>
    <w:rPr>
      <w:rFonts w:ascii="Calibri" w:hAnsi="Calibri"/>
      <w:sz w:val="22"/>
      <w:szCs w:val="22"/>
    </w:rPr>
  </w:style>
  <w:style w:type="paragraph" w:customStyle="1" w:styleId="610">
    <w:name w:val="Оглавление 61"/>
    <w:basedOn w:val="a0"/>
    <w:next w:val="a0"/>
    <w:autoRedefine/>
    <w:uiPriority w:val="39"/>
    <w:unhideWhenUsed/>
    <w:rsid w:val="00431CC5"/>
    <w:pPr>
      <w:spacing w:after="100" w:line="276" w:lineRule="auto"/>
      <w:ind w:left="1100"/>
    </w:pPr>
    <w:rPr>
      <w:rFonts w:ascii="Calibri" w:hAnsi="Calibri"/>
      <w:sz w:val="22"/>
      <w:szCs w:val="22"/>
    </w:rPr>
  </w:style>
  <w:style w:type="paragraph" w:customStyle="1" w:styleId="710">
    <w:name w:val="Оглавление 71"/>
    <w:basedOn w:val="a0"/>
    <w:next w:val="a0"/>
    <w:autoRedefine/>
    <w:uiPriority w:val="39"/>
    <w:unhideWhenUsed/>
    <w:rsid w:val="00431CC5"/>
    <w:pPr>
      <w:spacing w:after="100" w:line="276" w:lineRule="auto"/>
      <w:ind w:left="1320"/>
    </w:pPr>
    <w:rPr>
      <w:rFonts w:ascii="Calibri" w:hAnsi="Calibri"/>
      <w:sz w:val="22"/>
      <w:szCs w:val="22"/>
    </w:rPr>
  </w:style>
  <w:style w:type="paragraph" w:customStyle="1" w:styleId="81">
    <w:name w:val="Оглавление 81"/>
    <w:basedOn w:val="a0"/>
    <w:next w:val="a0"/>
    <w:autoRedefine/>
    <w:uiPriority w:val="39"/>
    <w:unhideWhenUsed/>
    <w:rsid w:val="00431CC5"/>
    <w:pPr>
      <w:spacing w:after="100" w:line="276" w:lineRule="auto"/>
      <w:ind w:left="1540"/>
    </w:pPr>
    <w:rPr>
      <w:rFonts w:ascii="Calibri" w:hAnsi="Calibri"/>
      <w:sz w:val="22"/>
      <w:szCs w:val="22"/>
    </w:rPr>
  </w:style>
  <w:style w:type="paragraph" w:customStyle="1" w:styleId="91">
    <w:name w:val="Оглавление 91"/>
    <w:basedOn w:val="a0"/>
    <w:next w:val="a0"/>
    <w:autoRedefine/>
    <w:uiPriority w:val="39"/>
    <w:unhideWhenUsed/>
    <w:rsid w:val="00431CC5"/>
    <w:pPr>
      <w:spacing w:after="100" w:line="276" w:lineRule="auto"/>
      <w:ind w:left="1760"/>
    </w:pPr>
    <w:rPr>
      <w:rFonts w:ascii="Calibri" w:hAnsi="Calibri"/>
      <w:sz w:val="22"/>
      <w:szCs w:val="22"/>
    </w:rPr>
  </w:style>
  <w:style w:type="character" w:customStyle="1" w:styleId="mw-headline">
    <w:name w:val="mw-headline"/>
    <w:basedOn w:val="a1"/>
    <w:rsid w:val="00431CC5"/>
  </w:style>
  <w:style w:type="character" w:customStyle="1" w:styleId="editsection">
    <w:name w:val="editsection"/>
    <w:basedOn w:val="a1"/>
    <w:rsid w:val="00431CC5"/>
  </w:style>
  <w:style w:type="table" w:customStyle="1" w:styleId="16">
    <w:name w:val="Светлая заливка1"/>
    <w:basedOn w:val="a2"/>
    <w:next w:val="affd"/>
    <w:uiPriority w:val="60"/>
    <w:rsid w:val="00431CC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7">
    <w:name w:val="Подзаголовок1"/>
    <w:basedOn w:val="a0"/>
    <w:next w:val="a0"/>
    <w:uiPriority w:val="11"/>
    <w:qFormat/>
    <w:rsid w:val="00431CC5"/>
    <w:pPr>
      <w:numPr>
        <w:ilvl w:val="1"/>
      </w:numPr>
    </w:pPr>
    <w:rPr>
      <w:rFonts w:ascii="Cambria" w:hAnsi="Cambria"/>
      <w:i/>
      <w:iCs/>
      <w:color w:val="4F81BD"/>
      <w:spacing w:val="15"/>
      <w:sz w:val="24"/>
      <w:szCs w:val="24"/>
    </w:rPr>
  </w:style>
  <w:style w:type="paragraph" w:customStyle="1" w:styleId="Default">
    <w:name w:val="Default"/>
    <w:rsid w:val="00431CC5"/>
    <w:pPr>
      <w:autoSpaceDE w:val="0"/>
      <w:autoSpaceDN w:val="0"/>
      <w:adjustRightInd w:val="0"/>
    </w:pPr>
    <w:rPr>
      <w:color w:val="000000"/>
      <w:sz w:val="24"/>
      <w:szCs w:val="24"/>
    </w:rPr>
  </w:style>
  <w:style w:type="character" w:customStyle="1" w:styleId="apple-converted-space">
    <w:name w:val="apple-converted-space"/>
    <w:basedOn w:val="a1"/>
    <w:rsid w:val="00431CC5"/>
  </w:style>
  <w:style w:type="table" w:customStyle="1" w:styleId="3-62">
    <w:name w:val="Средняя сетка 3 - Акцент 62"/>
    <w:basedOn w:val="a2"/>
    <w:next w:val="3-6"/>
    <w:uiPriority w:val="69"/>
    <w:rsid w:val="00431CC5"/>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2">
    <w:name w:val="Темный список - Акцент 32"/>
    <w:basedOn w:val="a2"/>
    <w:next w:val="-3"/>
    <w:uiPriority w:val="70"/>
    <w:rsid w:val="00431CC5"/>
    <w:rPr>
      <w:rFonts w:ascii="Calibri" w:eastAsia="Calibri" w:hAnsi="Calibri"/>
      <w:color w:val="FFFFFF"/>
      <w:sz w:val="22"/>
      <w:szCs w:val="22"/>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c">
    <w:name w:val="Светлая заливка2"/>
    <w:basedOn w:val="a2"/>
    <w:next w:val="affd"/>
    <w:uiPriority w:val="60"/>
    <w:rsid w:val="00431CC5"/>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8">
    <w:name w:val="Подзаголовок Знак1"/>
    <w:basedOn w:val="a1"/>
    <w:uiPriority w:val="11"/>
    <w:rsid w:val="00431CC5"/>
    <w:rPr>
      <w:rFonts w:ascii="Cambria" w:eastAsia="Times New Roman" w:hAnsi="Cambria" w:cs="Times New Roman"/>
      <w:i/>
      <w:iCs/>
      <w:color w:val="4F81BD"/>
      <w:spacing w:val="15"/>
      <w:sz w:val="24"/>
      <w:szCs w:val="24"/>
    </w:rPr>
  </w:style>
  <w:style w:type="table" w:styleId="3-6">
    <w:name w:val="Medium Grid 3 Accent 6"/>
    <w:basedOn w:val="a2"/>
    <w:uiPriority w:val="69"/>
    <w:rsid w:val="00431CC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
    <w:name w:val="Dark List Accent 3"/>
    <w:basedOn w:val="a2"/>
    <w:uiPriority w:val="70"/>
    <w:rsid w:val="00431CC5"/>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affd">
    <w:name w:val="Light Shading"/>
    <w:basedOn w:val="a2"/>
    <w:uiPriority w:val="60"/>
    <w:rsid w:val="00431C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f1">
    <w:name w:val="Обычный (веб) Знак"/>
    <w:link w:val="af0"/>
    <w:rsid w:val="001F45ED"/>
    <w:rPr>
      <w:color w:val="000000"/>
      <w:sz w:val="24"/>
      <w:szCs w:val="24"/>
    </w:rPr>
  </w:style>
  <w:style w:type="table" w:customStyle="1" w:styleId="3a">
    <w:name w:val="Сетка таблицы3"/>
    <w:basedOn w:val="a2"/>
    <w:next w:val="a9"/>
    <w:uiPriority w:val="59"/>
    <w:rsid w:val="001F09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9"/>
    <w:uiPriority w:val="59"/>
    <w:rsid w:val="006265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Абзац списка Знак"/>
    <w:aliases w:val="Абзац списка основной Знак"/>
    <w:link w:val="aff2"/>
    <w:uiPriority w:val="34"/>
    <w:locked/>
    <w:rsid w:val="005132F7"/>
    <w:rPr>
      <w:sz w:val="26"/>
      <w:szCs w:val="26"/>
    </w:rPr>
  </w:style>
  <w:style w:type="paragraph" w:styleId="2d">
    <w:name w:val="Body Text 2"/>
    <w:basedOn w:val="a0"/>
    <w:link w:val="2e"/>
    <w:rsid w:val="00B12755"/>
    <w:pPr>
      <w:spacing w:after="120" w:line="480" w:lineRule="auto"/>
    </w:pPr>
  </w:style>
  <w:style w:type="character" w:customStyle="1" w:styleId="2e">
    <w:name w:val="Основной текст 2 Знак"/>
    <w:basedOn w:val="a1"/>
    <w:link w:val="2d"/>
    <w:rsid w:val="00B12755"/>
    <w:rPr>
      <w:sz w:val="26"/>
      <w:szCs w:val="26"/>
    </w:rPr>
  </w:style>
  <w:style w:type="paragraph" w:styleId="affe">
    <w:name w:val="Salutation"/>
    <w:basedOn w:val="a0"/>
    <w:link w:val="afff"/>
    <w:rsid w:val="00B12755"/>
    <w:rPr>
      <w:sz w:val="28"/>
      <w:szCs w:val="20"/>
    </w:rPr>
  </w:style>
  <w:style w:type="character" w:customStyle="1" w:styleId="afff">
    <w:name w:val="Приветствие Знак"/>
    <w:basedOn w:val="a1"/>
    <w:link w:val="affe"/>
    <w:rsid w:val="00B1275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624">
      <w:bodyDiv w:val="1"/>
      <w:marLeft w:val="0"/>
      <w:marRight w:val="0"/>
      <w:marTop w:val="0"/>
      <w:marBottom w:val="0"/>
      <w:divBdr>
        <w:top w:val="none" w:sz="0" w:space="0" w:color="auto"/>
        <w:left w:val="none" w:sz="0" w:space="0" w:color="auto"/>
        <w:bottom w:val="none" w:sz="0" w:space="0" w:color="auto"/>
        <w:right w:val="none" w:sz="0" w:space="0" w:color="auto"/>
      </w:divBdr>
      <w:divsChild>
        <w:div w:id="1736315154">
          <w:marLeft w:val="0"/>
          <w:marRight w:val="0"/>
          <w:marTop w:val="0"/>
          <w:marBottom w:val="0"/>
          <w:divBdr>
            <w:top w:val="none" w:sz="0" w:space="0" w:color="auto"/>
            <w:left w:val="none" w:sz="0" w:space="0" w:color="auto"/>
            <w:bottom w:val="none" w:sz="0" w:space="0" w:color="auto"/>
            <w:right w:val="none" w:sz="0" w:space="0" w:color="auto"/>
          </w:divBdr>
          <w:divsChild>
            <w:div w:id="1928074985">
              <w:marLeft w:val="0"/>
              <w:marRight w:val="0"/>
              <w:marTop w:val="0"/>
              <w:marBottom w:val="0"/>
              <w:divBdr>
                <w:top w:val="none" w:sz="0" w:space="0" w:color="auto"/>
                <w:left w:val="none" w:sz="0" w:space="0" w:color="auto"/>
                <w:bottom w:val="none" w:sz="0" w:space="0" w:color="auto"/>
                <w:right w:val="none" w:sz="0" w:space="0" w:color="auto"/>
              </w:divBdr>
              <w:divsChild>
                <w:div w:id="117947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26">
      <w:bodyDiv w:val="1"/>
      <w:marLeft w:val="0"/>
      <w:marRight w:val="0"/>
      <w:marTop w:val="0"/>
      <w:marBottom w:val="0"/>
      <w:divBdr>
        <w:top w:val="none" w:sz="0" w:space="0" w:color="auto"/>
        <w:left w:val="none" w:sz="0" w:space="0" w:color="auto"/>
        <w:bottom w:val="none" w:sz="0" w:space="0" w:color="auto"/>
        <w:right w:val="none" w:sz="0" w:space="0" w:color="auto"/>
      </w:divBdr>
    </w:div>
    <w:div w:id="2128503">
      <w:bodyDiv w:val="1"/>
      <w:marLeft w:val="0"/>
      <w:marRight w:val="0"/>
      <w:marTop w:val="0"/>
      <w:marBottom w:val="0"/>
      <w:divBdr>
        <w:top w:val="none" w:sz="0" w:space="0" w:color="auto"/>
        <w:left w:val="none" w:sz="0" w:space="0" w:color="auto"/>
        <w:bottom w:val="none" w:sz="0" w:space="0" w:color="auto"/>
        <w:right w:val="none" w:sz="0" w:space="0" w:color="auto"/>
      </w:divBdr>
    </w:div>
    <w:div w:id="2824950">
      <w:bodyDiv w:val="1"/>
      <w:marLeft w:val="0"/>
      <w:marRight w:val="0"/>
      <w:marTop w:val="0"/>
      <w:marBottom w:val="0"/>
      <w:divBdr>
        <w:top w:val="none" w:sz="0" w:space="0" w:color="auto"/>
        <w:left w:val="none" w:sz="0" w:space="0" w:color="auto"/>
        <w:bottom w:val="none" w:sz="0" w:space="0" w:color="auto"/>
        <w:right w:val="none" w:sz="0" w:space="0" w:color="auto"/>
      </w:divBdr>
    </w:div>
    <w:div w:id="6714916">
      <w:bodyDiv w:val="1"/>
      <w:marLeft w:val="0"/>
      <w:marRight w:val="0"/>
      <w:marTop w:val="0"/>
      <w:marBottom w:val="0"/>
      <w:divBdr>
        <w:top w:val="none" w:sz="0" w:space="0" w:color="auto"/>
        <w:left w:val="none" w:sz="0" w:space="0" w:color="auto"/>
        <w:bottom w:val="none" w:sz="0" w:space="0" w:color="auto"/>
        <w:right w:val="none" w:sz="0" w:space="0" w:color="auto"/>
      </w:divBdr>
    </w:div>
    <w:div w:id="7297907">
      <w:bodyDiv w:val="1"/>
      <w:marLeft w:val="0"/>
      <w:marRight w:val="0"/>
      <w:marTop w:val="0"/>
      <w:marBottom w:val="0"/>
      <w:divBdr>
        <w:top w:val="none" w:sz="0" w:space="0" w:color="auto"/>
        <w:left w:val="none" w:sz="0" w:space="0" w:color="auto"/>
        <w:bottom w:val="none" w:sz="0" w:space="0" w:color="auto"/>
        <w:right w:val="none" w:sz="0" w:space="0" w:color="auto"/>
      </w:divBdr>
    </w:div>
    <w:div w:id="10572217">
      <w:bodyDiv w:val="1"/>
      <w:marLeft w:val="0"/>
      <w:marRight w:val="0"/>
      <w:marTop w:val="0"/>
      <w:marBottom w:val="0"/>
      <w:divBdr>
        <w:top w:val="none" w:sz="0" w:space="0" w:color="auto"/>
        <w:left w:val="none" w:sz="0" w:space="0" w:color="auto"/>
        <w:bottom w:val="none" w:sz="0" w:space="0" w:color="auto"/>
        <w:right w:val="none" w:sz="0" w:space="0" w:color="auto"/>
      </w:divBdr>
    </w:div>
    <w:div w:id="10883986">
      <w:bodyDiv w:val="1"/>
      <w:marLeft w:val="0"/>
      <w:marRight w:val="0"/>
      <w:marTop w:val="0"/>
      <w:marBottom w:val="0"/>
      <w:divBdr>
        <w:top w:val="none" w:sz="0" w:space="0" w:color="auto"/>
        <w:left w:val="none" w:sz="0" w:space="0" w:color="auto"/>
        <w:bottom w:val="none" w:sz="0" w:space="0" w:color="auto"/>
        <w:right w:val="none" w:sz="0" w:space="0" w:color="auto"/>
      </w:divBdr>
    </w:div>
    <w:div w:id="12077393">
      <w:bodyDiv w:val="1"/>
      <w:marLeft w:val="0"/>
      <w:marRight w:val="0"/>
      <w:marTop w:val="0"/>
      <w:marBottom w:val="0"/>
      <w:divBdr>
        <w:top w:val="none" w:sz="0" w:space="0" w:color="auto"/>
        <w:left w:val="none" w:sz="0" w:space="0" w:color="auto"/>
        <w:bottom w:val="none" w:sz="0" w:space="0" w:color="auto"/>
        <w:right w:val="none" w:sz="0" w:space="0" w:color="auto"/>
      </w:divBdr>
    </w:div>
    <w:div w:id="12272306">
      <w:bodyDiv w:val="1"/>
      <w:marLeft w:val="0"/>
      <w:marRight w:val="0"/>
      <w:marTop w:val="0"/>
      <w:marBottom w:val="0"/>
      <w:divBdr>
        <w:top w:val="none" w:sz="0" w:space="0" w:color="auto"/>
        <w:left w:val="none" w:sz="0" w:space="0" w:color="auto"/>
        <w:bottom w:val="none" w:sz="0" w:space="0" w:color="auto"/>
        <w:right w:val="none" w:sz="0" w:space="0" w:color="auto"/>
      </w:divBdr>
    </w:div>
    <w:div w:id="12387749">
      <w:bodyDiv w:val="1"/>
      <w:marLeft w:val="0"/>
      <w:marRight w:val="0"/>
      <w:marTop w:val="0"/>
      <w:marBottom w:val="0"/>
      <w:divBdr>
        <w:top w:val="none" w:sz="0" w:space="0" w:color="auto"/>
        <w:left w:val="none" w:sz="0" w:space="0" w:color="auto"/>
        <w:bottom w:val="none" w:sz="0" w:space="0" w:color="auto"/>
        <w:right w:val="none" w:sz="0" w:space="0" w:color="auto"/>
      </w:divBdr>
    </w:div>
    <w:div w:id="12462252">
      <w:bodyDiv w:val="1"/>
      <w:marLeft w:val="0"/>
      <w:marRight w:val="0"/>
      <w:marTop w:val="0"/>
      <w:marBottom w:val="0"/>
      <w:divBdr>
        <w:top w:val="none" w:sz="0" w:space="0" w:color="auto"/>
        <w:left w:val="none" w:sz="0" w:space="0" w:color="auto"/>
        <w:bottom w:val="none" w:sz="0" w:space="0" w:color="auto"/>
        <w:right w:val="none" w:sz="0" w:space="0" w:color="auto"/>
      </w:divBdr>
    </w:div>
    <w:div w:id="15161201">
      <w:bodyDiv w:val="1"/>
      <w:marLeft w:val="0"/>
      <w:marRight w:val="0"/>
      <w:marTop w:val="0"/>
      <w:marBottom w:val="0"/>
      <w:divBdr>
        <w:top w:val="none" w:sz="0" w:space="0" w:color="auto"/>
        <w:left w:val="none" w:sz="0" w:space="0" w:color="auto"/>
        <w:bottom w:val="none" w:sz="0" w:space="0" w:color="auto"/>
        <w:right w:val="none" w:sz="0" w:space="0" w:color="auto"/>
      </w:divBdr>
    </w:div>
    <w:div w:id="15691310">
      <w:bodyDiv w:val="1"/>
      <w:marLeft w:val="0"/>
      <w:marRight w:val="0"/>
      <w:marTop w:val="0"/>
      <w:marBottom w:val="0"/>
      <w:divBdr>
        <w:top w:val="none" w:sz="0" w:space="0" w:color="auto"/>
        <w:left w:val="none" w:sz="0" w:space="0" w:color="auto"/>
        <w:bottom w:val="none" w:sz="0" w:space="0" w:color="auto"/>
        <w:right w:val="none" w:sz="0" w:space="0" w:color="auto"/>
      </w:divBdr>
    </w:div>
    <w:div w:id="16736485">
      <w:bodyDiv w:val="1"/>
      <w:marLeft w:val="0"/>
      <w:marRight w:val="0"/>
      <w:marTop w:val="0"/>
      <w:marBottom w:val="0"/>
      <w:divBdr>
        <w:top w:val="none" w:sz="0" w:space="0" w:color="auto"/>
        <w:left w:val="none" w:sz="0" w:space="0" w:color="auto"/>
        <w:bottom w:val="none" w:sz="0" w:space="0" w:color="auto"/>
        <w:right w:val="none" w:sz="0" w:space="0" w:color="auto"/>
      </w:divBdr>
    </w:div>
    <w:div w:id="17853564">
      <w:bodyDiv w:val="1"/>
      <w:marLeft w:val="0"/>
      <w:marRight w:val="0"/>
      <w:marTop w:val="0"/>
      <w:marBottom w:val="0"/>
      <w:divBdr>
        <w:top w:val="none" w:sz="0" w:space="0" w:color="auto"/>
        <w:left w:val="none" w:sz="0" w:space="0" w:color="auto"/>
        <w:bottom w:val="none" w:sz="0" w:space="0" w:color="auto"/>
        <w:right w:val="none" w:sz="0" w:space="0" w:color="auto"/>
      </w:divBdr>
    </w:div>
    <w:div w:id="19475687">
      <w:bodyDiv w:val="1"/>
      <w:marLeft w:val="0"/>
      <w:marRight w:val="0"/>
      <w:marTop w:val="0"/>
      <w:marBottom w:val="0"/>
      <w:divBdr>
        <w:top w:val="none" w:sz="0" w:space="0" w:color="auto"/>
        <w:left w:val="none" w:sz="0" w:space="0" w:color="auto"/>
        <w:bottom w:val="none" w:sz="0" w:space="0" w:color="auto"/>
        <w:right w:val="none" w:sz="0" w:space="0" w:color="auto"/>
      </w:divBdr>
    </w:div>
    <w:div w:id="21247723">
      <w:bodyDiv w:val="1"/>
      <w:marLeft w:val="0"/>
      <w:marRight w:val="0"/>
      <w:marTop w:val="0"/>
      <w:marBottom w:val="0"/>
      <w:divBdr>
        <w:top w:val="none" w:sz="0" w:space="0" w:color="auto"/>
        <w:left w:val="none" w:sz="0" w:space="0" w:color="auto"/>
        <w:bottom w:val="none" w:sz="0" w:space="0" w:color="auto"/>
        <w:right w:val="none" w:sz="0" w:space="0" w:color="auto"/>
      </w:divBdr>
    </w:div>
    <w:div w:id="25063909">
      <w:bodyDiv w:val="1"/>
      <w:marLeft w:val="0"/>
      <w:marRight w:val="0"/>
      <w:marTop w:val="0"/>
      <w:marBottom w:val="0"/>
      <w:divBdr>
        <w:top w:val="none" w:sz="0" w:space="0" w:color="auto"/>
        <w:left w:val="none" w:sz="0" w:space="0" w:color="auto"/>
        <w:bottom w:val="none" w:sz="0" w:space="0" w:color="auto"/>
        <w:right w:val="none" w:sz="0" w:space="0" w:color="auto"/>
      </w:divBdr>
    </w:div>
    <w:div w:id="25448900">
      <w:bodyDiv w:val="1"/>
      <w:marLeft w:val="0"/>
      <w:marRight w:val="0"/>
      <w:marTop w:val="0"/>
      <w:marBottom w:val="0"/>
      <w:divBdr>
        <w:top w:val="none" w:sz="0" w:space="0" w:color="auto"/>
        <w:left w:val="none" w:sz="0" w:space="0" w:color="auto"/>
        <w:bottom w:val="none" w:sz="0" w:space="0" w:color="auto"/>
        <w:right w:val="none" w:sz="0" w:space="0" w:color="auto"/>
      </w:divBdr>
    </w:div>
    <w:div w:id="26028126">
      <w:bodyDiv w:val="1"/>
      <w:marLeft w:val="0"/>
      <w:marRight w:val="0"/>
      <w:marTop w:val="0"/>
      <w:marBottom w:val="0"/>
      <w:divBdr>
        <w:top w:val="none" w:sz="0" w:space="0" w:color="auto"/>
        <w:left w:val="none" w:sz="0" w:space="0" w:color="auto"/>
        <w:bottom w:val="none" w:sz="0" w:space="0" w:color="auto"/>
        <w:right w:val="none" w:sz="0" w:space="0" w:color="auto"/>
      </w:divBdr>
    </w:div>
    <w:div w:id="26763942">
      <w:bodyDiv w:val="1"/>
      <w:marLeft w:val="0"/>
      <w:marRight w:val="0"/>
      <w:marTop w:val="0"/>
      <w:marBottom w:val="0"/>
      <w:divBdr>
        <w:top w:val="none" w:sz="0" w:space="0" w:color="auto"/>
        <w:left w:val="none" w:sz="0" w:space="0" w:color="auto"/>
        <w:bottom w:val="none" w:sz="0" w:space="0" w:color="auto"/>
        <w:right w:val="none" w:sz="0" w:space="0" w:color="auto"/>
      </w:divBdr>
    </w:div>
    <w:div w:id="28144327">
      <w:bodyDiv w:val="1"/>
      <w:marLeft w:val="0"/>
      <w:marRight w:val="0"/>
      <w:marTop w:val="0"/>
      <w:marBottom w:val="0"/>
      <w:divBdr>
        <w:top w:val="none" w:sz="0" w:space="0" w:color="auto"/>
        <w:left w:val="none" w:sz="0" w:space="0" w:color="auto"/>
        <w:bottom w:val="none" w:sz="0" w:space="0" w:color="auto"/>
        <w:right w:val="none" w:sz="0" w:space="0" w:color="auto"/>
      </w:divBdr>
    </w:div>
    <w:div w:id="30304610">
      <w:bodyDiv w:val="1"/>
      <w:marLeft w:val="0"/>
      <w:marRight w:val="0"/>
      <w:marTop w:val="0"/>
      <w:marBottom w:val="0"/>
      <w:divBdr>
        <w:top w:val="none" w:sz="0" w:space="0" w:color="auto"/>
        <w:left w:val="none" w:sz="0" w:space="0" w:color="auto"/>
        <w:bottom w:val="none" w:sz="0" w:space="0" w:color="auto"/>
        <w:right w:val="none" w:sz="0" w:space="0" w:color="auto"/>
      </w:divBdr>
    </w:div>
    <w:div w:id="32116013">
      <w:bodyDiv w:val="1"/>
      <w:marLeft w:val="0"/>
      <w:marRight w:val="0"/>
      <w:marTop w:val="0"/>
      <w:marBottom w:val="0"/>
      <w:divBdr>
        <w:top w:val="none" w:sz="0" w:space="0" w:color="auto"/>
        <w:left w:val="none" w:sz="0" w:space="0" w:color="auto"/>
        <w:bottom w:val="none" w:sz="0" w:space="0" w:color="auto"/>
        <w:right w:val="none" w:sz="0" w:space="0" w:color="auto"/>
      </w:divBdr>
    </w:div>
    <w:div w:id="32966102">
      <w:bodyDiv w:val="1"/>
      <w:marLeft w:val="0"/>
      <w:marRight w:val="0"/>
      <w:marTop w:val="0"/>
      <w:marBottom w:val="0"/>
      <w:divBdr>
        <w:top w:val="none" w:sz="0" w:space="0" w:color="auto"/>
        <w:left w:val="none" w:sz="0" w:space="0" w:color="auto"/>
        <w:bottom w:val="none" w:sz="0" w:space="0" w:color="auto"/>
        <w:right w:val="none" w:sz="0" w:space="0" w:color="auto"/>
      </w:divBdr>
      <w:divsChild>
        <w:div w:id="817040501">
          <w:marLeft w:val="0"/>
          <w:marRight w:val="0"/>
          <w:marTop w:val="0"/>
          <w:marBottom w:val="0"/>
          <w:divBdr>
            <w:top w:val="none" w:sz="0" w:space="0" w:color="auto"/>
            <w:left w:val="none" w:sz="0" w:space="0" w:color="auto"/>
            <w:bottom w:val="none" w:sz="0" w:space="0" w:color="auto"/>
            <w:right w:val="none" w:sz="0" w:space="0" w:color="auto"/>
          </w:divBdr>
          <w:divsChild>
            <w:div w:id="104034907">
              <w:marLeft w:val="0"/>
              <w:marRight w:val="0"/>
              <w:marTop w:val="0"/>
              <w:marBottom w:val="0"/>
              <w:divBdr>
                <w:top w:val="none" w:sz="0" w:space="0" w:color="auto"/>
                <w:left w:val="none" w:sz="0" w:space="0" w:color="auto"/>
                <w:bottom w:val="none" w:sz="0" w:space="0" w:color="auto"/>
                <w:right w:val="none" w:sz="0" w:space="0" w:color="auto"/>
              </w:divBdr>
              <w:divsChild>
                <w:div w:id="681712408">
                  <w:marLeft w:val="4245"/>
                  <w:marRight w:val="0"/>
                  <w:marTop w:val="0"/>
                  <w:marBottom w:val="0"/>
                  <w:divBdr>
                    <w:top w:val="none" w:sz="0" w:space="0" w:color="auto"/>
                    <w:left w:val="none" w:sz="0" w:space="0" w:color="auto"/>
                    <w:bottom w:val="none" w:sz="0" w:space="0" w:color="auto"/>
                    <w:right w:val="none" w:sz="0" w:space="0" w:color="auto"/>
                  </w:divBdr>
                  <w:divsChild>
                    <w:div w:id="1983581312">
                      <w:marLeft w:val="4200"/>
                      <w:marRight w:val="0"/>
                      <w:marTop w:val="2175"/>
                      <w:marBottom w:val="0"/>
                      <w:divBdr>
                        <w:top w:val="none" w:sz="0" w:space="0" w:color="auto"/>
                        <w:left w:val="none" w:sz="0" w:space="0" w:color="auto"/>
                        <w:bottom w:val="none" w:sz="0" w:space="0" w:color="auto"/>
                        <w:right w:val="none" w:sz="0" w:space="0" w:color="auto"/>
                      </w:divBdr>
                      <w:divsChild>
                        <w:div w:id="3940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24804">
      <w:bodyDiv w:val="1"/>
      <w:marLeft w:val="0"/>
      <w:marRight w:val="0"/>
      <w:marTop w:val="0"/>
      <w:marBottom w:val="0"/>
      <w:divBdr>
        <w:top w:val="none" w:sz="0" w:space="0" w:color="auto"/>
        <w:left w:val="none" w:sz="0" w:space="0" w:color="auto"/>
        <w:bottom w:val="none" w:sz="0" w:space="0" w:color="auto"/>
        <w:right w:val="none" w:sz="0" w:space="0" w:color="auto"/>
      </w:divBdr>
    </w:div>
    <w:div w:id="37584005">
      <w:bodyDiv w:val="1"/>
      <w:marLeft w:val="0"/>
      <w:marRight w:val="0"/>
      <w:marTop w:val="0"/>
      <w:marBottom w:val="0"/>
      <w:divBdr>
        <w:top w:val="none" w:sz="0" w:space="0" w:color="auto"/>
        <w:left w:val="none" w:sz="0" w:space="0" w:color="auto"/>
        <w:bottom w:val="none" w:sz="0" w:space="0" w:color="auto"/>
        <w:right w:val="none" w:sz="0" w:space="0" w:color="auto"/>
      </w:divBdr>
    </w:div>
    <w:div w:id="39522615">
      <w:bodyDiv w:val="1"/>
      <w:marLeft w:val="0"/>
      <w:marRight w:val="0"/>
      <w:marTop w:val="0"/>
      <w:marBottom w:val="0"/>
      <w:divBdr>
        <w:top w:val="none" w:sz="0" w:space="0" w:color="auto"/>
        <w:left w:val="none" w:sz="0" w:space="0" w:color="auto"/>
        <w:bottom w:val="none" w:sz="0" w:space="0" w:color="auto"/>
        <w:right w:val="none" w:sz="0" w:space="0" w:color="auto"/>
      </w:divBdr>
    </w:div>
    <w:div w:id="40709693">
      <w:bodyDiv w:val="1"/>
      <w:marLeft w:val="0"/>
      <w:marRight w:val="0"/>
      <w:marTop w:val="0"/>
      <w:marBottom w:val="0"/>
      <w:divBdr>
        <w:top w:val="none" w:sz="0" w:space="0" w:color="auto"/>
        <w:left w:val="none" w:sz="0" w:space="0" w:color="auto"/>
        <w:bottom w:val="none" w:sz="0" w:space="0" w:color="auto"/>
        <w:right w:val="none" w:sz="0" w:space="0" w:color="auto"/>
      </w:divBdr>
    </w:div>
    <w:div w:id="41101023">
      <w:bodyDiv w:val="1"/>
      <w:marLeft w:val="0"/>
      <w:marRight w:val="0"/>
      <w:marTop w:val="0"/>
      <w:marBottom w:val="0"/>
      <w:divBdr>
        <w:top w:val="none" w:sz="0" w:space="0" w:color="auto"/>
        <w:left w:val="none" w:sz="0" w:space="0" w:color="auto"/>
        <w:bottom w:val="none" w:sz="0" w:space="0" w:color="auto"/>
        <w:right w:val="none" w:sz="0" w:space="0" w:color="auto"/>
      </w:divBdr>
    </w:div>
    <w:div w:id="42219050">
      <w:bodyDiv w:val="1"/>
      <w:marLeft w:val="0"/>
      <w:marRight w:val="0"/>
      <w:marTop w:val="0"/>
      <w:marBottom w:val="0"/>
      <w:divBdr>
        <w:top w:val="none" w:sz="0" w:space="0" w:color="auto"/>
        <w:left w:val="none" w:sz="0" w:space="0" w:color="auto"/>
        <w:bottom w:val="none" w:sz="0" w:space="0" w:color="auto"/>
        <w:right w:val="none" w:sz="0" w:space="0" w:color="auto"/>
      </w:divBdr>
    </w:div>
    <w:div w:id="43455952">
      <w:bodyDiv w:val="1"/>
      <w:marLeft w:val="0"/>
      <w:marRight w:val="0"/>
      <w:marTop w:val="0"/>
      <w:marBottom w:val="0"/>
      <w:divBdr>
        <w:top w:val="none" w:sz="0" w:space="0" w:color="auto"/>
        <w:left w:val="none" w:sz="0" w:space="0" w:color="auto"/>
        <w:bottom w:val="none" w:sz="0" w:space="0" w:color="auto"/>
        <w:right w:val="none" w:sz="0" w:space="0" w:color="auto"/>
      </w:divBdr>
    </w:div>
    <w:div w:id="45221255">
      <w:bodyDiv w:val="1"/>
      <w:marLeft w:val="0"/>
      <w:marRight w:val="0"/>
      <w:marTop w:val="0"/>
      <w:marBottom w:val="0"/>
      <w:divBdr>
        <w:top w:val="none" w:sz="0" w:space="0" w:color="auto"/>
        <w:left w:val="none" w:sz="0" w:space="0" w:color="auto"/>
        <w:bottom w:val="none" w:sz="0" w:space="0" w:color="auto"/>
        <w:right w:val="none" w:sz="0" w:space="0" w:color="auto"/>
      </w:divBdr>
    </w:div>
    <w:div w:id="46415461">
      <w:bodyDiv w:val="1"/>
      <w:marLeft w:val="0"/>
      <w:marRight w:val="0"/>
      <w:marTop w:val="0"/>
      <w:marBottom w:val="0"/>
      <w:divBdr>
        <w:top w:val="none" w:sz="0" w:space="0" w:color="auto"/>
        <w:left w:val="none" w:sz="0" w:space="0" w:color="auto"/>
        <w:bottom w:val="none" w:sz="0" w:space="0" w:color="auto"/>
        <w:right w:val="none" w:sz="0" w:space="0" w:color="auto"/>
      </w:divBdr>
    </w:div>
    <w:div w:id="47152850">
      <w:bodyDiv w:val="1"/>
      <w:marLeft w:val="0"/>
      <w:marRight w:val="0"/>
      <w:marTop w:val="0"/>
      <w:marBottom w:val="0"/>
      <w:divBdr>
        <w:top w:val="none" w:sz="0" w:space="0" w:color="auto"/>
        <w:left w:val="none" w:sz="0" w:space="0" w:color="auto"/>
        <w:bottom w:val="none" w:sz="0" w:space="0" w:color="auto"/>
        <w:right w:val="none" w:sz="0" w:space="0" w:color="auto"/>
      </w:divBdr>
    </w:div>
    <w:div w:id="50618150">
      <w:bodyDiv w:val="1"/>
      <w:marLeft w:val="0"/>
      <w:marRight w:val="0"/>
      <w:marTop w:val="0"/>
      <w:marBottom w:val="0"/>
      <w:divBdr>
        <w:top w:val="none" w:sz="0" w:space="0" w:color="auto"/>
        <w:left w:val="none" w:sz="0" w:space="0" w:color="auto"/>
        <w:bottom w:val="none" w:sz="0" w:space="0" w:color="auto"/>
        <w:right w:val="none" w:sz="0" w:space="0" w:color="auto"/>
      </w:divBdr>
    </w:div>
    <w:div w:id="52776941">
      <w:bodyDiv w:val="1"/>
      <w:marLeft w:val="0"/>
      <w:marRight w:val="0"/>
      <w:marTop w:val="0"/>
      <w:marBottom w:val="0"/>
      <w:divBdr>
        <w:top w:val="none" w:sz="0" w:space="0" w:color="auto"/>
        <w:left w:val="none" w:sz="0" w:space="0" w:color="auto"/>
        <w:bottom w:val="none" w:sz="0" w:space="0" w:color="auto"/>
        <w:right w:val="none" w:sz="0" w:space="0" w:color="auto"/>
      </w:divBdr>
    </w:div>
    <w:div w:id="57023522">
      <w:bodyDiv w:val="1"/>
      <w:marLeft w:val="0"/>
      <w:marRight w:val="0"/>
      <w:marTop w:val="0"/>
      <w:marBottom w:val="0"/>
      <w:divBdr>
        <w:top w:val="none" w:sz="0" w:space="0" w:color="auto"/>
        <w:left w:val="none" w:sz="0" w:space="0" w:color="auto"/>
        <w:bottom w:val="none" w:sz="0" w:space="0" w:color="auto"/>
        <w:right w:val="none" w:sz="0" w:space="0" w:color="auto"/>
      </w:divBdr>
    </w:div>
    <w:div w:id="57244082">
      <w:bodyDiv w:val="1"/>
      <w:marLeft w:val="0"/>
      <w:marRight w:val="0"/>
      <w:marTop w:val="0"/>
      <w:marBottom w:val="0"/>
      <w:divBdr>
        <w:top w:val="none" w:sz="0" w:space="0" w:color="auto"/>
        <w:left w:val="none" w:sz="0" w:space="0" w:color="auto"/>
        <w:bottom w:val="none" w:sz="0" w:space="0" w:color="auto"/>
        <w:right w:val="none" w:sz="0" w:space="0" w:color="auto"/>
      </w:divBdr>
    </w:div>
    <w:div w:id="59719026">
      <w:bodyDiv w:val="1"/>
      <w:marLeft w:val="0"/>
      <w:marRight w:val="0"/>
      <w:marTop w:val="0"/>
      <w:marBottom w:val="0"/>
      <w:divBdr>
        <w:top w:val="none" w:sz="0" w:space="0" w:color="auto"/>
        <w:left w:val="none" w:sz="0" w:space="0" w:color="auto"/>
        <w:bottom w:val="none" w:sz="0" w:space="0" w:color="auto"/>
        <w:right w:val="none" w:sz="0" w:space="0" w:color="auto"/>
      </w:divBdr>
    </w:div>
    <w:div w:id="60492521">
      <w:bodyDiv w:val="1"/>
      <w:marLeft w:val="0"/>
      <w:marRight w:val="0"/>
      <w:marTop w:val="0"/>
      <w:marBottom w:val="0"/>
      <w:divBdr>
        <w:top w:val="none" w:sz="0" w:space="0" w:color="auto"/>
        <w:left w:val="none" w:sz="0" w:space="0" w:color="auto"/>
        <w:bottom w:val="none" w:sz="0" w:space="0" w:color="auto"/>
        <w:right w:val="none" w:sz="0" w:space="0" w:color="auto"/>
      </w:divBdr>
    </w:div>
    <w:div w:id="64256610">
      <w:bodyDiv w:val="1"/>
      <w:marLeft w:val="0"/>
      <w:marRight w:val="0"/>
      <w:marTop w:val="0"/>
      <w:marBottom w:val="0"/>
      <w:divBdr>
        <w:top w:val="none" w:sz="0" w:space="0" w:color="auto"/>
        <w:left w:val="none" w:sz="0" w:space="0" w:color="auto"/>
        <w:bottom w:val="none" w:sz="0" w:space="0" w:color="auto"/>
        <w:right w:val="none" w:sz="0" w:space="0" w:color="auto"/>
      </w:divBdr>
    </w:div>
    <w:div w:id="64377819">
      <w:bodyDiv w:val="1"/>
      <w:marLeft w:val="0"/>
      <w:marRight w:val="0"/>
      <w:marTop w:val="0"/>
      <w:marBottom w:val="0"/>
      <w:divBdr>
        <w:top w:val="none" w:sz="0" w:space="0" w:color="auto"/>
        <w:left w:val="none" w:sz="0" w:space="0" w:color="auto"/>
        <w:bottom w:val="none" w:sz="0" w:space="0" w:color="auto"/>
        <w:right w:val="none" w:sz="0" w:space="0" w:color="auto"/>
      </w:divBdr>
    </w:div>
    <w:div w:id="65617663">
      <w:bodyDiv w:val="1"/>
      <w:marLeft w:val="0"/>
      <w:marRight w:val="0"/>
      <w:marTop w:val="0"/>
      <w:marBottom w:val="0"/>
      <w:divBdr>
        <w:top w:val="none" w:sz="0" w:space="0" w:color="auto"/>
        <w:left w:val="none" w:sz="0" w:space="0" w:color="auto"/>
        <w:bottom w:val="none" w:sz="0" w:space="0" w:color="auto"/>
        <w:right w:val="none" w:sz="0" w:space="0" w:color="auto"/>
      </w:divBdr>
    </w:div>
    <w:div w:id="69353600">
      <w:bodyDiv w:val="1"/>
      <w:marLeft w:val="0"/>
      <w:marRight w:val="0"/>
      <w:marTop w:val="0"/>
      <w:marBottom w:val="0"/>
      <w:divBdr>
        <w:top w:val="none" w:sz="0" w:space="0" w:color="auto"/>
        <w:left w:val="none" w:sz="0" w:space="0" w:color="auto"/>
        <w:bottom w:val="none" w:sz="0" w:space="0" w:color="auto"/>
        <w:right w:val="none" w:sz="0" w:space="0" w:color="auto"/>
      </w:divBdr>
    </w:div>
    <w:div w:id="69543244">
      <w:bodyDiv w:val="1"/>
      <w:marLeft w:val="0"/>
      <w:marRight w:val="0"/>
      <w:marTop w:val="0"/>
      <w:marBottom w:val="0"/>
      <w:divBdr>
        <w:top w:val="none" w:sz="0" w:space="0" w:color="auto"/>
        <w:left w:val="none" w:sz="0" w:space="0" w:color="auto"/>
        <w:bottom w:val="none" w:sz="0" w:space="0" w:color="auto"/>
        <w:right w:val="none" w:sz="0" w:space="0" w:color="auto"/>
      </w:divBdr>
    </w:div>
    <w:div w:id="69622402">
      <w:bodyDiv w:val="1"/>
      <w:marLeft w:val="0"/>
      <w:marRight w:val="0"/>
      <w:marTop w:val="0"/>
      <w:marBottom w:val="0"/>
      <w:divBdr>
        <w:top w:val="none" w:sz="0" w:space="0" w:color="auto"/>
        <w:left w:val="none" w:sz="0" w:space="0" w:color="auto"/>
        <w:bottom w:val="none" w:sz="0" w:space="0" w:color="auto"/>
        <w:right w:val="none" w:sz="0" w:space="0" w:color="auto"/>
      </w:divBdr>
    </w:div>
    <w:div w:id="71320594">
      <w:bodyDiv w:val="1"/>
      <w:marLeft w:val="0"/>
      <w:marRight w:val="0"/>
      <w:marTop w:val="0"/>
      <w:marBottom w:val="0"/>
      <w:divBdr>
        <w:top w:val="none" w:sz="0" w:space="0" w:color="auto"/>
        <w:left w:val="none" w:sz="0" w:space="0" w:color="auto"/>
        <w:bottom w:val="none" w:sz="0" w:space="0" w:color="auto"/>
        <w:right w:val="none" w:sz="0" w:space="0" w:color="auto"/>
      </w:divBdr>
    </w:div>
    <w:div w:id="71894633">
      <w:bodyDiv w:val="1"/>
      <w:marLeft w:val="0"/>
      <w:marRight w:val="0"/>
      <w:marTop w:val="0"/>
      <w:marBottom w:val="0"/>
      <w:divBdr>
        <w:top w:val="none" w:sz="0" w:space="0" w:color="auto"/>
        <w:left w:val="none" w:sz="0" w:space="0" w:color="auto"/>
        <w:bottom w:val="none" w:sz="0" w:space="0" w:color="auto"/>
        <w:right w:val="none" w:sz="0" w:space="0" w:color="auto"/>
      </w:divBdr>
    </w:div>
    <w:div w:id="72943084">
      <w:bodyDiv w:val="1"/>
      <w:marLeft w:val="0"/>
      <w:marRight w:val="0"/>
      <w:marTop w:val="0"/>
      <w:marBottom w:val="0"/>
      <w:divBdr>
        <w:top w:val="none" w:sz="0" w:space="0" w:color="auto"/>
        <w:left w:val="none" w:sz="0" w:space="0" w:color="auto"/>
        <w:bottom w:val="none" w:sz="0" w:space="0" w:color="auto"/>
        <w:right w:val="none" w:sz="0" w:space="0" w:color="auto"/>
      </w:divBdr>
    </w:div>
    <w:div w:id="73672827">
      <w:bodyDiv w:val="1"/>
      <w:marLeft w:val="0"/>
      <w:marRight w:val="0"/>
      <w:marTop w:val="0"/>
      <w:marBottom w:val="0"/>
      <w:divBdr>
        <w:top w:val="none" w:sz="0" w:space="0" w:color="auto"/>
        <w:left w:val="none" w:sz="0" w:space="0" w:color="auto"/>
        <w:bottom w:val="none" w:sz="0" w:space="0" w:color="auto"/>
        <w:right w:val="none" w:sz="0" w:space="0" w:color="auto"/>
      </w:divBdr>
    </w:div>
    <w:div w:id="75790338">
      <w:bodyDiv w:val="1"/>
      <w:marLeft w:val="0"/>
      <w:marRight w:val="0"/>
      <w:marTop w:val="0"/>
      <w:marBottom w:val="0"/>
      <w:divBdr>
        <w:top w:val="none" w:sz="0" w:space="0" w:color="auto"/>
        <w:left w:val="none" w:sz="0" w:space="0" w:color="auto"/>
        <w:bottom w:val="none" w:sz="0" w:space="0" w:color="auto"/>
        <w:right w:val="none" w:sz="0" w:space="0" w:color="auto"/>
      </w:divBdr>
    </w:div>
    <w:div w:id="82848058">
      <w:bodyDiv w:val="1"/>
      <w:marLeft w:val="0"/>
      <w:marRight w:val="0"/>
      <w:marTop w:val="0"/>
      <w:marBottom w:val="0"/>
      <w:divBdr>
        <w:top w:val="none" w:sz="0" w:space="0" w:color="auto"/>
        <w:left w:val="none" w:sz="0" w:space="0" w:color="auto"/>
        <w:bottom w:val="none" w:sz="0" w:space="0" w:color="auto"/>
        <w:right w:val="none" w:sz="0" w:space="0" w:color="auto"/>
      </w:divBdr>
    </w:div>
    <w:div w:id="83261744">
      <w:bodyDiv w:val="1"/>
      <w:marLeft w:val="0"/>
      <w:marRight w:val="0"/>
      <w:marTop w:val="0"/>
      <w:marBottom w:val="0"/>
      <w:divBdr>
        <w:top w:val="none" w:sz="0" w:space="0" w:color="auto"/>
        <w:left w:val="none" w:sz="0" w:space="0" w:color="auto"/>
        <w:bottom w:val="none" w:sz="0" w:space="0" w:color="auto"/>
        <w:right w:val="none" w:sz="0" w:space="0" w:color="auto"/>
      </w:divBdr>
    </w:div>
    <w:div w:id="83304666">
      <w:bodyDiv w:val="1"/>
      <w:marLeft w:val="0"/>
      <w:marRight w:val="0"/>
      <w:marTop w:val="0"/>
      <w:marBottom w:val="0"/>
      <w:divBdr>
        <w:top w:val="none" w:sz="0" w:space="0" w:color="auto"/>
        <w:left w:val="none" w:sz="0" w:space="0" w:color="auto"/>
        <w:bottom w:val="none" w:sz="0" w:space="0" w:color="auto"/>
        <w:right w:val="none" w:sz="0" w:space="0" w:color="auto"/>
      </w:divBdr>
    </w:div>
    <w:div w:id="87433258">
      <w:bodyDiv w:val="1"/>
      <w:marLeft w:val="0"/>
      <w:marRight w:val="0"/>
      <w:marTop w:val="0"/>
      <w:marBottom w:val="0"/>
      <w:divBdr>
        <w:top w:val="none" w:sz="0" w:space="0" w:color="auto"/>
        <w:left w:val="none" w:sz="0" w:space="0" w:color="auto"/>
        <w:bottom w:val="none" w:sz="0" w:space="0" w:color="auto"/>
        <w:right w:val="none" w:sz="0" w:space="0" w:color="auto"/>
      </w:divBdr>
    </w:div>
    <w:div w:id="87773450">
      <w:bodyDiv w:val="1"/>
      <w:marLeft w:val="0"/>
      <w:marRight w:val="0"/>
      <w:marTop w:val="0"/>
      <w:marBottom w:val="0"/>
      <w:divBdr>
        <w:top w:val="none" w:sz="0" w:space="0" w:color="auto"/>
        <w:left w:val="none" w:sz="0" w:space="0" w:color="auto"/>
        <w:bottom w:val="none" w:sz="0" w:space="0" w:color="auto"/>
        <w:right w:val="none" w:sz="0" w:space="0" w:color="auto"/>
      </w:divBdr>
    </w:div>
    <w:div w:id="90857400">
      <w:bodyDiv w:val="1"/>
      <w:marLeft w:val="0"/>
      <w:marRight w:val="0"/>
      <w:marTop w:val="0"/>
      <w:marBottom w:val="0"/>
      <w:divBdr>
        <w:top w:val="none" w:sz="0" w:space="0" w:color="auto"/>
        <w:left w:val="none" w:sz="0" w:space="0" w:color="auto"/>
        <w:bottom w:val="none" w:sz="0" w:space="0" w:color="auto"/>
        <w:right w:val="none" w:sz="0" w:space="0" w:color="auto"/>
      </w:divBdr>
    </w:div>
    <w:div w:id="92559157">
      <w:bodyDiv w:val="1"/>
      <w:marLeft w:val="0"/>
      <w:marRight w:val="0"/>
      <w:marTop w:val="0"/>
      <w:marBottom w:val="0"/>
      <w:divBdr>
        <w:top w:val="none" w:sz="0" w:space="0" w:color="auto"/>
        <w:left w:val="none" w:sz="0" w:space="0" w:color="auto"/>
        <w:bottom w:val="none" w:sz="0" w:space="0" w:color="auto"/>
        <w:right w:val="none" w:sz="0" w:space="0" w:color="auto"/>
      </w:divBdr>
    </w:div>
    <w:div w:id="94519980">
      <w:bodyDiv w:val="1"/>
      <w:marLeft w:val="0"/>
      <w:marRight w:val="0"/>
      <w:marTop w:val="0"/>
      <w:marBottom w:val="0"/>
      <w:divBdr>
        <w:top w:val="none" w:sz="0" w:space="0" w:color="auto"/>
        <w:left w:val="none" w:sz="0" w:space="0" w:color="auto"/>
        <w:bottom w:val="none" w:sz="0" w:space="0" w:color="auto"/>
        <w:right w:val="none" w:sz="0" w:space="0" w:color="auto"/>
      </w:divBdr>
    </w:div>
    <w:div w:id="95907620">
      <w:bodyDiv w:val="1"/>
      <w:marLeft w:val="0"/>
      <w:marRight w:val="0"/>
      <w:marTop w:val="0"/>
      <w:marBottom w:val="0"/>
      <w:divBdr>
        <w:top w:val="none" w:sz="0" w:space="0" w:color="auto"/>
        <w:left w:val="none" w:sz="0" w:space="0" w:color="auto"/>
        <w:bottom w:val="none" w:sz="0" w:space="0" w:color="auto"/>
        <w:right w:val="none" w:sz="0" w:space="0" w:color="auto"/>
      </w:divBdr>
    </w:div>
    <w:div w:id="96408977">
      <w:bodyDiv w:val="1"/>
      <w:marLeft w:val="0"/>
      <w:marRight w:val="0"/>
      <w:marTop w:val="0"/>
      <w:marBottom w:val="0"/>
      <w:divBdr>
        <w:top w:val="none" w:sz="0" w:space="0" w:color="auto"/>
        <w:left w:val="none" w:sz="0" w:space="0" w:color="auto"/>
        <w:bottom w:val="none" w:sz="0" w:space="0" w:color="auto"/>
        <w:right w:val="none" w:sz="0" w:space="0" w:color="auto"/>
      </w:divBdr>
    </w:div>
    <w:div w:id="97802240">
      <w:bodyDiv w:val="1"/>
      <w:marLeft w:val="0"/>
      <w:marRight w:val="0"/>
      <w:marTop w:val="0"/>
      <w:marBottom w:val="0"/>
      <w:divBdr>
        <w:top w:val="none" w:sz="0" w:space="0" w:color="auto"/>
        <w:left w:val="none" w:sz="0" w:space="0" w:color="auto"/>
        <w:bottom w:val="none" w:sz="0" w:space="0" w:color="auto"/>
        <w:right w:val="none" w:sz="0" w:space="0" w:color="auto"/>
      </w:divBdr>
      <w:divsChild>
        <w:div w:id="236592456">
          <w:marLeft w:val="0"/>
          <w:marRight w:val="0"/>
          <w:marTop w:val="0"/>
          <w:marBottom w:val="0"/>
          <w:divBdr>
            <w:top w:val="none" w:sz="0" w:space="0" w:color="auto"/>
            <w:left w:val="none" w:sz="0" w:space="0" w:color="auto"/>
            <w:bottom w:val="none" w:sz="0" w:space="0" w:color="auto"/>
            <w:right w:val="none" w:sz="0" w:space="0" w:color="auto"/>
          </w:divBdr>
          <w:divsChild>
            <w:div w:id="675426761">
              <w:marLeft w:val="0"/>
              <w:marRight w:val="0"/>
              <w:marTop w:val="0"/>
              <w:marBottom w:val="0"/>
              <w:divBdr>
                <w:top w:val="none" w:sz="0" w:space="0" w:color="auto"/>
                <w:left w:val="none" w:sz="0" w:space="0" w:color="auto"/>
                <w:bottom w:val="none" w:sz="0" w:space="0" w:color="auto"/>
                <w:right w:val="none" w:sz="0" w:space="0" w:color="auto"/>
              </w:divBdr>
              <w:divsChild>
                <w:div w:id="4953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3528">
      <w:bodyDiv w:val="1"/>
      <w:marLeft w:val="0"/>
      <w:marRight w:val="0"/>
      <w:marTop w:val="0"/>
      <w:marBottom w:val="0"/>
      <w:divBdr>
        <w:top w:val="none" w:sz="0" w:space="0" w:color="auto"/>
        <w:left w:val="none" w:sz="0" w:space="0" w:color="auto"/>
        <w:bottom w:val="none" w:sz="0" w:space="0" w:color="auto"/>
        <w:right w:val="none" w:sz="0" w:space="0" w:color="auto"/>
      </w:divBdr>
    </w:div>
    <w:div w:id="103114587">
      <w:bodyDiv w:val="1"/>
      <w:marLeft w:val="0"/>
      <w:marRight w:val="0"/>
      <w:marTop w:val="0"/>
      <w:marBottom w:val="0"/>
      <w:divBdr>
        <w:top w:val="none" w:sz="0" w:space="0" w:color="auto"/>
        <w:left w:val="none" w:sz="0" w:space="0" w:color="auto"/>
        <w:bottom w:val="none" w:sz="0" w:space="0" w:color="auto"/>
        <w:right w:val="none" w:sz="0" w:space="0" w:color="auto"/>
      </w:divBdr>
    </w:div>
    <w:div w:id="104271007">
      <w:bodyDiv w:val="1"/>
      <w:marLeft w:val="0"/>
      <w:marRight w:val="0"/>
      <w:marTop w:val="0"/>
      <w:marBottom w:val="0"/>
      <w:divBdr>
        <w:top w:val="none" w:sz="0" w:space="0" w:color="auto"/>
        <w:left w:val="none" w:sz="0" w:space="0" w:color="auto"/>
        <w:bottom w:val="none" w:sz="0" w:space="0" w:color="auto"/>
        <w:right w:val="none" w:sz="0" w:space="0" w:color="auto"/>
      </w:divBdr>
    </w:div>
    <w:div w:id="104276034">
      <w:bodyDiv w:val="1"/>
      <w:marLeft w:val="0"/>
      <w:marRight w:val="0"/>
      <w:marTop w:val="0"/>
      <w:marBottom w:val="0"/>
      <w:divBdr>
        <w:top w:val="none" w:sz="0" w:space="0" w:color="auto"/>
        <w:left w:val="none" w:sz="0" w:space="0" w:color="auto"/>
        <w:bottom w:val="none" w:sz="0" w:space="0" w:color="auto"/>
        <w:right w:val="none" w:sz="0" w:space="0" w:color="auto"/>
      </w:divBdr>
    </w:div>
    <w:div w:id="104351277">
      <w:bodyDiv w:val="1"/>
      <w:marLeft w:val="0"/>
      <w:marRight w:val="0"/>
      <w:marTop w:val="0"/>
      <w:marBottom w:val="0"/>
      <w:divBdr>
        <w:top w:val="none" w:sz="0" w:space="0" w:color="auto"/>
        <w:left w:val="none" w:sz="0" w:space="0" w:color="auto"/>
        <w:bottom w:val="none" w:sz="0" w:space="0" w:color="auto"/>
        <w:right w:val="none" w:sz="0" w:space="0" w:color="auto"/>
      </w:divBdr>
    </w:div>
    <w:div w:id="105006995">
      <w:bodyDiv w:val="1"/>
      <w:marLeft w:val="0"/>
      <w:marRight w:val="0"/>
      <w:marTop w:val="0"/>
      <w:marBottom w:val="0"/>
      <w:divBdr>
        <w:top w:val="none" w:sz="0" w:space="0" w:color="auto"/>
        <w:left w:val="none" w:sz="0" w:space="0" w:color="auto"/>
        <w:bottom w:val="none" w:sz="0" w:space="0" w:color="auto"/>
        <w:right w:val="none" w:sz="0" w:space="0" w:color="auto"/>
      </w:divBdr>
    </w:div>
    <w:div w:id="107744235">
      <w:bodyDiv w:val="1"/>
      <w:marLeft w:val="0"/>
      <w:marRight w:val="0"/>
      <w:marTop w:val="0"/>
      <w:marBottom w:val="0"/>
      <w:divBdr>
        <w:top w:val="none" w:sz="0" w:space="0" w:color="auto"/>
        <w:left w:val="none" w:sz="0" w:space="0" w:color="auto"/>
        <w:bottom w:val="none" w:sz="0" w:space="0" w:color="auto"/>
        <w:right w:val="none" w:sz="0" w:space="0" w:color="auto"/>
      </w:divBdr>
    </w:div>
    <w:div w:id="110823140">
      <w:bodyDiv w:val="1"/>
      <w:marLeft w:val="0"/>
      <w:marRight w:val="0"/>
      <w:marTop w:val="0"/>
      <w:marBottom w:val="0"/>
      <w:divBdr>
        <w:top w:val="none" w:sz="0" w:space="0" w:color="auto"/>
        <w:left w:val="none" w:sz="0" w:space="0" w:color="auto"/>
        <w:bottom w:val="none" w:sz="0" w:space="0" w:color="auto"/>
        <w:right w:val="none" w:sz="0" w:space="0" w:color="auto"/>
      </w:divBdr>
    </w:div>
    <w:div w:id="111441685">
      <w:bodyDiv w:val="1"/>
      <w:marLeft w:val="0"/>
      <w:marRight w:val="0"/>
      <w:marTop w:val="0"/>
      <w:marBottom w:val="0"/>
      <w:divBdr>
        <w:top w:val="none" w:sz="0" w:space="0" w:color="auto"/>
        <w:left w:val="none" w:sz="0" w:space="0" w:color="auto"/>
        <w:bottom w:val="none" w:sz="0" w:space="0" w:color="auto"/>
        <w:right w:val="none" w:sz="0" w:space="0" w:color="auto"/>
      </w:divBdr>
    </w:div>
    <w:div w:id="112866931">
      <w:bodyDiv w:val="1"/>
      <w:marLeft w:val="0"/>
      <w:marRight w:val="0"/>
      <w:marTop w:val="0"/>
      <w:marBottom w:val="0"/>
      <w:divBdr>
        <w:top w:val="none" w:sz="0" w:space="0" w:color="auto"/>
        <w:left w:val="none" w:sz="0" w:space="0" w:color="auto"/>
        <w:bottom w:val="none" w:sz="0" w:space="0" w:color="auto"/>
        <w:right w:val="none" w:sz="0" w:space="0" w:color="auto"/>
      </w:divBdr>
    </w:div>
    <w:div w:id="113058896">
      <w:bodyDiv w:val="1"/>
      <w:marLeft w:val="0"/>
      <w:marRight w:val="0"/>
      <w:marTop w:val="0"/>
      <w:marBottom w:val="0"/>
      <w:divBdr>
        <w:top w:val="none" w:sz="0" w:space="0" w:color="auto"/>
        <w:left w:val="none" w:sz="0" w:space="0" w:color="auto"/>
        <w:bottom w:val="none" w:sz="0" w:space="0" w:color="auto"/>
        <w:right w:val="none" w:sz="0" w:space="0" w:color="auto"/>
      </w:divBdr>
    </w:div>
    <w:div w:id="113837944">
      <w:bodyDiv w:val="1"/>
      <w:marLeft w:val="0"/>
      <w:marRight w:val="0"/>
      <w:marTop w:val="0"/>
      <w:marBottom w:val="0"/>
      <w:divBdr>
        <w:top w:val="none" w:sz="0" w:space="0" w:color="auto"/>
        <w:left w:val="none" w:sz="0" w:space="0" w:color="auto"/>
        <w:bottom w:val="none" w:sz="0" w:space="0" w:color="auto"/>
        <w:right w:val="none" w:sz="0" w:space="0" w:color="auto"/>
      </w:divBdr>
    </w:div>
    <w:div w:id="116069276">
      <w:bodyDiv w:val="1"/>
      <w:marLeft w:val="0"/>
      <w:marRight w:val="0"/>
      <w:marTop w:val="0"/>
      <w:marBottom w:val="0"/>
      <w:divBdr>
        <w:top w:val="none" w:sz="0" w:space="0" w:color="auto"/>
        <w:left w:val="none" w:sz="0" w:space="0" w:color="auto"/>
        <w:bottom w:val="none" w:sz="0" w:space="0" w:color="auto"/>
        <w:right w:val="none" w:sz="0" w:space="0" w:color="auto"/>
      </w:divBdr>
    </w:div>
    <w:div w:id="120727528">
      <w:bodyDiv w:val="1"/>
      <w:marLeft w:val="0"/>
      <w:marRight w:val="0"/>
      <w:marTop w:val="0"/>
      <w:marBottom w:val="0"/>
      <w:divBdr>
        <w:top w:val="none" w:sz="0" w:space="0" w:color="auto"/>
        <w:left w:val="none" w:sz="0" w:space="0" w:color="auto"/>
        <w:bottom w:val="none" w:sz="0" w:space="0" w:color="auto"/>
        <w:right w:val="none" w:sz="0" w:space="0" w:color="auto"/>
      </w:divBdr>
    </w:div>
    <w:div w:id="122037974">
      <w:bodyDiv w:val="1"/>
      <w:marLeft w:val="0"/>
      <w:marRight w:val="0"/>
      <w:marTop w:val="0"/>
      <w:marBottom w:val="0"/>
      <w:divBdr>
        <w:top w:val="none" w:sz="0" w:space="0" w:color="auto"/>
        <w:left w:val="none" w:sz="0" w:space="0" w:color="auto"/>
        <w:bottom w:val="none" w:sz="0" w:space="0" w:color="auto"/>
        <w:right w:val="none" w:sz="0" w:space="0" w:color="auto"/>
      </w:divBdr>
    </w:div>
    <w:div w:id="123812327">
      <w:bodyDiv w:val="1"/>
      <w:marLeft w:val="0"/>
      <w:marRight w:val="0"/>
      <w:marTop w:val="0"/>
      <w:marBottom w:val="0"/>
      <w:divBdr>
        <w:top w:val="none" w:sz="0" w:space="0" w:color="auto"/>
        <w:left w:val="none" w:sz="0" w:space="0" w:color="auto"/>
        <w:bottom w:val="none" w:sz="0" w:space="0" w:color="auto"/>
        <w:right w:val="none" w:sz="0" w:space="0" w:color="auto"/>
      </w:divBdr>
    </w:div>
    <w:div w:id="125048024">
      <w:bodyDiv w:val="1"/>
      <w:marLeft w:val="0"/>
      <w:marRight w:val="0"/>
      <w:marTop w:val="0"/>
      <w:marBottom w:val="0"/>
      <w:divBdr>
        <w:top w:val="none" w:sz="0" w:space="0" w:color="auto"/>
        <w:left w:val="none" w:sz="0" w:space="0" w:color="auto"/>
        <w:bottom w:val="none" w:sz="0" w:space="0" w:color="auto"/>
        <w:right w:val="none" w:sz="0" w:space="0" w:color="auto"/>
      </w:divBdr>
    </w:div>
    <w:div w:id="125701130">
      <w:bodyDiv w:val="1"/>
      <w:marLeft w:val="0"/>
      <w:marRight w:val="0"/>
      <w:marTop w:val="0"/>
      <w:marBottom w:val="0"/>
      <w:divBdr>
        <w:top w:val="none" w:sz="0" w:space="0" w:color="auto"/>
        <w:left w:val="none" w:sz="0" w:space="0" w:color="auto"/>
        <w:bottom w:val="none" w:sz="0" w:space="0" w:color="auto"/>
        <w:right w:val="none" w:sz="0" w:space="0" w:color="auto"/>
      </w:divBdr>
    </w:div>
    <w:div w:id="125858209">
      <w:bodyDiv w:val="1"/>
      <w:marLeft w:val="0"/>
      <w:marRight w:val="0"/>
      <w:marTop w:val="0"/>
      <w:marBottom w:val="0"/>
      <w:divBdr>
        <w:top w:val="none" w:sz="0" w:space="0" w:color="auto"/>
        <w:left w:val="none" w:sz="0" w:space="0" w:color="auto"/>
        <w:bottom w:val="none" w:sz="0" w:space="0" w:color="auto"/>
        <w:right w:val="none" w:sz="0" w:space="0" w:color="auto"/>
      </w:divBdr>
    </w:div>
    <w:div w:id="128398246">
      <w:bodyDiv w:val="1"/>
      <w:marLeft w:val="0"/>
      <w:marRight w:val="0"/>
      <w:marTop w:val="0"/>
      <w:marBottom w:val="0"/>
      <w:divBdr>
        <w:top w:val="none" w:sz="0" w:space="0" w:color="auto"/>
        <w:left w:val="none" w:sz="0" w:space="0" w:color="auto"/>
        <w:bottom w:val="none" w:sz="0" w:space="0" w:color="auto"/>
        <w:right w:val="none" w:sz="0" w:space="0" w:color="auto"/>
      </w:divBdr>
    </w:div>
    <w:div w:id="129061543">
      <w:bodyDiv w:val="1"/>
      <w:marLeft w:val="0"/>
      <w:marRight w:val="0"/>
      <w:marTop w:val="0"/>
      <w:marBottom w:val="0"/>
      <w:divBdr>
        <w:top w:val="none" w:sz="0" w:space="0" w:color="auto"/>
        <w:left w:val="none" w:sz="0" w:space="0" w:color="auto"/>
        <w:bottom w:val="none" w:sz="0" w:space="0" w:color="auto"/>
        <w:right w:val="none" w:sz="0" w:space="0" w:color="auto"/>
      </w:divBdr>
    </w:div>
    <w:div w:id="129715727">
      <w:bodyDiv w:val="1"/>
      <w:marLeft w:val="0"/>
      <w:marRight w:val="0"/>
      <w:marTop w:val="0"/>
      <w:marBottom w:val="0"/>
      <w:divBdr>
        <w:top w:val="none" w:sz="0" w:space="0" w:color="auto"/>
        <w:left w:val="none" w:sz="0" w:space="0" w:color="auto"/>
        <w:bottom w:val="none" w:sz="0" w:space="0" w:color="auto"/>
        <w:right w:val="none" w:sz="0" w:space="0" w:color="auto"/>
      </w:divBdr>
    </w:div>
    <w:div w:id="129983632">
      <w:bodyDiv w:val="1"/>
      <w:marLeft w:val="0"/>
      <w:marRight w:val="0"/>
      <w:marTop w:val="0"/>
      <w:marBottom w:val="0"/>
      <w:divBdr>
        <w:top w:val="none" w:sz="0" w:space="0" w:color="auto"/>
        <w:left w:val="none" w:sz="0" w:space="0" w:color="auto"/>
        <w:bottom w:val="none" w:sz="0" w:space="0" w:color="auto"/>
        <w:right w:val="none" w:sz="0" w:space="0" w:color="auto"/>
      </w:divBdr>
    </w:div>
    <w:div w:id="134102271">
      <w:bodyDiv w:val="1"/>
      <w:marLeft w:val="0"/>
      <w:marRight w:val="0"/>
      <w:marTop w:val="0"/>
      <w:marBottom w:val="0"/>
      <w:divBdr>
        <w:top w:val="none" w:sz="0" w:space="0" w:color="auto"/>
        <w:left w:val="none" w:sz="0" w:space="0" w:color="auto"/>
        <w:bottom w:val="none" w:sz="0" w:space="0" w:color="auto"/>
        <w:right w:val="none" w:sz="0" w:space="0" w:color="auto"/>
      </w:divBdr>
      <w:divsChild>
        <w:div w:id="1159929381">
          <w:marLeft w:val="0"/>
          <w:marRight w:val="0"/>
          <w:marTop w:val="0"/>
          <w:marBottom w:val="0"/>
          <w:divBdr>
            <w:top w:val="none" w:sz="0" w:space="0" w:color="auto"/>
            <w:left w:val="none" w:sz="0" w:space="0" w:color="auto"/>
            <w:bottom w:val="none" w:sz="0" w:space="0" w:color="auto"/>
            <w:right w:val="none" w:sz="0" w:space="0" w:color="auto"/>
          </w:divBdr>
          <w:divsChild>
            <w:div w:id="556669839">
              <w:marLeft w:val="0"/>
              <w:marRight w:val="0"/>
              <w:marTop w:val="0"/>
              <w:marBottom w:val="0"/>
              <w:divBdr>
                <w:top w:val="none" w:sz="0" w:space="0" w:color="auto"/>
                <w:left w:val="none" w:sz="0" w:space="0" w:color="auto"/>
                <w:bottom w:val="none" w:sz="0" w:space="0" w:color="auto"/>
                <w:right w:val="none" w:sz="0" w:space="0" w:color="auto"/>
              </w:divBdr>
              <w:divsChild>
                <w:div w:id="302586889">
                  <w:marLeft w:val="4245"/>
                  <w:marRight w:val="0"/>
                  <w:marTop w:val="0"/>
                  <w:marBottom w:val="0"/>
                  <w:divBdr>
                    <w:top w:val="none" w:sz="0" w:space="0" w:color="auto"/>
                    <w:left w:val="none" w:sz="0" w:space="0" w:color="auto"/>
                    <w:bottom w:val="none" w:sz="0" w:space="0" w:color="auto"/>
                    <w:right w:val="none" w:sz="0" w:space="0" w:color="auto"/>
                  </w:divBdr>
                  <w:divsChild>
                    <w:div w:id="666590071">
                      <w:marLeft w:val="4200"/>
                      <w:marRight w:val="0"/>
                      <w:marTop w:val="2175"/>
                      <w:marBottom w:val="0"/>
                      <w:divBdr>
                        <w:top w:val="none" w:sz="0" w:space="0" w:color="auto"/>
                        <w:left w:val="none" w:sz="0" w:space="0" w:color="auto"/>
                        <w:bottom w:val="none" w:sz="0" w:space="0" w:color="auto"/>
                        <w:right w:val="none" w:sz="0" w:space="0" w:color="auto"/>
                      </w:divBdr>
                      <w:divsChild>
                        <w:div w:id="172359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84997">
      <w:bodyDiv w:val="1"/>
      <w:marLeft w:val="0"/>
      <w:marRight w:val="0"/>
      <w:marTop w:val="0"/>
      <w:marBottom w:val="0"/>
      <w:divBdr>
        <w:top w:val="none" w:sz="0" w:space="0" w:color="auto"/>
        <w:left w:val="none" w:sz="0" w:space="0" w:color="auto"/>
        <w:bottom w:val="none" w:sz="0" w:space="0" w:color="auto"/>
        <w:right w:val="none" w:sz="0" w:space="0" w:color="auto"/>
      </w:divBdr>
    </w:div>
    <w:div w:id="137578309">
      <w:bodyDiv w:val="1"/>
      <w:marLeft w:val="0"/>
      <w:marRight w:val="0"/>
      <w:marTop w:val="0"/>
      <w:marBottom w:val="0"/>
      <w:divBdr>
        <w:top w:val="none" w:sz="0" w:space="0" w:color="auto"/>
        <w:left w:val="none" w:sz="0" w:space="0" w:color="auto"/>
        <w:bottom w:val="none" w:sz="0" w:space="0" w:color="auto"/>
        <w:right w:val="none" w:sz="0" w:space="0" w:color="auto"/>
      </w:divBdr>
    </w:div>
    <w:div w:id="142622953">
      <w:bodyDiv w:val="1"/>
      <w:marLeft w:val="0"/>
      <w:marRight w:val="0"/>
      <w:marTop w:val="0"/>
      <w:marBottom w:val="0"/>
      <w:divBdr>
        <w:top w:val="none" w:sz="0" w:space="0" w:color="auto"/>
        <w:left w:val="none" w:sz="0" w:space="0" w:color="auto"/>
        <w:bottom w:val="none" w:sz="0" w:space="0" w:color="auto"/>
        <w:right w:val="none" w:sz="0" w:space="0" w:color="auto"/>
      </w:divBdr>
    </w:div>
    <w:div w:id="142896214">
      <w:bodyDiv w:val="1"/>
      <w:marLeft w:val="0"/>
      <w:marRight w:val="0"/>
      <w:marTop w:val="0"/>
      <w:marBottom w:val="0"/>
      <w:divBdr>
        <w:top w:val="none" w:sz="0" w:space="0" w:color="auto"/>
        <w:left w:val="none" w:sz="0" w:space="0" w:color="auto"/>
        <w:bottom w:val="none" w:sz="0" w:space="0" w:color="auto"/>
        <w:right w:val="none" w:sz="0" w:space="0" w:color="auto"/>
      </w:divBdr>
    </w:div>
    <w:div w:id="143815611">
      <w:bodyDiv w:val="1"/>
      <w:marLeft w:val="0"/>
      <w:marRight w:val="0"/>
      <w:marTop w:val="0"/>
      <w:marBottom w:val="0"/>
      <w:divBdr>
        <w:top w:val="none" w:sz="0" w:space="0" w:color="auto"/>
        <w:left w:val="none" w:sz="0" w:space="0" w:color="auto"/>
        <w:bottom w:val="none" w:sz="0" w:space="0" w:color="auto"/>
        <w:right w:val="none" w:sz="0" w:space="0" w:color="auto"/>
      </w:divBdr>
    </w:div>
    <w:div w:id="144206491">
      <w:bodyDiv w:val="1"/>
      <w:marLeft w:val="0"/>
      <w:marRight w:val="0"/>
      <w:marTop w:val="0"/>
      <w:marBottom w:val="0"/>
      <w:divBdr>
        <w:top w:val="none" w:sz="0" w:space="0" w:color="auto"/>
        <w:left w:val="none" w:sz="0" w:space="0" w:color="auto"/>
        <w:bottom w:val="none" w:sz="0" w:space="0" w:color="auto"/>
        <w:right w:val="none" w:sz="0" w:space="0" w:color="auto"/>
      </w:divBdr>
    </w:div>
    <w:div w:id="145169208">
      <w:bodyDiv w:val="1"/>
      <w:marLeft w:val="0"/>
      <w:marRight w:val="0"/>
      <w:marTop w:val="0"/>
      <w:marBottom w:val="0"/>
      <w:divBdr>
        <w:top w:val="none" w:sz="0" w:space="0" w:color="auto"/>
        <w:left w:val="none" w:sz="0" w:space="0" w:color="auto"/>
        <w:bottom w:val="none" w:sz="0" w:space="0" w:color="auto"/>
        <w:right w:val="none" w:sz="0" w:space="0" w:color="auto"/>
      </w:divBdr>
    </w:div>
    <w:div w:id="145586723">
      <w:bodyDiv w:val="1"/>
      <w:marLeft w:val="0"/>
      <w:marRight w:val="0"/>
      <w:marTop w:val="0"/>
      <w:marBottom w:val="0"/>
      <w:divBdr>
        <w:top w:val="none" w:sz="0" w:space="0" w:color="auto"/>
        <w:left w:val="none" w:sz="0" w:space="0" w:color="auto"/>
        <w:bottom w:val="none" w:sz="0" w:space="0" w:color="auto"/>
        <w:right w:val="none" w:sz="0" w:space="0" w:color="auto"/>
      </w:divBdr>
    </w:div>
    <w:div w:id="146678274">
      <w:bodyDiv w:val="1"/>
      <w:marLeft w:val="0"/>
      <w:marRight w:val="0"/>
      <w:marTop w:val="0"/>
      <w:marBottom w:val="0"/>
      <w:divBdr>
        <w:top w:val="none" w:sz="0" w:space="0" w:color="auto"/>
        <w:left w:val="none" w:sz="0" w:space="0" w:color="auto"/>
        <w:bottom w:val="none" w:sz="0" w:space="0" w:color="auto"/>
        <w:right w:val="none" w:sz="0" w:space="0" w:color="auto"/>
      </w:divBdr>
    </w:div>
    <w:div w:id="147325162">
      <w:bodyDiv w:val="1"/>
      <w:marLeft w:val="0"/>
      <w:marRight w:val="0"/>
      <w:marTop w:val="0"/>
      <w:marBottom w:val="0"/>
      <w:divBdr>
        <w:top w:val="none" w:sz="0" w:space="0" w:color="auto"/>
        <w:left w:val="none" w:sz="0" w:space="0" w:color="auto"/>
        <w:bottom w:val="none" w:sz="0" w:space="0" w:color="auto"/>
        <w:right w:val="none" w:sz="0" w:space="0" w:color="auto"/>
      </w:divBdr>
    </w:div>
    <w:div w:id="148256374">
      <w:bodyDiv w:val="1"/>
      <w:marLeft w:val="0"/>
      <w:marRight w:val="0"/>
      <w:marTop w:val="0"/>
      <w:marBottom w:val="0"/>
      <w:divBdr>
        <w:top w:val="none" w:sz="0" w:space="0" w:color="auto"/>
        <w:left w:val="none" w:sz="0" w:space="0" w:color="auto"/>
        <w:bottom w:val="none" w:sz="0" w:space="0" w:color="auto"/>
        <w:right w:val="none" w:sz="0" w:space="0" w:color="auto"/>
      </w:divBdr>
    </w:div>
    <w:div w:id="149445599">
      <w:bodyDiv w:val="1"/>
      <w:marLeft w:val="0"/>
      <w:marRight w:val="0"/>
      <w:marTop w:val="0"/>
      <w:marBottom w:val="0"/>
      <w:divBdr>
        <w:top w:val="none" w:sz="0" w:space="0" w:color="auto"/>
        <w:left w:val="none" w:sz="0" w:space="0" w:color="auto"/>
        <w:bottom w:val="none" w:sz="0" w:space="0" w:color="auto"/>
        <w:right w:val="none" w:sz="0" w:space="0" w:color="auto"/>
      </w:divBdr>
    </w:div>
    <w:div w:id="149908802">
      <w:bodyDiv w:val="1"/>
      <w:marLeft w:val="0"/>
      <w:marRight w:val="0"/>
      <w:marTop w:val="0"/>
      <w:marBottom w:val="0"/>
      <w:divBdr>
        <w:top w:val="none" w:sz="0" w:space="0" w:color="auto"/>
        <w:left w:val="none" w:sz="0" w:space="0" w:color="auto"/>
        <w:bottom w:val="none" w:sz="0" w:space="0" w:color="auto"/>
        <w:right w:val="none" w:sz="0" w:space="0" w:color="auto"/>
      </w:divBdr>
    </w:div>
    <w:div w:id="150677452">
      <w:bodyDiv w:val="1"/>
      <w:marLeft w:val="0"/>
      <w:marRight w:val="0"/>
      <w:marTop w:val="0"/>
      <w:marBottom w:val="0"/>
      <w:divBdr>
        <w:top w:val="none" w:sz="0" w:space="0" w:color="auto"/>
        <w:left w:val="none" w:sz="0" w:space="0" w:color="auto"/>
        <w:bottom w:val="none" w:sz="0" w:space="0" w:color="auto"/>
        <w:right w:val="none" w:sz="0" w:space="0" w:color="auto"/>
      </w:divBdr>
    </w:div>
    <w:div w:id="154033395">
      <w:bodyDiv w:val="1"/>
      <w:marLeft w:val="0"/>
      <w:marRight w:val="0"/>
      <w:marTop w:val="0"/>
      <w:marBottom w:val="0"/>
      <w:divBdr>
        <w:top w:val="none" w:sz="0" w:space="0" w:color="auto"/>
        <w:left w:val="none" w:sz="0" w:space="0" w:color="auto"/>
        <w:bottom w:val="none" w:sz="0" w:space="0" w:color="auto"/>
        <w:right w:val="none" w:sz="0" w:space="0" w:color="auto"/>
      </w:divBdr>
    </w:div>
    <w:div w:id="155268553">
      <w:bodyDiv w:val="1"/>
      <w:marLeft w:val="0"/>
      <w:marRight w:val="0"/>
      <w:marTop w:val="0"/>
      <w:marBottom w:val="0"/>
      <w:divBdr>
        <w:top w:val="none" w:sz="0" w:space="0" w:color="auto"/>
        <w:left w:val="none" w:sz="0" w:space="0" w:color="auto"/>
        <w:bottom w:val="none" w:sz="0" w:space="0" w:color="auto"/>
        <w:right w:val="none" w:sz="0" w:space="0" w:color="auto"/>
      </w:divBdr>
    </w:div>
    <w:div w:id="155535517">
      <w:bodyDiv w:val="1"/>
      <w:marLeft w:val="0"/>
      <w:marRight w:val="0"/>
      <w:marTop w:val="0"/>
      <w:marBottom w:val="0"/>
      <w:divBdr>
        <w:top w:val="none" w:sz="0" w:space="0" w:color="auto"/>
        <w:left w:val="none" w:sz="0" w:space="0" w:color="auto"/>
        <w:bottom w:val="none" w:sz="0" w:space="0" w:color="auto"/>
        <w:right w:val="none" w:sz="0" w:space="0" w:color="auto"/>
      </w:divBdr>
    </w:div>
    <w:div w:id="158235084">
      <w:bodyDiv w:val="1"/>
      <w:marLeft w:val="0"/>
      <w:marRight w:val="0"/>
      <w:marTop w:val="0"/>
      <w:marBottom w:val="0"/>
      <w:divBdr>
        <w:top w:val="none" w:sz="0" w:space="0" w:color="auto"/>
        <w:left w:val="none" w:sz="0" w:space="0" w:color="auto"/>
        <w:bottom w:val="none" w:sz="0" w:space="0" w:color="auto"/>
        <w:right w:val="none" w:sz="0" w:space="0" w:color="auto"/>
      </w:divBdr>
    </w:div>
    <w:div w:id="159546917">
      <w:bodyDiv w:val="1"/>
      <w:marLeft w:val="0"/>
      <w:marRight w:val="0"/>
      <w:marTop w:val="0"/>
      <w:marBottom w:val="0"/>
      <w:divBdr>
        <w:top w:val="none" w:sz="0" w:space="0" w:color="auto"/>
        <w:left w:val="none" w:sz="0" w:space="0" w:color="auto"/>
        <w:bottom w:val="none" w:sz="0" w:space="0" w:color="auto"/>
        <w:right w:val="none" w:sz="0" w:space="0" w:color="auto"/>
      </w:divBdr>
    </w:div>
    <w:div w:id="160513384">
      <w:bodyDiv w:val="1"/>
      <w:marLeft w:val="0"/>
      <w:marRight w:val="0"/>
      <w:marTop w:val="0"/>
      <w:marBottom w:val="0"/>
      <w:divBdr>
        <w:top w:val="none" w:sz="0" w:space="0" w:color="auto"/>
        <w:left w:val="none" w:sz="0" w:space="0" w:color="auto"/>
        <w:bottom w:val="none" w:sz="0" w:space="0" w:color="auto"/>
        <w:right w:val="none" w:sz="0" w:space="0" w:color="auto"/>
      </w:divBdr>
      <w:divsChild>
        <w:div w:id="494221513">
          <w:marLeft w:val="0"/>
          <w:marRight w:val="0"/>
          <w:marTop w:val="0"/>
          <w:marBottom w:val="0"/>
          <w:divBdr>
            <w:top w:val="none" w:sz="0" w:space="0" w:color="auto"/>
            <w:left w:val="none" w:sz="0" w:space="0" w:color="auto"/>
            <w:bottom w:val="none" w:sz="0" w:space="0" w:color="auto"/>
            <w:right w:val="none" w:sz="0" w:space="0" w:color="auto"/>
          </w:divBdr>
          <w:divsChild>
            <w:div w:id="1486509783">
              <w:marLeft w:val="0"/>
              <w:marRight w:val="0"/>
              <w:marTop w:val="0"/>
              <w:marBottom w:val="0"/>
              <w:divBdr>
                <w:top w:val="none" w:sz="0" w:space="0" w:color="auto"/>
                <w:left w:val="none" w:sz="0" w:space="0" w:color="auto"/>
                <w:bottom w:val="none" w:sz="0" w:space="0" w:color="auto"/>
                <w:right w:val="none" w:sz="0" w:space="0" w:color="auto"/>
              </w:divBdr>
              <w:divsChild>
                <w:div w:id="1548254769">
                  <w:marLeft w:val="4245"/>
                  <w:marRight w:val="0"/>
                  <w:marTop w:val="0"/>
                  <w:marBottom w:val="0"/>
                  <w:divBdr>
                    <w:top w:val="none" w:sz="0" w:space="0" w:color="auto"/>
                    <w:left w:val="none" w:sz="0" w:space="0" w:color="auto"/>
                    <w:bottom w:val="none" w:sz="0" w:space="0" w:color="auto"/>
                    <w:right w:val="none" w:sz="0" w:space="0" w:color="auto"/>
                  </w:divBdr>
                  <w:divsChild>
                    <w:div w:id="1617516115">
                      <w:marLeft w:val="4200"/>
                      <w:marRight w:val="0"/>
                      <w:marTop w:val="2175"/>
                      <w:marBottom w:val="0"/>
                      <w:divBdr>
                        <w:top w:val="none" w:sz="0" w:space="0" w:color="auto"/>
                        <w:left w:val="none" w:sz="0" w:space="0" w:color="auto"/>
                        <w:bottom w:val="none" w:sz="0" w:space="0" w:color="auto"/>
                        <w:right w:val="none" w:sz="0" w:space="0" w:color="auto"/>
                      </w:divBdr>
                      <w:divsChild>
                        <w:div w:id="18987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54378">
      <w:bodyDiv w:val="1"/>
      <w:marLeft w:val="0"/>
      <w:marRight w:val="0"/>
      <w:marTop w:val="0"/>
      <w:marBottom w:val="0"/>
      <w:divBdr>
        <w:top w:val="none" w:sz="0" w:space="0" w:color="auto"/>
        <w:left w:val="none" w:sz="0" w:space="0" w:color="auto"/>
        <w:bottom w:val="none" w:sz="0" w:space="0" w:color="auto"/>
        <w:right w:val="none" w:sz="0" w:space="0" w:color="auto"/>
      </w:divBdr>
    </w:div>
    <w:div w:id="164319742">
      <w:bodyDiv w:val="1"/>
      <w:marLeft w:val="0"/>
      <w:marRight w:val="0"/>
      <w:marTop w:val="0"/>
      <w:marBottom w:val="0"/>
      <w:divBdr>
        <w:top w:val="none" w:sz="0" w:space="0" w:color="auto"/>
        <w:left w:val="none" w:sz="0" w:space="0" w:color="auto"/>
        <w:bottom w:val="none" w:sz="0" w:space="0" w:color="auto"/>
        <w:right w:val="none" w:sz="0" w:space="0" w:color="auto"/>
      </w:divBdr>
    </w:div>
    <w:div w:id="164394968">
      <w:bodyDiv w:val="1"/>
      <w:marLeft w:val="0"/>
      <w:marRight w:val="0"/>
      <w:marTop w:val="0"/>
      <w:marBottom w:val="0"/>
      <w:divBdr>
        <w:top w:val="none" w:sz="0" w:space="0" w:color="auto"/>
        <w:left w:val="none" w:sz="0" w:space="0" w:color="auto"/>
        <w:bottom w:val="none" w:sz="0" w:space="0" w:color="auto"/>
        <w:right w:val="none" w:sz="0" w:space="0" w:color="auto"/>
      </w:divBdr>
    </w:div>
    <w:div w:id="168643432">
      <w:bodyDiv w:val="1"/>
      <w:marLeft w:val="0"/>
      <w:marRight w:val="0"/>
      <w:marTop w:val="0"/>
      <w:marBottom w:val="0"/>
      <w:divBdr>
        <w:top w:val="none" w:sz="0" w:space="0" w:color="auto"/>
        <w:left w:val="none" w:sz="0" w:space="0" w:color="auto"/>
        <w:bottom w:val="none" w:sz="0" w:space="0" w:color="auto"/>
        <w:right w:val="none" w:sz="0" w:space="0" w:color="auto"/>
      </w:divBdr>
    </w:div>
    <w:div w:id="170218517">
      <w:bodyDiv w:val="1"/>
      <w:marLeft w:val="0"/>
      <w:marRight w:val="0"/>
      <w:marTop w:val="0"/>
      <w:marBottom w:val="0"/>
      <w:divBdr>
        <w:top w:val="none" w:sz="0" w:space="0" w:color="auto"/>
        <w:left w:val="none" w:sz="0" w:space="0" w:color="auto"/>
        <w:bottom w:val="none" w:sz="0" w:space="0" w:color="auto"/>
        <w:right w:val="none" w:sz="0" w:space="0" w:color="auto"/>
      </w:divBdr>
    </w:div>
    <w:div w:id="174347256">
      <w:bodyDiv w:val="1"/>
      <w:marLeft w:val="0"/>
      <w:marRight w:val="0"/>
      <w:marTop w:val="0"/>
      <w:marBottom w:val="0"/>
      <w:divBdr>
        <w:top w:val="none" w:sz="0" w:space="0" w:color="auto"/>
        <w:left w:val="none" w:sz="0" w:space="0" w:color="auto"/>
        <w:bottom w:val="none" w:sz="0" w:space="0" w:color="auto"/>
        <w:right w:val="none" w:sz="0" w:space="0" w:color="auto"/>
      </w:divBdr>
    </w:div>
    <w:div w:id="174348511">
      <w:bodyDiv w:val="1"/>
      <w:marLeft w:val="0"/>
      <w:marRight w:val="0"/>
      <w:marTop w:val="0"/>
      <w:marBottom w:val="0"/>
      <w:divBdr>
        <w:top w:val="none" w:sz="0" w:space="0" w:color="auto"/>
        <w:left w:val="none" w:sz="0" w:space="0" w:color="auto"/>
        <w:bottom w:val="none" w:sz="0" w:space="0" w:color="auto"/>
        <w:right w:val="none" w:sz="0" w:space="0" w:color="auto"/>
      </w:divBdr>
    </w:div>
    <w:div w:id="175115198">
      <w:bodyDiv w:val="1"/>
      <w:marLeft w:val="0"/>
      <w:marRight w:val="0"/>
      <w:marTop w:val="0"/>
      <w:marBottom w:val="0"/>
      <w:divBdr>
        <w:top w:val="none" w:sz="0" w:space="0" w:color="auto"/>
        <w:left w:val="none" w:sz="0" w:space="0" w:color="auto"/>
        <w:bottom w:val="none" w:sz="0" w:space="0" w:color="auto"/>
        <w:right w:val="none" w:sz="0" w:space="0" w:color="auto"/>
      </w:divBdr>
    </w:div>
    <w:div w:id="175661461">
      <w:bodyDiv w:val="1"/>
      <w:marLeft w:val="0"/>
      <w:marRight w:val="0"/>
      <w:marTop w:val="0"/>
      <w:marBottom w:val="0"/>
      <w:divBdr>
        <w:top w:val="none" w:sz="0" w:space="0" w:color="auto"/>
        <w:left w:val="none" w:sz="0" w:space="0" w:color="auto"/>
        <w:bottom w:val="none" w:sz="0" w:space="0" w:color="auto"/>
        <w:right w:val="none" w:sz="0" w:space="0" w:color="auto"/>
      </w:divBdr>
    </w:div>
    <w:div w:id="177624413">
      <w:bodyDiv w:val="1"/>
      <w:marLeft w:val="0"/>
      <w:marRight w:val="0"/>
      <w:marTop w:val="0"/>
      <w:marBottom w:val="0"/>
      <w:divBdr>
        <w:top w:val="none" w:sz="0" w:space="0" w:color="auto"/>
        <w:left w:val="none" w:sz="0" w:space="0" w:color="auto"/>
        <w:bottom w:val="none" w:sz="0" w:space="0" w:color="auto"/>
        <w:right w:val="none" w:sz="0" w:space="0" w:color="auto"/>
      </w:divBdr>
    </w:div>
    <w:div w:id="179243925">
      <w:bodyDiv w:val="1"/>
      <w:marLeft w:val="0"/>
      <w:marRight w:val="0"/>
      <w:marTop w:val="0"/>
      <w:marBottom w:val="0"/>
      <w:divBdr>
        <w:top w:val="none" w:sz="0" w:space="0" w:color="auto"/>
        <w:left w:val="none" w:sz="0" w:space="0" w:color="auto"/>
        <w:bottom w:val="none" w:sz="0" w:space="0" w:color="auto"/>
        <w:right w:val="none" w:sz="0" w:space="0" w:color="auto"/>
      </w:divBdr>
    </w:div>
    <w:div w:id="181286678">
      <w:bodyDiv w:val="1"/>
      <w:marLeft w:val="0"/>
      <w:marRight w:val="0"/>
      <w:marTop w:val="0"/>
      <w:marBottom w:val="0"/>
      <w:divBdr>
        <w:top w:val="none" w:sz="0" w:space="0" w:color="auto"/>
        <w:left w:val="none" w:sz="0" w:space="0" w:color="auto"/>
        <w:bottom w:val="none" w:sz="0" w:space="0" w:color="auto"/>
        <w:right w:val="none" w:sz="0" w:space="0" w:color="auto"/>
      </w:divBdr>
    </w:div>
    <w:div w:id="182940106">
      <w:bodyDiv w:val="1"/>
      <w:marLeft w:val="0"/>
      <w:marRight w:val="0"/>
      <w:marTop w:val="0"/>
      <w:marBottom w:val="0"/>
      <w:divBdr>
        <w:top w:val="none" w:sz="0" w:space="0" w:color="auto"/>
        <w:left w:val="none" w:sz="0" w:space="0" w:color="auto"/>
        <w:bottom w:val="none" w:sz="0" w:space="0" w:color="auto"/>
        <w:right w:val="none" w:sz="0" w:space="0" w:color="auto"/>
      </w:divBdr>
    </w:div>
    <w:div w:id="183596442">
      <w:bodyDiv w:val="1"/>
      <w:marLeft w:val="0"/>
      <w:marRight w:val="0"/>
      <w:marTop w:val="0"/>
      <w:marBottom w:val="0"/>
      <w:divBdr>
        <w:top w:val="none" w:sz="0" w:space="0" w:color="auto"/>
        <w:left w:val="none" w:sz="0" w:space="0" w:color="auto"/>
        <w:bottom w:val="none" w:sz="0" w:space="0" w:color="auto"/>
        <w:right w:val="none" w:sz="0" w:space="0" w:color="auto"/>
      </w:divBdr>
    </w:div>
    <w:div w:id="184947745">
      <w:bodyDiv w:val="1"/>
      <w:marLeft w:val="0"/>
      <w:marRight w:val="0"/>
      <w:marTop w:val="0"/>
      <w:marBottom w:val="0"/>
      <w:divBdr>
        <w:top w:val="none" w:sz="0" w:space="0" w:color="auto"/>
        <w:left w:val="none" w:sz="0" w:space="0" w:color="auto"/>
        <w:bottom w:val="none" w:sz="0" w:space="0" w:color="auto"/>
        <w:right w:val="none" w:sz="0" w:space="0" w:color="auto"/>
      </w:divBdr>
    </w:div>
    <w:div w:id="185483224">
      <w:bodyDiv w:val="1"/>
      <w:marLeft w:val="0"/>
      <w:marRight w:val="0"/>
      <w:marTop w:val="0"/>
      <w:marBottom w:val="0"/>
      <w:divBdr>
        <w:top w:val="none" w:sz="0" w:space="0" w:color="auto"/>
        <w:left w:val="none" w:sz="0" w:space="0" w:color="auto"/>
        <w:bottom w:val="none" w:sz="0" w:space="0" w:color="auto"/>
        <w:right w:val="none" w:sz="0" w:space="0" w:color="auto"/>
      </w:divBdr>
    </w:div>
    <w:div w:id="187452278">
      <w:bodyDiv w:val="1"/>
      <w:marLeft w:val="0"/>
      <w:marRight w:val="0"/>
      <w:marTop w:val="0"/>
      <w:marBottom w:val="0"/>
      <w:divBdr>
        <w:top w:val="none" w:sz="0" w:space="0" w:color="auto"/>
        <w:left w:val="none" w:sz="0" w:space="0" w:color="auto"/>
        <w:bottom w:val="none" w:sz="0" w:space="0" w:color="auto"/>
        <w:right w:val="none" w:sz="0" w:space="0" w:color="auto"/>
      </w:divBdr>
    </w:div>
    <w:div w:id="188103717">
      <w:bodyDiv w:val="1"/>
      <w:marLeft w:val="0"/>
      <w:marRight w:val="0"/>
      <w:marTop w:val="0"/>
      <w:marBottom w:val="0"/>
      <w:divBdr>
        <w:top w:val="none" w:sz="0" w:space="0" w:color="auto"/>
        <w:left w:val="none" w:sz="0" w:space="0" w:color="auto"/>
        <w:bottom w:val="none" w:sz="0" w:space="0" w:color="auto"/>
        <w:right w:val="none" w:sz="0" w:space="0" w:color="auto"/>
      </w:divBdr>
    </w:div>
    <w:div w:id="188762549">
      <w:bodyDiv w:val="1"/>
      <w:marLeft w:val="0"/>
      <w:marRight w:val="0"/>
      <w:marTop w:val="0"/>
      <w:marBottom w:val="0"/>
      <w:divBdr>
        <w:top w:val="none" w:sz="0" w:space="0" w:color="auto"/>
        <w:left w:val="none" w:sz="0" w:space="0" w:color="auto"/>
        <w:bottom w:val="none" w:sz="0" w:space="0" w:color="auto"/>
        <w:right w:val="none" w:sz="0" w:space="0" w:color="auto"/>
      </w:divBdr>
    </w:div>
    <w:div w:id="191497529">
      <w:bodyDiv w:val="1"/>
      <w:marLeft w:val="0"/>
      <w:marRight w:val="0"/>
      <w:marTop w:val="0"/>
      <w:marBottom w:val="0"/>
      <w:divBdr>
        <w:top w:val="none" w:sz="0" w:space="0" w:color="auto"/>
        <w:left w:val="none" w:sz="0" w:space="0" w:color="auto"/>
        <w:bottom w:val="none" w:sz="0" w:space="0" w:color="auto"/>
        <w:right w:val="none" w:sz="0" w:space="0" w:color="auto"/>
      </w:divBdr>
    </w:div>
    <w:div w:id="194120766">
      <w:bodyDiv w:val="1"/>
      <w:marLeft w:val="0"/>
      <w:marRight w:val="0"/>
      <w:marTop w:val="0"/>
      <w:marBottom w:val="0"/>
      <w:divBdr>
        <w:top w:val="none" w:sz="0" w:space="0" w:color="auto"/>
        <w:left w:val="none" w:sz="0" w:space="0" w:color="auto"/>
        <w:bottom w:val="none" w:sz="0" w:space="0" w:color="auto"/>
        <w:right w:val="none" w:sz="0" w:space="0" w:color="auto"/>
      </w:divBdr>
    </w:div>
    <w:div w:id="195775962">
      <w:bodyDiv w:val="1"/>
      <w:marLeft w:val="0"/>
      <w:marRight w:val="0"/>
      <w:marTop w:val="0"/>
      <w:marBottom w:val="0"/>
      <w:divBdr>
        <w:top w:val="none" w:sz="0" w:space="0" w:color="auto"/>
        <w:left w:val="none" w:sz="0" w:space="0" w:color="auto"/>
        <w:bottom w:val="none" w:sz="0" w:space="0" w:color="auto"/>
        <w:right w:val="none" w:sz="0" w:space="0" w:color="auto"/>
      </w:divBdr>
    </w:div>
    <w:div w:id="196242929">
      <w:bodyDiv w:val="1"/>
      <w:marLeft w:val="0"/>
      <w:marRight w:val="0"/>
      <w:marTop w:val="0"/>
      <w:marBottom w:val="0"/>
      <w:divBdr>
        <w:top w:val="none" w:sz="0" w:space="0" w:color="auto"/>
        <w:left w:val="none" w:sz="0" w:space="0" w:color="auto"/>
        <w:bottom w:val="none" w:sz="0" w:space="0" w:color="auto"/>
        <w:right w:val="none" w:sz="0" w:space="0" w:color="auto"/>
      </w:divBdr>
    </w:div>
    <w:div w:id="197552499">
      <w:bodyDiv w:val="1"/>
      <w:marLeft w:val="0"/>
      <w:marRight w:val="0"/>
      <w:marTop w:val="0"/>
      <w:marBottom w:val="0"/>
      <w:divBdr>
        <w:top w:val="none" w:sz="0" w:space="0" w:color="auto"/>
        <w:left w:val="none" w:sz="0" w:space="0" w:color="auto"/>
        <w:bottom w:val="none" w:sz="0" w:space="0" w:color="auto"/>
        <w:right w:val="none" w:sz="0" w:space="0" w:color="auto"/>
      </w:divBdr>
    </w:div>
    <w:div w:id="200872791">
      <w:bodyDiv w:val="1"/>
      <w:marLeft w:val="0"/>
      <w:marRight w:val="0"/>
      <w:marTop w:val="0"/>
      <w:marBottom w:val="0"/>
      <w:divBdr>
        <w:top w:val="none" w:sz="0" w:space="0" w:color="auto"/>
        <w:left w:val="none" w:sz="0" w:space="0" w:color="auto"/>
        <w:bottom w:val="none" w:sz="0" w:space="0" w:color="auto"/>
        <w:right w:val="none" w:sz="0" w:space="0" w:color="auto"/>
      </w:divBdr>
    </w:div>
    <w:div w:id="202641722">
      <w:bodyDiv w:val="1"/>
      <w:marLeft w:val="0"/>
      <w:marRight w:val="0"/>
      <w:marTop w:val="0"/>
      <w:marBottom w:val="0"/>
      <w:divBdr>
        <w:top w:val="none" w:sz="0" w:space="0" w:color="auto"/>
        <w:left w:val="none" w:sz="0" w:space="0" w:color="auto"/>
        <w:bottom w:val="none" w:sz="0" w:space="0" w:color="auto"/>
        <w:right w:val="none" w:sz="0" w:space="0" w:color="auto"/>
      </w:divBdr>
    </w:div>
    <w:div w:id="203638779">
      <w:bodyDiv w:val="1"/>
      <w:marLeft w:val="0"/>
      <w:marRight w:val="0"/>
      <w:marTop w:val="0"/>
      <w:marBottom w:val="0"/>
      <w:divBdr>
        <w:top w:val="none" w:sz="0" w:space="0" w:color="auto"/>
        <w:left w:val="none" w:sz="0" w:space="0" w:color="auto"/>
        <w:bottom w:val="none" w:sz="0" w:space="0" w:color="auto"/>
        <w:right w:val="none" w:sz="0" w:space="0" w:color="auto"/>
      </w:divBdr>
    </w:div>
    <w:div w:id="206069437">
      <w:bodyDiv w:val="1"/>
      <w:marLeft w:val="0"/>
      <w:marRight w:val="0"/>
      <w:marTop w:val="0"/>
      <w:marBottom w:val="0"/>
      <w:divBdr>
        <w:top w:val="none" w:sz="0" w:space="0" w:color="auto"/>
        <w:left w:val="none" w:sz="0" w:space="0" w:color="auto"/>
        <w:bottom w:val="none" w:sz="0" w:space="0" w:color="auto"/>
        <w:right w:val="none" w:sz="0" w:space="0" w:color="auto"/>
      </w:divBdr>
    </w:div>
    <w:div w:id="209223562">
      <w:bodyDiv w:val="1"/>
      <w:marLeft w:val="0"/>
      <w:marRight w:val="0"/>
      <w:marTop w:val="0"/>
      <w:marBottom w:val="0"/>
      <w:divBdr>
        <w:top w:val="none" w:sz="0" w:space="0" w:color="auto"/>
        <w:left w:val="none" w:sz="0" w:space="0" w:color="auto"/>
        <w:bottom w:val="none" w:sz="0" w:space="0" w:color="auto"/>
        <w:right w:val="none" w:sz="0" w:space="0" w:color="auto"/>
      </w:divBdr>
    </w:div>
    <w:div w:id="209998705">
      <w:bodyDiv w:val="1"/>
      <w:marLeft w:val="0"/>
      <w:marRight w:val="0"/>
      <w:marTop w:val="0"/>
      <w:marBottom w:val="0"/>
      <w:divBdr>
        <w:top w:val="none" w:sz="0" w:space="0" w:color="auto"/>
        <w:left w:val="none" w:sz="0" w:space="0" w:color="auto"/>
        <w:bottom w:val="none" w:sz="0" w:space="0" w:color="auto"/>
        <w:right w:val="none" w:sz="0" w:space="0" w:color="auto"/>
      </w:divBdr>
    </w:div>
    <w:div w:id="210650050">
      <w:bodyDiv w:val="1"/>
      <w:marLeft w:val="0"/>
      <w:marRight w:val="0"/>
      <w:marTop w:val="0"/>
      <w:marBottom w:val="0"/>
      <w:divBdr>
        <w:top w:val="none" w:sz="0" w:space="0" w:color="auto"/>
        <w:left w:val="none" w:sz="0" w:space="0" w:color="auto"/>
        <w:bottom w:val="none" w:sz="0" w:space="0" w:color="auto"/>
        <w:right w:val="none" w:sz="0" w:space="0" w:color="auto"/>
      </w:divBdr>
    </w:div>
    <w:div w:id="212035685">
      <w:bodyDiv w:val="1"/>
      <w:marLeft w:val="0"/>
      <w:marRight w:val="0"/>
      <w:marTop w:val="0"/>
      <w:marBottom w:val="0"/>
      <w:divBdr>
        <w:top w:val="none" w:sz="0" w:space="0" w:color="auto"/>
        <w:left w:val="none" w:sz="0" w:space="0" w:color="auto"/>
        <w:bottom w:val="none" w:sz="0" w:space="0" w:color="auto"/>
        <w:right w:val="none" w:sz="0" w:space="0" w:color="auto"/>
      </w:divBdr>
    </w:div>
    <w:div w:id="212426021">
      <w:bodyDiv w:val="1"/>
      <w:marLeft w:val="0"/>
      <w:marRight w:val="0"/>
      <w:marTop w:val="0"/>
      <w:marBottom w:val="0"/>
      <w:divBdr>
        <w:top w:val="none" w:sz="0" w:space="0" w:color="auto"/>
        <w:left w:val="none" w:sz="0" w:space="0" w:color="auto"/>
        <w:bottom w:val="none" w:sz="0" w:space="0" w:color="auto"/>
        <w:right w:val="none" w:sz="0" w:space="0" w:color="auto"/>
      </w:divBdr>
    </w:div>
    <w:div w:id="213811066">
      <w:bodyDiv w:val="1"/>
      <w:marLeft w:val="0"/>
      <w:marRight w:val="0"/>
      <w:marTop w:val="0"/>
      <w:marBottom w:val="0"/>
      <w:divBdr>
        <w:top w:val="none" w:sz="0" w:space="0" w:color="auto"/>
        <w:left w:val="none" w:sz="0" w:space="0" w:color="auto"/>
        <w:bottom w:val="none" w:sz="0" w:space="0" w:color="auto"/>
        <w:right w:val="none" w:sz="0" w:space="0" w:color="auto"/>
      </w:divBdr>
    </w:div>
    <w:div w:id="217938932">
      <w:bodyDiv w:val="1"/>
      <w:marLeft w:val="0"/>
      <w:marRight w:val="0"/>
      <w:marTop w:val="0"/>
      <w:marBottom w:val="0"/>
      <w:divBdr>
        <w:top w:val="none" w:sz="0" w:space="0" w:color="auto"/>
        <w:left w:val="none" w:sz="0" w:space="0" w:color="auto"/>
        <w:bottom w:val="none" w:sz="0" w:space="0" w:color="auto"/>
        <w:right w:val="none" w:sz="0" w:space="0" w:color="auto"/>
      </w:divBdr>
    </w:div>
    <w:div w:id="218786131">
      <w:bodyDiv w:val="1"/>
      <w:marLeft w:val="0"/>
      <w:marRight w:val="0"/>
      <w:marTop w:val="0"/>
      <w:marBottom w:val="0"/>
      <w:divBdr>
        <w:top w:val="none" w:sz="0" w:space="0" w:color="auto"/>
        <w:left w:val="none" w:sz="0" w:space="0" w:color="auto"/>
        <w:bottom w:val="none" w:sz="0" w:space="0" w:color="auto"/>
        <w:right w:val="none" w:sz="0" w:space="0" w:color="auto"/>
      </w:divBdr>
    </w:div>
    <w:div w:id="224217993">
      <w:bodyDiv w:val="1"/>
      <w:marLeft w:val="0"/>
      <w:marRight w:val="0"/>
      <w:marTop w:val="0"/>
      <w:marBottom w:val="0"/>
      <w:divBdr>
        <w:top w:val="none" w:sz="0" w:space="0" w:color="auto"/>
        <w:left w:val="none" w:sz="0" w:space="0" w:color="auto"/>
        <w:bottom w:val="none" w:sz="0" w:space="0" w:color="auto"/>
        <w:right w:val="none" w:sz="0" w:space="0" w:color="auto"/>
      </w:divBdr>
    </w:div>
    <w:div w:id="225803877">
      <w:bodyDiv w:val="1"/>
      <w:marLeft w:val="0"/>
      <w:marRight w:val="0"/>
      <w:marTop w:val="0"/>
      <w:marBottom w:val="0"/>
      <w:divBdr>
        <w:top w:val="none" w:sz="0" w:space="0" w:color="auto"/>
        <w:left w:val="none" w:sz="0" w:space="0" w:color="auto"/>
        <w:bottom w:val="none" w:sz="0" w:space="0" w:color="auto"/>
        <w:right w:val="none" w:sz="0" w:space="0" w:color="auto"/>
      </w:divBdr>
    </w:div>
    <w:div w:id="226503571">
      <w:bodyDiv w:val="1"/>
      <w:marLeft w:val="0"/>
      <w:marRight w:val="0"/>
      <w:marTop w:val="0"/>
      <w:marBottom w:val="0"/>
      <w:divBdr>
        <w:top w:val="none" w:sz="0" w:space="0" w:color="auto"/>
        <w:left w:val="none" w:sz="0" w:space="0" w:color="auto"/>
        <w:bottom w:val="none" w:sz="0" w:space="0" w:color="auto"/>
        <w:right w:val="none" w:sz="0" w:space="0" w:color="auto"/>
      </w:divBdr>
    </w:div>
    <w:div w:id="227618858">
      <w:bodyDiv w:val="1"/>
      <w:marLeft w:val="0"/>
      <w:marRight w:val="0"/>
      <w:marTop w:val="0"/>
      <w:marBottom w:val="0"/>
      <w:divBdr>
        <w:top w:val="none" w:sz="0" w:space="0" w:color="auto"/>
        <w:left w:val="none" w:sz="0" w:space="0" w:color="auto"/>
        <w:bottom w:val="none" w:sz="0" w:space="0" w:color="auto"/>
        <w:right w:val="none" w:sz="0" w:space="0" w:color="auto"/>
      </w:divBdr>
    </w:div>
    <w:div w:id="229510572">
      <w:bodyDiv w:val="1"/>
      <w:marLeft w:val="0"/>
      <w:marRight w:val="0"/>
      <w:marTop w:val="0"/>
      <w:marBottom w:val="0"/>
      <w:divBdr>
        <w:top w:val="none" w:sz="0" w:space="0" w:color="auto"/>
        <w:left w:val="none" w:sz="0" w:space="0" w:color="auto"/>
        <w:bottom w:val="none" w:sz="0" w:space="0" w:color="auto"/>
        <w:right w:val="none" w:sz="0" w:space="0" w:color="auto"/>
      </w:divBdr>
    </w:div>
    <w:div w:id="230232687">
      <w:bodyDiv w:val="1"/>
      <w:marLeft w:val="0"/>
      <w:marRight w:val="0"/>
      <w:marTop w:val="0"/>
      <w:marBottom w:val="0"/>
      <w:divBdr>
        <w:top w:val="none" w:sz="0" w:space="0" w:color="auto"/>
        <w:left w:val="none" w:sz="0" w:space="0" w:color="auto"/>
        <w:bottom w:val="none" w:sz="0" w:space="0" w:color="auto"/>
        <w:right w:val="none" w:sz="0" w:space="0" w:color="auto"/>
      </w:divBdr>
    </w:div>
    <w:div w:id="230233827">
      <w:bodyDiv w:val="1"/>
      <w:marLeft w:val="0"/>
      <w:marRight w:val="0"/>
      <w:marTop w:val="0"/>
      <w:marBottom w:val="0"/>
      <w:divBdr>
        <w:top w:val="none" w:sz="0" w:space="0" w:color="auto"/>
        <w:left w:val="none" w:sz="0" w:space="0" w:color="auto"/>
        <w:bottom w:val="none" w:sz="0" w:space="0" w:color="auto"/>
        <w:right w:val="none" w:sz="0" w:space="0" w:color="auto"/>
      </w:divBdr>
    </w:div>
    <w:div w:id="230628127">
      <w:bodyDiv w:val="1"/>
      <w:marLeft w:val="0"/>
      <w:marRight w:val="0"/>
      <w:marTop w:val="0"/>
      <w:marBottom w:val="0"/>
      <w:divBdr>
        <w:top w:val="none" w:sz="0" w:space="0" w:color="auto"/>
        <w:left w:val="none" w:sz="0" w:space="0" w:color="auto"/>
        <w:bottom w:val="none" w:sz="0" w:space="0" w:color="auto"/>
        <w:right w:val="none" w:sz="0" w:space="0" w:color="auto"/>
      </w:divBdr>
    </w:div>
    <w:div w:id="232467048">
      <w:bodyDiv w:val="1"/>
      <w:marLeft w:val="0"/>
      <w:marRight w:val="0"/>
      <w:marTop w:val="0"/>
      <w:marBottom w:val="0"/>
      <w:divBdr>
        <w:top w:val="none" w:sz="0" w:space="0" w:color="auto"/>
        <w:left w:val="none" w:sz="0" w:space="0" w:color="auto"/>
        <w:bottom w:val="none" w:sz="0" w:space="0" w:color="auto"/>
        <w:right w:val="none" w:sz="0" w:space="0" w:color="auto"/>
      </w:divBdr>
    </w:div>
    <w:div w:id="232468703">
      <w:bodyDiv w:val="1"/>
      <w:marLeft w:val="0"/>
      <w:marRight w:val="0"/>
      <w:marTop w:val="0"/>
      <w:marBottom w:val="0"/>
      <w:divBdr>
        <w:top w:val="none" w:sz="0" w:space="0" w:color="auto"/>
        <w:left w:val="none" w:sz="0" w:space="0" w:color="auto"/>
        <w:bottom w:val="none" w:sz="0" w:space="0" w:color="auto"/>
        <w:right w:val="none" w:sz="0" w:space="0" w:color="auto"/>
      </w:divBdr>
    </w:div>
    <w:div w:id="232547001">
      <w:bodyDiv w:val="1"/>
      <w:marLeft w:val="0"/>
      <w:marRight w:val="0"/>
      <w:marTop w:val="0"/>
      <w:marBottom w:val="0"/>
      <w:divBdr>
        <w:top w:val="none" w:sz="0" w:space="0" w:color="auto"/>
        <w:left w:val="none" w:sz="0" w:space="0" w:color="auto"/>
        <w:bottom w:val="none" w:sz="0" w:space="0" w:color="auto"/>
        <w:right w:val="none" w:sz="0" w:space="0" w:color="auto"/>
      </w:divBdr>
    </w:div>
    <w:div w:id="237057540">
      <w:bodyDiv w:val="1"/>
      <w:marLeft w:val="0"/>
      <w:marRight w:val="0"/>
      <w:marTop w:val="0"/>
      <w:marBottom w:val="0"/>
      <w:divBdr>
        <w:top w:val="none" w:sz="0" w:space="0" w:color="auto"/>
        <w:left w:val="none" w:sz="0" w:space="0" w:color="auto"/>
        <w:bottom w:val="none" w:sz="0" w:space="0" w:color="auto"/>
        <w:right w:val="none" w:sz="0" w:space="0" w:color="auto"/>
      </w:divBdr>
    </w:div>
    <w:div w:id="237323331">
      <w:bodyDiv w:val="1"/>
      <w:marLeft w:val="0"/>
      <w:marRight w:val="0"/>
      <w:marTop w:val="0"/>
      <w:marBottom w:val="0"/>
      <w:divBdr>
        <w:top w:val="none" w:sz="0" w:space="0" w:color="auto"/>
        <w:left w:val="none" w:sz="0" w:space="0" w:color="auto"/>
        <w:bottom w:val="none" w:sz="0" w:space="0" w:color="auto"/>
        <w:right w:val="none" w:sz="0" w:space="0" w:color="auto"/>
      </w:divBdr>
    </w:div>
    <w:div w:id="238751976">
      <w:bodyDiv w:val="1"/>
      <w:marLeft w:val="0"/>
      <w:marRight w:val="0"/>
      <w:marTop w:val="0"/>
      <w:marBottom w:val="0"/>
      <w:divBdr>
        <w:top w:val="none" w:sz="0" w:space="0" w:color="auto"/>
        <w:left w:val="none" w:sz="0" w:space="0" w:color="auto"/>
        <w:bottom w:val="none" w:sz="0" w:space="0" w:color="auto"/>
        <w:right w:val="none" w:sz="0" w:space="0" w:color="auto"/>
      </w:divBdr>
    </w:div>
    <w:div w:id="239683428">
      <w:bodyDiv w:val="1"/>
      <w:marLeft w:val="0"/>
      <w:marRight w:val="0"/>
      <w:marTop w:val="0"/>
      <w:marBottom w:val="0"/>
      <w:divBdr>
        <w:top w:val="none" w:sz="0" w:space="0" w:color="auto"/>
        <w:left w:val="none" w:sz="0" w:space="0" w:color="auto"/>
        <w:bottom w:val="none" w:sz="0" w:space="0" w:color="auto"/>
        <w:right w:val="none" w:sz="0" w:space="0" w:color="auto"/>
      </w:divBdr>
    </w:div>
    <w:div w:id="240259888">
      <w:bodyDiv w:val="1"/>
      <w:marLeft w:val="0"/>
      <w:marRight w:val="0"/>
      <w:marTop w:val="0"/>
      <w:marBottom w:val="0"/>
      <w:divBdr>
        <w:top w:val="none" w:sz="0" w:space="0" w:color="auto"/>
        <w:left w:val="none" w:sz="0" w:space="0" w:color="auto"/>
        <w:bottom w:val="none" w:sz="0" w:space="0" w:color="auto"/>
        <w:right w:val="none" w:sz="0" w:space="0" w:color="auto"/>
      </w:divBdr>
    </w:div>
    <w:div w:id="241571557">
      <w:bodyDiv w:val="1"/>
      <w:marLeft w:val="0"/>
      <w:marRight w:val="0"/>
      <w:marTop w:val="0"/>
      <w:marBottom w:val="0"/>
      <w:divBdr>
        <w:top w:val="none" w:sz="0" w:space="0" w:color="auto"/>
        <w:left w:val="none" w:sz="0" w:space="0" w:color="auto"/>
        <w:bottom w:val="none" w:sz="0" w:space="0" w:color="auto"/>
        <w:right w:val="none" w:sz="0" w:space="0" w:color="auto"/>
      </w:divBdr>
    </w:div>
    <w:div w:id="242491983">
      <w:bodyDiv w:val="1"/>
      <w:marLeft w:val="0"/>
      <w:marRight w:val="0"/>
      <w:marTop w:val="0"/>
      <w:marBottom w:val="0"/>
      <w:divBdr>
        <w:top w:val="none" w:sz="0" w:space="0" w:color="auto"/>
        <w:left w:val="none" w:sz="0" w:space="0" w:color="auto"/>
        <w:bottom w:val="none" w:sz="0" w:space="0" w:color="auto"/>
        <w:right w:val="none" w:sz="0" w:space="0" w:color="auto"/>
      </w:divBdr>
    </w:div>
    <w:div w:id="243296821">
      <w:bodyDiv w:val="1"/>
      <w:marLeft w:val="0"/>
      <w:marRight w:val="0"/>
      <w:marTop w:val="0"/>
      <w:marBottom w:val="0"/>
      <w:divBdr>
        <w:top w:val="none" w:sz="0" w:space="0" w:color="auto"/>
        <w:left w:val="none" w:sz="0" w:space="0" w:color="auto"/>
        <w:bottom w:val="none" w:sz="0" w:space="0" w:color="auto"/>
        <w:right w:val="none" w:sz="0" w:space="0" w:color="auto"/>
      </w:divBdr>
    </w:div>
    <w:div w:id="245769163">
      <w:bodyDiv w:val="1"/>
      <w:marLeft w:val="0"/>
      <w:marRight w:val="0"/>
      <w:marTop w:val="0"/>
      <w:marBottom w:val="0"/>
      <w:divBdr>
        <w:top w:val="none" w:sz="0" w:space="0" w:color="auto"/>
        <w:left w:val="none" w:sz="0" w:space="0" w:color="auto"/>
        <w:bottom w:val="none" w:sz="0" w:space="0" w:color="auto"/>
        <w:right w:val="none" w:sz="0" w:space="0" w:color="auto"/>
      </w:divBdr>
    </w:div>
    <w:div w:id="247005690">
      <w:bodyDiv w:val="1"/>
      <w:marLeft w:val="0"/>
      <w:marRight w:val="0"/>
      <w:marTop w:val="0"/>
      <w:marBottom w:val="0"/>
      <w:divBdr>
        <w:top w:val="none" w:sz="0" w:space="0" w:color="auto"/>
        <w:left w:val="none" w:sz="0" w:space="0" w:color="auto"/>
        <w:bottom w:val="none" w:sz="0" w:space="0" w:color="auto"/>
        <w:right w:val="none" w:sz="0" w:space="0" w:color="auto"/>
      </w:divBdr>
    </w:div>
    <w:div w:id="247464678">
      <w:bodyDiv w:val="1"/>
      <w:marLeft w:val="0"/>
      <w:marRight w:val="0"/>
      <w:marTop w:val="0"/>
      <w:marBottom w:val="0"/>
      <w:divBdr>
        <w:top w:val="none" w:sz="0" w:space="0" w:color="auto"/>
        <w:left w:val="none" w:sz="0" w:space="0" w:color="auto"/>
        <w:bottom w:val="none" w:sz="0" w:space="0" w:color="auto"/>
        <w:right w:val="none" w:sz="0" w:space="0" w:color="auto"/>
      </w:divBdr>
    </w:div>
    <w:div w:id="249389131">
      <w:bodyDiv w:val="1"/>
      <w:marLeft w:val="0"/>
      <w:marRight w:val="0"/>
      <w:marTop w:val="0"/>
      <w:marBottom w:val="0"/>
      <w:divBdr>
        <w:top w:val="none" w:sz="0" w:space="0" w:color="auto"/>
        <w:left w:val="none" w:sz="0" w:space="0" w:color="auto"/>
        <w:bottom w:val="none" w:sz="0" w:space="0" w:color="auto"/>
        <w:right w:val="none" w:sz="0" w:space="0" w:color="auto"/>
      </w:divBdr>
    </w:div>
    <w:div w:id="255290283">
      <w:bodyDiv w:val="1"/>
      <w:marLeft w:val="0"/>
      <w:marRight w:val="0"/>
      <w:marTop w:val="0"/>
      <w:marBottom w:val="0"/>
      <w:divBdr>
        <w:top w:val="none" w:sz="0" w:space="0" w:color="auto"/>
        <w:left w:val="none" w:sz="0" w:space="0" w:color="auto"/>
        <w:bottom w:val="none" w:sz="0" w:space="0" w:color="auto"/>
        <w:right w:val="none" w:sz="0" w:space="0" w:color="auto"/>
      </w:divBdr>
    </w:div>
    <w:div w:id="256983036">
      <w:bodyDiv w:val="1"/>
      <w:marLeft w:val="0"/>
      <w:marRight w:val="0"/>
      <w:marTop w:val="0"/>
      <w:marBottom w:val="0"/>
      <w:divBdr>
        <w:top w:val="none" w:sz="0" w:space="0" w:color="auto"/>
        <w:left w:val="none" w:sz="0" w:space="0" w:color="auto"/>
        <w:bottom w:val="none" w:sz="0" w:space="0" w:color="auto"/>
        <w:right w:val="none" w:sz="0" w:space="0" w:color="auto"/>
      </w:divBdr>
    </w:div>
    <w:div w:id="259916631">
      <w:bodyDiv w:val="1"/>
      <w:marLeft w:val="0"/>
      <w:marRight w:val="0"/>
      <w:marTop w:val="0"/>
      <w:marBottom w:val="0"/>
      <w:divBdr>
        <w:top w:val="none" w:sz="0" w:space="0" w:color="auto"/>
        <w:left w:val="none" w:sz="0" w:space="0" w:color="auto"/>
        <w:bottom w:val="none" w:sz="0" w:space="0" w:color="auto"/>
        <w:right w:val="none" w:sz="0" w:space="0" w:color="auto"/>
      </w:divBdr>
    </w:div>
    <w:div w:id="259919611">
      <w:bodyDiv w:val="1"/>
      <w:marLeft w:val="0"/>
      <w:marRight w:val="0"/>
      <w:marTop w:val="0"/>
      <w:marBottom w:val="0"/>
      <w:divBdr>
        <w:top w:val="none" w:sz="0" w:space="0" w:color="auto"/>
        <w:left w:val="none" w:sz="0" w:space="0" w:color="auto"/>
        <w:bottom w:val="none" w:sz="0" w:space="0" w:color="auto"/>
        <w:right w:val="none" w:sz="0" w:space="0" w:color="auto"/>
      </w:divBdr>
    </w:div>
    <w:div w:id="261492877">
      <w:bodyDiv w:val="1"/>
      <w:marLeft w:val="0"/>
      <w:marRight w:val="0"/>
      <w:marTop w:val="0"/>
      <w:marBottom w:val="0"/>
      <w:divBdr>
        <w:top w:val="none" w:sz="0" w:space="0" w:color="auto"/>
        <w:left w:val="none" w:sz="0" w:space="0" w:color="auto"/>
        <w:bottom w:val="none" w:sz="0" w:space="0" w:color="auto"/>
        <w:right w:val="none" w:sz="0" w:space="0" w:color="auto"/>
      </w:divBdr>
    </w:div>
    <w:div w:id="262147635">
      <w:bodyDiv w:val="1"/>
      <w:marLeft w:val="0"/>
      <w:marRight w:val="0"/>
      <w:marTop w:val="0"/>
      <w:marBottom w:val="0"/>
      <w:divBdr>
        <w:top w:val="none" w:sz="0" w:space="0" w:color="auto"/>
        <w:left w:val="none" w:sz="0" w:space="0" w:color="auto"/>
        <w:bottom w:val="none" w:sz="0" w:space="0" w:color="auto"/>
        <w:right w:val="none" w:sz="0" w:space="0" w:color="auto"/>
      </w:divBdr>
    </w:div>
    <w:div w:id="263538814">
      <w:bodyDiv w:val="1"/>
      <w:marLeft w:val="0"/>
      <w:marRight w:val="0"/>
      <w:marTop w:val="0"/>
      <w:marBottom w:val="0"/>
      <w:divBdr>
        <w:top w:val="none" w:sz="0" w:space="0" w:color="auto"/>
        <w:left w:val="none" w:sz="0" w:space="0" w:color="auto"/>
        <w:bottom w:val="none" w:sz="0" w:space="0" w:color="auto"/>
        <w:right w:val="none" w:sz="0" w:space="0" w:color="auto"/>
      </w:divBdr>
    </w:div>
    <w:div w:id="264074132">
      <w:bodyDiv w:val="1"/>
      <w:marLeft w:val="0"/>
      <w:marRight w:val="0"/>
      <w:marTop w:val="0"/>
      <w:marBottom w:val="0"/>
      <w:divBdr>
        <w:top w:val="none" w:sz="0" w:space="0" w:color="auto"/>
        <w:left w:val="none" w:sz="0" w:space="0" w:color="auto"/>
        <w:bottom w:val="none" w:sz="0" w:space="0" w:color="auto"/>
        <w:right w:val="none" w:sz="0" w:space="0" w:color="auto"/>
      </w:divBdr>
    </w:div>
    <w:div w:id="265043391">
      <w:bodyDiv w:val="1"/>
      <w:marLeft w:val="0"/>
      <w:marRight w:val="0"/>
      <w:marTop w:val="0"/>
      <w:marBottom w:val="0"/>
      <w:divBdr>
        <w:top w:val="none" w:sz="0" w:space="0" w:color="auto"/>
        <w:left w:val="none" w:sz="0" w:space="0" w:color="auto"/>
        <w:bottom w:val="none" w:sz="0" w:space="0" w:color="auto"/>
        <w:right w:val="none" w:sz="0" w:space="0" w:color="auto"/>
      </w:divBdr>
    </w:div>
    <w:div w:id="266885620">
      <w:bodyDiv w:val="1"/>
      <w:marLeft w:val="0"/>
      <w:marRight w:val="0"/>
      <w:marTop w:val="0"/>
      <w:marBottom w:val="0"/>
      <w:divBdr>
        <w:top w:val="none" w:sz="0" w:space="0" w:color="auto"/>
        <w:left w:val="none" w:sz="0" w:space="0" w:color="auto"/>
        <w:bottom w:val="none" w:sz="0" w:space="0" w:color="auto"/>
        <w:right w:val="none" w:sz="0" w:space="0" w:color="auto"/>
      </w:divBdr>
    </w:div>
    <w:div w:id="267201763">
      <w:bodyDiv w:val="1"/>
      <w:marLeft w:val="0"/>
      <w:marRight w:val="0"/>
      <w:marTop w:val="0"/>
      <w:marBottom w:val="0"/>
      <w:divBdr>
        <w:top w:val="none" w:sz="0" w:space="0" w:color="auto"/>
        <w:left w:val="none" w:sz="0" w:space="0" w:color="auto"/>
        <w:bottom w:val="none" w:sz="0" w:space="0" w:color="auto"/>
        <w:right w:val="none" w:sz="0" w:space="0" w:color="auto"/>
      </w:divBdr>
    </w:div>
    <w:div w:id="268507229">
      <w:bodyDiv w:val="1"/>
      <w:marLeft w:val="0"/>
      <w:marRight w:val="0"/>
      <w:marTop w:val="0"/>
      <w:marBottom w:val="0"/>
      <w:divBdr>
        <w:top w:val="none" w:sz="0" w:space="0" w:color="auto"/>
        <w:left w:val="none" w:sz="0" w:space="0" w:color="auto"/>
        <w:bottom w:val="none" w:sz="0" w:space="0" w:color="auto"/>
        <w:right w:val="none" w:sz="0" w:space="0" w:color="auto"/>
      </w:divBdr>
    </w:div>
    <w:div w:id="269362092">
      <w:bodyDiv w:val="1"/>
      <w:marLeft w:val="0"/>
      <w:marRight w:val="0"/>
      <w:marTop w:val="0"/>
      <w:marBottom w:val="0"/>
      <w:divBdr>
        <w:top w:val="none" w:sz="0" w:space="0" w:color="auto"/>
        <w:left w:val="none" w:sz="0" w:space="0" w:color="auto"/>
        <w:bottom w:val="none" w:sz="0" w:space="0" w:color="auto"/>
        <w:right w:val="none" w:sz="0" w:space="0" w:color="auto"/>
      </w:divBdr>
    </w:div>
    <w:div w:id="269630244">
      <w:bodyDiv w:val="1"/>
      <w:marLeft w:val="0"/>
      <w:marRight w:val="0"/>
      <w:marTop w:val="0"/>
      <w:marBottom w:val="0"/>
      <w:divBdr>
        <w:top w:val="none" w:sz="0" w:space="0" w:color="auto"/>
        <w:left w:val="none" w:sz="0" w:space="0" w:color="auto"/>
        <w:bottom w:val="none" w:sz="0" w:space="0" w:color="auto"/>
        <w:right w:val="none" w:sz="0" w:space="0" w:color="auto"/>
      </w:divBdr>
    </w:div>
    <w:div w:id="270010781">
      <w:bodyDiv w:val="1"/>
      <w:marLeft w:val="0"/>
      <w:marRight w:val="0"/>
      <w:marTop w:val="0"/>
      <w:marBottom w:val="0"/>
      <w:divBdr>
        <w:top w:val="none" w:sz="0" w:space="0" w:color="auto"/>
        <w:left w:val="none" w:sz="0" w:space="0" w:color="auto"/>
        <w:bottom w:val="none" w:sz="0" w:space="0" w:color="auto"/>
        <w:right w:val="none" w:sz="0" w:space="0" w:color="auto"/>
      </w:divBdr>
    </w:div>
    <w:div w:id="270092522">
      <w:bodyDiv w:val="1"/>
      <w:marLeft w:val="0"/>
      <w:marRight w:val="0"/>
      <w:marTop w:val="0"/>
      <w:marBottom w:val="0"/>
      <w:divBdr>
        <w:top w:val="none" w:sz="0" w:space="0" w:color="auto"/>
        <w:left w:val="none" w:sz="0" w:space="0" w:color="auto"/>
        <w:bottom w:val="none" w:sz="0" w:space="0" w:color="auto"/>
        <w:right w:val="none" w:sz="0" w:space="0" w:color="auto"/>
      </w:divBdr>
    </w:div>
    <w:div w:id="272329229">
      <w:bodyDiv w:val="1"/>
      <w:marLeft w:val="0"/>
      <w:marRight w:val="0"/>
      <w:marTop w:val="0"/>
      <w:marBottom w:val="0"/>
      <w:divBdr>
        <w:top w:val="none" w:sz="0" w:space="0" w:color="auto"/>
        <w:left w:val="none" w:sz="0" w:space="0" w:color="auto"/>
        <w:bottom w:val="none" w:sz="0" w:space="0" w:color="auto"/>
        <w:right w:val="none" w:sz="0" w:space="0" w:color="auto"/>
      </w:divBdr>
    </w:div>
    <w:div w:id="272712018">
      <w:bodyDiv w:val="1"/>
      <w:marLeft w:val="0"/>
      <w:marRight w:val="0"/>
      <w:marTop w:val="0"/>
      <w:marBottom w:val="0"/>
      <w:divBdr>
        <w:top w:val="none" w:sz="0" w:space="0" w:color="auto"/>
        <w:left w:val="none" w:sz="0" w:space="0" w:color="auto"/>
        <w:bottom w:val="none" w:sz="0" w:space="0" w:color="auto"/>
        <w:right w:val="none" w:sz="0" w:space="0" w:color="auto"/>
      </w:divBdr>
    </w:div>
    <w:div w:id="275597144">
      <w:bodyDiv w:val="1"/>
      <w:marLeft w:val="0"/>
      <w:marRight w:val="0"/>
      <w:marTop w:val="0"/>
      <w:marBottom w:val="0"/>
      <w:divBdr>
        <w:top w:val="none" w:sz="0" w:space="0" w:color="auto"/>
        <w:left w:val="none" w:sz="0" w:space="0" w:color="auto"/>
        <w:bottom w:val="none" w:sz="0" w:space="0" w:color="auto"/>
        <w:right w:val="none" w:sz="0" w:space="0" w:color="auto"/>
      </w:divBdr>
    </w:div>
    <w:div w:id="275790440">
      <w:bodyDiv w:val="1"/>
      <w:marLeft w:val="0"/>
      <w:marRight w:val="0"/>
      <w:marTop w:val="0"/>
      <w:marBottom w:val="0"/>
      <w:divBdr>
        <w:top w:val="none" w:sz="0" w:space="0" w:color="auto"/>
        <w:left w:val="none" w:sz="0" w:space="0" w:color="auto"/>
        <w:bottom w:val="none" w:sz="0" w:space="0" w:color="auto"/>
        <w:right w:val="none" w:sz="0" w:space="0" w:color="auto"/>
      </w:divBdr>
    </w:div>
    <w:div w:id="276303693">
      <w:bodyDiv w:val="1"/>
      <w:marLeft w:val="0"/>
      <w:marRight w:val="0"/>
      <w:marTop w:val="0"/>
      <w:marBottom w:val="0"/>
      <w:divBdr>
        <w:top w:val="none" w:sz="0" w:space="0" w:color="auto"/>
        <w:left w:val="none" w:sz="0" w:space="0" w:color="auto"/>
        <w:bottom w:val="none" w:sz="0" w:space="0" w:color="auto"/>
        <w:right w:val="none" w:sz="0" w:space="0" w:color="auto"/>
      </w:divBdr>
    </w:div>
    <w:div w:id="279915862">
      <w:bodyDiv w:val="1"/>
      <w:marLeft w:val="0"/>
      <w:marRight w:val="0"/>
      <w:marTop w:val="0"/>
      <w:marBottom w:val="0"/>
      <w:divBdr>
        <w:top w:val="none" w:sz="0" w:space="0" w:color="auto"/>
        <w:left w:val="none" w:sz="0" w:space="0" w:color="auto"/>
        <w:bottom w:val="none" w:sz="0" w:space="0" w:color="auto"/>
        <w:right w:val="none" w:sz="0" w:space="0" w:color="auto"/>
      </w:divBdr>
    </w:div>
    <w:div w:id="279996919">
      <w:bodyDiv w:val="1"/>
      <w:marLeft w:val="0"/>
      <w:marRight w:val="0"/>
      <w:marTop w:val="0"/>
      <w:marBottom w:val="0"/>
      <w:divBdr>
        <w:top w:val="none" w:sz="0" w:space="0" w:color="auto"/>
        <w:left w:val="none" w:sz="0" w:space="0" w:color="auto"/>
        <w:bottom w:val="none" w:sz="0" w:space="0" w:color="auto"/>
        <w:right w:val="none" w:sz="0" w:space="0" w:color="auto"/>
      </w:divBdr>
    </w:div>
    <w:div w:id="286862479">
      <w:bodyDiv w:val="1"/>
      <w:marLeft w:val="0"/>
      <w:marRight w:val="0"/>
      <w:marTop w:val="0"/>
      <w:marBottom w:val="0"/>
      <w:divBdr>
        <w:top w:val="none" w:sz="0" w:space="0" w:color="auto"/>
        <w:left w:val="none" w:sz="0" w:space="0" w:color="auto"/>
        <w:bottom w:val="none" w:sz="0" w:space="0" w:color="auto"/>
        <w:right w:val="none" w:sz="0" w:space="0" w:color="auto"/>
      </w:divBdr>
    </w:div>
    <w:div w:id="287275191">
      <w:bodyDiv w:val="1"/>
      <w:marLeft w:val="0"/>
      <w:marRight w:val="0"/>
      <w:marTop w:val="0"/>
      <w:marBottom w:val="0"/>
      <w:divBdr>
        <w:top w:val="none" w:sz="0" w:space="0" w:color="auto"/>
        <w:left w:val="none" w:sz="0" w:space="0" w:color="auto"/>
        <w:bottom w:val="none" w:sz="0" w:space="0" w:color="auto"/>
        <w:right w:val="none" w:sz="0" w:space="0" w:color="auto"/>
      </w:divBdr>
    </w:div>
    <w:div w:id="289018689">
      <w:bodyDiv w:val="1"/>
      <w:marLeft w:val="0"/>
      <w:marRight w:val="0"/>
      <w:marTop w:val="0"/>
      <w:marBottom w:val="0"/>
      <w:divBdr>
        <w:top w:val="none" w:sz="0" w:space="0" w:color="auto"/>
        <w:left w:val="none" w:sz="0" w:space="0" w:color="auto"/>
        <w:bottom w:val="none" w:sz="0" w:space="0" w:color="auto"/>
        <w:right w:val="none" w:sz="0" w:space="0" w:color="auto"/>
      </w:divBdr>
    </w:div>
    <w:div w:id="291449189">
      <w:bodyDiv w:val="1"/>
      <w:marLeft w:val="0"/>
      <w:marRight w:val="0"/>
      <w:marTop w:val="0"/>
      <w:marBottom w:val="0"/>
      <w:divBdr>
        <w:top w:val="none" w:sz="0" w:space="0" w:color="auto"/>
        <w:left w:val="none" w:sz="0" w:space="0" w:color="auto"/>
        <w:bottom w:val="none" w:sz="0" w:space="0" w:color="auto"/>
        <w:right w:val="none" w:sz="0" w:space="0" w:color="auto"/>
      </w:divBdr>
    </w:div>
    <w:div w:id="292290971">
      <w:bodyDiv w:val="1"/>
      <w:marLeft w:val="0"/>
      <w:marRight w:val="0"/>
      <w:marTop w:val="0"/>
      <w:marBottom w:val="0"/>
      <w:divBdr>
        <w:top w:val="none" w:sz="0" w:space="0" w:color="auto"/>
        <w:left w:val="none" w:sz="0" w:space="0" w:color="auto"/>
        <w:bottom w:val="none" w:sz="0" w:space="0" w:color="auto"/>
        <w:right w:val="none" w:sz="0" w:space="0" w:color="auto"/>
      </w:divBdr>
    </w:div>
    <w:div w:id="292490534">
      <w:bodyDiv w:val="1"/>
      <w:marLeft w:val="0"/>
      <w:marRight w:val="0"/>
      <w:marTop w:val="0"/>
      <w:marBottom w:val="0"/>
      <w:divBdr>
        <w:top w:val="none" w:sz="0" w:space="0" w:color="auto"/>
        <w:left w:val="none" w:sz="0" w:space="0" w:color="auto"/>
        <w:bottom w:val="none" w:sz="0" w:space="0" w:color="auto"/>
        <w:right w:val="none" w:sz="0" w:space="0" w:color="auto"/>
      </w:divBdr>
    </w:div>
    <w:div w:id="296108498">
      <w:bodyDiv w:val="1"/>
      <w:marLeft w:val="0"/>
      <w:marRight w:val="0"/>
      <w:marTop w:val="0"/>
      <w:marBottom w:val="0"/>
      <w:divBdr>
        <w:top w:val="none" w:sz="0" w:space="0" w:color="auto"/>
        <w:left w:val="none" w:sz="0" w:space="0" w:color="auto"/>
        <w:bottom w:val="none" w:sz="0" w:space="0" w:color="auto"/>
        <w:right w:val="none" w:sz="0" w:space="0" w:color="auto"/>
      </w:divBdr>
    </w:div>
    <w:div w:id="296492761">
      <w:bodyDiv w:val="1"/>
      <w:marLeft w:val="0"/>
      <w:marRight w:val="0"/>
      <w:marTop w:val="0"/>
      <w:marBottom w:val="0"/>
      <w:divBdr>
        <w:top w:val="none" w:sz="0" w:space="0" w:color="auto"/>
        <w:left w:val="none" w:sz="0" w:space="0" w:color="auto"/>
        <w:bottom w:val="none" w:sz="0" w:space="0" w:color="auto"/>
        <w:right w:val="none" w:sz="0" w:space="0" w:color="auto"/>
      </w:divBdr>
    </w:div>
    <w:div w:id="298998065">
      <w:bodyDiv w:val="1"/>
      <w:marLeft w:val="0"/>
      <w:marRight w:val="0"/>
      <w:marTop w:val="0"/>
      <w:marBottom w:val="0"/>
      <w:divBdr>
        <w:top w:val="none" w:sz="0" w:space="0" w:color="auto"/>
        <w:left w:val="none" w:sz="0" w:space="0" w:color="auto"/>
        <w:bottom w:val="none" w:sz="0" w:space="0" w:color="auto"/>
        <w:right w:val="none" w:sz="0" w:space="0" w:color="auto"/>
      </w:divBdr>
    </w:div>
    <w:div w:id="300496952">
      <w:bodyDiv w:val="1"/>
      <w:marLeft w:val="0"/>
      <w:marRight w:val="0"/>
      <w:marTop w:val="0"/>
      <w:marBottom w:val="0"/>
      <w:divBdr>
        <w:top w:val="none" w:sz="0" w:space="0" w:color="auto"/>
        <w:left w:val="none" w:sz="0" w:space="0" w:color="auto"/>
        <w:bottom w:val="none" w:sz="0" w:space="0" w:color="auto"/>
        <w:right w:val="none" w:sz="0" w:space="0" w:color="auto"/>
      </w:divBdr>
    </w:div>
    <w:div w:id="300497758">
      <w:bodyDiv w:val="1"/>
      <w:marLeft w:val="0"/>
      <w:marRight w:val="0"/>
      <w:marTop w:val="0"/>
      <w:marBottom w:val="0"/>
      <w:divBdr>
        <w:top w:val="none" w:sz="0" w:space="0" w:color="auto"/>
        <w:left w:val="none" w:sz="0" w:space="0" w:color="auto"/>
        <w:bottom w:val="none" w:sz="0" w:space="0" w:color="auto"/>
        <w:right w:val="none" w:sz="0" w:space="0" w:color="auto"/>
      </w:divBdr>
    </w:div>
    <w:div w:id="302391895">
      <w:bodyDiv w:val="1"/>
      <w:marLeft w:val="0"/>
      <w:marRight w:val="0"/>
      <w:marTop w:val="0"/>
      <w:marBottom w:val="0"/>
      <w:divBdr>
        <w:top w:val="none" w:sz="0" w:space="0" w:color="auto"/>
        <w:left w:val="none" w:sz="0" w:space="0" w:color="auto"/>
        <w:bottom w:val="none" w:sz="0" w:space="0" w:color="auto"/>
        <w:right w:val="none" w:sz="0" w:space="0" w:color="auto"/>
      </w:divBdr>
    </w:div>
    <w:div w:id="303045392">
      <w:bodyDiv w:val="1"/>
      <w:marLeft w:val="0"/>
      <w:marRight w:val="0"/>
      <w:marTop w:val="0"/>
      <w:marBottom w:val="0"/>
      <w:divBdr>
        <w:top w:val="none" w:sz="0" w:space="0" w:color="auto"/>
        <w:left w:val="none" w:sz="0" w:space="0" w:color="auto"/>
        <w:bottom w:val="none" w:sz="0" w:space="0" w:color="auto"/>
        <w:right w:val="none" w:sz="0" w:space="0" w:color="auto"/>
      </w:divBdr>
    </w:div>
    <w:div w:id="304087475">
      <w:bodyDiv w:val="1"/>
      <w:marLeft w:val="0"/>
      <w:marRight w:val="0"/>
      <w:marTop w:val="0"/>
      <w:marBottom w:val="0"/>
      <w:divBdr>
        <w:top w:val="none" w:sz="0" w:space="0" w:color="auto"/>
        <w:left w:val="none" w:sz="0" w:space="0" w:color="auto"/>
        <w:bottom w:val="none" w:sz="0" w:space="0" w:color="auto"/>
        <w:right w:val="none" w:sz="0" w:space="0" w:color="auto"/>
      </w:divBdr>
      <w:divsChild>
        <w:div w:id="24602015">
          <w:marLeft w:val="0"/>
          <w:marRight w:val="0"/>
          <w:marTop w:val="0"/>
          <w:marBottom w:val="0"/>
          <w:divBdr>
            <w:top w:val="none" w:sz="0" w:space="0" w:color="auto"/>
            <w:left w:val="none" w:sz="0" w:space="0" w:color="auto"/>
            <w:bottom w:val="none" w:sz="0" w:space="0" w:color="auto"/>
            <w:right w:val="none" w:sz="0" w:space="0" w:color="auto"/>
          </w:divBdr>
        </w:div>
        <w:div w:id="203712015">
          <w:marLeft w:val="0"/>
          <w:marRight w:val="0"/>
          <w:marTop w:val="0"/>
          <w:marBottom w:val="0"/>
          <w:divBdr>
            <w:top w:val="none" w:sz="0" w:space="0" w:color="auto"/>
            <w:left w:val="none" w:sz="0" w:space="0" w:color="auto"/>
            <w:bottom w:val="none" w:sz="0" w:space="0" w:color="auto"/>
            <w:right w:val="none" w:sz="0" w:space="0" w:color="auto"/>
          </w:divBdr>
        </w:div>
        <w:div w:id="611787669">
          <w:marLeft w:val="0"/>
          <w:marRight w:val="0"/>
          <w:marTop w:val="0"/>
          <w:marBottom w:val="0"/>
          <w:divBdr>
            <w:top w:val="none" w:sz="0" w:space="0" w:color="auto"/>
            <w:left w:val="none" w:sz="0" w:space="0" w:color="auto"/>
            <w:bottom w:val="none" w:sz="0" w:space="0" w:color="auto"/>
            <w:right w:val="none" w:sz="0" w:space="0" w:color="auto"/>
          </w:divBdr>
        </w:div>
        <w:div w:id="811556166">
          <w:marLeft w:val="0"/>
          <w:marRight w:val="0"/>
          <w:marTop w:val="0"/>
          <w:marBottom w:val="0"/>
          <w:divBdr>
            <w:top w:val="none" w:sz="0" w:space="0" w:color="auto"/>
            <w:left w:val="none" w:sz="0" w:space="0" w:color="auto"/>
            <w:bottom w:val="none" w:sz="0" w:space="0" w:color="auto"/>
            <w:right w:val="none" w:sz="0" w:space="0" w:color="auto"/>
          </w:divBdr>
        </w:div>
        <w:div w:id="2077314971">
          <w:marLeft w:val="0"/>
          <w:marRight w:val="0"/>
          <w:marTop w:val="0"/>
          <w:marBottom w:val="0"/>
          <w:divBdr>
            <w:top w:val="none" w:sz="0" w:space="0" w:color="auto"/>
            <w:left w:val="none" w:sz="0" w:space="0" w:color="auto"/>
            <w:bottom w:val="none" w:sz="0" w:space="0" w:color="auto"/>
            <w:right w:val="none" w:sz="0" w:space="0" w:color="auto"/>
          </w:divBdr>
        </w:div>
      </w:divsChild>
    </w:div>
    <w:div w:id="306473313">
      <w:bodyDiv w:val="1"/>
      <w:marLeft w:val="0"/>
      <w:marRight w:val="0"/>
      <w:marTop w:val="0"/>
      <w:marBottom w:val="0"/>
      <w:divBdr>
        <w:top w:val="none" w:sz="0" w:space="0" w:color="auto"/>
        <w:left w:val="none" w:sz="0" w:space="0" w:color="auto"/>
        <w:bottom w:val="none" w:sz="0" w:space="0" w:color="auto"/>
        <w:right w:val="none" w:sz="0" w:space="0" w:color="auto"/>
      </w:divBdr>
    </w:div>
    <w:div w:id="306594902">
      <w:bodyDiv w:val="1"/>
      <w:marLeft w:val="0"/>
      <w:marRight w:val="0"/>
      <w:marTop w:val="0"/>
      <w:marBottom w:val="0"/>
      <w:divBdr>
        <w:top w:val="none" w:sz="0" w:space="0" w:color="auto"/>
        <w:left w:val="none" w:sz="0" w:space="0" w:color="auto"/>
        <w:bottom w:val="none" w:sz="0" w:space="0" w:color="auto"/>
        <w:right w:val="none" w:sz="0" w:space="0" w:color="auto"/>
      </w:divBdr>
    </w:div>
    <w:div w:id="309017546">
      <w:bodyDiv w:val="1"/>
      <w:marLeft w:val="0"/>
      <w:marRight w:val="0"/>
      <w:marTop w:val="0"/>
      <w:marBottom w:val="0"/>
      <w:divBdr>
        <w:top w:val="none" w:sz="0" w:space="0" w:color="auto"/>
        <w:left w:val="none" w:sz="0" w:space="0" w:color="auto"/>
        <w:bottom w:val="none" w:sz="0" w:space="0" w:color="auto"/>
        <w:right w:val="none" w:sz="0" w:space="0" w:color="auto"/>
      </w:divBdr>
    </w:div>
    <w:div w:id="311636585">
      <w:bodyDiv w:val="1"/>
      <w:marLeft w:val="0"/>
      <w:marRight w:val="0"/>
      <w:marTop w:val="0"/>
      <w:marBottom w:val="0"/>
      <w:divBdr>
        <w:top w:val="none" w:sz="0" w:space="0" w:color="auto"/>
        <w:left w:val="none" w:sz="0" w:space="0" w:color="auto"/>
        <w:bottom w:val="none" w:sz="0" w:space="0" w:color="auto"/>
        <w:right w:val="none" w:sz="0" w:space="0" w:color="auto"/>
      </w:divBdr>
    </w:div>
    <w:div w:id="312757154">
      <w:bodyDiv w:val="1"/>
      <w:marLeft w:val="0"/>
      <w:marRight w:val="0"/>
      <w:marTop w:val="0"/>
      <w:marBottom w:val="0"/>
      <w:divBdr>
        <w:top w:val="none" w:sz="0" w:space="0" w:color="auto"/>
        <w:left w:val="none" w:sz="0" w:space="0" w:color="auto"/>
        <w:bottom w:val="none" w:sz="0" w:space="0" w:color="auto"/>
        <w:right w:val="none" w:sz="0" w:space="0" w:color="auto"/>
      </w:divBdr>
    </w:div>
    <w:div w:id="312831099">
      <w:bodyDiv w:val="1"/>
      <w:marLeft w:val="0"/>
      <w:marRight w:val="0"/>
      <w:marTop w:val="0"/>
      <w:marBottom w:val="0"/>
      <w:divBdr>
        <w:top w:val="none" w:sz="0" w:space="0" w:color="auto"/>
        <w:left w:val="none" w:sz="0" w:space="0" w:color="auto"/>
        <w:bottom w:val="none" w:sz="0" w:space="0" w:color="auto"/>
        <w:right w:val="none" w:sz="0" w:space="0" w:color="auto"/>
      </w:divBdr>
    </w:div>
    <w:div w:id="313217164">
      <w:bodyDiv w:val="1"/>
      <w:marLeft w:val="0"/>
      <w:marRight w:val="0"/>
      <w:marTop w:val="0"/>
      <w:marBottom w:val="0"/>
      <w:divBdr>
        <w:top w:val="none" w:sz="0" w:space="0" w:color="auto"/>
        <w:left w:val="none" w:sz="0" w:space="0" w:color="auto"/>
        <w:bottom w:val="none" w:sz="0" w:space="0" w:color="auto"/>
        <w:right w:val="none" w:sz="0" w:space="0" w:color="auto"/>
      </w:divBdr>
    </w:div>
    <w:div w:id="314190296">
      <w:bodyDiv w:val="1"/>
      <w:marLeft w:val="0"/>
      <w:marRight w:val="0"/>
      <w:marTop w:val="0"/>
      <w:marBottom w:val="0"/>
      <w:divBdr>
        <w:top w:val="none" w:sz="0" w:space="0" w:color="auto"/>
        <w:left w:val="none" w:sz="0" w:space="0" w:color="auto"/>
        <w:bottom w:val="none" w:sz="0" w:space="0" w:color="auto"/>
        <w:right w:val="none" w:sz="0" w:space="0" w:color="auto"/>
      </w:divBdr>
    </w:div>
    <w:div w:id="314265017">
      <w:bodyDiv w:val="1"/>
      <w:marLeft w:val="0"/>
      <w:marRight w:val="0"/>
      <w:marTop w:val="0"/>
      <w:marBottom w:val="0"/>
      <w:divBdr>
        <w:top w:val="none" w:sz="0" w:space="0" w:color="auto"/>
        <w:left w:val="none" w:sz="0" w:space="0" w:color="auto"/>
        <w:bottom w:val="none" w:sz="0" w:space="0" w:color="auto"/>
        <w:right w:val="none" w:sz="0" w:space="0" w:color="auto"/>
      </w:divBdr>
    </w:div>
    <w:div w:id="314451513">
      <w:bodyDiv w:val="1"/>
      <w:marLeft w:val="0"/>
      <w:marRight w:val="0"/>
      <w:marTop w:val="0"/>
      <w:marBottom w:val="0"/>
      <w:divBdr>
        <w:top w:val="none" w:sz="0" w:space="0" w:color="auto"/>
        <w:left w:val="none" w:sz="0" w:space="0" w:color="auto"/>
        <w:bottom w:val="none" w:sz="0" w:space="0" w:color="auto"/>
        <w:right w:val="none" w:sz="0" w:space="0" w:color="auto"/>
      </w:divBdr>
    </w:div>
    <w:div w:id="315963518">
      <w:bodyDiv w:val="1"/>
      <w:marLeft w:val="0"/>
      <w:marRight w:val="0"/>
      <w:marTop w:val="0"/>
      <w:marBottom w:val="0"/>
      <w:divBdr>
        <w:top w:val="none" w:sz="0" w:space="0" w:color="auto"/>
        <w:left w:val="none" w:sz="0" w:space="0" w:color="auto"/>
        <w:bottom w:val="none" w:sz="0" w:space="0" w:color="auto"/>
        <w:right w:val="none" w:sz="0" w:space="0" w:color="auto"/>
      </w:divBdr>
    </w:div>
    <w:div w:id="320232456">
      <w:bodyDiv w:val="1"/>
      <w:marLeft w:val="0"/>
      <w:marRight w:val="0"/>
      <w:marTop w:val="0"/>
      <w:marBottom w:val="0"/>
      <w:divBdr>
        <w:top w:val="none" w:sz="0" w:space="0" w:color="auto"/>
        <w:left w:val="none" w:sz="0" w:space="0" w:color="auto"/>
        <w:bottom w:val="none" w:sz="0" w:space="0" w:color="auto"/>
        <w:right w:val="none" w:sz="0" w:space="0" w:color="auto"/>
      </w:divBdr>
    </w:div>
    <w:div w:id="321012871">
      <w:bodyDiv w:val="1"/>
      <w:marLeft w:val="0"/>
      <w:marRight w:val="0"/>
      <w:marTop w:val="0"/>
      <w:marBottom w:val="0"/>
      <w:divBdr>
        <w:top w:val="none" w:sz="0" w:space="0" w:color="auto"/>
        <w:left w:val="none" w:sz="0" w:space="0" w:color="auto"/>
        <w:bottom w:val="none" w:sz="0" w:space="0" w:color="auto"/>
        <w:right w:val="none" w:sz="0" w:space="0" w:color="auto"/>
      </w:divBdr>
    </w:div>
    <w:div w:id="322852747">
      <w:bodyDiv w:val="1"/>
      <w:marLeft w:val="0"/>
      <w:marRight w:val="0"/>
      <w:marTop w:val="0"/>
      <w:marBottom w:val="0"/>
      <w:divBdr>
        <w:top w:val="none" w:sz="0" w:space="0" w:color="auto"/>
        <w:left w:val="none" w:sz="0" w:space="0" w:color="auto"/>
        <w:bottom w:val="none" w:sz="0" w:space="0" w:color="auto"/>
        <w:right w:val="none" w:sz="0" w:space="0" w:color="auto"/>
      </w:divBdr>
    </w:div>
    <w:div w:id="323124898">
      <w:bodyDiv w:val="1"/>
      <w:marLeft w:val="0"/>
      <w:marRight w:val="0"/>
      <w:marTop w:val="0"/>
      <w:marBottom w:val="0"/>
      <w:divBdr>
        <w:top w:val="none" w:sz="0" w:space="0" w:color="auto"/>
        <w:left w:val="none" w:sz="0" w:space="0" w:color="auto"/>
        <w:bottom w:val="none" w:sz="0" w:space="0" w:color="auto"/>
        <w:right w:val="none" w:sz="0" w:space="0" w:color="auto"/>
      </w:divBdr>
    </w:div>
    <w:div w:id="324213173">
      <w:bodyDiv w:val="1"/>
      <w:marLeft w:val="0"/>
      <w:marRight w:val="0"/>
      <w:marTop w:val="0"/>
      <w:marBottom w:val="0"/>
      <w:divBdr>
        <w:top w:val="none" w:sz="0" w:space="0" w:color="auto"/>
        <w:left w:val="none" w:sz="0" w:space="0" w:color="auto"/>
        <w:bottom w:val="none" w:sz="0" w:space="0" w:color="auto"/>
        <w:right w:val="none" w:sz="0" w:space="0" w:color="auto"/>
      </w:divBdr>
    </w:div>
    <w:div w:id="324289349">
      <w:bodyDiv w:val="1"/>
      <w:marLeft w:val="0"/>
      <w:marRight w:val="0"/>
      <w:marTop w:val="0"/>
      <w:marBottom w:val="0"/>
      <w:divBdr>
        <w:top w:val="none" w:sz="0" w:space="0" w:color="auto"/>
        <w:left w:val="none" w:sz="0" w:space="0" w:color="auto"/>
        <w:bottom w:val="none" w:sz="0" w:space="0" w:color="auto"/>
        <w:right w:val="none" w:sz="0" w:space="0" w:color="auto"/>
      </w:divBdr>
    </w:div>
    <w:div w:id="324359691">
      <w:bodyDiv w:val="1"/>
      <w:marLeft w:val="0"/>
      <w:marRight w:val="0"/>
      <w:marTop w:val="0"/>
      <w:marBottom w:val="0"/>
      <w:divBdr>
        <w:top w:val="none" w:sz="0" w:space="0" w:color="auto"/>
        <w:left w:val="none" w:sz="0" w:space="0" w:color="auto"/>
        <w:bottom w:val="none" w:sz="0" w:space="0" w:color="auto"/>
        <w:right w:val="none" w:sz="0" w:space="0" w:color="auto"/>
      </w:divBdr>
    </w:div>
    <w:div w:id="324478526">
      <w:bodyDiv w:val="1"/>
      <w:marLeft w:val="0"/>
      <w:marRight w:val="0"/>
      <w:marTop w:val="0"/>
      <w:marBottom w:val="0"/>
      <w:divBdr>
        <w:top w:val="none" w:sz="0" w:space="0" w:color="auto"/>
        <w:left w:val="none" w:sz="0" w:space="0" w:color="auto"/>
        <w:bottom w:val="none" w:sz="0" w:space="0" w:color="auto"/>
        <w:right w:val="none" w:sz="0" w:space="0" w:color="auto"/>
      </w:divBdr>
    </w:div>
    <w:div w:id="325059335">
      <w:bodyDiv w:val="1"/>
      <w:marLeft w:val="0"/>
      <w:marRight w:val="0"/>
      <w:marTop w:val="0"/>
      <w:marBottom w:val="0"/>
      <w:divBdr>
        <w:top w:val="none" w:sz="0" w:space="0" w:color="auto"/>
        <w:left w:val="none" w:sz="0" w:space="0" w:color="auto"/>
        <w:bottom w:val="none" w:sz="0" w:space="0" w:color="auto"/>
        <w:right w:val="none" w:sz="0" w:space="0" w:color="auto"/>
      </w:divBdr>
    </w:div>
    <w:div w:id="325331221">
      <w:bodyDiv w:val="1"/>
      <w:marLeft w:val="0"/>
      <w:marRight w:val="0"/>
      <w:marTop w:val="0"/>
      <w:marBottom w:val="0"/>
      <w:divBdr>
        <w:top w:val="none" w:sz="0" w:space="0" w:color="auto"/>
        <w:left w:val="none" w:sz="0" w:space="0" w:color="auto"/>
        <w:bottom w:val="none" w:sz="0" w:space="0" w:color="auto"/>
        <w:right w:val="none" w:sz="0" w:space="0" w:color="auto"/>
      </w:divBdr>
    </w:div>
    <w:div w:id="325786945">
      <w:bodyDiv w:val="1"/>
      <w:marLeft w:val="0"/>
      <w:marRight w:val="0"/>
      <w:marTop w:val="0"/>
      <w:marBottom w:val="0"/>
      <w:divBdr>
        <w:top w:val="none" w:sz="0" w:space="0" w:color="auto"/>
        <w:left w:val="none" w:sz="0" w:space="0" w:color="auto"/>
        <w:bottom w:val="none" w:sz="0" w:space="0" w:color="auto"/>
        <w:right w:val="none" w:sz="0" w:space="0" w:color="auto"/>
      </w:divBdr>
    </w:div>
    <w:div w:id="328290066">
      <w:bodyDiv w:val="1"/>
      <w:marLeft w:val="0"/>
      <w:marRight w:val="0"/>
      <w:marTop w:val="0"/>
      <w:marBottom w:val="0"/>
      <w:divBdr>
        <w:top w:val="none" w:sz="0" w:space="0" w:color="auto"/>
        <w:left w:val="none" w:sz="0" w:space="0" w:color="auto"/>
        <w:bottom w:val="none" w:sz="0" w:space="0" w:color="auto"/>
        <w:right w:val="none" w:sz="0" w:space="0" w:color="auto"/>
      </w:divBdr>
    </w:div>
    <w:div w:id="328556880">
      <w:bodyDiv w:val="1"/>
      <w:marLeft w:val="0"/>
      <w:marRight w:val="0"/>
      <w:marTop w:val="0"/>
      <w:marBottom w:val="0"/>
      <w:divBdr>
        <w:top w:val="none" w:sz="0" w:space="0" w:color="auto"/>
        <w:left w:val="none" w:sz="0" w:space="0" w:color="auto"/>
        <w:bottom w:val="none" w:sz="0" w:space="0" w:color="auto"/>
        <w:right w:val="none" w:sz="0" w:space="0" w:color="auto"/>
      </w:divBdr>
    </w:div>
    <w:div w:id="329261424">
      <w:bodyDiv w:val="1"/>
      <w:marLeft w:val="0"/>
      <w:marRight w:val="0"/>
      <w:marTop w:val="0"/>
      <w:marBottom w:val="0"/>
      <w:divBdr>
        <w:top w:val="none" w:sz="0" w:space="0" w:color="auto"/>
        <w:left w:val="none" w:sz="0" w:space="0" w:color="auto"/>
        <w:bottom w:val="none" w:sz="0" w:space="0" w:color="auto"/>
        <w:right w:val="none" w:sz="0" w:space="0" w:color="auto"/>
      </w:divBdr>
    </w:div>
    <w:div w:id="329990211">
      <w:bodyDiv w:val="1"/>
      <w:marLeft w:val="0"/>
      <w:marRight w:val="0"/>
      <w:marTop w:val="0"/>
      <w:marBottom w:val="0"/>
      <w:divBdr>
        <w:top w:val="none" w:sz="0" w:space="0" w:color="auto"/>
        <w:left w:val="none" w:sz="0" w:space="0" w:color="auto"/>
        <w:bottom w:val="none" w:sz="0" w:space="0" w:color="auto"/>
        <w:right w:val="none" w:sz="0" w:space="0" w:color="auto"/>
      </w:divBdr>
    </w:div>
    <w:div w:id="331758242">
      <w:bodyDiv w:val="1"/>
      <w:marLeft w:val="0"/>
      <w:marRight w:val="0"/>
      <w:marTop w:val="0"/>
      <w:marBottom w:val="0"/>
      <w:divBdr>
        <w:top w:val="none" w:sz="0" w:space="0" w:color="auto"/>
        <w:left w:val="none" w:sz="0" w:space="0" w:color="auto"/>
        <w:bottom w:val="none" w:sz="0" w:space="0" w:color="auto"/>
        <w:right w:val="none" w:sz="0" w:space="0" w:color="auto"/>
      </w:divBdr>
    </w:div>
    <w:div w:id="331875836">
      <w:bodyDiv w:val="1"/>
      <w:marLeft w:val="0"/>
      <w:marRight w:val="0"/>
      <w:marTop w:val="0"/>
      <w:marBottom w:val="0"/>
      <w:divBdr>
        <w:top w:val="none" w:sz="0" w:space="0" w:color="auto"/>
        <w:left w:val="none" w:sz="0" w:space="0" w:color="auto"/>
        <w:bottom w:val="none" w:sz="0" w:space="0" w:color="auto"/>
        <w:right w:val="none" w:sz="0" w:space="0" w:color="auto"/>
      </w:divBdr>
    </w:div>
    <w:div w:id="331951508">
      <w:bodyDiv w:val="1"/>
      <w:marLeft w:val="0"/>
      <w:marRight w:val="0"/>
      <w:marTop w:val="0"/>
      <w:marBottom w:val="0"/>
      <w:divBdr>
        <w:top w:val="none" w:sz="0" w:space="0" w:color="auto"/>
        <w:left w:val="none" w:sz="0" w:space="0" w:color="auto"/>
        <w:bottom w:val="none" w:sz="0" w:space="0" w:color="auto"/>
        <w:right w:val="none" w:sz="0" w:space="0" w:color="auto"/>
      </w:divBdr>
      <w:divsChild>
        <w:div w:id="1054112386">
          <w:marLeft w:val="0"/>
          <w:marRight w:val="0"/>
          <w:marTop w:val="0"/>
          <w:marBottom w:val="0"/>
          <w:divBdr>
            <w:top w:val="none" w:sz="0" w:space="0" w:color="auto"/>
            <w:left w:val="none" w:sz="0" w:space="0" w:color="auto"/>
            <w:bottom w:val="none" w:sz="0" w:space="0" w:color="auto"/>
            <w:right w:val="none" w:sz="0" w:space="0" w:color="auto"/>
          </w:divBdr>
          <w:divsChild>
            <w:div w:id="1854413584">
              <w:marLeft w:val="0"/>
              <w:marRight w:val="0"/>
              <w:marTop w:val="0"/>
              <w:marBottom w:val="0"/>
              <w:divBdr>
                <w:top w:val="none" w:sz="0" w:space="0" w:color="auto"/>
                <w:left w:val="none" w:sz="0" w:space="0" w:color="auto"/>
                <w:bottom w:val="none" w:sz="0" w:space="0" w:color="auto"/>
                <w:right w:val="none" w:sz="0" w:space="0" w:color="auto"/>
              </w:divBdr>
              <w:divsChild>
                <w:div w:id="99792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2636">
      <w:bodyDiv w:val="1"/>
      <w:marLeft w:val="0"/>
      <w:marRight w:val="0"/>
      <w:marTop w:val="0"/>
      <w:marBottom w:val="0"/>
      <w:divBdr>
        <w:top w:val="none" w:sz="0" w:space="0" w:color="auto"/>
        <w:left w:val="none" w:sz="0" w:space="0" w:color="auto"/>
        <w:bottom w:val="none" w:sz="0" w:space="0" w:color="auto"/>
        <w:right w:val="none" w:sz="0" w:space="0" w:color="auto"/>
      </w:divBdr>
    </w:div>
    <w:div w:id="335109578">
      <w:bodyDiv w:val="1"/>
      <w:marLeft w:val="0"/>
      <w:marRight w:val="0"/>
      <w:marTop w:val="0"/>
      <w:marBottom w:val="0"/>
      <w:divBdr>
        <w:top w:val="none" w:sz="0" w:space="0" w:color="auto"/>
        <w:left w:val="none" w:sz="0" w:space="0" w:color="auto"/>
        <w:bottom w:val="none" w:sz="0" w:space="0" w:color="auto"/>
        <w:right w:val="none" w:sz="0" w:space="0" w:color="auto"/>
      </w:divBdr>
    </w:div>
    <w:div w:id="337777742">
      <w:bodyDiv w:val="1"/>
      <w:marLeft w:val="0"/>
      <w:marRight w:val="0"/>
      <w:marTop w:val="0"/>
      <w:marBottom w:val="0"/>
      <w:divBdr>
        <w:top w:val="none" w:sz="0" w:space="0" w:color="auto"/>
        <w:left w:val="none" w:sz="0" w:space="0" w:color="auto"/>
        <w:bottom w:val="none" w:sz="0" w:space="0" w:color="auto"/>
        <w:right w:val="none" w:sz="0" w:space="0" w:color="auto"/>
      </w:divBdr>
    </w:div>
    <w:div w:id="341204789">
      <w:bodyDiv w:val="1"/>
      <w:marLeft w:val="0"/>
      <w:marRight w:val="0"/>
      <w:marTop w:val="0"/>
      <w:marBottom w:val="0"/>
      <w:divBdr>
        <w:top w:val="none" w:sz="0" w:space="0" w:color="auto"/>
        <w:left w:val="none" w:sz="0" w:space="0" w:color="auto"/>
        <w:bottom w:val="none" w:sz="0" w:space="0" w:color="auto"/>
        <w:right w:val="none" w:sz="0" w:space="0" w:color="auto"/>
      </w:divBdr>
      <w:divsChild>
        <w:div w:id="454450843">
          <w:marLeft w:val="0"/>
          <w:marRight w:val="0"/>
          <w:marTop w:val="0"/>
          <w:marBottom w:val="0"/>
          <w:divBdr>
            <w:top w:val="none" w:sz="0" w:space="0" w:color="auto"/>
            <w:left w:val="none" w:sz="0" w:space="0" w:color="auto"/>
            <w:bottom w:val="none" w:sz="0" w:space="0" w:color="auto"/>
            <w:right w:val="none" w:sz="0" w:space="0" w:color="auto"/>
          </w:divBdr>
        </w:div>
        <w:div w:id="848983556">
          <w:marLeft w:val="0"/>
          <w:marRight w:val="0"/>
          <w:marTop w:val="0"/>
          <w:marBottom w:val="0"/>
          <w:divBdr>
            <w:top w:val="none" w:sz="0" w:space="0" w:color="auto"/>
            <w:left w:val="none" w:sz="0" w:space="0" w:color="auto"/>
            <w:bottom w:val="none" w:sz="0" w:space="0" w:color="auto"/>
            <w:right w:val="none" w:sz="0" w:space="0" w:color="auto"/>
          </w:divBdr>
        </w:div>
        <w:div w:id="1780830038">
          <w:marLeft w:val="0"/>
          <w:marRight w:val="0"/>
          <w:marTop w:val="0"/>
          <w:marBottom w:val="0"/>
          <w:divBdr>
            <w:top w:val="none" w:sz="0" w:space="0" w:color="auto"/>
            <w:left w:val="none" w:sz="0" w:space="0" w:color="auto"/>
            <w:bottom w:val="none" w:sz="0" w:space="0" w:color="auto"/>
            <w:right w:val="none" w:sz="0" w:space="0" w:color="auto"/>
          </w:divBdr>
        </w:div>
        <w:div w:id="2090497956">
          <w:marLeft w:val="0"/>
          <w:marRight w:val="0"/>
          <w:marTop w:val="0"/>
          <w:marBottom w:val="0"/>
          <w:divBdr>
            <w:top w:val="none" w:sz="0" w:space="0" w:color="auto"/>
            <w:left w:val="none" w:sz="0" w:space="0" w:color="auto"/>
            <w:bottom w:val="none" w:sz="0" w:space="0" w:color="auto"/>
            <w:right w:val="none" w:sz="0" w:space="0" w:color="auto"/>
          </w:divBdr>
        </w:div>
      </w:divsChild>
    </w:div>
    <w:div w:id="342560271">
      <w:bodyDiv w:val="1"/>
      <w:marLeft w:val="0"/>
      <w:marRight w:val="0"/>
      <w:marTop w:val="0"/>
      <w:marBottom w:val="0"/>
      <w:divBdr>
        <w:top w:val="none" w:sz="0" w:space="0" w:color="auto"/>
        <w:left w:val="none" w:sz="0" w:space="0" w:color="auto"/>
        <w:bottom w:val="none" w:sz="0" w:space="0" w:color="auto"/>
        <w:right w:val="none" w:sz="0" w:space="0" w:color="auto"/>
      </w:divBdr>
    </w:div>
    <w:div w:id="343556003">
      <w:bodyDiv w:val="1"/>
      <w:marLeft w:val="0"/>
      <w:marRight w:val="0"/>
      <w:marTop w:val="0"/>
      <w:marBottom w:val="0"/>
      <w:divBdr>
        <w:top w:val="none" w:sz="0" w:space="0" w:color="auto"/>
        <w:left w:val="none" w:sz="0" w:space="0" w:color="auto"/>
        <w:bottom w:val="none" w:sz="0" w:space="0" w:color="auto"/>
        <w:right w:val="none" w:sz="0" w:space="0" w:color="auto"/>
      </w:divBdr>
    </w:div>
    <w:div w:id="344140072">
      <w:bodyDiv w:val="1"/>
      <w:marLeft w:val="0"/>
      <w:marRight w:val="0"/>
      <w:marTop w:val="0"/>
      <w:marBottom w:val="0"/>
      <w:divBdr>
        <w:top w:val="none" w:sz="0" w:space="0" w:color="auto"/>
        <w:left w:val="none" w:sz="0" w:space="0" w:color="auto"/>
        <w:bottom w:val="none" w:sz="0" w:space="0" w:color="auto"/>
        <w:right w:val="none" w:sz="0" w:space="0" w:color="auto"/>
      </w:divBdr>
    </w:div>
    <w:div w:id="345178186">
      <w:bodyDiv w:val="1"/>
      <w:marLeft w:val="0"/>
      <w:marRight w:val="0"/>
      <w:marTop w:val="0"/>
      <w:marBottom w:val="0"/>
      <w:divBdr>
        <w:top w:val="none" w:sz="0" w:space="0" w:color="auto"/>
        <w:left w:val="none" w:sz="0" w:space="0" w:color="auto"/>
        <w:bottom w:val="none" w:sz="0" w:space="0" w:color="auto"/>
        <w:right w:val="none" w:sz="0" w:space="0" w:color="auto"/>
      </w:divBdr>
    </w:div>
    <w:div w:id="347297412">
      <w:bodyDiv w:val="1"/>
      <w:marLeft w:val="0"/>
      <w:marRight w:val="0"/>
      <w:marTop w:val="0"/>
      <w:marBottom w:val="0"/>
      <w:divBdr>
        <w:top w:val="none" w:sz="0" w:space="0" w:color="auto"/>
        <w:left w:val="none" w:sz="0" w:space="0" w:color="auto"/>
        <w:bottom w:val="none" w:sz="0" w:space="0" w:color="auto"/>
        <w:right w:val="none" w:sz="0" w:space="0" w:color="auto"/>
      </w:divBdr>
    </w:div>
    <w:div w:id="348026184">
      <w:bodyDiv w:val="1"/>
      <w:marLeft w:val="0"/>
      <w:marRight w:val="0"/>
      <w:marTop w:val="0"/>
      <w:marBottom w:val="0"/>
      <w:divBdr>
        <w:top w:val="none" w:sz="0" w:space="0" w:color="auto"/>
        <w:left w:val="none" w:sz="0" w:space="0" w:color="auto"/>
        <w:bottom w:val="none" w:sz="0" w:space="0" w:color="auto"/>
        <w:right w:val="none" w:sz="0" w:space="0" w:color="auto"/>
      </w:divBdr>
    </w:div>
    <w:div w:id="349717956">
      <w:bodyDiv w:val="1"/>
      <w:marLeft w:val="0"/>
      <w:marRight w:val="0"/>
      <w:marTop w:val="0"/>
      <w:marBottom w:val="0"/>
      <w:divBdr>
        <w:top w:val="none" w:sz="0" w:space="0" w:color="auto"/>
        <w:left w:val="none" w:sz="0" w:space="0" w:color="auto"/>
        <w:bottom w:val="none" w:sz="0" w:space="0" w:color="auto"/>
        <w:right w:val="none" w:sz="0" w:space="0" w:color="auto"/>
      </w:divBdr>
    </w:div>
    <w:div w:id="350573554">
      <w:bodyDiv w:val="1"/>
      <w:marLeft w:val="0"/>
      <w:marRight w:val="0"/>
      <w:marTop w:val="0"/>
      <w:marBottom w:val="0"/>
      <w:divBdr>
        <w:top w:val="none" w:sz="0" w:space="0" w:color="auto"/>
        <w:left w:val="none" w:sz="0" w:space="0" w:color="auto"/>
        <w:bottom w:val="none" w:sz="0" w:space="0" w:color="auto"/>
        <w:right w:val="none" w:sz="0" w:space="0" w:color="auto"/>
      </w:divBdr>
    </w:div>
    <w:div w:id="350954244">
      <w:bodyDiv w:val="1"/>
      <w:marLeft w:val="0"/>
      <w:marRight w:val="0"/>
      <w:marTop w:val="0"/>
      <w:marBottom w:val="0"/>
      <w:divBdr>
        <w:top w:val="none" w:sz="0" w:space="0" w:color="auto"/>
        <w:left w:val="none" w:sz="0" w:space="0" w:color="auto"/>
        <w:bottom w:val="none" w:sz="0" w:space="0" w:color="auto"/>
        <w:right w:val="none" w:sz="0" w:space="0" w:color="auto"/>
      </w:divBdr>
    </w:div>
    <w:div w:id="353580267">
      <w:bodyDiv w:val="1"/>
      <w:marLeft w:val="0"/>
      <w:marRight w:val="0"/>
      <w:marTop w:val="0"/>
      <w:marBottom w:val="0"/>
      <w:divBdr>
        <w:top w:val="none" w:sz="0" w:space="0" w:color="auto"/>
        <w:left w:val="none" w:sz="0" w:space="0" w:color="auto"/>
        <w:bottom w:val="none" w:sz="0" w:space="0" w:color="auto"/>
        <w:right w:val="none" w:sz="0" w:space="0" w:color="auto"/>
      </w:divBdr>
    </w:div>
    <w:div w:id="356587916">
      <w:bodyDiv w:val="1"/>
      <w:marLeft w:val="0"/>
      <w:marRight w:val="0"/>
      <w:marTop w:val="0"/>
      <w:marBottom w:val="0"/>
      <w:divBdr>
        <w:top w:val="none" w:sz="0" w:space="0" w:color="auto"/>
        <w:left w:val="none" w:sz="0" w:space="0" w:color="auto"/>
        <w:bottom w:val="none" w:sz="0" w:space="0" w:color="auto"/>
        <w:right w:val="none" w:sz="0" w:space="0" w:color="auto"/>
      </w:divBdr>
    </w:div>
    <w:div w:id="359824339">
      <w:bodyDiv w:val="1"/>
      <w:marLeft w:val="0"/>
      <w:marRight w:val="0"/>
      <w:marTop w:val="0"/>
      <w:marBottom w:val="0"/>
      <w:divBdr>
        <w:top w:val="none" w:sz="0" w:space="0" w:color="auto"/>
        <w:left w:val="none" w:sz="0" w:space="0" w:color="auto"/>
        <w:bottom w:val="none" w:sz="0" w:space="0" w:color="auto"/>
        <w:right w:val="none" w:sz="0" w:space="0" w:color="auto"/>
      </w:divBdr>
    </w:div>
    <w:div w:id="360984401">
      <w:bodyDiv w:val="1"/>
      <w:marLeft w:val="0"/>
      <w:marRight w:val="0"/>
      <w:marTop w:val="0"/>
      <w:marBottom w:val="0"/>
      <w:divBdr>
        <w:top w:val="none" w:sz="0" w:space="0" w:color="auto"/>
        <w:left w:val="none" w:sz="0" w:space="0" w:color="auto"/>
        <w:bottom w:val="none" w:sz="0" w:space="0" w:color="auto"/>
        <w:right w:val="none" w:sz="0" w:space="0" w:color="auto"/>
      </w:divBdr>
    </w:div>
    <w:div w:id="361590607">
      <w:bodyDiv w:val="1"/>
      <w:marLeft w:val="0"/>
      <w:marRight w:val="0"/>
      <w:marTop w:val="0"/>
      <w:marBottom w:val="0"/>
      <w:divBdr>
        <w:top w:val="none" w:sz="0" w:space="0" w:color="auto"/>
        <w:left w:val="none" w:sz="0" w:space="0" w:color="auto"/>
        <w:bottom w:val="none" w:sz="0" w:space="0" w:color="auto"/>
        <w:right w:val="none" w:sz="0" w:space="0" w:color="auto"/>
      </w:divBdr>
    </w:div>
    <w:div w:id="363018223">
      <w:bodyDiv w:val="1"/>
      <w:marLeft w:val="0"/>
      <w:marRight w:val="0"/>
      <w:marTop w:val="0"/>
      <w:marBottom w:val="0"/>
      <w:divBdr>
        <w:top w:val="none" w:sz="0" w:space="0" w:color="auto"/>
        <w:left w:val="none" w:sz="0" w:space="0" w:color="auto"/>
        <w:bottom w:val="none" w:sz="0" w:space="0" w:color="auto"/>
        <w:right w:val="none" w:sz="0" w:space="0" w:color="auto"/>
      </w:divBdr>
    </w:div>
    <w:div w:id="364058857">
      <w:bodyDiv w:val="1"/>
      <w:marLeft w:val="0"/>
      <w:marRight w:val="0"/>
      <w:marTop w:val="0"/>
      <w:marBottom w:val="0"/>
      <w:divBdr>
        <w:top w:val="none" w:sz="0" w:space="0" w:color="auto"/>
        <w:left w:val="none" w:sz="0" w:space="0" w:color="auto"/>
        <w:bottom w:val="none" w:sz="0" w:space="0" w:color="auto"/>
        <w:right w:val="none" w:sz="0" w:space="0" w:color="auto"/>
      </w:divBdr>
    </w:div>
    <w:div w:id="368338053">
      <w:bodyDiv w:val="1"/>
      <w:marLeft w:val="0"/>
      <w:marRight w:val="0"/>
      <w:marTop w:val="0"/>
      <w:marBottom w:val="0"/>
      <w:divBdr>
        <w:top w:val="none" w:sz="0" w:space="0" w:color="auto"/>
        <w:left w:val="none" w:sz="0" w:space="0" w:color="auto"/>
        <w:bottom w:val="none" w:sz="0" w:space="0" w:color="auto"/>
        <w:right w:val="none" w:sz="0" w:space="0" w:color="auto"/>
      </w:divBdr>
    </w:div>
    <w:div w:id="371805615">
      <w:bodyDiv w:val="1"/>
      <w:marLeft w:val="0"/>
      <w:marRight w:val="0"/>
      <w:marTop w:val="0"/>
      <w:marBottom w:val="0"/>
      <w:divBdr>
        <w:top w:val="none" w:sz="0" w:space="0" w:color="auto"/>
        <w:left w:val="none" w:sz="0" w:space="0" w:color="auto"/>
        <w:bottom w:val="none" w:sz="0" w:space="0" w:color="auto"/>
        <w:right w:val="none" w:sz="0" w:space="0" w:color="auto"/>
      </w:divBdr>
      <w:divsChild>
        <w:div w:id="124010808">
          <w:marLeft w:val="0"/>
          <w:marRight w:val="0"/>
          <w:marTop w:val="0"/>
          <w:marBottom w:val="0"/>
          <w:divBdr>
            <w:top w:val="none" w:sz="0" w:space="0" w:color="auto"/>
            <w:left w:val="none" w:sz="0" w:space="0" w:color="auto"/>
            <w:bottom w:val="none" w:sz="0" w:space="0" w:color="auto"/>
            <w:right w:val="none" w:sz="0" w:space="0" w:color="auto"/>
          </w:divBdr>
        </w:div>
      </w:divsChild>
    </w:div>
    <w:div w:id="373040610">
      <w:bodyDiv w:val="1"/>
      <w:marLeft w:val="0"/>
      <w:marRight w:val="0"/>
      <w:marTop w:val="0"/>
      <w:marBottom w:val="0"/>
      <w:divBdr>
        <w:top w:val="none" w:sz="0" w:space="0" w:color="auto"/>
        <w:left w:val="none" w:sz="0" w:space="0" w:color="auto"/>
        <w:bottom w:val="none" w:sz="0" w:space="0" w:color="auto"/>
        <w:right w:val="none" w:sz="0" w:space="0" w:color="auto"/>
      </w:divBdr>
    </w:div>
    <w:div w:id="376203048">
      <w:bodyDiv w:val="1"/>
      <w:marLeft w:val="0"/>
      <w:marRight w:val="0"/>
      <w:marTop w:val="0"/>
      <w:marBottom w:val="0"/>
      <w:divBdr>
        <w:top w:val="none" w:sz="0" w:space="0" w:color="auto"/>
        <w:left w:val="none" w:sz="0" w:space="0" w:color="auto"/>
        <w:bottom w:val="none" w:sz="0" w:space="0" w:color="auto"/>
        <w:right w:val="none" w:sz="0" w:space="0" w:color="auto"/>
      </w:divBdr>
    </w:div>
    <w:div w:id="377247406">
      <w:bodyDiv w:val="1"/>
      <w:marLeft w:val="0"/>
      <w:marRight w:val="0"/>
      <w:marTop w:val="0"/>
      <w:marBottom w:val="0"/>
      <w:divBdr>
        <w:top w:val="none" w:sz="0" w:space="0" w:color="auto"/>
        <w:left w:val="none" w:sz="0" w:space="0" w:color="auto"/>
        <w:bottom w:val="none" w:sz="0" w:space="0" w:color="auto"/>
        <w:right w:val="none" w:sz="0" w:space="0" w:color="auto"/>
      </w:divBdr>
    </w:div>
    <w:div w:id="377439476">
      <w:bodyDiv w:val="1"/>
      <w:marLeft w:val="0"/>
      <w:marRight w:val="0"/>
      <w:marTop w:val="0"/>
      <w:marBottom w:val="0"/>
      <w:divBdr>
        <w:top w:val="none" w:sz="0" w:space="0" w:color="auto"/>
        <w:left w:val="none" w:sz="0" w:space="0" w:color="auto"/>
        <w:bottom w:val="none" w:sz="0" w:space="0" w:color="auto"/>
        <w:right w:val="none" w:sz="0" w:space="0" w:color="auto"/>
      </w:divBdr>
    </w:div>
    <w:div w:id="377703327">
      <w:bodyDiv w:val="1"/>
      <w:marLeft w:val="0"/>
      <w:marRight w:val="0"/>
      <w:marTop w:val="0"/>
      <w:marBottom w:val="0"/>
      <w:divBdr>
        <w:top w:val="none" w:sz="0" w:space="0" w:color="auto"/>
        <w:left w:val="none" w:sz="0" w:space="0" w:color="auto"/>
        <w:bottom w:val="none" w:sz="0" w:space="0" w:color="auto"/>
        <w:right w:val="none" w:sz="0" w:space="0" w:color="auto"/>
      </w:divBdr>
      <w:divsChild>
        <w:div w:id="1183860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6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668994">
      <w:bodyDiv w:val="1"/>
      <w:marLeft w:val="0"/>
      <w:marRight w:val="0"/>
      <w:marTop w:val="0"/>
      <w:marBottom w:val="0"/>
      <w:divBdr>
        <w:top w:val="none" w:sz="0" w:space="0" w:color="auto"/>
        <w:left w:val="none" w:sz="0" w:space="0" w:color="auto"/>
        <w:bottom w:val="none" w:sz="0" w:space="0" w:color="auto"/>
        <w:right w:val="none" w:sz="0" w:space="0" w:color="auto"/>
      </w:divBdr>
    </w:div>
    <w:div w:id="379935177">
      <w:bodyDiv w:val="1"/>
      <w:marLeft w:val="0"/>
      <w:marRight w:val="0"/>
      <w:marTop w:val="0"/>
      <w:marBottom w:val="0"/>
      <w:divBdr>
        <w:top w:val="none" w:sz="0" w:space="0" w:color="auto"/>
        <w:left w:val="none" w:sz="0" w:space="0" w:color="auto"/>
        <w:bottom w:val="none" w:sz="0" w:space="0" w:color="auto"/>
        <w:right w:val="none" w:sz="0" w:space="0" w:color="auto"/>
      </w:divBdr>
    </w:div>
    <w:div w:id="385878896">
      <w:bodyDiv w:val="1"/>
      <w:marLeft w:val="0"/>
      <w:marRight w:val="0"/>
      <w:marTop w:val="0"/>
      <w:marBottom w:val="0"/>
      <w:divBdr>
        <w:top w:val="none" w:sz="0" w:space="0" w:color="auto"/>
        <w:left w:val="none" w:sz="0" w:space="0" w:color="auto"/>
        <w:bottom w:val="none" w:sz="0" w:space="0" w:color="auto"/>
        <w:right w:val="none" w:sz="0" w:space="0" w:color="auto"/>
      </w:divBdr>
      <w:divsChild>
        <w:div w:id="1921867650">
          <w:marLeft w:val="0"/>
          <w:marRight w:val="0"/>
          <w:marTop w:val="0"/>
          <w:marBottom w:val="0"/>
          <w:divBdr>
            <w:top w:val="none" w:sz="0" w:space="0" w:color="auto"/>
            <w:left w:val="none" w:sz="0" w:space="0" w:color="auto"/>
            <w:bottom w:val="none" w:sz="0" w:space="0" w:color="auto"/>
            <w:right w:val="none" w:sz="0" w:space="0" w:color="auto"/>
          </w:divBdr>
        </w:div>
      </w:divsChild>
    </w:div>
    <w:div w:id="386224989">
      <w:bodyDiv w:val="1"/>
      <w:marLeft w:val="0"/>
      <w:marRight w:val="0"/>
      <w:marTop w:val="0"/>
      <w:marBottom w:val="0"/>
      <w:divBdr>
        <w:top w:val="none" w:sz="0" w:space="0" w:color="auto"/>
        <w:left w:val="none" w:sz="0" w:space="0" w:color="auto"/>
        <w:bottom w:val="none" w:sz="0" w:space="0" w:color="auto"/>
        <w:right w:val="none" w:sz="0" w:space="0" w:color="auto"/>
      </w:divBdr>
    </w:div>
    <w:div w:id="387917519">
      <w:bodyDiv w:val="1"/>
      <w:marLeft w:val="0"/>
      <w:marRight w:val="0"/>
      <w:marTop w:val="0"/>
      <w:marBottom w:val="0"/>
      <w:divBdr>
        <w:top w:val="none" w:sz="0" w:space="0" w:color="auto"/>
        <w:left w:val="none" w:sz="0" w:space="0" w:color="auto"/>
        <w:bottom w:val="none" w:sz="0" w:space="0" w:color="auto"/>
        <w:right w:val="none" w:sz="0" w:space="0" w:color="auto"/>
      </w:divBdr>
    </w:div>
    <w:div w:id="390270470">
      <w:bodyDiv w:val="1"/>
      <w:marLeft w:val="0"/>
      <w:marRight w:val="0"/>
      <w:marTop w:val="0"/>
      <w:marBottom w:val="0"/>
      <w:divBdr>
        <w:top w:val="none" w:sz="0" w:space="0" w:color="auto"/>
        <w:left w:val="none" w:sz="0" w:space="0" w:color="auto"/>
        <w:bottom w:val="none" w:sz="0" w:space="0" w:color="auto"/>
        <w:right w:val="none" w:sz="0" w:space="0" w:color="auto"/>
      </w:divBdr>
    </w:div>
    <w:div w:id="391464472">
      <w:bodyDiv w:val="1"/>
      <w:marLeft w:val="0"/>
      <w:marRight w:val="0"/>
      <w:marTop w:val="0"/>
      <w:marBottom w:val="0"/>
      <w:divBdr>
        <w:top w:val="none" w:sz="0" w:space="0" w:color="auto"/>
        <w:left w:val="none" w:sz="0" w:space="0" w:color="auto"/>
        <w:bottom w:val="none" w:sz="0" w:space="0" w:color="auto"/>
        <w:right w:val="none" w:sz="0" w:space="0" w:color="auto"/>
      </w:divBdr>
    </w:div>
    <w:div w:id="396825017">
      <w:bodyDiv w:val="1"/>
      <w:marLeft w:val="0"/>
      <w:marRight w:val="0"/>
      <w:marTop w:val="0"/>
      <w:marBottom w:val="0"/>
      <w:divBdr>
        <w:top w:val="none" w:sz="0" w:space="0" w:color="auto"/>
        <w:left w:val="none" w:sz="0" w:space="0" w:color="auto"/>
        <w:bottom w:val="none" w:sz="0" w:space="0" w:color="auto"/>
        <w:right w:val="none" w:sz="0" w:space="0" w:color="auto"/>
      </w:divBdr>
    </w:div>
    <w:div w:id="397557316">
      <w:bodyDiv w:val="1"/>
      <w:marLeft w:val="0"/>
      <w:marRight w:val="0"/>
      <w:marTop w:val="0"/>
      <w:marBottom w:val="0"/>
      <w:divBdr>
        <w:top w:val="none" w:sz="0" w:space="0" w:color="auto"/>
        <w:left w:val="none" w:sz="0" w:space="0" w:color="auto"/>
        <w:bottom w:val="none" w:sz="0" w:space="0" w:color="auto"/>
        <w:right w:val="none" w:sz="0" w:space="0" w:color="auto"/>
      </w:divBdr>
    </w:div>
    <w:div w:id="398753040">
      <w:bodyDiv w:val="1"/>
      <w:marLeft w:val="0"/>
      <w:marRight w:val="0"/>
      <w:marTop w:val="0"/>
      <w:marBottom w:val="0"/>
      <w:divBdr>
        <w:top w:val="none" w:sz="0" w:space="0" w:color="auto"/>
        <w:left w:val="none" w:sz="0" w:space="0" w:color="auto"/>
        <w:bottom w:val="none" w:sz="0" w:space="0" w:color="auto"/>
        <w:right w:val="none" w:sz="0" w:space="0" w:color="auto"/>
      </w:divBdr>
    </w:div>
    <w:div w:id="401031548">
      <w:bodyDiv w:val="1"/>
      <w:marLeft w:val="0"/>
      <w:marRight w:val="0"/>
      <w:marTop w:val="0"/>
      <w:marBottom w:val="0"/>
      <w:divBdr>
        <w:top w:val="none" w:sz="0" w:space="0" w:color="auto"/>
        <w:left w:val="none" w:sz="0" w:space="0" w:color="auto"/>
        <w:bottom w:val="none" w:sz="0" w:space="0" w:color="auto"/>
        <w:right w:val="none" w:sz="0" w:space="0" w:color="auto"/>
      </w:divBdr>
    </w:div>
    <w:div w:id="405687101">
      <w:bodyDiv w:val="1"/>
      <w:marLeft w:val="0"/>
      <w:marRight w:val="0"/>
      <w:marTop w:val="0"/>
      <w:marBottom w:val="0"/>
      <w:divBdr>
        <w:top w:val="none" w:sz="0" w:space="0" w:color="auto"/>
        <w:left w:val="none" w:sz="0" w:space="0" w:color="auto"/>
        <w:bottom w:val="none" w:sz="0" w:space="0" w:color="auto"/>
        <w:right w:val="none" w:sz="0" w:space="0" w:color="auto"/>
      </w:divBdr>
    </w:div>
    <w:div w:id="405803134">
      <w:bodyDiv w:val="1"/>
      <w:marLeft w:val="0"/>
      <w:marRight w:val="0"/>
      <w:marTop w:val="0"/>
      <w:marBottom w:val="0"/>
      <w:divBdr>
        <w:top w:val="none" w:sz="0" w:space="0" w:color="auto"/>
        <w:left w:val="none" w:sz="0" w:space="0" w:color="auto"/>
        <w:bottom w:val="none" w:sz="0" w:space="0" w:color="auto"/>
        <w:right w:val="none" w:sz="0" w:space="0" w:color="auto"/>
      </w:divBdr>
    </w:div>
    <w:div w:id="408580350">
      <w:bodyDiv w:val="1"/>
      <w:marLeft w:val="0"/>
      <w:marRight w:val="0"/>
      <w:marTop w:val="0"/>
      <w:marBottom w:val="0"/>
      <w:divBdr>
        <w:top w:val="none" w:sz="0" w:space="0" w:color="auto"/>
        <w:left w:val="none" w:sz="0" w:space="0" w:color="auto"/>
        <w:bottom w:val="none" w:sz="0" w:space="0" w:color="auto"/>
        <w:right w:val="none" w:sz="0" w:space="0" w:color="auto"/>
      </w:divBdr>
    </w:div>
    <w:div w:id="410125210">
      <w:bodyDiv w:val="1"/>
      <w:marLeft w:val="0"/>
      <w:marRight w:val="0"/>
      <w:marTop w:val="0"/>
      <w:marBottom w:val="0"/>
      <w:divBdr>
        <w:top w:val="none" w:sz="0" w:space="0" w:color="auto"/>
        <w:left w:val="none" w:sz="0" w:space="0" w:color="auto"/>
        <w:bottom w:val="none" w:sz="0" w:space="0" w:color="auto"/>
        <w:right w:val="none" w:sz="0" w:space="0" w:color="auto"/>
      </w:divBdr>
    </w:div>
    <w:div w:id="412355186">
      <w:bodyDiv w:val="1"/>
      <w:marLeft w:val="0"/>
      <w:marRight w:val="0"/>
      <w:marTop w:val="0"/>
      <w:marBottom w:val="0"/>
      <w:divBdr>
        <w:top w:val="none" w:sz="0" w:space="0" w:color="auto"/>
        <w:left w:val="none" w:sz="0" w:space="0" w:color="auto"/>
        <w:bottom w:val="none" w:sz="0" w:space="0" w:color="auto"/>
        <w:right w:val="none" w:sz="0" w:space="0" w:color="auto"/>
      </w:divBdr>
    </w:div>
    <w:div w:id="412969721">
      <w:bodyDiv w:val="1"/>
      <w:marLeft w:val="0"/>
      <w:marRight w:val="0"/>
      <w:marTop w:val="0"/>
      <w:marBottom w:val="0"/>
      <w:divBdr>
        <w:top w:val="none" w:sz="0" w:space="0" w:color="auto"/>
        <w:left w:val="none" w:sz="0" w:space="0" w:color="auto"/>
        <w:bottom w:val="none" w:sz="0" w:space="0" w:color="auto"/>
        <w:right w:val="none" w:sz="0" w:space="0" w:color="auto"/>
      </w:divBdr>
    </w:div>
    <w:div w:id="413477591">
      <w:bodyDiv w:val="1"/>
      <w:marLeft w:val="0"/>
      <w:marRight w:val="0"/>
      <w:marTop w:val="0"/>
      <w:marBottom w:val="0"/>
      <w:divBdr>
        <w:top w:val="none" w:sz="0" w:space="0" w:color="auto"/>
        <w:left w:val="none" w:sz="0" w:space="0" w:color="auto"/>
        <w:bottom w:val="none" w:sz="0" w:space="0" w:color="auto"/>
        <w:right w:val="none" w:sz="0" w:space="0" w:color="auto"/>
      </w:divBdr>
    </w:div>
    <w:div w:id="414018804">
      <w:bodyDiv w:val="1"/>
      <w:marLeft w:val="0"/>
      <w:marRight w:val="0"/>
      <w:marTop w:val="0"/>
      <w:marBottom w:val="0"/>
      <w:divBdr>
        <w:top w:val="none" w:sz="0" w:space="0" w:color="auto"/>
        <w:left w:val="none" w:sz="0" w:space="0" w:color="auto"/>
        <w:bottom w:val="none" w:sz="0" w:space="0" w:color="auto"/>
        <w:right w:val="none" w:sz="0" w:space="0" w:color="auto"/>
      </w:divBdr>
    </w:div>
    <w:div w:id="414403652">
      <w:bodyDiv w:val="1"/>
      <w:marLeft w:val="0"/>
      <w:marRight w:val="0"/>
      <w:marTop w:val="0"/>
      <w:marBottom w:val="0"/>
      <w:divBdr>
        <w:top w:val="none" w:sz="0" w:space="0" w:color="auto"/>
        <w:left w:val="none" w:sz="0" w:space="0" w:color="auto"/>
        <w:bottom w:val="none" w:sz="0" w:space="0" w:color="auto"/>
        <w:right w:val="none" w:sz="0" w:space="0" w:color="auto"/>
      </w:divBdr>
    </w:div>
    <w:div w:id="414933726">
      <w:bodyDiv w:val="1"/>
      <w:marLeft w:val="0"/>
      <w:marRight w:val="0"/>
      <w:marTop w:val="0"/>
      <w:marBottom w:val="0"/>
      <w:divBdr>
        <w:top w:val="none" w:sz="0" w:space="0" w:color="auto"/>
        <w:left w:val="none" w:sz="0" w:space="0" w:color="auto"/>
        <w:bottom w:val="none" w:sz="0" w:space="0" w:color="auto"/>
        <w:right w:val="none" w:sz="0" w:space="0" w:color="auto"/>
      </w:divBdr>
    </w:div>
    <w:div w:id="418645607">
      <w:bodyDiv w:val="1"/>
      <w:marLeft w:val="0"/>
      <w:marRight w:val="0"/>
      <w:marTop w:val="0"/>
      <w:marBottom w:val="0"/>
      <w:divBdr>
        <w:top w:val="none" w:sz="0" w:space="0" w:color="auto"/>
        <w:left w:val="none" w:sz="0" w:space="0" w:color="auto"/>
        <w:bottom w:val="none" w:sz="0" w:space="0" w:color="auto"/>
        <w:right w:val="none" w:sz="0" w:space="0" w:color="auto"/>
      </w:divBdr>
    </w:div>
    <w:div w:id="420493789">
      <w:bodyDiv w:val="1"/>
      <w:marLeft w:val="0"/>
      <w:marRight w:val="0"/>
      <w:marTop w:val="0"/>
      <w:marBottom w:val="0"/>
      <w:divBdr>
        <w:top w:val="none" w:sz="0" w:space="0" w:color="auto"/>
        <w:left w:val="none" w:sz="0" w:space="0" w:color="auto"/>
        <w:bottom w:val="none" w:sz="0" w:space="0" w:color="auto"/>
        <w:right w:val="none" w:sz="0" w:space="0" w:color="auto"/>
      </w:divBdr>
    </w:div>
    <w:div w:id="420874369">
      <w:bodyDiv w:val="1"/>
      <w:marLeft w:val="0"/>
      <w:marRight w:val="0"/>
      <w:marTop w:val="0"/>
      <w:marBottom w:val="0"/>
      <w:divBdr>
        <w:top w:val="none" w:sz="0" w:space="0" w:color="auto"/>
        <w:left w:val="none" w:sz="0" w:space="0" w:color="auto"/>
        <w:bottom w:val="none" w:sz="0" w:space="0" w:color="auto"/>
        <w:right w:val="none" w:sz="0" w:space="0" w:color="auto"/>
      </w:divBdr>
    </w:div>
    <w:div w:id="423649211">
      <w:bodyDiv w:val="1"/>
      <w:marLeft w:val="0"/>
      <w:marRight w:val="0"/>
      <w:marTop w:val="0"/>
      <w:marBottom w:val="0"/>
      <w:divBdr>
        <w:top w:val="none" w:sz="0" w:space="0" w:color="auto"/>
        <w:left w:val="none" w:sz="0" w:space="0" w:color="auto"/>
        <w:bottom w:val="none" w:sz="0" w:space="0" w:color="auto"/>
        <w:right w:val="none" w:sz="0" w:space="0" w:color="auto"/>
      </w:divBdr>
    </w:div>
    <w:div w:id="425077479">
      <w:bodyDiv w:val="1"/>
      <w:marLeft w:val="0"/>
      <w:marRight w:val="0"/>
      <w:marTop w:val="0"/>
      <w:marBottom w:val="0"/>
      <w:divBdr>
        <w:top w:val="none" w:sz="0" w:space="0" w:color="auto"/>
        <w:left w:val="none" w:sz="0" w:space="0" w:color="auto"/>
        <w:bottom w:val="none" w:sz="0" w:space="0" w:color="auto"/>
        <w:right w:val="none" w:sz="0" w:space="0" w:color="auto"/>
      </w:divBdr>
    </w:div>
    <w:div w:id="426460037">
      <w:bodyDiv w:val="1"/>
      <w:marLeft w:val="0"/>
      <w:marRight w:val="0"/>
      <w:marTop w:val="0"/>
      <w:marBottom w:val="0"/>
      <w:divBdr>
        <w:top w:val="none" w:sz="0" w:space="0" w:color="auto"/>
        <w:left w:val="none" w:sz="0" w:space="0" w:color="auto"/>
        <w:bottom w:val="none" w:sz="0" w:space="0" w:color="auto"/>
        <w:right w:val="none" w:sz="0" w:space="0" w:color="auto"/>
      </w:divBdr>
    </w:div>
    <w:div w:id="426580772">
      <w:bodyDiv w:val="1"/>
      <w:marLeft w:val="0"/>
      <w:marRight w:val="0"/>
      <w:marTop w:val="0"/>
      <w:marBottom w:val="0"/>
      <w:divBdr>
        <w:top w:val="none" w:sz="0" w:space="0" w:color="auto"/>
        <w:left w:val="none" w:sz="0" w:space="0" w:color="auto"/>
        <w:bottom w:val="none" w:sz="0" w:space="0" w:color="auto"/>
        <w:right w:val="none" w:sz="0" w:space="0" w:color="auto"/>
      </w:divBdr>
    </w:div>
    <w:div w:id="428744763">
      <w:bodyDiv w:val="1"/>
      <w:marLeft w:val="0"/>
      <w:marRight w:val="0"/>
      <w:marTop w:val="0"/>
      <w:marBottom w:val="0"/>
      <w:divBdr>
        <w:top w:val="none" w:sz="0" w:space="0" w:color="auto"/>
        <w:left w:val="none" w:sz="0" w:space="0" w:color="auto"/>
        <w:bottom w:val="none" w:sz="0" w:space="0" w:color="auto"/>
        <w:right w:val="none" w:sz="0" w:space="0" w:color="auto"/>
      </w:divBdr>
    </w:div>
    <w:div w:id="430048037">
      <w:bodyDiv w:val="1"/>
      <w:marLeft w:val="0"/>
      <w:marRight w:val="0"/>
      <w:marTop w:val="0"/>
      <w:marBottom w:val="0"/>
      <w:divBdr>
        <w:top w:val="none" w:sz="0" w:space="0" w:color="auto"/>
        <w:left w:val="none" w:sz="0" w:space="0" w:color="auto"/>
        <w:bottom w:val="none" w:sz="0" w:space="0" w:color="auto"/>
        <w:right w:val="none" w:sz="0" w:space="0" w:color="auto"/>
      </w:divBdr>
    </w:div>
    <w:div w:id="431558939">
      <w:bodyDiv w:val="1"/>
      <w:marLeft w:val="0"/>
      <w:marRight w:val="0"/>
      <w:marTop w:val="0"/>
      <w:marBottom w:val="0"/>
      <w:divBdr>
        <w:top w:val="none" w:sz="0" w:space="0" w:color="auto"/>
        <w:left w:val="none" w:sz="0" w:space="0" w:color="auto"/>
        <w:bottom w:val="none" w:sz="0" w:space="0" w:color="auto"/>
        <w:right w:val="none" w:sz="0" w:space="0" w:color="auto"/>
      </w:divBdr>
    </w:div>
    <w:div w:id="432554378">
      <w:bodyDiv w:val="1"/>
      <w:marLeft w:val="0"/>
      <w:marRight w:val="0"/>
      <w:marTop w:val="0"/>
      <w:marBottom w:val="0"/>
      <w:divBdr>
        <w:top w:val="none" w:sz="0" w:space="0" w:color="auto"/>
        <w:left w:val="none" w:sz="0" w:space="0" w:color="auto"/>
        <w:bottom w:val="none" w:sz="0" w:space="0" w:color="auto"/>
        <w:right w:val="none" w:sz="0" w:space="0" w:color="auto"/>
      </w:divBdr>
    </w:div>
    <w:div w:id="433550853">
      <w:bodyDiv w:val="1"/>
      <w:marLeft w:val="0"/>
      <w:marRight w:val="0"/>
      <w:marTop w:val="0"/>
      <w:marBottom w:val="0"/>
      <w:divBdr>
        <w:top w:val="none" w:sz="0" w:space="0" w:color="auto"/>
        <w:left w:val="none" w:sz="0" w:space="0" w:color="auto"/>
        <w:bottom w:val="none" w:sz="0" w:space="0" w:color="auto"/>
        <w:right w:val="none" w:sz="0" w:space="0" w:color="auto"/>
      </w:divBdr>
    </w:div>
    <w:div w:id="434517638">
      <w:bodyDiv w:val="1"/>
      <w:marLeft w:val="0"/>
      <w:marRight w:val="0"/>
      <w:marTop w:val="0"/>
      <w:marBottom w:val="0"/>
      <w:divBdr>
        <w:top w:val="none" w:sz="0" w:space="0" w:color="auto"/>
        <w:left w:val="none" w:sz="0" w:space="0" w:color="auto"/>
        <w:bottom w:val="none" w:sz="0" w:space="0" w:color="auto"/>
        <w:right w:val="none" w:sz="0" w:space="0" w:color="auto"/>
      </w:divBdr>
    </w:div>
    <w:div w:id="436369888">
      <w:bodyDiv w:val="1"/>
      <w:marLeft w:val="0"/>
      <w:marRight w:val="0"/>
      <w:marTop w:val="0"/>
      <w:marBottom w:val="0"/>
      <w:divBdr>
        <w:top w:val="none" w:sz="0" w:space="0" w:color="auto"/>
        <w:left w:val="none" w:sz="0" w:space="0" w:color="auto"/>
        <w:bottom w:val="none" w:sz="0" w:space="0" w:color="auto"/>
        <w:right w:val="none" w:sz="0" w:space="0" w:color="auto"/>
      </w:divBdr>
    </w:div>
    <w:div w:id="436676690">
      <w:bodyDiv w:val="1"/>
      <w:marLeft w:val="0"/>
      <w:marRight w:val="0"/>
      <w:marTop w:val="0"/>
      <w:marBottom w:val="0"/>
      <w:divBdr>
        <w:top w:val="none" w:sz="0" w:space="0" w:color="auto"/>
        <w:left w:val="none" w:sz="0" w:space="0" w:color="auto"/>
        <w:bottom w:val="none" w:sz="0" w:space="0" w:color="auto"/>
        <w:right w:val="none" w:sz="0" w:space="0" w:color="auto"/>
      </w:divBdr>
    </w:div>
    <w:div w:id="436944785">
      <w:bodyDiv w:val="1"/>
      <w:marLeft w:val="0"/>
      <w:marRight w:val="0"/>
      <w:marTop w:val="0"/>
      <w:marBottom w:val="0"/>
      <w:divBdr>
        <w:top w:val="none" w:sz="0" w:space="0" w:color="auto"/>
        <w:left w:val="none" w:sz="0" w:space="0" w:color="auto"/>
        <w:bottom w:val="none" w:sz="0" w:space="0" w:color="auto"/>
        <w:right w:val="none" w:sz="0" w:space="0" w:color="auto"/>
      </w:divBdr>
    </w:div>
    <w:div w:id="437874258">
      <w:bodyDiv w:val="1"/>
      <w:marLeft w:val="0"/>
      <w:marRight w:val="0"/>
      <w:marTop w:val="0"/>
      <w:marBottom w:val="0"/>
      <w:divBdr>
        <w:top w:val="none" w:sz="0" w:space="0" w:color="auto"/>
        <w:left w:val="none" w:sz="0" w:space="0" w:color="auto"/>
        <w:bottom w:val="none" w:sz="0" w:space="0" w:color="auto"/>
        <w:right w:val="none" w:sz="0" w:space="0" w:color="auto"/>
      </w:divBdr>
    </w:div>
    <w:div w:id="439450113">
      <w:bodyDiv w:val="1"/>
      <w:marLeft w:val="0"/>
      <w:marRight w:val="0"/>
      <w:marTop w:val="0"/>
      <w:marBottom w:val="0"/>
      <w:divBdr>
        <w:top w:val="none" w:sz="0" w:space="0" w:color="auto"/>
        <w:left w:val="none" w:sz="0" w:space="0" w:color="auto"/>
        <w:bottom w:val="none" w:sz="0" w:space="0" w:color="auto"/>
        <w:right w:val="none" w:sz="0" w:space="0" w:color="auto"/>
      </w:divBdr>
    </w:div>
    <w:div w:id="440958173">
      <w:bodyDiv w:val="1"/>
      <w:marLeft w:val="0"/>
      <w:marRight w:val="0"/>
      <w:marTop w:val="0"/>
      <w:marBottom w:val="0"/>
      <w:divBdr>
        <w:top w:val="none" w:sz="0" w:space="0" w:color="auto"/>
        <w:left w:val="none" w:sz="0" w:space="0" w:color="auto"/>
        <w:bottom w:val="none" w:sz="0" w:space="0" w:color="auto"/>
        <w:right w:val="none" w:sz="0" w:space="0" w:color="auto"/>
      </w:divBdr>
    </w:div>
    <w:div w:id="441191359">
      <w:bodyDiv w:val="1"/>
      <w:marLeft w:val="0"/>
      <w:marRight w:val="0"/>
      <w:marTop w:val="0"/>
      <w:marBottom w:val="0"/>
      <w:divBdr>
        <w:top w:val="none" w:sz="0" w:space="0" w:color="auto"/>
        <w:left w:val="none" w:sz="0" w:space="0" w:color="auto"/>
        <w:bottom w:val="none" w:sz="0" w:space="0" w:color="auto"/>
        <w:right w:val="none" w:sz="0" w:space="0" w:color="auto"/>
      </w:divBdr>
      <w:divsChild>
        <w:div w:id="2127507997">
          <w:marLeft w:val="0"/>
          <w:marRight w:val="0"/>
          <w:marTop w:val="450"/>
          <w:marBottom w:val="300"/>
          <w:divBdr>
            <w:top w:val="none" w:sz="0" w:space="0" w:color="auto"/>
            <w:left w:val="none" w:sz="0" w:space="0" w:color="auto"/>
            <w:bottom w:val="none" w:sz="0" w:space="0" w:color="auto"/>
            <w:right w:val="none" w:sz="0" w:space="0" w:color="auto"/>
          </w:divBdr>
        </w:div>
      </w:divsChild>
    </w:div>
    <w:div w:id="441459873">
      <w:bodyDiv w:val="1"/>
      <w:marLeft w:val="0"/>
      <w:marRight w:val="0"/>
      <w:marTop w:val="0"/>
      <w:marBottom w:val="0"/>
      <w:divBdr>
        <w:top w:val="none" w:sz="0" w:space="0" w:color="auto"/>
        <w:left w:val="none" w:sz="0" w:space="0" w:color="auto"/>
        <w:bottom w:val="none" w:sz="0" w:space="0" w:color="auto"/>
        <w:right w:val="none" w:sz="0" w:space="0" w:color="auto"/>
      </w:divBdr>
    </w:div>
    <w:div w:id="447165931">
      <w:bodyDiv w:val="1"/>
      <w:marLeft w:val="0"/>
      <w:marRight w:val="0"/>
      <w:marTop w:val="0"/>
      <w:marBottom w:val="0"/>
      <w:divBdr>
        <w:top w:val="none" w:sz="0" w:space="0" w:color="auto"/>
        <w:left w:val="none" w:sz="0" w:space="0" w:color="auto"/>
        <w:bottom w:val="none" w:sz="0" w:space="0" w:color="auto"/>
        <w:right w:val="none" w:sz="0" w:space="0" w:color="auto"/>
      </w:divBdr>
    </w:div>
    <w:div w:id="449589796">
      <w:bodyDiv w:val="1"/>
      <w:marLeft w:val="0"/>
      <w:marRight w:val="0"/>
      <w:marTop w:val="0"/>
      <w:marBottom w:val="0"/>
      <w:divBdr>
        <w:top w:val="none" w:sz="0" w:space="0" w:color="auto"/>
        <w:left w:val="none" w:sz="0" w:space="0" w:color="auto"/>
        <w:bottom w:val="none" w:sz="0" w:space="0" w:color="auto"/>
        <w:right w:val="none" w:sz="0" w:space="0" w:color="auto"/>
      </w:divBdr>
    </w:div>
    <w:div w:id="449671425">
      <w:bodyDiv w:val="1"/>
      <w:marLeft w:val="0"/>
      <w:marRight w:val="0"/>
      <w:marTop w:val="0"/>
      <w:marBottom w:val="0"/>
      <w:divBdr>
        <w:top w:val="none" w:sz="0" w:space="0" w:color="auto"/>
        <w:left w:val="none" w:sz="0" w:space="0" w:color="auto"/>
        <w:bottom w:val="none" w:sz="0" w:space="0" w:color="auto"/>
        <w:right w:val="none" w:sz="0" w:space="0" w:color="auto"/>
      </w:divBdr>
    </w:div>
    <w:div w:id="450319620">
      <w:bodyDiv w:val="1"/>
      <w:marLeft w:val="0"/>
      <w:marRight w:val="0"/>
      <w:marTop w:val="0"/>
      <w:marBottom w:val="0"/>
      <w:divBdr>
        <w:top w:val="none" w:sz="0" w:space="0" w:color="auto"/>
        <w:left w:val="none" w:sz="0" w:space="0" w:color="auto"/>
        <w:bottom w:val="none" w:sz="0" w:space="0" w:color="auto"/>
        <w:right w:val="none" w:sz="0" w:space="0" w:color="auto"/>
      </w:divBdr>
    </w:div>
    <w:div w:id="451677453">
      <w:bodyDiv w:val="1"/>
      <w:marLeft w:val="0"/>
      <w:marRight w:val="0"/>
      <w:marTop w:val="0"/>
      <w:marBottom w:val="0"/>
      <w:divBdr>
        <w:top w:val="none" w:sz="0" w:space="0" w:color="auto"/>
        <w:left w:val="none" w:sz="0" w:space="0" w:color="auto"/>
        <w:bottom w:val="none" w:sz="0" w:space="0" w:color="auto"/>
        <w:right w:val="none" w:sz="0" w:space="0" w:color="auto"/>
      </w:divBdr>
    </w:div>
    <w:div w:id="452090548">
      <w:bodyDiv w:val="1"/>
      <w:marLeft w:val="0"/>
      <w:marRight w:val="0"/>
      <w:marTop w:val="0"/>
      <w:marBottom w:val="0"/>
      <w:divBdr>
        <w:top w:val="none" w:sz="0" w:space="0" w:color="auto"/>
        <w:left w:val="none" w:sz="0" w:space="0" w:color="auto"/>
        <w:bottom w:val="none" w:sz="0" w:space="0" w:color="auto"/>
        <w:right w:val="none" w:sz="0" w:space="0" w:color="auto"/>
      </w:divBdr>
    </w:div>
    <w:div w:id="452603148">
      <w:bodyDiv w:val="1"/>
      <w:marLeft w:val="0"/>
      <w:marRight w:val="0"/>
      <w:marTop w:val="0"/>
      <w:marBottom w:val="0"/>
      <w:divBdr>
        <w:top w:val="none" w:sz="0" w:space="0" w:color="auto"/>
        <w:left w:val="none" w:sz="0" w:space="0" w:color="auto"/>
        <w:bottom w:val="none" w:sz="0" w:space="0" w:color="auto"/>
        <w:right w:val="none" w:sz="0" w:space="0" w:color="auto"/>
      </w:divBdr>
    </w:div>
    <w:div w:id="452793582">
      <w:bodyDiv w:val="1"/>
      <w:marLeft w:val="0"/>
      <w:marRight w:val="0"/>
      <w:marTop w:val="0"/>
      <w:marBottom w:val="0"/>
      <w:divBdr>
        <w:top w:val="none" w:sz="0" w:space="0" w:color="auto"/>
        <w:left w:val="none" w:sz="0" w:space="0" w:color="auto"/>
        <w:bottom w:val="none" w:sz="0" w:space="0" w:color="auto"/>
        <w:right w:val="none" w:sz="0" w:space="0" w:color="auto"/>
      </w:divBdr>
    </w:div>
    <w:div w:id="457652462">
      <w:bodyDiv w:val="1"/>
      <w:marLeft w:val="0"/>
      <w:marRight w:val="0"/>
      <w:marTop w:val="0"/>
      <w:marBottom w:val="0"/>
      <w:divBdr>
        <w:top w:val="none" w:sz="0" w:space="0" w:color="auto"/>
        <w:left w:val="none" w:sz="0" w:space="0" w:color="auto"/>
        <w:bottom w:val="none" w:sz="0" w:space="0" w:color="auto"/>
        <w:right w:val="none" w:sz="0" w:space="0" w:color="auto"/>
      </w:divBdr>
    </w:div>
    <w:div w:id="457771055">
      <w:bodyDiv w:val="1"/>
      <w:marLeft w:val="0"/>
      <w:marRight w:val="0"/>
      <w:marTop w:val="0"/>
      <w:marBottom w:val="0"/>
      <w:divBdr>
        <w:top w:val="none" w:sz="0" w:space="0" w:color="auto"/>
        <w:left w:val="none" w:sz="0" w:space="0" w:color="auto"/>
        <w:bottom w:val="none" w:sz="0" w:space="0" w:color="auto"/>
        <w:right w:val="none" w:sz="0" w:space="0" w:color="auto"/>
      </w:divBdr>
    </w:div>
    <w:div w:id="458105764">
      <w:bodyDiv w:val="1"/>
      <w:marLeft w:val="0"/>
      <w:marRight w:val="0"/>
      <w:marTop w:val="0"/>
      <w:marBottom w:val="0"/>
      <w:divBdr>
        <w:top w:val="none" w:sz="0" w:space="0" w:color="auto"/>
        <w:left w:val="none" w:sz="0" w:space="0" w:color="auto"/>
        <w:bottom w:val="none" w:sz="0" w:space="0" w:color="auto"/>
        <w:right w:val="none" w:sz="0" w:space="0" w:color="auto"/>
      </w:divBdr>
    </w:div>
    <w:div w:id="458843986">
      <w:bodyDiv w:val="1"/>
      <w:marLeft w:val="0"/>
      <w:marRight w:val="0"/>
      <w:marTop w:val="0"/>
      <w:marBottom w:val="0"/>
      <w:divBdr>
        <w:top w:val="none" w:sz="0" w:space="0" w:color="auto"/>
        <w:left w:val="none" w:sz="0" w:space="0" w:color="auto"/>
        <w:bottom w:val="none" w:sz="0" w:space="0" w:color="auto"/>
        <w:right w:val="none" w:sz="0" w:space="0" w:color="auto"/>
      </w:divBdr>
    </w:div>
    <w:div w:id="459031308">
      <w:bodyDiv w:val="1"/>
      <w:marLeft w:val="0"/>
      <w:marRight w:val="0"/>
      <w:marTop w:val="0"/>
      <w:marBottom w:val="0"/>
      <w:divBdr>
        <w:top w:val="none" w:sz="0" w:space="0" w:color="auto"/>
        <w:left w:val="none" w:sz="0" w:space="0" w:color="auto"/>
        <w:bottom w:val="none" w:sz="0" w:space="0" w:color="auto"/>
        <w:right w:val="none" w:sz="0" w:space="0" w:color="auto"/>
      </w:divBdr>
    </w:div>
    <w:div w:id="459231068">
      <w:bodyDiv w:val="1"/>
      <w:marLeft w:val="0"/>
      <w:marRight w:val="0"/>
      <w:marTop w:val="0"/>
      <w:marBottom w:val="0"/>
      <w:divBdr>
        <w:top w:val="none" w:sz="0" w:space="0" w:color="auto"/>
        <w:left w:val="none" w:sz="0" w:space="0" w:color="auto"/>
        <w:bottom w:val="none" w:sz="0" w:space="0" w:color="auto"/>
        <w:right w:val="none" w:sz="0" w:space="0" w:color="auto"/>
      </w:divBdr>
    </w:div>
    <w:div w:id="459418135">
      <w:bodyDiv w:val="1"/>
      <w:marLeft w:val="0"/>
      <w:marRight w:val="0"/>
      <w:marTop w:val="0"/>
      <w:marBottom w:val="0"/>
      <w:divBdr>
        <w:top w:val="none" w:sz="0" w:space="0" w:color="auto"/>
        <w:left w:val="none" w:sz="0" w:space="0" w:color="auto"/>
        <w:bottom w:val="none" w:sz="0" w:space="0" w:color="auto"/>
        <w:right w:val="none" w:sz="0" w:space="0" w:color="auto"/>
      </w:divBdr>
    </w:div>
    <w:div w:id="464350742">
      <w:bodyDiv w:val="1"/>
      <w:marLeft w:val="0"/>
      <w:marRight w:val="0"/>
      <w:marTop w:val="0"/>
      <w:marBottom w:val="0"/>
      <w:divBdr>
        <w:top w:val="none" w:sz="0" w:space="0" w:color="auto"/>
        <w:left w:val="none" w:sz="0" w:space="0" w:color="auto"/>
        <w:bottom w:val="none" w:sz="0" w:space="0" w:color="auto"/>
        <w:right w:val="none" w:sz="0" w:space="0" w:color="auto"/>
      </w:divBdr>
    </w:div>
    <w:div w:id="468326070">
      <w:bodyDiv w:val="1"/>
      <w:marLeft w:val="0"/>
      <w:marRight w:val="0"/>
      <w:marTop w:val="0"/>
      <w:marBottom w:val="0"/>
      <w:divBdr>
        <w:top w:val="none" w:sz="0" w:space="0" w:color="auto"/>
        <w:left w:val="none" w:sz="0" w:space="0" w:color="auto"/>
        <w:bottom w:val="none" w:sz="0" w:space="0" w:color="auto"/>
        <w:right w:val="none" w:sz="0" w:space="0" w:color="auto"/>
      </w:divBdr>
    </w:div>
    <w:div w:id="469248088">
      <w:bodyDiv w:val="1"/>
      <w:marLeft w:val="0"/>
      <w:marRight w:val="0"/>
      <w:marTop w:val="0"/>
      <w:marBottom w:val="0"/>
      <w:divBdr>
        <w:top w:val="none" w:sz="0" w:space="0" w:color="auto"/>
        <w:left w:val="none" w:sz="0" w:space="0" w:color="auto"/>
        <w:bottom w:val="none" w:sz="0" w:space="0" w:color="auto"/>
        <w:right w:val="none" w:sz="0" w:space="0" w:color="auto"/>
      </w:divBdr>
    </w:div>
    <w:div w:id="470440836">
      <w:bodyDiv w:val="1"/>
      <w:marLeft w:val="0"/>
      <w:marRight w:val="0"/>
      <w:marTop w:val="0"/>
      <w:marBottom w:val="0"/>
      <w:divBdr>
        <w:top w:val="none" w:sz="0" w:space="0" w:color="auto"/>
        <w:left w:val="none" w:sz="0" w:space="0" w:color="auto"/>
        <w:bottom w:val="none" w:sz="0" w:space="0" w:color="auto"/>
        <w:right w:val="none" w:sz="0" w:space="0" w:color="auto"/>
      </w:divBdr>
    </w:div>
    <w:div w:id="473451307">
      <w:bodyDiv w:val="1"/>
      <w:marLeft w:val="0"/>
      <w:marRight w:val="0"/>
      <w:marTop w:val="0"/>
      <w:marBottom w:val="0"/>
      <w:divBdr>
        <w:top w:val="none" w:sz="0" w:space="0" w:color="auto"/>
        <w:left w:val="none" w:sz="0" w:space="0" w:color="auto"/>
        <w:bottom w:val="none" w:sz="0" w:space="0" w:color="auto"/>
        <w:right w:val="none" w:sz="0" w:space="0" w:color="auto"/>
      </w:divBdr>
    </w:div>
    <w:div w:id="473642204">
      <w:bodyDiv w:val="1"/>
      <w:marLeft w:val="0"/>
      <w:marRight w:val="0"/>
      <w:marTop w:val="0"/>
      <w:marBottom w:val="0"/>
      <w:divBdr>
        <w:top w:val="none" w:sz="0" w:space="0" w:color="auto"/>
        <w:left w:val="none" w:sz="0" w:space="0" w:color="auto"/>
        <w:bottom w:val="none" w:sz="0" w:space="0" w:color="auto"/>
        <w:right w:val="none" w:sz="0" w:space="0" w:color="auto"/>
      </w:divBdr>
    </w:div>
    <w:div w:id="474763811">
      <w:bodyDiv w:val="1"/>
      <w:marLeft w:val="0"/>
      <w:marRight w:val="0"/>
      <w:marTop w:val="0"/>
      <w:marBottom w:val="0"/>
      <w:divBdr>
        <w:top w:val="none" w:sz="0" w:space="0" w:color="auto"/>
        <w:left w:val="none" w:sz="0" w:space="0" w:color="auto"/>
        <w:bottom w:val="none" w:sz="0" w:space="0" w:color="auto"/>
        <w:right w:val="none" w:sz="0" w:space="0" w:color="auto"/>
      </w:divBdr>
    </w:div>
    <w:div w:id="475924598">
      <w:bodyDiv w:val="1"/>
      <w:marLeft w:val="0"/>
      <w:marRight w:val="0"/>
      <w:marTop w:val="0"/>
      <w:marBottom w:val="0"/>
      <w:divBdr>
        <w:top w:val="none" w:sz="0" w:space="0" w:color="auto"/>
        <w:left w:val="none" w:sz="0" w:space="0" w:color="auto"/>
        <w:bottom w:val="none" w:sz="0" w:space="0" w:color="auto"/>
        <w:right w:val="none" w:sz="0" w:space="0" w:color="auto"/>
      </w:divBdr>
    </w:div>
    <w:div w:id="476381717">
      <w:bodyDiv w:val="1"/>
      <w:marLeft w:val="0"/>
      <w:marRight w:val="0"/>
      <w:marTop w:val="0"/>
      <w:marBottom w:val="0"/>
      <w:divBdr>
        <w:top w:val="none" w:sz="0" w:space="0" w:color="auto"/>
        <w:left w:val="none" w:sz="0" w:space="0" w:color="auto"/>
        <w:bottom w:val="none" w:sz="0" w:space="0" w:color="auto"/>
        <w:right w:val="none" w:sz="0" w:space="0" w:color="auto"/>
      </w:divBdr>
    </w:div>
    <w:div w:id="479880124">
      <w:bodyDiv w:val="1"/>
      <w:marLeft w:val="0"/>
      <w:marRight w:val="0"/>
      <w:marTop w:val="0"/>
      <w:marBottom w:val="0"/>
      <w:divBdr>
        <w:top w:val="none" w:sz="0" w:space="0" w:color="auto"/>
        <w:left w:val="none" w:sz="0" w:space="0" w:color="auto"/>
        <w:bottom w:val="none" w:sz="0" w:space="0" w:color="auto"/>
        <w:right w:val="none" w:sz="0" w:space="0" w:color="auto"/>
      </w:divBdr>
    </w:div>
    <w:div w:id="482551216">
      <w:bodyDiv w:val="1"/>
      <w:marLeft w:val="0"/>
      <w:marRight w:val="0"/>
      <w:marTop w:val="0"/>
      <w:marBottom w:val="0"/>
      <w:divBdr>
        <w:top w:val="none" w:sz="0" w:space="0" w:color="auto"/>
        <w:left w:val="none" w:sz="0" w:space="0" w:color="auto"/>
        <w:bottom w:val="none" w:sz="0" w:space="0" w:color="auto"/>
        <w:right w:val="none" w:sz="0" w:space="0" w:color="auto"/>
      </w:divBdr>
    </w:div>
    <w:div w:id="483856514">
      <w:bodyDiv w:val="1"/>
      <w:marLeft w:val="0"/>
      <w:marRight w:val="0"/>
      <w:marTop w:val="0"/>
      <w:marBottom w:val="0"/>
      <w:divBdr>
        <w:top w:val="none" w:sz="0" w:space="0" w:color="auto"/>
        <w:left w:val="none" w:sz="0" w:space="0" w:color="auto"/>
        <w:bottom w:val="none" w:sz="0" w:space="0" w:color="auto"/>
        <w:right w:val="none" w:sz="0" w:space="0" w:color="auto"/>
      </w:divBdr>
    </w:div>
    <w:div w:id="484665397">
      <w:bodyDiv w:val="1"/>
      <w:marLeft w:val="0"/>
      <w:marRight w:val="0"/>
      <w:marTop w:val="0"/>
      <w:marBottom w:val="0"/>
      <w:divBdr>
        <w:top w:val="none" w:sz="0" w:space="0" w:color="auto"/>
        <w:left w:val="none" w:sz="0" w:space="0" w:color="auto"/>
        <w:bottom w:val="none" w:sz="0" w:space="0" w:color="auto"/>
        <w:right w:val="none" w:sz="0" w:space="0" w:color="auto"/>
      </w:divBdr>
    </w:div>
    <w:div w:id="485557376">
      <w:bodyDiv w:val="1"/>
      <w:marLeft w:val="0"/>
      <w:marRight w:val="0"/>
      <w:marTop w:val="0"/>
      <w:marBottom w:val="0"/>
      <w:divBdr>
        <w:top w:val="none" w:sz="0" w:space="0" w:color="auto"/>
        <w:left w:val="none" w:sz="0" w:space="0" w:color="auto"/>
        <w:bottom w:val="none" w:sz="0" w:space="0" w:color="auto"/>
        <w:right w:val="none" w:sz="0" w:space="0" w:color="auto"/>
      </w:divBdr>
    </w:div>
    <w:div w:id="487481683">
      <w:bodyDiv w:val="1"/>
      <w:marLeft w:val="0"/>
      <w:marRight w:val="0"/>
      <w:marTop w:val="0"/>
      <w:marBottom w:val="0"/>
      <w:divBdr>
        <w:top w:val="none" w:sz="0" w:space="0" w:color="auto"/>
        <w:left w:val="none" w:sz="0" w:space="0" w:color="auto"/>
        <w:bottom w:val="none" w:sz="0" w:space="0" w:color="auto"/>
        <w:right w:val="none" w:sz="0" w:space="0" w:color="auto"/>
      </w:divBdr>
    </w:div>
    <w:div w:id="490606917">
      <w:bodyDiv w:val="1"/>
      <w:marLeft w:val="0"/>
      <w:marRight w:val="0"/>
      <w:marTop w:val="0"/>
      <w:marBottom w:val="0"/>
      <w:divBdr>
        <w:top w:val="none" w:sz="0" w:space="0" w:color="auto"/>
        <w:left w:val="none" w:sz="0" w:space="0" w:color="auto"/>
        <w:bottom w:val="none" w:sz="0" w:space="0" w:color="auto"/>
        <w:right w:val="none" w:sz="0" w:space="0" w:color="auto"/>
      </w:divBdr>
    </w:div>
    <w:div w:id="491455043">
      <w:bodyDiv w:val="1"/>
      <w:marLeft w:val="0"/>
      <w:marRight w:val="0"/>
      <w:marTop w:val="0"/>
      <w:marBottom w:val="0"/>
      <w:divBdr>
        <w:top w:val="none" w:sz="0" w:space="0" w:color="auto"/>
        <w:left w:val="none" w:sz="0" w:space="0" w:color="auto"/>
        <w:bottom w:val="none" w:sz="0" w:space="0" w:color="auto"/>
        <w:right w:val="none" w:sz="0" w:space="0" w:color="auto"/>
      </w:divBdr>
    </w:div>
    <w:div w:id="491793189">
      <w:bodyDiv w:val="1"/>
      <w:marLeft w:val="0"/>
      <w:marRight w:val="0"/>
      <w:marTop w:val="0"/>
      <w:marBottom w:val="0"/>
      <w:divBdr>
        <w:top w:val="none" w:sz="0" w:space="0" w:color="auto"/>
        <w:left w:val="none" w:sz="0" w:space="0" w:color="auto"/>
        <w:bottom w:val="none" w:sz="0" w:space="0" w:color="auto"/>
        <w:right w:val="none" w:sz="0" w:space="0" w:color="auto"/>
      </w:divBdr>
    </w:div>
    <w:div w:id="496304471">
      <w:bodyDiv w:val="1"/>
      <w:marLeft w:val="0"/>
      <w:marRight w:val="0"/>
      <w:marTop w:val="0"/>
      <w:marBottom w:val="0"/>
      <w:divBdr>
        <w:top w:val="none" w:sz="0" w:space="0" w:color="auto"/>
        <w:left w:val="none" w:sz="0" w:space="0" w:color="auto"/>
        <w:bottom w:val="none" w:sz="0" w:space="0" w:color="auto"/>
        <w:right w:val="none" w:sz="0" w:space="0" w:color="auto"/>
      </w:divBdr>
    </w:div>
    <w:div w:id="499004300">
      <w:bodyDiv w:val="1"/>
      <w:marLeft w:val="0"/>
      <w:marRight w:val="0"/>
      <w:marTop w:val="0"/>
      <w:marBottom w:val="0"/>
      <w:divBdr>
        <w:top w:val="none" w:sz="0" w:space="0" w:color="auto"/>
        <w:left w:val="none" w:sz="0" w:space="0" w:color="auto"/>
        <w:bottom w:val="none" w:sz="0" w:space="0" w:color="auto"/>
        <w:right w:val="none" w:sz="0" w:space="0" w:color="auto"/>
      </w:divBdr>
    </w:div>
    <w:div w:id="499545471">
      <w:bodyDiv w:val="1"/>
      <w:marLeft w:val="0"/>
      <w:marRight w:val="0"/>
      <w:marTop w:val="0"/>
      <w:marBottom w:val="0"/>
      <w:divBdr>
        <w:top w:val="none" w:sz="0" w:space="0" w:color="auto"/>
        <w:left w:val="none" w:sz="0" w:space="0" w:color="auto"/>
        <w:bottom w:val="none" w:sz="0" w:space="0" w:color="auto"/>
        <w:right w:val="none" w:sz="0" w:space="0" w:color="auto"/>
      </w:divBdr>
    </w:div>
    <w:div w:id="500662124">
      <w:bodyDiv w:val="1"/>
      <w:marLeft w:val="0"/>
      <w:marRight w:val="0"/>
      <w:marTop w:val="0"/>
      <w:marBottom w:val="0"/>
      <w:divBdr>
        <w:top w:val="none" w:sz="0" w:space="0" w:color="auto"/>
        <w:left w:val="none" w:sz="0" w:space="0" w:color="auto"/>
        <w:bottom w:val="none" w:sz="0" w:space="0" w:color="auto"/>
        <w:right w:val="none" w:sz="0" w:space="0" w:color="auto"/>
      </w:divBdr>
    </w:div>
    <w:div w:id="501702953">
      <w:bodyDiv w:val="1"/>
      <w:marLeft w:val="0"/>
      <w:marRight w:val="0"/>
      <w:marTop w:val="0"/>
      <w:marBottom w:val="0"/>
      <w:divBdr>
        <w:top w:val="none" w:sz="0" w:space="0" w:color="auto"/>
        <w:left w:val="none" w:sz="0" w:space="0" w:color="auto"/>
        <w:bottom w:val="none" w:sz="0" w:space="0" w:color="auto"/>
        <w:right w:val="none" w:sz="0" w:space="0" w:color="auto"/>
      </w:divBdr>
    </w:div>
    <w:div w:id="502597129">
      <w:bodyDiv w:val="1"/>
      <w:marLeft w:val="0"/>
      <w:marRight w:val="0"/>
      <w:marTop w:val="0"/>
      <w:marBottom w:val="0"/>
      <w:divBdr>
        <w:top w:val="none" w:sz="0" w:space="0" w:color="auto"/>
        <w:left w:val="none" w:sz="0" w:space="0" w:color="auto"/>
        <w:bottom w:val="none" w:sz="0" w:space="0" w:color="auto"/>
        <w:right w:val="none" w:sz="0" w:space="0" w:color="auto"/>
      </w:divBdr>
      <w:divsChild>
        <w:div w:id="134104256">
          <w:marLeft w:val="0"/>
          <w:marRight w:val="0"/>
          <w:marTop w:val="0"/>
          <w:marBottom w:val="0"/>
          <w:divBdr>
            <w:top w:val="none" w:sz="0" w:space="0" w:color="auto"/>
            <w:left w:val="none" w:sz="0" w:space="0" w:color="auto"/>
            <w:bottom w:val="none" w:sz="0" w:space="0" w:color="auto"/>
            <w:right w:val="none" w:sz="0" w:space="0" w:color="auto"/>
          </w:divBdr>
        </w:div>
        <w:div w:id="140510601">
          <w:marLeft w:val="0"/>
          <w:marRight w:val="0"/>
          <w:marTop w:val="0"/>
          <w:marBottom w:val="0"/>
          <w:divBdr>
            <w:top w:val="none" w:sz="0" w:space="0" w:color="auto"/>
            <w:left w:val="none" w:sz="0" w:space="0" w:color="auto"/>
            <w:bottom w:val="none" w:sz="0" w:space="0" w:color="auto"/>
            <w:right w:val="none" w:sz="0" w:space="0" w:color="auto"/>
          </w:divBdr>
        </w:div>
        <w:div w:id="224688491">
          <w:marLeft w:val="0"/>
          <w:marRight w:val="0"/>
          <w:marTop w:val="0"/>
          <w:marBottom w:val="0"/>
          <w:divBdr>
            <w:top w:val="none" w:sz="0" w:space="0" w:color="auto"/>
            <w:left w:val="none" w:sz="0" w:space="0" w:color="auto"/>
            <w:bottom w:val="none" w:sz="0" w:space="0" w:color="auto"/>
            <w:right w:val="none" w:sz="0" w:space="0" w:color="auto"/>
          </w:divBdr>
        </w:div>
        <w:div w:id="439224121">
          <w:marLeft w:val="0"/>
          <w:marRight w:val="0"/>
          <w:marTop w:val="0"/>
          <w:marBottom w:val="0"/>
          <w:divBdr>
            <w:top w:val="none" w:sz="0" w:space="0" w:color="auto"/>
            <w:left w:val="none" w:sz="0" w:space="0" w:color="auto"/>
            <w:bottom w:val="none" w:sz="0" w:space="0" w:color="auto"/>
            <w:right w:val="none" w:sz="0" w:space="0" w:color="auto"/>
          </w:divBdr>
        </w:div>
        <w:div w:id="575283068">
          <w:marLeft w:val="0"/>
          <w:marRight w:val="0"/>
          <w:marTop w:val="0"/>
          <w:marBottom w:val="0"/>
          <w:divBdr>
            <w:top w:val="none" w:sz="0" w:space="0" w:color="auto"/>
            <w:left w:val="none" w:sz="0" w:space="0" w:color="auto"/>
            <w:bottom w:val="none" w:sz="0" w:space="0" w:color="auto"/>
            <w:right w:val="none" w:sz="0" w:space="0" w:color="auto"/>
          </w:divBdr>
        </w:div>
        <w:div w:id="676462685">
          <w:marLeft w:val="0"/>
          <w:marRight w:val="0"/>
          <w:marTop w:val="0"/>
          <w:marBottom w:val="0"/>
          <w:divBdr>
            <w:top w:val="none" w:sz="0" w:space="0" w:color="auto"/>
            <w:left w:val="none" w:sz="0" w:space="0" w:color="auto"/>
            <w:bottom w:val="none" w:sz="0" w:space="0" w:color="auto"/>
            <w:right w:val="none" w:sz="0" w:space="0" w:color="auto"/>
          </w:divBdr>
        </w:div>
        <w:div w:id="680353949">
          <w:marLeft w:val="0"/>
          <w:marRight w:val="0"/>
          <w:marTop w:val="0"/>
          <w:marBottom w:val="0"/>
          <w:divBdr>
            <w:top w:val="none" w:sz="0" w:space="0" w:color="auto"/>
            <w:left w:val="none" w:sz="0" w:space="0" w:color="auto"/>
            <w:bottom w:val="none" w:sz="0" w:space="0" w:color="auto"/>
            <w:right w:val="none" w:sz="0" w:space="0" w:color="auto"/>
          </w:divBdr>
        </w:div>
        <w:div w:id="984895350">
          <w:marLeft w:val="0"/>
          <w:marRight w:val="0"/>
          <w:marTop w:val="0"/>
          <w:marBottom w:val="0"/>
          <w:divBdr>
            <w:top w:val="none" w:sz="0" w:space="0" w:color="auto"/>
            <w:left w:val="none" w:sz="0" w:space="0" w:color="auto"/>
            <w:bottom w:val="none" w:sz="0" w:space="0" w:color="auto"/>
            <w:right w:val="none" w:sz="0" w:space="0" w:color="auto"/>
          </w:divBdr>
        </w:div>
        <w:div w:id="1504053413">
          <w:marLeft w:val="0"/>
          <w:marRight w:val="0"/>
          <w:marTop w:val="0"/>
          <w:marBottom w:val="0"/>
          <w:divBdr>
            <w:top w:val="none" w:sz="0" w:space="0" w:color="auto"/>
            <w:left w:val="none" w:sz="0" w:space="0" w:color="auto"/>
            <w:bottom w:val="none" w:sz="0" w:space="0" w:color="auto"/>
            <w:right w:val="none" w:sz="0" w:space="0" w:color="auto"/>
          </w:divBdr>
        </w:div>
        <w:div w:id="1639335425">
          <w:marLeft w:val="0"/>
          <w:marRight w:val="0"/>
          <w:marTop w:val="0"/>
          <w:marBottom w:val="0"/>
          <w:divBdr>
            <w:top w:val="none" w:sz="0" w:space="0" w:color="auto"/>
            <w:left w:val="none" w:sz="0" w:space="0" w:color="auto"/>
            <w:bottom w:val="none" w:sz="0" w:space="0" w:color="auto"/>
            <w:right w:val="none" w:sz="0" w:space="0" w:color="auto"/>
          </w:divBdr>
        </w:div>
      </w:divsChild>
    </w:div>
    <w:div w:id="505093666">
      <w:bodyDiv w:val="1"/>
      <w:marLeft w:val="0"/>
      <w:marRight w:val="0"/>
      <w:marTop w:val="0"/>
      <w:marBottom w:val="0"/>
      <w:divBdr>
        <w:top w:val="none" w:sz="0" w:space="0" w:color="auto"/>
        <w:left w:val="none" w:sz="0" w:space="0" w:color="auto"/>
        <w:bottom w:val="none" w:sz="0" w:space="0" w:color="auto"/>
        <w:right w:val="none" w:sz="0" w:space="0" w:color="auto"/>
      </w:divBdr>
    </w:div>
    <w:div w:id="506555473">
      <w:bodyDiv w:val="1"/>
      <w:marLeft w:val="0"/>
      <w:marRight w:val="0"/>
      <w:marTop w:val="0"/>
      <w:marBottom w:val="0"/>
      <w:divBdr>
        <w:top w:val="none" w:sz="0" w:space="0" w:color="auto"/>
        <w:left w:val="none" w:sz="0" w:space="0" w:color="auto"/>
        <w:bottom w:val="none" w:sz="0" w:space="0" w:color="auto"/>
        <w:right w:val="none" w:sz="0" w:space="0" w:color="auto"/>
      </w:divBdr>
    </w:div>
    <w:div w:id="506603051">
      <w:bodyDiv w:val="1"/>
      <w:marLeft w:val="0"/>
      <w:marRight w:val="0"/>
      <w:marTop w:val="0"/>
      <w:marBottom w:val="0"/>
      <w:divBdr>
        <w:top w:val="none" w:sz="0" w:space="0" w:color="auto"/>
        <w:left w:val="none" w:sz="0" w:space="0" w:color="auto"/>
        <w:bottom w:val="none" w:sz="0" w:space="0" w:color="auto"/>
        <w:right w:val="none" w:sz="0" w:space="0" w:color="auto"/>
      </w:divBdr>
    </w:div>
    <w:div w:id="506679594">
      <w:bodyDiv w:val="1"/>
      <w:marLeft w:val="0"/>
      <w:marRight w:val="0"/>
      <w:marTop w:val="0"/>
      <w:marBottom w:val="0"/>
      <w:divBdr>
        <w:top w:val="none" w:sz="0" w:space="0" w:color="auto"/>
        <w:left w:val="none" w:sz="0" w:space="0" w:color="auto"/>
        <w:bottom w:val="none" w:sz="0" w:space="0" w:color="auto"/>
        <w:right w:val="none" w:sz="0" w:space="0" w:color="auto"/>
      </w:divBdr>
    </w:div>
    <w:div w:id="511258387">
      <w:bodyDiv w:val="1"/>
      <w:marLeft w:val="0"/>
      <w:marRight w:val="0"/>
      <w:marTop w:val="0"/>
      <w:marBottom w:val="0"/>
      <w:divBdr>
        <w:top w:val="none" w:sz="0" w:space="0" w:color="auto"/>
        <w:left w:val="none" w:sz="0" w:space="0" w:color="auto"/>
        <w:bottom w:val="none" w:sz="0" w:space="0" w:color="auto"/>
        <w:right w:val="none" w:sz="0" w:space="0" w:color="auto"/>
      </w:divBdr>
    </w:div>
    <w:div w:id="513081482">
      <w:bodyDiv w:val="1"/>
      <w:marLeft w:val="0"/>
      <w:marRight w:val="0"/>
      <w:marTop w:val="0"/>
      <w:marBottom w:val="0"/>
      <w:divBdr>
        <w:top w:val="none" w:sz="0" w:space="0" w:color="auto"/>
        <w:left w:val="none" w:sz="0" w:space="0" w:color="auto"/>
        <w:bottom w:val="none" w:sz="0" w:space="0" w:color="auto"/>
        <w:right w:val="none" w:sz="0" w:space="0" w:color="auto"/>
      </w:divBdr>
    </w:div>
    <w:div w:id="516194126">
      <w:bodyDiv w:val="1"/>
      <w:marLeft w:val="0"/>
      <w:marRight w:val="0"/>
      <w:marTop w:val="0"/>
      <w:marBottom w:val="0"/>
      <w:divBdr>
        <w:top w:val="none" w:sz="0" w:space="0" w:color="auto"/>
        <w:left w:val="none" w:sz="0" w:space="0" w:color="auto"/>
        <w:bottom w:val="none" w:sz="0" w:space="0" w:color="auto"/>
        <w:right w:val="none" w:sz="0" w:space="0" w:color="auto"/>
      </w:divBdr>
    </w:div>
    <w:div w:id="521669043">
      <w:bodyDiv w:val="1"/>
      <w:marLeft w:val="0"/>
      <w:marRight w:val="0"/>
      <w:marTop w:val="0"/>
      <w:marBottom w:val="0"/>
      <w:divBdr>
        <w:top w:val="none" w:sz="0" w:space="0" w:color="auto"/>
        <w:left w:val="none" w:sz="0" w:space="0" w:color="auto"/>
        <w:bottom w:val="none" w:sz="0" w:space="0" w:color="auto"/>
        <w:right w:val="none" w:sz="0" w:space="0" w:color="auto"/>
      </w:divBdr>
    </w:div>
    <w:div w:id="523717009">
      <w:bodyDiv w:val="1"/>
      <w:marLeft w:val="0"/>
      <w:marRight w:val="0"/>
      <w:marTop w:val="0"/>
      <w:marBottom w:val="0"/>
      <w:divBdr>
        <w:top w:val="none" w:sz="0" w:space="0" w:color="auto"/>
        <w:left w:val="none" w:sz="0" w:space="0" w:color="auto"/>
        <w:bottom w:val="none" w:sz="0" w:space="0" w:color="auto"/>
        <w:right w:val="none" w:sz="0" w:space="0" w:color="auto"/>
      </w:divBdr>
    </w:div>
    <w:div w:id="523906834">
      <w:bodyDiv w:val="1"/>
      <w:marLeft w:val="0"/>
      <w:marRight w:val="0"/>
      <w:marTop w:val="0"/>
      <w:marBottom w:val="0"/>
      <w:divBdr>
        <w:top w:val="none" w:sz="0" w:space="0" w:color="auto"/>
        <w:left w:val="none" w:sz="0" w:space="0" w:color="auto"/>
        <w:bottom w:val="none" w:sz="0" w:space="0" w:color="auto"/>
        <w:right w:val="none" w:sz="0" w:space="0" w:color="auto"/>
      </w:divBdr>
    </w:div>
    <w:div w:id="525946510">
      <w:bodyDiv w:val="1"/>
      <w:marLeft w:val="0"/>
      <w:marRight w:val="0"/>
      <w:marTop w:val="0"/>
      <w:marBottom w:val="0"/>
      <w:divBdr>
        <w:top w:val="none" w:sz="0" w:space="0" w:color="auto"/>
        <w:left w:val="none" w:sz="0" w:space="0" w:color="auto"/>
        <w:bottom w:val="none" w:sz="0" w:space="0" w:color="auto"/>
        <w:right w:val="none" w:sz="0" w:space="0" w:color="auto"/>
      </w:divBdr>
    </w:div>
    <w:div w:id="528907952">
      <w:bodyDiv w:val="1"/>
      <w:marLeft w:val="0"/>
      <w:marRight w:val="0"/>
      <w:marTop w:val="0"/>
      <w:marBottom w:val="0"/>
      <w:divBdr>
        <w:top w:val="none" w:sz="0" w:space="0" w:color="auto"/>
        <w:left w:val="none" w:sz="0" w:space="0" w:color="auto"/>
        <w:bottom w:val="none" w:sz="0" w:space="0" w:color="auto"/>
        <w:right w:val="none" w:sz="0" w:space="0" w:color="auto"/>
      </w:divBdr>
    </w:div>
    <w:div w:id="528951744">
      <w:bodyDiv w:val="1"/>
      <w:marLeft w:val="0"/>
      <w:marRight w:val="0"/>
      <w:marTop w:val="0"/>
      <w:marBottom w:val="0"/>
      <w:divBdr>
        <w:top w:val="none" w:sz="0" w:space="0" w:color="auto"/>
        <w:left w:val="none" w:sz="0" w:space="0" w:color="auto"/>
        <w:bottom w:val="none" w:sz="0" w:space="0" w:color="auto"/>
        <w:right w:val="none" w:sz="0" w:space="0" w:color="auto"/>
      </w:divBdr>
    </w:div>
    <w:div w:id="531528512">
      <w:bodyDiv w:val="1"/>
      <w:marLeft w:val="0"/>
      <w:marRight w:val="0"/>
      <w:marTop w:val="0"/>
      <w:marBottom w:val="0"/>
      <w:divBdr>
        <w:top w:val="none" w:sz="0" w:space="0" w:color="auto"/>
        <w:left w:val="none" w:sz="0" w:space="0" w:color="auto"/>
        <w:bottom w:val="none" w:sz="0" w:space="0" w:color="auto"/>
        <w:right w:val="none" w:sz="0" w:space="0" w:color="auto"/>
      </w:divBdr>
    </w:div>
    <w:div w:id="534316062">
      <w:bodyDiv w:val="1"/>
      <w:marLeft w:val="0"/>
      <w:marRight w:val="0"/>
      <w:marTop w:val="0"/>
      <w:marBottom w:val="0"/>
      <w:divBdr>
        <w:top w:val="none" w:sz="0" w:space="0" w:color="auto"/>
        <w:left w:val="none" w:sz="0" w:space="0" w:color="auto"/>
        <w:bottom w:val="none" w:sz="0" w:space="0" w:color="auto"/>
        <w:right w:val="none" w:sz="0" w:space="0" w:color="auto"/>
      </w:divBdr>
    </w:div>
    <w:div w:id="535121333">
      <w:bodyDiv w:val="1"/>
      <w:marLeft w:val="0"/>
      <w:marRight w:val="0"/>
      <w:marTop w:val="0"/>
      <w:marBottom w:val="0"/>
      <w:divBdr>
        <w:top w:val="none" w:sz="0" w:space="0" w:color="auto"/>
        <w:left w:val="none" w:sz="0" w:space="0" w:color="auto"/>
        <w:bottom w:val="none" w:sz="0" w:space="0" w:color="auto"/>
        <w:right w:val="none" w:sz="0" w:space="0" w:color="auto"/>
      </w:divBdr>
    </w:div>
    <w:div w:id="537475912">
      <w:bodyDiv w:val="1"/>
      <w:marLeft w:val="0"/>
      <w:marRight w:val="0"/>
      <w:marTop w:val="0"/>
      <w:marBottom w:val="0"/>
      <w:divBdr>
        <w:top w:val="none" w:sz="0" w:space="0" w:color="auto"/>
        <w:left w:val="none" w:sz="0" w:space="0" w:color="auto"/>
        <w:bottom w:val="none" w:sz="0" w:space="0" w:color="auto"/>
        <w:right w:val="none" w:sz="0" w:space="0" w:color="auto"/>
      </w:divBdr>
    </w:div>
    <w:div w:id="537855514">
      <w:bodyDiv w:val="1"/>
      <w:marLeft w:val="0"/>
      <w:marRight w:val="0"/>
      <w:marTop w:val="0"/>
      <w:marBottom w:val="0"/>
      <w:divBdr>
        <w:top w:val="none" w:sz="0" w:space="0" w:color="auto"/>
        <w:left w:val="none" w:sz="0" w:space="0" w:color="auto"/>
        <w:bottom w:val="none" w:sz="0" w:space="0" w:color="auto"/>
        <w:right w:val="none" w:sz="0" w:space="0" w:color="auto"/>
      </w:divBdr>
    </w:div>
    <w:div w:id="538706484">
      <w:bodyDiv w:val="1"/>
      <w:marLeft w:val="0"/>
      <w:marRight w:val="0"/>
      <w:marTop w:val="0"/>
      <w:marBottom w:val="0"/>
      <w:divBdr>
        <w:top w:val="none" w:sz="0" w:space="0" w:color="auto"/>
        <w:left w:val="none" w:sz="0" w:space="0" w:color="auto"/>
        <w:bottom w:val="none" w:sz="0" w:space="0" w:color="auto"/>
        <w:right w:val="none" w:sz="0" w:space="0" w:color="auto"/>
      </w:divBdr>
    </w:div>
    <w:div w:id="539516743">
      <w:bodyDiv w:val="1"/>
      <w:marLeft w:val="0"/>
      <w:marRight w:val="0"/>
      <w:marTop w:val="0"/>
      <w:marBottom w:val="0"/>
      <w:divBdr>
        <w:top w:val="none" w:sz="0" w:space="0" w:color="auto"/>
        <w:left w:val="none" w:sz="0" w:space="0" w:color="auto"/>
        <w:bottom w:val="none" w:sz="0" w:space="0" w:color="auto"/>
        <w:right w:val="none" w:sz="0" w:space="0" w:color="auto"/>
      </w:divBdr>
    </w:div>
    <w:div w:id="541014445">
      <w:bodyDiv w:val="1"/>
      <w:marLeft w:val="0"/>
      <w:marRight w:val="0"/>
      <w:marTop w:val="0"/>
      <w:marBottom w:val="0"/>
      <w:divBdr>
        <w:top w:val="none" w:sz="0" w:space="0" w:color="auto"/>
        <w:left w:val="none" w:sz="0" w:space="0" w:color="auto"/>
        <w:bottom w:val="none" w:sz="0" w:space="0" w:color="auto"/>
        <w:right w:val="none" w:sz="0" w:space="0" w:color="auto"/>
      </w:divBdr>
    </w:div>
    <w:div w:id="541097217">
      <w:bodyDiv w:val="1"/>
      <w:marLeft w:val="0"/>
      <w:marRight w:val="0"/>
      <w:marTop w:val="0"/>
      <w:marBottom w:val="0"/>
      <w:divBdr>
        <w:top w:val="none" w:sz="0" w:space="0" w:color="auto"/>
        <w:left w:val="none" w:sz="0" w:space="0" w:color="auto"/>
        <w:bottom w:val="none" w:sz="0" w:space="0" w:color="auto"/>
        <w:right w:val="none" w:sz="0" w:space="0" w:color="auto"/>
      </w:divBdr>
    </w:div>
    <w:div w:id="541598322">
      <w:bodyDiv w:val="1"/>
      <w:marLeft w:val="0"/>
      <w:marRight w:val="0"/>
      <w:marTop w:val="0"/>
      <w:marBottom w:val="0"/>
      <w:divBdr>
        <w:top w:val="none" w:sz="0" w:space="0" w:color="auto"/>
        <w:left w:val="none" w:sz="0" w:space="0" w:color="auto"/>
        <w:bottom w:val="none" w:sz="0" w:space="0" w:color="auto"/>
        <w:right w:val="none" w:sz="0" w:space="0" w:color="auto"/>
      </w:divBdr>
    </w:div>
    <w:div w:id="541986674">
      <w:bodyDiv w:val="1"/>
      <w:marLeft w:val="0"/>
      <w:marRight w:val="0"/>
      <w:marTop w:val="0"/>
      <w:marBottom w:val="0"/>
      <w:divBdr>
        <w:top w:val="none" w:sz="0" w:space="0" w:color="auto"/>
        <w:left w:val="none" w:sz="0" w:space="0" w:color="auto"/>
        <w:bottom w:val="none" w:sz="0" w:space="0" w:color="auto"/>
        <w:right w:val="none" w:sz="0" w:space="0" w:color="auto"/>
      </w:divBdr>
    </w:div>
    <w:div w:id="542718381">
      <w:bodyDiv w:val="1"/>
      <w:marLeft w:val="0"/>
      <w:marRight w:val="0"/>
      <w:marTop w:val="0"/>
      <w:marBottom w:val="0"/>
      <w:divBdr>
        <w:top w:val="none" w:sz="0" w:space="0" w:color="auto"/>
        <w:left w:val="none" w:sz="0" w:space="0" w:color="auto"/>
        <w:bottom w:val="none" w:sz="0" w:space="0" w:color="auto"/>
        <w:right w:val="none" w:sz="0" w:space="0" w:color="auto"/>
      </w:divBdr>
    </w:div>
    <w:div w:id="543448388">
      <w:bodyDiv w:val="1"/>
      <w:marLeft w:val="0"/>
      <w:marRight w:val="0"/>
      <w:marTop w:val="0"/>
      <w:marBottom w:val="0"/>
      <w:divBdr>
        <w:top w:val="none" w:sz="0" w:space="0" w:color="auto"/>
        <w:left w:val="none" w:sz="0" w:space="0" w:color="auto"/>
        <w:bottom w:val="none" w:sz="0" w:space="0" w:color="auto"/>
        <w:right w:val="none" w:sz="0" w:space="0" w:color="auto"/>
      </w:divBdr>
    </w:div>
    <w:div w:id="544946240">
      <w:bodyDiv w:val="1"/>
      <w:marLeft w:val="0"/>
      <w:marRight w:val="0"/>
      <w:marTop w:val="0"/>
      <w:marBottom w:val="0"/>
      <w:divBdr>
        <w:top w:val="none" w:sz="0" w:space="0" w:color="auto"/>
        <w:left w:val="none" w:sz="0" w:space="0" w:color="auto"/>
        <w:bottom w:val="none" w:sz="0" w:space="0" w:color="auto"/>
        <w:right w:val="none" w:sz="0" w:space="0" w:color="auto"/>
      </w:divBdr>
    </w:div>
    <w:div w:id="546649299">
      <w:bodyDiv w:val="1"/>
      <w:marLeft w:val="0"/>
      <w:marRight w:val="0"/>
      <w:marTop w:val="0"/>
      <w:marBottom w:val="0"/>
      <w:divBdr>
        <w:top w:val="none" w:sz="0" w:space="0" w:color="auto"/>
        <w:left w:val="none" w:sz="0" w:space="0" w:color="auto"/>
        <w:bottom w:val="none" w:sz="0" w:space="0" w:color="auto"/>
        <w:right w:val="none" w:sz="0" w:space="0" w:color="auto"/>
      </w:divBdr>
    </w:div>
    <w:div w:id="547692339">
      <w:bodyDiv w:val="1"/>
      <w:marLeft w:val="0"/>
      <w:marRight w:val="0"/>
      <w:marTop w:val="0"/>
      <w:marBottom w:val="0"/>
      <w:divBdr>
        <w:top w:val="none" w:sz="0" w:space="0" w:color="auto"/>
        <w:left w:val="none" w:sz="0" w:space="0" w:color="auto"/>
        <w:bottom w:val="none" w:sz="0" w:space="0" w:color="auto"/>
        <w:right w:val="none" w:sz="0" w:space="0" w:color="auto"/>
      </w:divBdr>
    </w:div>
    <w:div w:id="548689764">
      <w:bodyDiv w:val="1"/>
      <w:marLeft w:val="0"/>
      <w:marRight w:val="0"/>
      <w:marTop w:val="0"/>
      <w:marBottom w:val="0"/>
      <w:divBdr>
        <w:top w:val="none" w:sz="0" w:space="0" w:color="auto"/>
        <w:left w:val="none" w:sz="0" w:space="0" w:color="auto"/>
        <w:bottom w:val="none" w:sz="0" w:space="0" w:color="auto"/>
        <w:right w:val="none" w:sz="0" w:space="0" w:color="auto"/>
      </w:divBdr>
    </w:div>
    <w:div w:id="550505596">
      <w:bodyDiv w:val="1"/>
      <w:marLeft w:val="0"/>
      <w:marRight w:val="0"/>
      <w:marTop w:val="0"/>
      <w:marBottom w:val="0"/>
      <w:divBdr>
        <w:top w:val="none" w:sz="0" w:space="0" w:color="auto"/>
        <w:left w:val="none" w:sz="0" w:space="0" w:color="auto"/>
        <w:bottom w:val="none" w:sz="0" w:space="0" w:color="auto"/>
        <w:right w:val="none" w:sz="0" w:space="0" w:color="auto"/>
      </w:divBdr>
    </w:div>
    <w:div w:id="555311793">
      <w:bodyDiv w:val="1"/>
      <w:marLeft w:val="0"/>
      <w:marRight w:val="0"/>
      <w:marTop w:val="0"/>
      <w:marBottom w:val="0"/>
      <w:divBdr>
        <w:top w:val="none" w:sz="0" w:space="0" w:color="auto"/>
        <w:left w:val="none" w:sz="0" w:space="0" w:color="auto"/>
        <w:bottom w:val="none" w:sz="0" w:space="0" w:color="auto"/>
        <w:right w:val="none" w:sz="0" w:space="0" w:color="auto"/>
      </w:divBdr>
    </w:div>
    <w:div w:id="555360150">
      <w:bodyDiv w:val="1"/>
      <w:marLeft w:val="0"/>
      <w:marRight w:val="0"/>
      <w:marTop w:val="0"/>
      <w:marBottom w:val="0"/>
      <w:divBdr>
        <w:top w:val="none" w:sz="0" w:space="0" w:color="auto"/>
        <w:left w:val="none" w:sz="0" w:space="0" w:color="auto"/>
        <w:bottom w:val="none" w:sz="0" w:space="0" w:color="auto"/>
        <w:right w:val="none" w:sz="0" w:space="0" w:color="auto"/>
      </w:divBdr>
    </w:div>
    <w:div w:id="557282633">
      <w:bodyDiv w:val="1"/>
      <w:marLeft w:val="0"/>
      <w:marRight w:val="0"/>
      <w:marTop w:val="0"/>
      <w:marBottom w:val="0"/>
      <w:divBdr>
        <w:top w:val="none" w:sz="0" w:space="0" w:color="auto"/>
        <w:left w:val="none" w:sz="0" w:space="0" w:color="auto"/>
        <w:bottom w:val="none" w:sz="0" w:space="0" w:color="auto"/>
        <w:right w:val="none" w:sz="0" w:space="0" w:color="auto"/>
      </w:divBdr>
    </w:div>
    <w:div w:id="557790541">
      <w:bodyDiv w:val="1"/>
      <w:marLeft w:val="0"/>
      <w:marRight w:val="0"/>
      <w:marTop w:val="0"/>
      <w:marBottom w:val="0"/>
      <w:divBdr>
        <w:top w:val="none" w:sz="0" w:space="0" w:color="auto"/>
        <w:left w:val="none" w:sz="0" w:space="0" w:color="auto"/>
        <w:bottom w:val="none" w:sz="0" w:space="0" w:color="auto"/>
        <w:right w:val="none" w:sz="0" w:space="0" w:color="auto"/>
      </w:divBdr>
    </w:div>
    <w:div w:id="561142799">
      <w:bodyDiv w:val="1"/>
      <w:marLeft w:val="0"/>
      <w:marRight w:val="0"/>
      <w:marTop w:val="0"/>
      <w:marBottom w:val="0"/>
      <w:divBdr>
        <w:top w:val="none" w:sz="0" w:space="0" w:color="auto"/>
        <w:left w:val="none" w:sz="0" w:space="0" w:color="auto"/>
        <w:bottom w:val="none" w:sz="0" w:space="0" w:color="auto"/>
        <w:right w:val="none" w:sz="0" w:space="0" w:color="auto"/>
      </w:divBdr>
    </w:div>
    <w:div w:id="562104926">
      <w:bodyDiv w:val="1"/>
      <w:marLeft w:val="0"/>
      <w:marRight w:val="0"/>
      <w:marTop w:val="0"/>
      <w:marBottom w:val="0"/>
      <w:divBdr>
        <w:top w:val="none" w:sz="0" w:space="0" w:color="auto"/>
        <w:left w:val="none" w:sz="0" w:space="0" w:color="auto"/>
        <w:bottom w:val="none" w:sz="0" w:space="0" w:color="auto"/>
        <w:right w:val="none" w:sz="0" w:space="0" w:color="auto"/>
      </w:divBdr>
    </w:div>
    <w:div w:id="562522633">
      <w:bodyDiv w:val="1"/>
      <w:marLeft w:val="0"/>
      <w:marRight w:val="0"/>
      <w:marTop w:val="0"/>
      <w:marBottom w:val="0"/>
      <w:divBdr>
        <w:top w:val="none" w:sz="0" w:space="0" w:color="auto"/>
        <w:left w:val="none" w:sz="0" w:space="0" w:color="auto"/>
        <w:bottom w:val="none" w:sz="0" w:space="0" w:color="auto"/>
        <w:right w:val="none" w:sz="0" w:space="0" w:color="auto"/>
      </w:divBdr>
    </w:div>
    <w:div w:id="562911753">
      <w:bodyDiv w:val="1"/>
      <w:marLeft w:val="0"/>
      <w:marRight w:val="0"/>
      <w:marTop w:val="0"/>
      <w:marBottom w:val="0"/>
      <w:divBdr>
        <w:top w:val="none" w:sz="0" w:space="0" w:color="auto"/>
        <w:left w:val="none" w:sz="0" w:space="0" w:color="auto"/>
        <w:bottom w:val="none" w:sz="0" w:space="0" w:color="auto"/>
        <w:right w:val="none" w:sz="0" w:space="0" w:color="auto"/>
      </w:divBdr>
    </w:div>
    <w:div w:id="563952305">
      <w:bodyDiv w:val="1"/>
      <w:marLeft w:val="0"/>
      <w:marRight w:val="0"/>
      <w:marTop w:val="0"/>
      <w:marBottom w:val="0"/>
      <w:divBdr>
        <w:top w:val="none" w:sz="0" w:space="0" w:color="auto"/>
        <w:left w:val="none" w:sz="0" w:space="0" w:color="auto"/>
        <w:bottom w:val="none" w:sz="0" w:space="0" w:color="auto"/>
        <w:right w:val="none" w:sz="0" w:space="0" w:color="auto"/>
      </w:divBdr>
    </w:div>
    <w:div w:id="565187100">
      <w:bodyDiv w:val="1"/>
      <w:marLeft w:val="0"/>
      <w:marRight w:val="0"/>
      <w:marTop w:val="0"/>
      <w:marBottom w:val="0"/>
      <w:divBdr>
        <w:top w:val="none" w:sz="0" w:space="0" w:color="auto"/>
        <w:left w:val="none" w:sz="0" w:space="0" w:color="auto"/>
        <w:bottom w:val="none" w:sz="0" w:space="0" w:color="auto"/>
        <w:right w:val="none" w:sz="0" w:space="0" w:color="auto"/>
      </w:divBdr>
    </w:div>
    <w:div w:id="566644735">
      <w:bodyDiv w:val="1"/>
      <w:marLeft w:val="0"/>
      <w:marRight w:val="0"/>
      <w:marTop w:val="0"/>
      <w:marBottom w:val="0"/>
      <w:divBdr>
        <w:top w:val="none" w:sz="0" w:space="0" w:color="auto"/>
        <w:left w:val="none" w:sz="0" w:space="0" w:color="auto"/>
        <w:bottom w:val="none" w:sz="0" w:space="0" w:color="auto"/>
        <w:right w:val="none" w:sz="0" w:space="0" w:color="auto"/>
      </w:divBdr>
    </w:div>
    <w:div w:id="573012183">
      <w:bodyDiv w:val="1"/>
      <w:marLeft w:val="0"/>
      <w:marRight w:val="0"/>
      <w:marTop w:val="0"/>
      <w:marBottom w:val="0"/>
      <w:divBdr>
        <w:top w:val="none" w:sz="0" w:space="0" w:color="auto"/>
        <w:left w:val="none" w:sz="0" w:space="0" w:color="auto"/>
        <w:bottom w:val="none" w:sz="0" w:space="0" w:color="auto"/>
        <w:right w:val="none" w:sz="0" w:space="0" w:color="auto"/>
      </w:divBdr>
    </w:div>
    <w:div w:id="573970328">
      <w:bodyDiv w:val="1"/>
      <w:marLeft w:val="0"/>
      <w:marRight w:val="0"/>
      <w:marTop w:val="0"/>
      <w:marBottom w:val="0"/>
      <w:divBdr>
        <w:top w:val="none" w:sz="0" w:space="0" w:color="auto"/>
        <w:left w:val="none" w:sz="0" w:space="0" w:color="auto"/>
        <w:bottom w:val="none" w:sz="0" w:space="0" w:color="auto"/>
        <w:right w:val="none" w:sz="0" w:space="0" w:color="auto"/>
      </w:divBdr>
    </w:div>
    <w:div w:id="574902756">
      <w:bodyDiv w:val="1"/>
      <w:marLeft w:val="0"/>
      <w:marRight w:val="0"/>
      <w:marTop w:val="0"/>
      <w:marBottom w:val="0"/>
      <w:divBdr>
        <w:top w:val="none" w:sz="0" w:space="0" w:color="auto"/>
        <w:left w:val="none" w:sz="0" w:space="0" w:color="auto"/>
        <w:bottom w:val="none" w:sz="0" w:space="0" w:color="auto"/>
        <w:right w:val="none" w:sz="0" w:space="0" w:color="auto"/>
      </w:divBdr>
    </w:div>
    <w:div w:id="575482483">
      <w:bodyDiv w:val="1"/>
      <w:marLeft w:val="0"/>
      <w:marRight w:val="0"/>
      <w:marTop w:val="0"/>
      <w:marBottom w:val="0"/>
      <w:divBdr>
        <w:top w:val="none" w:sz="0" w:space="0" w:color="auto"/>
        <w:left w:val="none" w:sz="0" w:space="0" w:color="auto"/>
        <w:bottom w:val="none" w:sz="0" w:space="0" w:color="auto"/>
        <w:right w:val="none" w:sz="0" w:space="0" w:color="auto"/>
      </w:divBdr>
    </w:div>
    <w:div w:id="577786778">
      <w:bodyDiv w:val="1"/>
      <w:marLeft w:val="0"/>
      <w:marRight w:val="0"/>
      <w:marTop w:val="0"/>
      <w:marBottom w:val="0"/>
      <w:divBdr>
        <w:top w:val="none" w:sz="0" w:space="0" w:color="auto"/>
        <w:left w:val="none" w:sz="0" w:space="0" w:color="auto"/>
        <w:bottom w:val="none" w:sz="0" w:space="0" w:color="auto"/>
        <w:right w:val="none" w:sz="0" w:space="0" w:color="auto"/>
      </w:divBdr>
    </w:div>
    <w:div w:id="580985388">
      <w:bodyDiv w:val="1"/>
      <w:marLeft w:val="0"/>
      <w:marRight w:val="0"/>
      <w:marTop w:val="0"/>
      <w:marBottom w:val="0"/>
      <w:divBdr>
        <w:top w:val="none" w:sz="0" w:space="0" w:color="auto"/>
        <w:left w:val="none" w:sz="0" w:space="0" w:color="auto"/>
        <w:bottom w:val="none" w:sz="0" w:space="0" w:color="auto"/>
        <w:right w:val="none" w:sz="0" w:space="0" w:color="auto"/>
      </w:divBdr>
    </w:div>
    <w:div w:id="582686973">
      <w:bodyDiv w:val="1"/>
      <w:marLeft w:val="0"/>
      <w:marRight w:val="0"/>
      <w:marTop w:val="0"/>
      <w:marBottom w:val="0"/>
      <w:divBdr>
        <w:top w:val="none" w:sz="0" w:space="0" w:color="auto"/>
        <w:left w:val="none" w:sz="0" w:space="0" w:color="auto"/>
        <w:bottom w:val="none" w:sz="0" w:space="0" w:color="auto"/>
        <w:right w:val="none" w:sz="0" w:space="0" w:color="auto"/>
      </w:divBdr>
    </w:div>
    <w:div w:id="582758847">
      <w:bodyDiv w:val="1"/>
      <w:marLeft w:val="0"/>
      <w:marRight w:val="0"/>
      <w:marTop w:val="0"/>
      <w:marBottom w:val="0"/>
      <w:divBdr>
        <w:top w:val="none" w:sz="0" w:space="0" w:color="auto"/>
        <w:left w:val="none" w:sz="0" w:space="0" w:color="auto"/>
        <w:bottom w:val="none" w:sz="0" w:space="0" w:color="auto"/>
        <w:right w:val="none" w:sz="0" w:space="0" w:color="auto"/>
      </w:divBdr>
    </w:div>
    <w:div w:id="584653839">
      <w:bodyDiv w:val="1"/>
      <w:marLeft w:val="0"/>
      <w:marRight w:val="0"/>
      <w:marTop w:val="0"/>
      <w:marBottom w:val="0"/>
      <w:divBdr>
        <w:top w:val="none" w:sz="0" w:space="0" w:color="auto"/>
        <w:left w:val="none" w:sz="0" w:space="0" w:color="auto"/>
        <w:bottom w:val="none" w:sz="0" w:space="0" w:color="auto"/>
        <w:right w:val="none" w:sz="0" w:space="0" w:color="auto"/>
      </w:divBdr>
    </w:div>
    <w:div w:id="587466830">
      <w:bodyDiv w:val="1"/>
      <w:marLeft w:val="0"/>
      <w:marRight w:val="0"/>
      <w:marTop w:val="0"/>
      <w:marBottom w:val="0"/>
      <w:divBdr>
        <w:top w:val="none" w:sz="0" w:space="0" w:color="auto"/>
        <w:left w:val="none" w:sz="0" w:space="0" w:color="auto"/>
        <w:bottom w:val="none" w:sz="0" w:space="0" w:color="auto"/>
        <w:right w:val="none" w:sz="0" w:space="0" w:color="auto"/>
      </w:divBdr>
      <w:divsChild>
        <w:div w:id="1661619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266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50394">
      <w:bodyDiv w:val="1"/>
      <w:marLeft w:val="0"/>
      <w:marRight w:val="0"/>
      <w:marTop w:val="0"/>
      <w:marBottom w:val="0"/>
      <w:divBdr>
        <w:top w:val="none" w:sz="0" w:space="0" w:color="auto"/>
        <w:left w:val="none" w:sz="0" w:space="0" w:color="auto"/>
        <w:bottom w:val="none" w:sz="0" w:space="0" w:color="auto"/>
        <w:right w:val="none" w:sz="0" w:space="0" w:color="auto"/>
      </w:divBdr>
    </w:div>
    <w:div w:id="591672239">
      <w:bodyDiv w:val="1"/>
      <w:marLeft w:val="0"/>
      <w:marRight w:val="0"/>
      <w:marTop w:val="0"/>
      <w:marBottom w:val="0"/>
      <w:divBdr>
        <w:top w:val="none" w:sz="0" w:space="0" w:color="auto"/>
        <w:left w:val="none" w:sz="0" w:space="0" w:color="auto"/>
        <w:bottom w:val="none" w:sz="0" w:space="0" w:color="auto"/>
        <w:right w:val="none" w:sz="0" w:space="0" w:color="auto"/>
      </w:divBdr>
    </w:div>
    <w:div w:id="592398405">
      <w:bodyDiv w:val="1"/>
      <w:marLeft w:val="0"/>
      <w:marRight w:val="0"/>
      <w:marTop w:val="0"/>
      <w:marBottom w:val="0"/>
      <w:divBdr>
        <w:top w:val="none" w:sz="0" w:space="0" w:color="auto"/>
        <w:left w:val="none" w:sz="0" w:space="0" w:color="auto"/>
        <w:bottom w:val="none" w:sz="0" w:space="0" w:color="auto"/>
        <w:right w:val="none" w:sz="0" w:space="0" w:color="auto"/>
      </w:divBdr>
    </w:div>
    <w:div w:id="594242542">
      <w:bodyDiv w:val="1"/>
      <w:marLeft w:val="0"/>
      <w:marRight w:val="0"/>
      <w:marTop w:val="0"/>
      <w:marBottom w:val="0"/>
      <w:divBdr>
        <w:top w:val="none" w:sz="0" w:space="0" w:color="auto"/>
        <w:left w:val="none" w:sz="0" w:space="0" w:color="auto"/>
        <w:bottom w:val="none" w:sz="0" w:space="0" w:color="auto"/>
        <w:right w:val="none" w:sz="0" w:space="0" w:color="auto"/>
      </w:divBdr>
      <w:divsChild>
        <w:div w:id="1206991931">
          <w:marLeft w:val="0"/>
          <w:marRight w:val="0"/>
          <w:marTop w:val="0"/>
          <w:marBottom w:val="0"/>
          <w:divBdr>
            <w:top w:val="none" w:sz="0" w:space="0" w:color="auto"/>
            <w:left w:val="none" w:sz="0" w:space="0" w:color="auto"/>
            <w:bottom w:val="none" w:sz="0" w:space="0" w:color="auto"/>
            <w:right w:val="none" w:sz="0" w:space="0" w:color="auto"/>
          </w:divBdr>
          <w:divsChild>
            <w:div w:id="15813806">
              <w:marLeft w:val="0"/>
              <w:marRight w:val="0"/>
              <w:marTop w:val="0"/>
              <w:marBottom w:val="0"/>
              <w:divBdr>
                <w:top w:val="none" w:sz="0" w:space="0" w:color="auto"/>
                <w:left w:val="none" w:sz="0" w:space="0" w:color="auto"/>
                <w:bottom w:val="none" w:sz="0" w:space="0" w:color="auto"/>
                <w:right w:val="none" w:sz="0" w:space="0" w:color="auto"/>
              </w:divBdr>
              <w:divsChild>
                <w:div w:id="7840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752552">
      <w:bodyDiv w:val="1"/>
      <w:marLeft w:val="0"/>
      <w:marRight w:val="0"/>
      <w:marTop w:val="0"/>
      <w:marBottom w:val="0"/>
      <w:divBdr>
        <w:top w:val="none" w:sz="0" w:space="0" w:color="auto"/>
        <w:left w:val="none" w:sz="0" w:space="0" w:color="auto"/>
        <w:bottom w:val="none" w:sz="0" w:space="0" w:color="auto"/>
        <w:right w:val="none" w:sz="0" w:space="0" w:color="auto"/>
      </w:divBdr>
    </w:div>
    <w:div w:id="596593490">
      <w:bodyDiv w:val="1"/>
      <w:marLeft w:val="0"/>
      <w:marRight w:val="0"/>
      <w:marTop w:val="0"/>
      <w:marBottom w:val="0"/>
      <w:divBdr>
        <w:top w:val="none" w:sz="0" w:space="0" w:color="auto"/>
        <w:left w:val="none" w:sz="0" w:space="0" w:color="auto"/>
        <w:bottom w:val="none" w:sz="0" w:space="0" w:color="auto"/>
        <w:right w:val="none" w:sz="0" w:space="0" w:color="auto"/>
      </w:divBdr>
    </w:div>
    <w:div w:id="596868206">
      <w:bodyDiv w:val="1"/>
      <w:marLeft w:val="0"/>
      <w:marRight w:val="0"/>
      <w:marTop w:val="0"/>
      <w:marBottom w:val="0"/>
      <w:divBdr>
        <w:top w:val="none" w:sz="0" w:space="0" w:color="auto"/>
        <w:left w:val="none" w:sz="0" w:space="0" w:color="auto"/>
        <w:bottom w:val="none" w:sz="0" w:space="0" w:color="auto"/>
        <w:right w:val="none" w:sz="0" w:space="0" w:color="auto"/>
      </w:divBdr>
    </w:div>
    <w:div w:id="596986588">
      <w:bodyDiv w:val="1"/>
      <w:marLeft w:val="0"/>
      <w:marRight w:val="0"/>
      <w:marTop w:val="0"/>
      <w:marBottom w:val="0"/>
      <w:divBdr>
        <w:top w:val="none" w:sz="0" w:space="0" w:color="auto"/>
        <w:left w:val="none" w:sz="0" w:space="0" w:color="auto"/>
        <w:bottom w:val="none" w:sz="0" w:space="0" w:color="auto"/>
        <w:right w:val="none" w:sz="0" w:space="0" w:color="auto"/>
      </w:divBdr>
    </w:div>
    <w:div w:id="597058761">
      <w:bodyDiv w:val="1"/>
      <w:marLeft w:val="0"/>
      <w:marRight w:val="0"/>
      <w:marTop w:val="0"/>
      <w:marBottom w:val="0"/>
      <w:divBdr>
        <w:top w:val="none" w:sz="0" w:space="0" w:color="auto"/>
        <w:left w:val="none" w:sz="0" w:space="0" w:color="auto"/>
        <w:bottom w:val="none" w:sz="0" w:space="0" w:color="auto"/>
        <w:right w:val="none" w:sz="0" w:space="0" w:color="auto"/>
      </w:divBdr>
    </w:div>
    <w:div w:id="597375581">
      <w:bodyDiv w:val="1"/>
      <w:marLeft w:val="0"/>
      <w:marRight w:val="0"/>
      <w:marTop w:val="0"/>
      <w:marBottom w:val="0"/>
      <w:divBdr>
        <w:top w:val="none" w:sz="0" w:space="0" w:color="auto"/>
        <w:left w:val="none" w:sz="0" w:space="0" w:color="auto"/>
        <w:bottom w:val="none" w:sz="0" w:space="0" w:color="auto"/>
        <w:right w:val="none" w:sz="0" w:space="0" w:color="auto"/>
      </w:divBdr>
    </w:div>
    <w:div w:id="597838054">
      <w:bodyDiv w:val="1"/>
      <w:marLeft w:val="0"/>
      <w:marRight w:val="0"/>
      <w:marTop w:val="0"/>
      <w:marBottom w:val="0"/>
      <w:divBdr>
        <w:top w:val="none" w:sz="0" w:space="0" w:color="auto"/>
        <w:left w:val="none" w:sz="0" w:space="0" w:color="auto"/>
        <w:bottom w:val="none" w:sz="0" w:space="0" w:color="auto"/>
        <w:right w:val="none" w:sz="0" w:space="0" w:color="auto"/>
      </w:divBdr>
    </w:div>
    <w:div w:id="599945448">
      <w:bodyDiv w:val="1"/>
      <w:marLeft w:val="0"/>
      <w:marRight w:val="0"/>
      <w:marTop w:val="0"/>
      <w:marBottom w:val="0"/>
      <w:divBdr>
        <w:top w:val="none" w:sz="0" w:space="0" w:color="auto"/>
        <w:left w:val="none" w:sz="0" w:space="0" w:color="auto"/>
        <w:bottom w:val="none" w:sz="0" w:space="0" w:color="auto"/>
        <w:right w:val="none" w:sz="0" w:space="0" w:color="auto"/>
      </w:divBdr>
    </w:div>
    <w:div w:id="600721513">
      <w:bodyDiv w:val="1"/>
      <w:marLeft w:val="0"/>
      <w:marRight w:val="0"/>
      <w:marTop w:val="0"/>
      <w:marBottom w:val="0"/>
      <w:divBdr>
        <w:top w:val="none" w:sz="0" w:space="0" w:color="auto"/>
        <w:left w:val="none" w:sz="0" w:space="0" w:color="auto"/>
        <w:bottom w:val="none" w:sz="0" w:space="0" w:color="auto"/>
        <w:right w:val="none" w:sz="0" w:space="0" w:color="auto"/>
      </w:divBdr>
    </w:div>
    <w:div w:id="601959390">
      <w:bodyDiv w:val="1"/>
      <w:marLeft w:val="0"/>
      <w:marRight w:val="0"/>
      <w:marTop w:val="0"/>
      <w:marBottom w:val="0"/>
      <w:divBdr>
        <w:top w:val="none" w:sz="0" w:space="0" w:color="auto"/>
        <w:left w:val="none" w:sz="0" w:space="0" w:color="auto"/>
        <w:bottom w:val="none" w:sz="0" w:space="0" w:color="auto"/>
        <w:right w:val="none" w:sz="0" w:space="0" w:color="auto"/>
      </w:divBdr>
    </w:div>
    <w:div w:id="602110587">
      <w:bodyDiv w:val="1"/>
      <w:marLeft w:val="0"/>
      <w:marRight w:val="0"/>
      <w:marTop w:val="0"/>
      <w:marBottom w:val="0"/>
      <w:divBdr>
        <w:top w:val="none" w:sz="0" w:space="0" w:color="auto"/>
        <w:left w:val="none" w:sz="0" w:space="0" w:color="auto"/>
        <w:bottom w:val="none" w:sz="0" w:space="0" w:color="auto"/>
        <w:right w:val="none" w:sz="0" w:space="0" w:color="auto"/>
      </w:divBdr>
    </w:div>
    <w:div w:id="604267583">
      <w:bodyDiv w:val="1"/>
      <w:marLeft w:val="0"/>
      <w:marRight w:val="0"/>
      <w:marTop w:val="0"/>
      <w:marBottom w:val="0"/>
      <w:divBdr>
        <w:top w:val="none" w:sz="0" w:space="0" w:color="auto"/>
        <w:left w:val="none" w:sz="0" w:space="0" w:color="auto"/>
        <w:bottom w:val="none" w:sz="0" w:space="0" w:color="auto"/>
        <w:right w:val="none" w:sz="0" w:space="0" w:color="auto"/>
      </w:divBdr>
    </w:div>
    <w:div w:id="604733055">
      <w:bodyDiv w:val="1"/>
      <w:marLeft w:val="0"/>
      <w:marRight w:val="0"/>
      <w:marTop w:val="0"/>
      <w:marBottom w:val="0"/>
      <w:divBdr>
        <w:top w:val="none" w:sz="0" w:space="0" w:color="auto"/>
        <w:left w:val="none" w:sz="0" w:space="0" w:color="auto"/>
        <w:bottom w:val="none" w:sz="0" w:space="0" w:color="auto"/>
        <w:right w:val="none" w:sz="0" w:space="0" w:color="auto"/>
      </w:divBdr>
    </w:div>
    <w:div w:id="605889172">
      <w:bodyDiv w:val="1"/>
      <w:marLeft w:val="0"/>
      <w:marRight w:val="0"/>
      <w:marTop w:val="0"/>
      <w:marBottom w:val="0"/>
      <w:divBdr>
        <w:top w:val="none" w:sz="0" w:space="0" w:color="auto"/>
        <w:left w:val="none" w:sz="0" w:space="0" w:color="auto"/>
        <w:bottom w:val="none" w:sz="0" w:space="0" w:color="auto"/>
        <w:right w:val="none" w:sz="0" w:space="0" w:color="auto"/>
      </w:divBdr>
    </w:div>
    <w:div w:id="606081549">
      <w:bodyDiv w:val="1"/>
      <w:marLeft w:val="0"/>
      <w:marRight w:val="0"/>
      <w:marTop w:val="0"/>
      <w:marBottom w:val="0"/>
      <w:divBdr>
        <w:top w:val="none" w:sz="0" w:space="0" w:color="auto"/>
        <w:left w:val="none" w:sz="0" w:space="0" w:color="auto"/>
        <w:bottom w:val="none" w:sz="0" w:space="0" w:color="auto"/>
        <w:right w:val="none" w:sz="0" w:space="0" w:color="auto"/>
      </w:divBdr>
    </w:div>
    <w:div w:id="609363771">
      <w:bodyDiv w:val="1"/>
      <w:marLeft w:val="0"/>
      <w:marRight w:val="0"/>
      <w:marTop w:val="0"/>
      <w:marBottom w:val="0"/>
      <w:divBdr>
        <w:top w:val="none" w:sz="0" w:space="0" w:color="auto"/>
        <w:left w:val="none" w:sz="0" w:space="0" w:color="auto"/>
        <w:bottom w:val="none" w:sz="0" w:space="0" w:color="auto"/>
        <w:right w:val="none" w:sz="0" w:space="0" w:color="auto"/>
      </w:divBdr>
    </w:div>
    <w:div w:id="609897090">
      <w:bodyDiv w:val="1"/>
      <w:marLeft w:val="0"/>
      <w:marRight w:val="0"/>
      <w:marTop w:val="0"/>
      <w:marBottom w:val="0"/>
      <w:divBdr>
        <w:top w:val="none" w:sz="0" w:space="0" w:color="auto"/>
        <w:left w:val="none" w:sz="0" w:space="0" w:color="auto"/>
        <w:bottom w:val="none" w:sz="0" w:space="0" w:color="auto"/>
        <w:right w:val="none" w:sz="0" w:space="0" w:color="auto"/>
      </w:divBdr>
    </w:div>
    <w:div w:id="611212143">
      <w:bodyDiv w:val="1"/>
      <w:marLeft w:val="0"/>
      <w:marRight w:val="0"/>
      <w:marTop w:val="0"/>
      <w:marBottom w:val="0"/>
      <w:divBdr>
        <w:top w:val="none" w:sz="0" w:space="0" w:color="auto"/>
        <w:left w:val="none" w:sz="0" w:space="0" w:color="auto"/>
        <w:bottom w:val="none" w:sz="0" w:space="0" w:color="auto"/>
        <w:right w:val="none" w:sz="0" w:space="0" w:color="auto"/>
      </w:divBdr>
    </w:div>
    <w:div w:id="612128107">
      <w:bodyDiv w:val="1"/>
      <w:marLeft w:val="0"/>
      <w:marRight w:val="0"/>
      <w:marTop w:val="0"/>
      <w:marBottom w:val="0"/>
      <w:divBdr>
        <w:top w:val="none" w:sz="0" w:space="0" w:color="auto"/>
        <w:left w:val="none" w:sz="0" w:space="0" w:color="auto"/>
        <w:bottom w:val="none" w:sz="0" w:space="0" w:color="auto"/>
        <w:right w:val="none" w:sz="0" w:space="0" w:color="auto"/>
      </w:divBdr>
    </w:div>
    <w:div w:id="612443201">
      <w:bodyDiv w:val="1"/>
      <w:marLeft w:val="0"/>
      <w:marRight w:val="0"/>
      <w:marTop w:val="0"/>
      <w:marBottom w:val="0"/>
      <w:divBdr>
        <w:top w:val="none" w:sz="0" w:space="0" w:color="auto"/>
        <w:left w:val="none" w:sz="0" w:space="0" w:color="auto"/>
        <w:bottom w:val="none" w:sz="0" w:space="0" w:color="auto"/>
        <w:right w:val="none" w:sz="0" w:space="0" w:color="auto"/>
      </w:divBdr>
    </w:div>
    <w:div w:id="612904627">
      <w:bodyDiv w:val="1"/>
      <w:marLeft w:val="0"/>
      <w:marRight w:val="0"/>
      <w:marTop w:val="0"/>
      <w:marBottom w:val="0"/>
      <w:divBdr>
        <w:top w:val="none" w:sz="0" w:space="0" w:color="auto"/>
        <w:left w:val="none" w:sz="0" w:space="0" w:color="auto"/>
        <w:bottom w:val="none" w:sz="0" w:space="0" w:color="auto"/>
        <w:right w:val="none" w:sz="0" w:space="0" w:color="auto"/>
      </w:divBdr>
    </w:div>
    <w:div w:id="619187667">
      <w:bodyDiv w:val="1"/>
      <w:marLeft w:val="0"/>
      <w:marRight w:val="0"/>
      <w:marTop w:val="0"/>
      <w:marBottom w:val="0"/>
      <w:divBdr>
        <w:top w:val="none" w:sz="0" w:space="0" w:color="auto"/>
        <w:left w:val="none" w:sz="0" w:space="0" w:color="auto"/>
        <w:bottom w:val="none" w:sz="0" w:space="0" w:color="auto"/>
        <w:right w:val="none" w:sz="0" w:space="0" w:color="auto"/>
      </w:divBdr>
    </w:div>
    <w:div w:id="619841461">
      <w:bodyDiv w:val="1"/>
      <w:marLeft w:val="0"/>
      <w:marRight w:val="0"/>
      <w:marTop w:val="0"/>
      <w:marBottom w:val="0"/>
      <w:divBdr>
        <w:top w:val="none" w:sz="0" w:space="0" w:color="auto"/>
        <w:left w:val="none" w:sz="0" w:space="0" w:color="auto"/>
        <w:bottom w:val="none" w:sz="0" w:space="0" w:color="auto"/>
        <w:right w:val="none" w:sz="0" w:space="0" w:color="auto"/>
      </w:divBdr>
    </w:div>
    <w:div w:id="621693684">
      <w:bodyDiv w:val="1"/>
      <w:marLeft w:val="0"/>
      <w:marRight w:val="0"/>
      <w:marTop w:val="0"/>
      <w:marBottom w:val="0"/>
      <w:divBdr>
        <w:top w:val="none" w:sz="0" w:space="0" w:color="auto"/>
        <w:left w:val="none" w:sz="0" w:space="0" w:color="auto"/>
        <w:bottom w:val="none" w:sz="0" w:space="0" w:color="auto"/>
        <w:right w:val="none" w:sz="0" w:space="0" w:color="auto"/>
      </w:divBdr>
    </w:div>
    <w:div w:id="621770513">
      <w:bodyDiv w:val="1"/>
      <w:marLeft w:val="0"/>
      <w:marRight w:val="0"/>
      <w:marTop w:val="0"/>
      <w:marBottom w:val="0"/>
      <w:divBdr>
        <w:top w:val="none" w:sz="0" w:space="0" w:color="auto"/>
        <w:left w:val="none" w:sz="0" w:space="0" w:color="auto"/>
        <w:bottom w:val="none" w:sz="0" w:space="0" w:color="auto"/>
        <w:right w:val="none" w:sz="0" w:space="0" w:color="auto"/>
      </w:divBdr>
    </w:div>
    <w:div w:id="623005557">
      <w:bodyDiv w:val="1"/>
      <w:marLeft w:val="0"/>
      <w:marRight w:val="0"/>
      <w:marTop w:val="0"/>
      <w:marBottom w:val="0"/>
      <w:divBdr>
        <w:top w:val="none" w:sz="0" w:space="0" w:color="auto"/>
        <w:left w:val="none" w:sz="0" w:space="0" w:color="auto"/>
        <w:bottom w:val="none" w:sz="0" w:space="0" w:color="auto"/>
        <w:right w:val="none" w:sz="0" w:space="0" w:color="auto"/>
      </w:divBdr>
    </w:div>
    <w:div w:id="623852485">
      <w:bodyDiv w:val="1"/>
      <w:marLeft w:val="0"/>
      <w:marRight w:val="0"/>
      <w:marTop w:val="0"/>
      <w:marBottom w:val="0"/>
      <w:divBdr>
        <w:top w:val="none" w:sz="0" w:space="0" w:color="auto"/>
        <w:left w:val="none" w:sz="0" w:space="0" w:color="auto"/>
        <w:bottom w:val="none" w:sz="0" w:space="0" w:color="auto"/>
        <w:right w:val="none" w:sz="0" w:space="0" w:color="auto"/>
      </w:divBdr>
    </w:div>
    <w:div w:id="624389955">
      <w:bodyDiv w:val="1"/>
      <w:marLeft w:val="0"/>
      <w:marRight w:val="0"/>
      <w:marTop w:val="0"/>
      <w:marBottom w:val="0"/>
      <w:divBdr>
        <w:top w:val="none" w:sz="0" w:space="0" w:color="auto"/>
        <w:left w:val="none" w:sz="0" w:space="0" w:color="auto"/>
        <w:bottom w:val="none" w:sz="0" w:space="0" w:color="auto"/>
        <w:right w:val="none" w:sz="0" w:space="0" w:color="auto"/>
      </w:divBdr>
    </w:div>
    <w:div w:id="625232159">
      <w:bodyDiv w:val="1"/>
      <w:marLeft w:val="0"/>
      <w:marRight w:val="0"/>
      <w:marTop w:val="0"/>
      <w:marBottom w:val="0"/>
      <w:divBdr>
        <w:top w:val="none" w:sz="0" w:space="0" w:color="auto"/>
        <w:left w:val="none" w:sz="0" w:space="0" w:color="auto"/>
        <w:bottom w:val="none" w:sz="0" w:space="0" w:color="auto"/>
        <w:right w:val="none" w:sz="0" w:space="0" w:color="auto"/>
      </w:divBdr>
      <w:divsChild>
        <w:div w:id="4065526">
          <w:marLeft w:val="0"/>
          <w:marRight w:val="0"/>
          <w:marTop w:val="0"/>
          <w:marBottom w:val="0"/>
          <w:divBdr>
            <w:top w:val="none" w:sz="0" w:space="0" w:color="auto"/>
            <w:left w:val="none" w:sz="0" w:space="0" w:color="auto"/>
            <w:bottom w:val="none" w:sz="0" w:space="0" w:color="auto"/>
            <w:right w:val="none" w:sz="0" w:space="0" w:color="auto"/>
          </w:divBdr>
        </w:div>
        <w:div w:id="83262062">
          <w:marLeft w:val="0"/>
          <w:marRight w:val="0"/>
          <w:marTop w:val="0"/>
          <w:marBottom w:val="0"/>
          <w:divBdr>
            <w:top w:val="none" w:sz="0" w:space="0" w:color="auto"/>
            <w:left w:val="none" w:sz="0" w:space="0" w:color="auto"/>
            <w:bottom w:val="none" w:sz="0" w:space="0" w:color="auto"/>
            <w:right w:val="none" w:sz="0" w:space="0" w:color="auto"/>
          </w:divBdr>
        </w:div>
        <w:div w:id="274947600">
          <w:marLeft w:val="0"/>
          <w:marRight w:val="0"/>
          <w:marTop w:val="0"/>
          <w:marBottom w:val="0"/>
          <w:divBdr>
            <w:top w:val="none" w:sz="0" w:space="0" w:color="auto"/>
            <w:left w:val="none" w:sz="0" w:space="0" w:color="auto"/>
            <w:bottom w:val="none" w:sz="0" w:space="0" w:color="auto"/>
            <w:right w:val="none" w:sz="0" w:space="0" w:color="auto"/>
          </w:divBdr>
        </w:div>
        <w:div w:id="560948907">
          <w:marLeft w:val="0"/>
          <w:marRight w:val="0"/>
          <w:marTop w:val="0"/>
          <w:marBottom w:val="0"/>
          <w:divBdr>
            <w:top w:val="none" w:sz="0" w:space="0" w:color="auto"/>
            <w:left w:val="none" w:sz="0" w:space="0" w:color="auto"/>
            <w:bottom w:val="none" w:sz="0" w:space="0" w:color="auto"/>
            <w:right w:val="none" w:sz="0" w:space="0" w:color="auto"/>
          </w:divBdr>
        </w:div>
        <w:div w:id="1250041427">
          <w:marLeft w:val="0"/>
          <w:marRight w:val="0"/>
          <w:marTop w:val="0"/>
          <w:marBottom w:val="0"/>
          <w:divBdr>
            <w:top w:val="none" w:sz="0" w:space="0" w:color="auto"/>
            <w:left w:val="none" w:sz="0" w:space="0" w:color="auto"/>
            <w:bottom w:val="none" w:sz="0" w:space="0" w:color="auto"/>
            <w:right w:val="none" w:sz="0" w:space="0" w:color="auto"/>
          </w:divBdr>
        </w:div>
        <w:div w:id="1393456367">
          <w:marLeft w:val="0"/>
          <w:marRight w:val="0"/>
          <w:marTop w:val="0"/>
          <w:marBottom w:val="0"/>
          <w:divBdr>
            <w:top w:val="none" w:sz="0" w:space="0" w:color="auto"/>
            <w:left w:val="none" w:sz="0" w:space="0" w:color="auto"/>
            <w:bottom w:val="none" w:sz="0" w:space="0" w:color="auto"/>
            <w:right w:val="none" w:sz="0" w:space="0" w:color="auto"/>
          </w:divBdr>
        </w:div>
        <w:div w:id="1729107714">
          <w:marLeft w:val="0"/>
          <w:marRight w:val="0"/>
          <w:marTop w:val="0"/>
          <w:marBottom w:val="0"/>
          <w:divBdr>
            <w:top w:val="none" w:sz="0" w:space="0" w:color="auto"/>
            <w:left w:val="none" w:sz="0" w:space="0" w:color="auto"/>
            <w:bottom w:val="none" w:sz="0" w:space="0" w:color="auto"/>
            <w:right w:val="none" w:sz="0" w:space="0" w:color="auto"/>
          </w:divBdr>
        </w:div>
      </w:divsChild>
    </w:div>
    <w:div w:id="628129550">
      <w:bodyDiv w:val="1"/>
      <w:marLeft w:val="0"/>
      <w:marRight w:val="0"/>
      <w:marTop w:val="0"/>
      <w:marBottom w:val="0"/>
      <w:divBdr>
        <w:top w:val="none" w:sz="0" w:space="0" w:color="auto"/>
        <w:left w:val="none" w:sz="0" w:space="0" w:color="auto"/>
        <w:bottom w:val="none" w:sz="0" w:space="0" w:color="auto"/>
        <w:right w:val="none" w:sz="0" w:space="0" w:color="auto"/>
      </w:divBdr>
    </w:div>
    <w:div w:id="628170502">
      <w:bodyDiv w:val="1"/>
      <w:marLeft w:val="0"/>
      <w:marRight w:val="0"/>
      <w:marTop w:val="0"/>
      <w:marBottom w:val="0"/>
      <w:divBdr>
        <w:top w:val="none" w:sz="0" w:space="0" w:color="auto"/>
        <w:left w:val="none" w:sz="0" w:space="0" w:color="auto"/>
        <w:bottom w:val="none" w:sz="0" w:space="0" w:color="auto"/>
        <w:right w:val="none" w:sz="0" w:space="0" w:color="auto"/>
      </w:divBdr>
    </w:div>
    <w:div w:id="628899487">
      <w:bodyDiv w:val="1"/>
      <w:marLeft w:val="0"/>
      <w:marRight w:val="0"/>
      <w:marTop w:val="0"/>
      <w:marBottom w:val="0"/>
      <w:divBdr>
        <w:top w:val="none" w:sz="0" w:space="0" w:color="auto"/>
        <w:left w:val="none" w:sz="0" w:space="0" w:color="auto"/>
        <w:bottom w:val="none" w:sz="0" w:space="0" w:color="auto"/>
        <w:right w:val="none" w:sz="0" w:space="0" w:color="auto"/>
      </w:divBdr>
    </w:div>
    <w:div w:id="629746150">
      <w:bodyDiv w:val="1"/>
      <w:marLeft w:val="0"/>
      <w:marRight w:val="0"/>
      <w:marTop w:val="0"/>
      <w:marBottom w:val="0"/>
      <w:divBdr>
        <w:top w:val="none" w:sz="0" w:space="0" w:color="auto"/>
        <w:left w:val="none" w:sz="0" w:space="0" w:color="auto"/>
        <w:bottom w:val="none" w:sz="0" w:space="0" w:color="auto"/>
        <w:right w:val="none" w:sz="0" w:space="0" w:color="auto"/>
      </w:divBdr>
    </w:div>
    <w:div w:id="632564820">
      <w:bodyDiv w:val="1"/>
      <w:marLeft w:val="0"/>
      <w:marRight w:val="0"/>
      <w:marTop w:val="0"/>
      <w:marBottom w:val="0"/>
      <w:divBdr>
        <w:top w:val="none" w:sz="0" w:space="0" w:color="auto"/>
        <w:left w:val="none" w:sz="0" w:space="0" w:color="auto"/>
        <w:bottom w:val="none" w:sz="0" w:space="0" w:color="auto"/>
        <w:right w:val="none" w:sz="0" w:space="0" w:color="auto"/>
      </w:divBdr>
    </w:div>
    <w:div w:id="633022807">
      <w:bodyDiv w:val="1"/>
      <w:marLeft w:val="0"/>
      <w:marRight w:val="0"/>
      <w:marTop w:val="0"/>
      <w:marBottom w:val="0"/>
      <w:divBdr>
        <w:top w:val="none" w:sz="0" w:space="0" w:color="auto"/>
        <w:left w:val="none" w:sz="0" w:space="0" w:color="auto"/>
        <w:bottom w:val="none" w:sz="0" w:space="0" w:color="auto"/>
        <w:right w:val="none" w:sz="0" w:space="0" w:color="auto"/>
      </w:divBdr>
    </w:div>
    <w:div w:id="634869026">
      <w:bodyDiv w:val="1"/>
      <w:marLeft w:val="0"/>
      <w:marRight w:val="0"/>
      <w:marTop w:val="0"/>
      <w:marBottom w:val="0"/>
      <w:divBdr>
        <w:top w:val="none" w:sz="0" w:space="0" w:color="auto"/>
        <w:left w:val="none" w:sz="0" w:space="0" w:color="auto"/>
        <w:bottom w:val="none" w:sz="0" w:space="0" w:color="auto"/>
        <w:right w:val="none" w:sz="0" w:space="0" w:color="auto"/>
      </w:divBdr>
      <w:divsChild>
        <w:div w:id="48111746">
          <w:marLeft w:val="0"/>
          <w:marRight w:val="0"/>
          <w:marTop w:val="0"/>
          <w:marBottom w:val="0"/>
          <w:divBdr>
            <w:top w:val="none" w:sz="0" w:space="0" w:color="auto"/>
            <w:left w:val="none" w:sz="0" w:space="0" w:color="auto"/>
            <w:bottom w:val="none" w:sz="0" w:space="0" w:color="auto"/>
            <w:right w:val="none" w:sz="0" w:space="0" w:color="auto"/>
          </w:divBdr>
          <w:divsChild>
            <w:div w:id="1786463183">
              <w:marLeft w:val="0"/>
              <w:marRight w:val="0"/>
              <w:marTop w:val="0"/>
              <w:marBottom w:val="0"/>
              <w:divBdr>
                <w:top w:val="none" w:sz="0" w:space="0" w:color="auto"/>
                <w:left w:val="none" w:sz="0" w:space="0" w:color="auto"/>
                <w:bottom w:val="none" w:sz="0" w:space="0" w:color="auto"/>
                <w:right w:val="none" w:sz="0" w:space="0" w:color="auto"/>
              </w:divBdr>
              <w:divsChild>
                <w:div w:id="757753619">
                  <w:marLeft w:val="4245"/>
                  <w:marRight w:val="0"/>
                  <w:marTop w:val="0"/>
                  <w:marBottom w:val="0"/>
                  <w:divBdr>
                    <w:top w:val="none" w:sz="0" w:space="0" w:color="auto"/>
                    <w:left w:val="none" w:sz="0" w:space="0" w:color="auto"/>
                    <w:bottom w:val="none" w:sz="0" w:space="0" w:color="auto"/>
                    <w:right w:val="none" w:sz="0" w:space="0" w:color="auto"/>
                  </w:divBdr>
                  <w:divsChild>
                    <w:div w:id="1512529371">
                      <w:marLeft w:val="4200"/>
                      <w:marRight w:val="0"/>
                      <w:marTop w:val="2175"/>
                      <w:marBottom w:val="0"/>
                      <w:divBdr>
                        <w:top w:val="none" w:sz="0" w:space="0" w:color="auto"/>
                        <w:left w:val="none" w:sz="0" w:space="0" w:color="auto"/>
                        <w:bottom w:val="none" w:sz="0" w:space="0" w:color="auto"/>
                        <w:right w:val="none" w:sz="0" w:space="0" w:color="auto"/>
                      </w:divBdr>
                      <w:divsChild>
                        <w:div w:id="12526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990085">
      <w:bodyDiv w:val="1"/>
      <w:marLeft w:val="0"/>
      <w:marRight w:val="0"/>
      <w:marTop w:val="0"/>
      <w:marBottom w:val="0"/>
      <w:divBdr>
        <w:top w:val="none" w:sz="0" w:space="0" w:color="auto"/>
        <w:left w:val="none" w:sz="0" w:space="0" w:color="auto"/>
        <w:bottom w:val="none" w:sz="0" w:space="0" w:color="auto"/>
        <w:right w:val="none" w:sz="0" w:space="0" w:color="auto"/>
      </w:divBdr>
    </w:div>
    <w:div w:id="635835460">
      <w:bodyDiv w:val="1"/>
      <w:marLeft w:val="0"/>
      <w:marRight w:val="0"/>
      <w:marTop w:val="0"/>
      <w:marBottom w:val="0"/>
      <w:divBdr>
        <w:top w:val="none" w:sz="0" w:space="0" w:color="auto"/>
        <w:left w:val="none" w:sz="0" w:space="0" w:color="auto"/>
        <w:bottom w:val="none" w:sz="0" w:space="0" w:color="auto"/>
        <w:right w:val="none" w:sz="0" w:space="0" w:color="auto"/>
      </w:divBdr>
    </w:div>
    <w:div w:id="637077359">
      <w:bodyDiv w:val="1"/>
      <w:marLeft w:val="0"/>
      <w:marRight w:val="0"/>
      <w:marTop w:val="0"/>
      <w:marBottom w:val="0"/>
      <w:divBdr>
        <w:top w:val="none" w:sz="0" w:space="0" w:color="auto"/>
        <w:left w:val="none" w:sz="0" w:space="0" w:color="auto"/>
        <w:bottom w:val="none" w:sz="0" w:space="0" w:color="auto"/>
        <w:right w:val="none" w:sz="0" w:space="0" w:color="auto"/>
      </w:divBdr>
    </w:div>
    <w:div w:id="638148749">
      <w:bodyDiv w:val="1"/>
      <w:marLeft w:val="0"/>
      <w:marRight w:val="0"/>
      <w:marTop w:val="0"/>
      <w:marBottom w:val="0"/>
      <w:divBdr>
        <w:top w:val="none" w:sz="0" w:space="0" w:color="auto"/>
        <w:left w:val="none" w:sz="0" w:space="0" w:color="auto"/>
        <w:bottom w:val="none" w:sz="0" w:space="0" w:color="auto"/>
        <w:right w:val="none" w:sz="0" w:space="0" w:color="auto"/>
      </w:divBdr>
    </w:div>
    <w:div w:id="644815315">
      <w:bodyDiv w:val="1"/>
      <w:marLeft w:val="0"/>
      <w:marRight w:val="0"/>
      <w:marTop w:val="0"/>
      <w:marBottom w:val="0"/>
      <w:divBdr>
        <w:top w:val="none" w:sz="0" w:space="0" w:color="auto"/>
        <w:left w:val="none" w:sz="0" w:space="0" w:color="auto"/>
        <w:bottom w:val="none" w:sz="0" w:space="0" w:color="auto"/>
        <w:right w:val="none" w:sz="0" w:space="0" w:color="auto"/>
      </w:divBdr>
    </w:div>
    <w:div w:id="645475643">
      <w:bodyDiv w:val="1"/>
      <w:marLeft w:val="0"/>
      <w:marRight w:val="0"/>
      <w:marTop w:val="0"/>
      <w:marBottom w:val="0"/>
      <w:divBdr>
        <w:top w:val="none" w:sz="0" w:space="0" w:color="auto"/>
        <w:left w:val="none" w:sz="0" w:space="0" w:color="auto"/>
        <w:bottom w:val="none" w:sz="0" w:space="0" w:color="auto"/>
        <w:right w:val="none" w:sz="0" w:space="0" w:color="auto"/>
      </w:divBdr>
    </w:div>
    <w:div w:id="647326169">
      <w:bodyDiv w:val="1"/>
      <w:marLeft w:val="0"/>
      <w:marRight w:val="0"/>
      <w:marTop w:val="0"/>
      <w:marBottom w:val="0"/>
      <w:divBdr>
        <w:top w:val="none" w:sz="0" w:space="0" w:color="auto"/>
        <w:left w:val="none" w:sz="0" w:space="0" w:color="auto"/>
        <w:bottom w:val="none" w:sz="0" w:space="0" w:color="auto"/>
        <w:right w:val="none" w:sz="0" w:space="0" w:color="auto"/>
      </w:divBdr>
    </w:div>
    <w:div w:id="647366559">
      <w:bodyDiv w:val="1"/>
      <w:marLeft w:val="0"/>
      <w:marRight w:val="0"/>
      <w:marTop w:val="0"/>
      <w:marBottom w:val="0"/>
      <w:divBdr>
        <w:top w:val="none" w:sz="0" w:space="0" w:color="auto"/>
        <w:left w:val="none" w:sz="0" w:space="0" w:color="auto"/>
        <w:bottom w:val="none" w:sz="0" w:space="0" w:color="auto"/>
        <w:right w:val="none" w:sz="0" w:space="0" w:color="auto"/>
      </w:divBdr>
    </w:div>
    <w:div w:id="648360082">
      <w:bodyDiv w:val="1"/>
      <w:marLeft w:val="0"/>
      <w:marRight w:val="0"/>
      <w:marTop w:val="0"/>
      <w:marBottom w:val="0"/>
      <w:divBdr>
        <w:top w:val="none" w:sz="0" w:space="0" w:color="auto"/>
        <w:left w:val="none" w:sz="0" w:space="0" w:color="auto"/>
        <w:bottom w:val="none" w:sz="0" w:space="0" w:color="auto"/>
        <w:right w:val="none" w:sz="0" w:space="0" w:color="auto"/>
      </w:divBdr>
    </w:div>
    <w:div w:id="649484010">
      <w:bodyDiv w:val="1"/>
      <w:marLeft w:val="0"/>
      <w:marRight w:val="0"/>
      <w:marTop w:val="0"/>
      <w:marBottom w:val="0"/>
      <w:divBdr>
        <w:top w:val="none" w:sz="0" w:space="0" w:color="auto"/>
        <w:left w:val="none" w:sz="0" w:space="0" w:color="auto"/>
        <w:bottom w:val="none" w:sz="0" w:space="0" w:color="auto"/>
        <w:right w:val="none" w:sz="0" w:space="0" w:color="auto"/>
      </w:divBdr>
    </w:div>
    <w:div w:id="652485012">
      <w:bodyDiv w:val="1"/>
      <w:marLeft w:val="0"/>
      <w:marRight w:val="0"/>
      <w:marTop w:val="0"/>
      <w:marBottom w:val="0"/>
      <w:divBdr>
        <w:top w:val="none" w:sz="0" w:space="0" w:color="auto"/>
        <w:left w:val="none" w:sz="0" w:space="0" w:color="auto"/>
        <w:bottom w:val="none" w:sz="0" w:space="0" w:color="auto"/>
        <w:right w:val="none" w:sz="0" w:space="0" w:color="auto"/>
      </w:divBdr>
    </w:div>
    <w:div w:id="654603816">
      <w:bodyDiv w:val="1"/>
      <w:marLeft w:val="0"/>
      <w:marRight w:val="0"/>
      <w:marTop w:val="0"/>
      <w:marBottom w:val="0"/>
      <w:divBdr>
        <w:top w:val="none" w:sz="0" w:space="0" w:color="auto"/>
        <w:left w:val="none" w:sz="0" w:space="0" w:color="auto"/>
        <w:bottom w:val="none" w:sz="0" w:space="0" w:color="auto"/>
        <w:right w:val="none" w:sz="0" w:space="0" w:color="auto"/>
      </w:divBdr>
    </w:div>
    <w:div w:id="659848440">
      <w:bodyDiv w:val="1"/>
      <w:marLeft w:val="0"/>
      <w:marRight w:val="0"/>
      <w:marTop w:val="0"/>
      <w:marBottom w:val="0"/>
      <w:divBdr>
        <w:top w:val="none" w:sz="0" w:space="0" w:color="auto"/>
        <w:left w:val="none" w:sz="0" w:space="0" w:color="auto"/>
        <w:bottom w:val="none" w:sz="0" w:space="0" w:color="auto"/>
        <w:right w:val="none" w:sz="0" w:space="0" w:color="auto"/>
      </w:divBdr>
    </w:div>
    <w:div w:id="660742323">
      <w:bodyDiv w:val="1"/>
      <w:marLeft w:val="0"/>
      <w:marRight w:val="0"/>
      <w:marTop w:val="0"/>
      <w:marBottom w:val="0"/>
      <w:divBdr>
        <w:top w:val="none" w:sz="0" w:space="0" w:color="auto"/>
        <w:left w:val="none" w:sz="0" w:space="0" w:color="auto"/>
        <w:bottom w:val="none" w:sz="0" w:space="0" w:color="auto"/>
        <w:right w:val="none" w:sz="0" w:space="0" w:color="auto"/>
      </w:divBdr>
    </w:div>
    <w:div w:id="663430936">
      <w:bodyDiv w:val="1"/>
      <w:marLeft w:val="0"/>
      <w:marRight w:val="0"/>
      <w:marTop w:val="0"/>
      <w:marBottom w:val="0"/>
      <w:divBdr>
        <w:top w:val="none" w:sz="0" w:space="0" w:color="auto"/>
        <w:left w:val="none" w:sz="0" w:space="0" w:color="auto"/>
        <w:bottom w:val="none" w:sz="0" w:space="0" w:color="auto"/>
        <w:right w:val="none" w:sz="0" w:space="0" w:color="auto"/>
      </w:divBdr>
    </w:div>
    <w:div w:id="664363592">
      <w:bodyDiv w:val="1"/>
      <w:marLeft w:val="0"/>
      <w:marRight w:val="0"/>
      <w:marTop w:val="0"/>
      <w:marBottom w:val="0"/>
      <w:divBdr>
        <w:top w:val="none" w:sz="0" w:space="0" w:color="auto"/>
        <w:left w:val="none" w:sz="0" w:space="0" w:color="auto"/>
        <w:bottom w:val="none" w:sz="0" w:space="0" w:color="auto"/>
        <w:right w:val="none" w:sz="0" w:space="0" w:color="auto"/>
      </w:divBdr>
    </w:div>
    <w:div w:id="664434097">
      <w:bodyDiv w:val="1"/>
      <w:marLeft w:val="0"/>
      <w:marRight w:val="0"/>
      <w:marTop w:val="0"/>
      <w:marBottom w:val="0"/>
      <w:divBdr>
        <w:top w:val="none" w:sz="0" w:space="0" w:color="auto"/>
        <w:left w:val="none" w:sz="0" w:space="0" w:color="auto"/>
        <w:bottom w:val="none" w:sz="0" w:space="0" w:color="auto"/>
        <w:right w:val="none" w:sz="0" w:space="0" w:color="auto"/>
      </w:divBdr>
    </w:div>
    <w:div w:id="669018420">
      <w:bodyDiv w:val="1"/>
      <w:marLeft w:val="0"/>
      <w:marRight w:val="0"/>
      <w:marTop w:val="0"/>
      <w:marBottom w:val="0"/>
      <w:divBdr>
        <w:top w:val="none" w:sz="0" w:space="0" w:color="auto"/>
        <w:left w:val="none" w:sz="0" w:space="0" w:color="auto"/>
        <w:bottom w:val="none" w:sz="0" w:space="0" w:color="auto"/>
        <w:right w:val="none" w:sz="0" w:space="0" w:color="auto"/>
      </w:divBdr>
    </w:div>
    <w:div w:id="672991383">
      <w:bodyDiv w:val="1"/>
      <w:marLeft w:val="0"/>
      <w:marRight w:val="0"/>
      <w:marTop w:val="0"/>
      <w:marBottom w:val="0"/>
      <w:divBdr>
        <w:top w:val="none" w:sz="0" w:space="0" w:color="auto"/>
        <w:left w:val="none" w:sz="0" w:space="0" w:color="auto"/>
        <w:bottom w:val="none" w:sz="0" w:space="0" w:color="auto"/>
        <w:right w:val="none" w:sz="0" w:space="0" w:color="auto"/>
      </w:divBdr>
    </w:div>
    <w:div w:id="674113360">
      <w:bodyDiv w:val="1"/>
      <w:marLeft w:val="0"/>
      <w:marRight w:val="0"/>
      <w:marTop w:val="0"/>
      <w:marBottom w:val="0"/>
      <w:divBdr>
        <w:top w:val="none" w:sz="0" w:space="0" w:color="auto"/>
        <w:left w:val="none" w:sz="0" w:space="0" w:color="auto"/>
        <w:bottom w:val="none" w:sz="0" w:space="0" w:color="auto"/>
        <w:right w:val="none" w:sz="0" w:space="0" w:color="auto"/>
      </w:divBdr>
    </w:div>
    <w:div w:id="678772121">
      <w:bodyDiv w:val="1"/>
      <w:marLeft w:val="0"/>
      <w:marRight w:val="0"/>
      <w:marTop w:val="0"/>
      <w:marBottom w:val="0"/>
      <w:divBdr>
        <w:top w:val="none" w:sz="0" w:space="0" w:color="auto"/>
        <w:left w:val="none" w:sz="0" w:space="0" w:color="auto"/>
        <w:bottom w:val="none" w:sz="0" w:space="0" w:color="auto"/>
        <w:right w:val="none" w:sz="0" w:space="0" w:color="auto"/>
      </w:divBdr>
    </w:div>
    <w:div w:id="680279152">
      <w:bodyDiv w:val="1"/>
      <w:marLeft w:val="0"/>
      <w:marRight w:val="0"/>
      <w:marTop w:val="0"/>
      <w:marBottom w:val="0"/>
      <w:divBdr>
        <w:top w:val="none" w:sz="0" w:space="0" w:color="auto"/>
        <w:left w:val="none" w:sz="0" w:space="0" w:color="auto"/>
        <w:bottom w:val="none" w:sz="0" w:space="0" w:color="auto"/>
        <w:right w:val="none" w:sz="0" w:space="0" w:color="auto"/>
      </w:divBdr>
    </w:div>
    <w:div w:id="681517300">
      <w:bodyDiv w:val="1"/>
      <w:marLeft w:val="0"/>
      <w:marRight w:val="0"/>
      <w:marTop w:val="0"/>
      <w:marBottom w:val="0"/>
      <w:divBdr>
        <w:top w:val="none" w:sz="0" w:space="0" w:color="auto"/>
        <w:left w:val="none" w:sz="0" w:space="0" w:color="auto"/>
        <w:bottom w:val="none" w:sz="0" w:space="0" w:color="auto"/>
        <w:right w:val="none" w:sz="0" w:space="0" w:color="auto"/>
      </w:divBdr>
    </w:div>
    <w:div w:id="682171062">
      <w:bodyDiv w:val="1"/>
      <w:marLeft w:val="0"/>
      <w:marRight w:val="0"/>
      <w:marTop w:val="0"/>
      <w:marBottom w:val="0"/>
      <w:divBdr>
        <w:top w:val="none" w:sz="0" w:space="0" w:color="auto"/>
        <w:left w:val="none" w:sz="0" w:space="0" w:color="auto"/>
        <w:bottom w:val="none" w:sz="0" w:space="0" w:color="auto"/>
        <w:right w:val="none" w:sz="0" w:space="0" w:color="auto"/>
      </w:divBdr>
    </w:div>
    <w:div w:id="683245104">
      <w:bodyDiv w:val="1"/>
      <w:marLeft w:val="0"/>
      <w:marRight w:val="0"/>
      <w:marTop w:val="0"/>
      <w:marBottom w:val="0"/>
      <w:divBdr>
        <w:top w:val="none" w:sz="0" w:space="0" w:color="auto"/>
        <w:left w:val="none" w:sz="0" w:space="0" w:color="auto"/>
        <w:bottom w:val="none" w:sz="0" w:space="0" w:color="auto"/>
        <w:right w:val="none" w:sz="0" w:space="0" w:color="auto"/>
      </w:divBdr>
    </w:div>
    <w:div w:id="685716889">
      <w:bodyDiv w:val="1"/>
      <w:marLeft w:val="0"/>
      <w:marRight w:val="0"/>
      <w:marTop w:val="0"/>
      <w:marBottom w:val="0"/>
      <w:divBdr>
        <w:top w:val="none" w:sz="0" w:space="0" w:color="auto"/>
        <w:left w:val="none" w:sz="0" w:space="0" w:color="auto"/>
        <w:bottom w:val="none" w:sz="0" w:space="0" w:color="auto"/>
        <w:right w:val="none" w:sz="0" w:space="0" w:color="auto"/>
      </w:divBdr>
    </w:div>
    <w:div w:id="686175672">
      <w:bodyDiv w:val="1"/>
      <w:marLeft w:val="0"/>
      <w:marRight w:val="0"/>
      <w:marTop w:val="0"/>
      <w:marBottom w:val="0"/>
      <w:divBdr>
        <w:top w:val="none" w:sz="0" w:space="0" w:color="auto"/>
        <w:left w:val="none" w:sz="0" w:space="0" w:color="auto"/>
        <w:bottom w:val="none" w:sz="0" w:space="0" w:color="auto"/>
        <w:right w:val="none" w:sz="0" w:space="0" w:color="auto"/>
      </w:divBdr>
      <w:divsChild>
        <w:div w:id="1256741468">
          <w:marLeft w:val="0"/>
          <w:marRight w:val="0"/>
          <w:marTop w:val="0"/>
          <w:marBottom w:val="0"/>
          <w:divBdr>
            <w:top w:val="none" w:sz="0" w:space="0" w:color="auto"/>
            <w:left w:val="none" w:sz="0" w:space="0" w:color="auto"/>
            <w:bottom w:val="none" w:sz="0" w:space="0" w:color="auto"/>
            <w:right w:val="none" w:sz="0" w:space="0" w:color="auto"/>
          </w:divBdr>
          <w:divsChild>
            <w:div w:id="529685389">
              <w:marLeft w:val="0"/>
              <w:marRight w:val="0"/>
              <w:marTop w:val="0"/>
              <w:marBottom w:val="0"/>
              <w:divBdr>
                <w:top w:val="none" w:sz="0" w:space="0" w:color="auto"/>
                <w:left w:val="none" w:sz="0" w:space="0" w:color="auto"/>
                <w:bottom w:val="none" w:sz="0" w:space="0" w:color="auto"/>
                <w:right w:val="none" w:sz="0" w:space="0" w:color="auto"/>
              </w:divBdr>
              <w:divsChild>
                <w:div w:id="2129547457">
                  <w:marLeft w:val="4245"/>
                  <w:marRight w:val="0"/>
                  <w:marTop w:val="0"/>
                  <w:marBottom w:val="0"/>
                  <w:divBdr>
                    <w:top w:val="none" w:sz="0" w:space="0" w:color="auto"/>
                    <w:left w:val="none" w:sz="0" w:space="0" w:color="auto"/>
                    <w:bottom w:val="none" w:sz="0" w:space="0" w:color="auto"/>
                    <w:right w:val="none" w:sz="0" w:space="0" w:color="auto"/>
                  </w:divBdr>
                  <w:divsChild>
                    <w:div w:id="335695450">
                      <w:marLeft w:val="4200"/>
                      <w:marRight w:val="0"/>
                      <w:marTop w:val="2175"/>
                      <w:marBottom w:val="0"/>
                      <w:divBdr>
                        <w:top w:val="none" w:sz="0" w:space="0" w:color="auto"/>
                        <w:left w:val="none" w:sz="0" w:space="0" w:color="auto"/>
                        <w:bottom w:val="none" w:sz="0" w:space="0" w:color="auto"/>
                        <w:right w:val="none" w:sz="0" w:space="0" w:color="auto"/>
                      </w:divBdr>
                      <w:divsChild>
                        <w:div w:id="16655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175588">
      <w:bodyDiv w:val="1"/>
      <w:marLeft w:val="0"/>
      <w:marRight w:val="0"/>
      <w:marTop w:val="0"/>
      <w:marBottom w:val="0"/>
      <w:divBdr>
        <w:top w:val="none" w:sz="0" w:space="0" w:color="auto"/>
        <w:left w:val="none" w:sz="0" w:space="0" w:color="auto"/>
        <w:bottom w:val="none" w:sz="0" w:space="0" w:color="auto"/>
        <w:right w:val="none" w:sz="0" w:space="0" w:color="auto"/>
      </w:divBdr>
    </w:div>
    <w:div w:id="690842012">
      <w:bodyDiv w:val="1"/>
      <w:marLeft w:val="0"/>
      <w:marRight w:val="0"/>
      <w:marTop w:val="0"/>
      <w:marBottom w:val="0"/>
      <w:divBdr>
        <w:top w:val="none" w:sz="0" w:space="0" w:color="auto"/>
        <w:left w:val="none" w:sz="0" w:space="0" w:color="auto"/>
        <w:bottom w:val="none" w:sz="0" w:space="0" w:color="auto"/>
        <w:right w:val="none" w:sz="0" w:space="0" w:color="auto"/>
      </w:divBdr>
    </w:div>
    <w:div w:id="691152515">
      <w:bodyDiv w:val="1"/>
      <w:marLeft w:val="0"/>
      <w:marRight w:val="0"/>
      <w:marTop w:val="0"/>
      <w:marBottom w:val="0"/>
      <w:divBdr>
        <w:top w:val="none" w:sz="0" w:space="0" w:color="auto"/>
        <w:left w:val="none" w:sz="0" w:space="0" w:color="auto"/>
        <w:bottom w:val="none" w:sz="0" w:space="0" w:color="auto"/>
        <w:right w:val="none" w:sz="0" w:space="0" w:color="auto"/>
      </w:divBdr>
    </w:div>
    <w:div w:id="691494534">
      <w:bodyDiv w:val="1"/>
      <w:marLeft w:val="0"/>
      <w:marRight w:val="0"/>
      <w:marTop w:val="0"/>
      <w:marBottom w:val="0"/>
      <w:divBdr>
        <w:top w:val="none" w:sz="0" w:space="0" w:color="auto"/>
        <w:left w:val="none" w:sz="0" w:space="0" w:color="auto"/>
        <w:bottom w:val="none" w:sz="0" w:space="0" w:color="auto"/>
        <w:right w:val="none" w:sz="0" w:space="0" w:color="auto"/>
      </w:divBdr>
    </w:div>
    <w:div w:id="691540734">
      <w:bodyDiv w:val="1"/>
      <w:marLeft w:val="0"/>
      <w:marRight w:val="0"/>
      <w:marTop w:val="0"/>
      <w:marBottom w:val="0"/>
      <w:divBdr>
        <w:top w:val="none" w:sz="0" w:space="0" w:color="auto"/>
        <w:left w:val="none" w:sz="0" w:space="0" w:color="auto"/>
        <w:bottom w:val="none" w:sz="0" w:space="0" w:color="auto"/>
        <w:right w:val="none" w:sz="0" w:space="0" w:color="auto"/>
      </w:divBdr>
    </w:div>
    <w:div w:id="691688734">
      <w:bodyDiv w:val="1"/>
      <w:marLeft w:val="0"/>
      <w:marRight w:val="0"/>
      <w:marTop w:val="0"/>
      <w:marBottom w:val="0"/>
      <w:divBdr>
        <w:top w:val="none" w:sz="0" w:space="0" w:color="auto"/>
        <w:left w:val="none" w:sz="0" w:space="0" w:color="auto"/>
        <w:bottom w:val="none" w:sz="0" w:space="0" w:color="auto"/>
        <w:right w:val="none" w:sz="0" w:space="0" w:color="auto"/>
      </w:divBdr>
    </w:div>
    <w:div w:id="694968370">
      <w:bodyDiv w:val="1"/>
      <w:marLeft w:val="0"/>
      <w:marRight w:val="0"/>
      <w:marTop w:val="0"/>
      <w:marBottom w:val="0"/>
      <w:divBdr>
        <w:top w:val="none" w:sz="0" w:space="0" w:color="auto"/>
        <w:left w:val="none" w:sz="0" w:space="0" w:color="auto"/>
        <w:bottom w:val="none" w:sz="0" w:space="0" w:color="auto"/>
        <w:right w:val="none" w:sz="0" w:space="0" w:color="auto"/>
      </w:divBdr>
    </w:div>
    <w:div w:id="695228402">
      <w:bodyDiv w:val="1"/>
      <w:marLeft w:val="0"/>
      <w:marRight w:val="0"/>
      <w:marTop w:val="0"/>
      <w:marBottom w:val="0"/>
      <w:divBdr>
        <w:top w:val="none" w:sz="0" w:space="0" w:color="auto"/>
        <w:left w:val="none" w:sz="0" w:space="0" w:color="auto"/>
        <w:bottom w:val="none" w:sz="0" w:space="0" w:color="auto"/>
        <w:right w:val="none" w:sz="0" w:space="0" w:color="auto"/>
      </w:divBdr>
    </w:div>
    <w:div w:id="696077327">
      <w:bodyDiv w:val="1"/>
      <w:marLeft w:val="0"/>
      <w:marRight w:val="0"/>
      <w:marTop w:val="0"/>
      <w:marBottom w:val="0"/>
      <w:divBdr>
        <w:top w:val="none" w:sz="0" w:space="0" w:color="auto"/>
        <w:left w:val="none" w:sz="0" w:space="0" w:color="auto"/>
        <w:bottom w:val="none" w:sz="0" w:space="0" w:color="auto"/>
        <w:right w:val="none" w:sz="0" w:space="0" w:color="auto"/>
      </w:divBdr>
    </w:div>
    <w:div w:id="697194538">
      <w:bodyDiv w:val="1"/>
      <w:marLeft w:val="0"/>
      <w:marRight w:val="0"/>
      <w:marTop w:val="0"/>
      <w:marBottom w:val="0"/>
      <w:divBdr>
        <w:top w:val="none" w:sz="0" w:space="0" w:color="auto"/>
        <w:left w:val="none" w:sz="0" w:space="0" w:color="auto"/>
        <w:bottom w:val="none" w:sz="0" w:space="0" w:color="auto"/>
        <w:right w:val="none" w:sz="0" w:space="0" w:color="auto"/>
      </w:divBdr>
    </w:div>
    <w:div w:id="699480065">
      <w:bodyDiv w:val="1"/>
      <w:marLeft w:val="0"/>
      <w:marRight w:val="0"/>
      <w:marTop w:val="0"/>
      <w:marBottom w:val="0"/>
      <w:divBdr>
        <w:top w:val="none" w:sz="0" w:space="0" w:color="auto"/>
        <w:left w:val="none" w:sz="0" w:space="0" w:color="auto"/>
        <w:bottom w:val="none" w:sz="0" w:space="0" w:color="auto"/>
        <w:right w:val="none" w:sz="0" w:space="0" w:color="auto"/>
      </w:divBdr>
    </w:div>
    <w:div w:id="702438614">
      <w:bodyDiv w:val="1"/>
      <w:marLeft w:val="0"/>
      <w:marRight w:val="0"/>
      <w:marTop w:val="0"/>
      <w:marBottom w:val="0"/>
      <w:divBdr>
        <w:top w:val="none" w:sz="0" w:space="0" w:color="auto"/>
        <w:left w:val="none" w:sz="0" w:space="0" w:color="auto"/>
        <w:bottom w:val="none" w:sz="0" w:space="0" w:color="auto"/>
        <w:right w:val="none" w:sz="0" w:space="0" w:color="auto"/>
      </w:divBdr>
    </w:div>
    <w:div w:id="706832369">
      <w:bodyDiv w:val="1"/>
      <w:marLeft w:val="0"/>
      <w:marRight w:val="0"/>
      <w:marTop w:val="0"/>
      <w:marBottom w:val="0"/>
      <w:divBdr>
        <w:top w:val="none" w:sz="0" w:space="0" w:color="auto"/>
        <w:left w:val="none" w:sz="0" w:space="0" w:color="auto"/>
        <w:bottom w:val="none" w:sz="0" w:space="0" w:color="auto"/>
        <w:right w:val="none" w:sz="0" w:space="0" w:color="auto"/>
      </w:divBdr>
    </w:div>
    <w:div w:id="706950627">
      <w:bodyDiv w:val="1"/>
      <w:marLeft w:val="0"/>
      <w:marRight w:val="0"/>
      <w:marTop w:val="0"/>
      <w:marBottom w:val="0"/>
      <w:divBdr>
        <w:top w:val="none" w:sz="0" w:space="0" w:color="auto"/>
        <w:left w:val="none" w:sz="0" w:space="0" w:color="auto"/>
        <w:bottom w:val="none" w:sz="0" w:space="0" w:color="auto"/>
        <w:right w:val="none" w:sz="0" w:space="0" w:color="auto"/>
      </w:divBdr>
    </w:div>
    <w:div w:id="708652850">
      <w:bodyDiv w:val="1"/>
      <w:marLeft w:val="0"/>
      <w:marRight w:val="0"/>
      <w:marTop w:val="0"/>
      <w:marBottom w:val="0"/>
      <w:divBdr>
        <w:top w:val="none" w:sz="0" w:space="0" w:color="auto"/>
        <w:left w:val="none" w:sz="0" w:space="0" w:color="auto"/>
        <w:bottom w:val="none" w:sz="0" w:space="0" w:color="auto"/>
        <w:right w:val="none" w:sz="0" w:space="0" w:color="auto"/>
      </w:divBdr>
    </w:div>
    <w:div w:id="708989998">
      <w:bodyDiv w:val="1"/>
      <w:marLeft w:val="0"/>
      <w:marRight w:val="0"/>
      <w:marTop w:val="0"/>
      <w:marBottom w:val="0"/>
      <w:divBdr>
        <w:top w:val="none" w:sz="0" w:space="0" w:color="auto"/>
        <w:left w:val="none" w:sz="0" w:space="0" w:color="auto"/>
        <w:bottom w:val="none" w:sz="0" w:space="0" w:color="auto"/>
        <w:right w:val="none" w:sz="0" w:space="0" w:color="auto"/>
      </w:divBdr>
    </w:div>
    <w:div w:id="708993477">
      <w:bodyDiv w:val="1"/>
      <w:marLeft w:val="0"/>
      <w:marRight w:val="0"/>
      <w:marTop w:val="0"/>
      <w:marBottom w:val="0"/>
      <w:divBdr>
        <w:top w:val="none" w:sz="0" w:space="0" w:color="auto"/>
        <w:left w:val="none" w:sz="0" w:space="0" w:color="auto"/>
        <w:bottom w:val="none" w:sz="0" w:space="0" w:color="auto"/>
        <w:right w:val="none" w:sz="0" w:space="0" w:color="auto"/>
      </w:divBdr>
    </w:div>
    <w:div w:id="709231212">
      <w:bodyDiv w:val="1"/>
      <w:marLeft w:val="0"/>
      <w:marRight w:val="0"/>
      <w:marTop w:val="0"/>
      <w:marBottom w:val="0"/>
      <w:divBdr>
        <w:top w:val="none" w:sz="0" w:space="0" w:color="auto"/>
        <w:left w:val="none" w:sz="0" w:space="0" w:color="auto"/>
        <w:bottom w:val="none" w:sz="0" w:space="0" w:color="auto"/>
        <w:right w:val="none" w:sz="0" w:space="0" w:color="auto"/>
      </w:divBdr>
    </w:div>
    <w:div w:id="709492934">
      <w:bodyDiv w:val="1"/>
      <w:marLeft w:val="0"/>
      <w:marRight w:val="0"/>
      <w:marTop w:val="0"/>
      <w:marBottom w:val="0"/>
      <w:divBdr>
        <w:top w:val="none" w:sz="0" w:space="0" w:color="auto"/>
        <w:left w:val="none" w:sz="0" w:space="0" w:color="auto"/>
        <w:bottom w:val="none" w:sz="0" w:space="0" w:color="auto"/>
        <w:right w:val="none" w:sz="0" w:space="0" w:color="auto"/>
      </w:divBdr>
    </w:div>
    <w:div w:id="711225337">
      <w:bodyDiv w:val="1"/>
      <w:marLeft w:val="0"/>
      <w:marRight w:val="0"/>
      <w:marTop w:val="0"/>
      <w:marBottom w:val="0"/>
      <w:divBdr>
        <w:top w:val="none" w:sz="0" w:space="0" w:color="auto"/>
        <w:left w:val="none" w:sz="0" w:space="0" w:color="auto"/>
        <w:bottom w:val="none" w:sz="0" w:space="0" w:color="auto"/>
        <w:right w:val="none" w:sz="0" w:space="0" w:color="auto"/>
      </w:divBdr>
    </w:div>
    <w:div w:id="711997020">
      <w:bodyDiv w:val="1"/>
      <w:marLeft w:val="0"/>
      <w:marRight w:val="0"/>
      <w:marTop w:val="0"/>
      <w:marBottom w:val="0"/>
      <w:divBdr>
        <w:top w:val="none" w:sz="0" w:space="0" w:color="auto"/>
        <w:left w:val="none" w:sz="0" w:space="0" w:color="auto"/>
        <w:bottom w:val="none" w:sz="0" w:space="0" w:color="auto"/>
        <w:right w:val="none" w:sz="0" w:space="0" w:color="auto"/>
      </w:divBdr>
    </w:div>
    <w:div w:id="712461120">
      <w:bodyDiv w:val="1"/>
      <w:marLeft w:val="0"/>
      <w:marRight w:val="0"/>
      <w:marTop w:val="0"/>
      <w:marBottom w:val="0"/>
      <w:divBdr>
        <w:top w:val="none" w:sz="0" w:space="0" w:color="auto"/>
        <w:left w:val="none" w:sz="0" w:space="0" w:color="auto"/>
        <w:bottom w:val="none" w:sz="0" w:space="0" w:color="auto"/>
        <w:right w:val="none" w:sz="0" w:space="0" w:color="auto"/>
      </w:divBdr>
    </w:div>
    <w:div w:id="714089033">
      <w:bodyDiv w:val="1"/>
      <w:marLeft w:val="0"/>
      <w:marRight w:val="0"/>
      <w:marTop w:val="0"/>
      <w:marBottom w:val="0"/>
      <w:divBdr>
        <w:top w:val="none" w:sz="0" w:space="0" w:color="auto"/>
        <w:left w:val="none" w:sz="0" w:space="0" w:color="auto"/>
        <w:bottom w:val="none" w:sz="0" w:space="0" w:color="auto"/>
        <w:right w:val="none" w:sz="0" w:space="0" w:color="auto"/>
      </w:divBdr>
    </w:div>
    <w:div w:id="715006216">
      <w:bodyDiv w:val="1"/>
      <w:marLeft w:val="0"/>
      <w:marRight w:val="0"/>
      <w:marTop w:val="0"/>
      <w:marBottom w:val="0"/>
      <w:divBdr>
        <w:top w:val="none" w:sz="0" w:space="0" w:color="auto"/>
        <w:left w:val="none" w:sz="0" w:space="0" w:color="auto"/>
        <w:bottom w:val="none" w:sz="0" w:space="0" w:color="auto"/>
        <w:right w:val="none" w:sz="0" w:space="0" w:color="auto"/>
      </w:divBdr>
    </w:div>
    <w:div w:id="715204393">
      <w:bodyDiv w:val="1"/>
      <w:marLeft w:val="0"/>
      <w:marRight w:val="0"/>
      <w:marTop w:val="0"/>
      <w:marBottom w:val="0"/>
      <w:divBdr>
        <w:top w:val="none" w:sz="0" w:space="0" w:color="auto"/>
        <w:left w:val="none" w:sz="0" w:space="0" w:color="auto"/>
        <w:bottom w:val="none" w:sz="0" w:space="0" w:color="auto"/>
        <w:right w:val="none" w:sz="0" w:space="0" w:color="auto"/>
      </w:divBdr>
    </w:div>
    <w:div w:id="715659576">
      <w:bodyDiv w:val="1"/>
      <w:marLeft w:val="0"/>
      <w:marRight w:val="0"/>
      <w:marTop w:val="0"/>
      <w:marBottom w:val="0"/>
      <w:divBdr>
        <w:top w:val="none" w:sz="0" w:space="0" w:color="auto"/>
        <w:left w:val="none" w:sz="0" w:space="0" w:color="auto"/>
        <w:bottom w:val="none" w:sz="0" w:space="0" w:color="auto"/>
        <w:right w:val="none" w:sz="0" w:space="0" w:color="auto"/>
      </w:divBdr>
    </w:div>
    <w:div w:id="715861999">
      <w:bodyDiv w:val="1"/>
      <w:marLeft w:val="0"/>
      <w:marRight w:val="0"/>
      <w:marTop w:val="0"/>
      <w:marBottom w:val="0"/>
      <w:divBdr>
        <w:top w:val="none" w:sz="0" w:space="0" w:color="auto"/>
        <w:left w:val="none" w:sz="0" w:space="0" w:color="auto"/>
        <w:bottom w:val="none" w:sz="0" w:space="0" w:color="auto"/>
        <w:right w:val="none" w:sz="0" w:space="0" w:color="auto"/>
      </w:divBdr>
    </w:div>
    <w:div w:id="716466002">
      <w:bodyDiv w:val="1"/>
      <w:marLeft w:val="0"/>
      <w:marRight w:val="0"/>
      <w:marTop w:val="0"/>
      <w:marBottom w:val="0"/>
      <w:divBdr>
        <w:top w:val="none" w:sz="0" w:space="0" w:color="auto"/>
        <w:left w:val="none" w:sz="0" w:space="0" w:color="auto"/>
        <w:bottom w:val="none" w:sz="0" w:space="0" w:color="auto"/>
        <w:right w:val="none" w:sz="0" w:space="0" w:color="auto"/>
      </w:divBdr>
    </w:div>
    <w:div w:id="717357472">
      <w:bodyDiv w:val="1"/>
      <w:marLeft w:val="0"/>
      <w:marRight w:val="0"/>
      <w:marTop w:val="0"/>
      <w:marBottom w:val="0"/>
      <w:divBdr>
        <w:top w:val="none" w:sz="0" w:space="0" w:color="auto"/>
        <w:left w:val="none" w:sz="0" w:space="0" w:color="auto"/>
        <w:bottom w:val="none" w:sz="0" w:space="0" w:color="auto"/>
        <w:right w:val="none" w:sz="0" w:space="0" w:color="auto"/>
      </w:divBdr>
    </w:div>
    <w:div w:id="718164183">
      <w:bodyDiv w:val="1"/>
      <w:marLeft w:val="0"/>
      <w:marRight w:val="0"/>
      <w:marTop w:val="0"/>
      <w:marBottom w:val="0"/>
      <w:divBdr>
        <w:top w:val="none" w:sz="0" w:space="0" w:color="auto"/>
        <w:left w:val="none" w:sz="0" w:space="0" w:color="auto"/>
        <w:bottom w:val="none" w:sz="0" w:space="0" w:color="auto"/>
        <w:right w:val="none" w:sz="0" w:space="0" w:color="auto"/>
      </w:divBdr>
    </w:div>
    <w:div w:id="718632298">
      <w:bodyDiv w:val="1"/>
      <w:marLeft w:val="0"/>
      <w:marRight w:val="0"/>
      <w:marTop w:val="0"/>
      <w:marBottom w:val="0"/>
      <w:divBdr>
        <w:top w:val="none" w:sz="0" w:space="0" w:color="auto"/>
        <w:left w:val="none" w:sz="0" w:space="0" w:color="auto"/>
        <w:bottom w:val="none" w:sz="0" w:space="0" w:color="auto"/>
        <w:right w:val="none" w:sz="0" w:space="0" w:color="auto"/>
      </w:divBdr>
    </w:div>
    <w:div w:id="718747655">
      <w:bodyDiv w:val="1"/>
      <w:marLeft w:val="0"/>
      <w:marRight w:val="0"/>
      <w:marTop w:val="0"/>
      <w:marBottom w:val="0"/>
      <w:divBdr>
        <w:top w:val="none" w:sz="0" w:space="0" w:color="auto"/>
        <w:left w:val="none" w:sz="0" w:space="0" w:color="auto"/>
        <w:bottom w:val="none" w:sz="0" w:space="0" w:color="auto"/>
        <w:right w:val="none" w:sz="0" w:space="0" w:color="auto"/>
      </w:divBdr>
    </w:div>
    <w:div w:id="721176156">
      <w:bodyDiv w:val="1"/>
      <w:marLeft w:val="0"/>
      <w:marRight w:val="0"/>
      <w:marTop w:val="0"/>
      <w:marBottom w:val="0"/>
      <w:divBdr>
        <w:top w:val="none" w:sz="0" w:space="0" w:color="auto"/>
        <w:left w:val="none" w:sz="0" w:space="0" w:color="auto"/>
        <w:bottom w:val="none" w:sz="0" w:space="0" w:color="auto"/>
        <w:right w:val="none" w:sz="0" w:space="0" w:color="auto"/>
      </w:divBdr>
    </w:div>
    <w:div w:id="722606647">
      <w:bodyDiv w:val="1"/>
      <w:marLeft w:val="0"/>
      <w:marRight w:val="0"/>
      <w:marTop w:val="0"/>
      <w:marBottom w:val="0"/>
      <w:divBdr>
        <w:top w:val="none" w:sz="0" w:space="0" w:color="auto"/>
        <w:left w:val="none" w:sz="0" w:space="0" w:color="auto"/>
        <w:bottom w:val="none" w:sz="0" w:space="0" w:color="auto"/>
        <w:right w:val="none" w:sz="0" w:space="0" w:color="auto"/>
      </w:divBdr>
    </w:div>
    <w:div w:id="723025463">
      <w:bodyDiv w:val="1"/>
      <w:marLeft w:val="0"/>
      <w:marRight w:val="0"/>
      <w:marTop w:val="0"/>
      <w:marBottom w:val="0"/>
      <w:divBdr>
        <w:top w:val="none" w:sz="0" w:space="0" w:color="auto"/>
        <w:left w:val="none" w:sz="0" w:space="0" w:color="auto"/>
        <w:bottom w:val="none" w:sz="0" w:space="0" w:color="auto"/>
        <w:right w:val="none" w:sz="0" w:space="0" w:color="auto"/>
      </w:divBdr>
    </w:div>
    <w:div w:id="727069997">
      <w:bodyDiv w:val="1"/>
      <w:marLeft w:val="0"/>
      <w:marRight w:val="0"/>
      <w:marTop w:val="0"/>
      <w:marBottom w:val="0"/>
      <w:divBdr>
        <w:top w:val="none" w:sz="0" w:space="0" w:color="auto"/>
        <w:left w:val="none" w:sz="0" w:space="0" w:color="auto"/>
        <w:bottom w:val="none" w:sz="0" w:space="0" w:color="auto"/>
        <w:right w:val="none" w:sz="0" w:space="0" w:color="auto"/>
      </w:divBdr>
    </w:div>
    <w:div w:id="729496742">
      <w:bodyDiv w:val="1"/>
      <w:marLeft w:val="0"/>
      <w:marRight w:val="0"/>
      <w:marTop w:val="0"/>
      <w:marBottom w:val="0"/>
      <w:divBdr>
        <w:top w:val="none" w:sz="0" w:space="0" w:color="auto"/>
        <w:left w:val="none" w:sz="0" w:space="0" w:color="auto"/>
        <w:bottom w:val="none" w:sz="0" w:space="0" w:color="auto"/>
        <w:right w:val="none" w:sz="0" w:space="0" w:color="auto"/>
      </w:divBdr>
    </w:div>
    <w:div w:id="729763827">
      <w:bodyDiv w:val="1"/>
      <w:marLeft w:val="0"/>
      <w:marRight w:val="0"/>
      <w:marTop w:val="0"/>
      <w:marBottom w:val="0"/>
      <w:divBdr>
        <w:top w:val="none" w:sz="0" w:space="0" w:color="auto"/>
        <w:left w:val="none" w:sz="0" w:space="0" w:color="auto"/>
        <w:bottom w:val="none" w:sz="0" w:space="0" w:color="auto"/>
        <w:right w:val="none" w:sz="0" w:space="0" w:color="auto"/>
      </w:divBdr>
    </w:div>
    <w:div w:id="732043085">
      <w:bodyDiv w:val="1"/>
      <w:marLeft w:val="0"/>
      <w:marRight w:val="0"/>
      <w:marTop w:val="0"/>
      <w:marBottom w:val="0"/>
      <w:divBdr>
        <w:top w:val="none" w:sz="0" w:space="0" w:color="auto"/>
        <w:left w:val="none" w:sz="0" w:space="0" w:color="auto"/>
        <w:bottom w:val="none" w:sz="0" w:space="0" w:color="auto"/>
        <w:right w:val="none" w:sz="0" w:space="0" w:color="auto"/>
      </w:divBdr>
    </w:div>
    <w:div w:id="733309691">
      <w:bodyDiv w:val="1"/>
      <w:marLeft w:val="0"/>
      <w:marRight w:val="0"/>
      <w:marTop w:val="0"/>
      <w:marBottom w:val="0"/>
      <w:divBdr>
        <w:top w:val="none" w:sz="0" w:space="0" w:color="auto"/>
        <w:left w:val="none" w:sz="0" w:space="0" w:color="auto"/>
        <w:bottom w:val="none" w:sz="0" w:space="0" w:color="auto"/>
        <w:right w:val="none" w:sz="0" w:space="0" w:color="auto"/>
      </w:divBdr>
    </w:div>
    <w:div w:id="734471651">
      <w:bodyDiv w:val="1"/>
      <w:marLeft w:val="0"/>
      <w:marRight w:val="0"/>
      <w:marTop w:val="0"/>
      <w:marBottom w:val="0"/>
      <w:divBdr>
        <w:top w:val="none" w:sz="0" w:space="0" w:color="auto"/>
        <w:left w:val="none" w:sz="0" w:space="0" w:color="auto"/>
        <w:bottom w:val="none" w:sz="0" w:space="0" w:color="auto"/>
        <w:right w:val="none" w:sz="0" w:space="0" w:color="auto"/>
      </w:divBdr>
    </w:div>
    <w:div w:id="734546168">
      <w:bodyDiv w:val="1"/>
      <w:marLeft w:val="0"/>
      <w:marRight w:val="0"/>
      <w:marTop w:val="0"/>
      <w:marBottom w:val="0"/>
      <w:divBdr>
        <w:top w:val="none" w:sz="0" w:space="0" w:color="auto"/>
        <w:left w:val="none" w:sz="0" w:space="0" w:color="auto"/>
        <w:bottom w:val="none" w:sz="0" w:space="0" w:color="auto"/>
        <w:right w:val="none" w:sz="0" w:space="0" w:color="auto"/>
      </w:divBdr>
    </w:div>
    <w:div w:id="735780498">
      <w:bodyDiv w:val="1"/>
      <w:marLeft w:val="0"/>
      <w:marRight w:val="0"/>
      <w:marTop w:val="0"/>
      <w:marBottom w:val="0"/>
      <w:divBdr>
        <w:top w:val="none" w:sz="0" w:space="0" w:color="auto"/>
        <w:left w:val="none" w:sz="0" w:space="0" w:color="auto"/>
        <w:bottom w:val="none" w:sz="0" w:space="0" w:color="auto"/>
        <w:right w:val="none" w:sz="0" w:space="0" w:color="auto"/>
      </w:divBdr>
    </w:div>
    <w:div w:id="737168464">
      <w:bodyDiv w:val="1"/>
      <w:marLeft w:val="0"/>
      <w:marRight w:val="0"/>
      <w:marTop w:val="0"/>
      <w:marBottom w:val="0"/>
      <w:divBdr>
        <w:top w:val="none" w:sz="0" w:space="0" w:color="auto"/>
        <w:left w:val="none" w:sz="0" w:space="0" w:color="auto"/>
        <w:bottom w:val="none" w:sz="0" w:space="0" w:color="auto"/>
        <w:right w:val="none" w:sz="0" w:space="0" w:color="auto"/>
      </w:divBdr>
    </w:div>
    <w:div w:id="739249538">
      <w:bodyDiv w:val="1"/>
      <w:marLeft w:val="0"/>
      <w:marRight w:val="0"/>
      <w:marTop w:val="0"/>
      <w:marBottom w:val="0"/>
      <w:divBdr>
        <w:top w:val="none" w:sz="0" w:space="0" w:color="auto"/>
        <w:left w:val="none" w:sz="0" w:space="0" w:color="auto"/>
        <w:bottom w:val="none" w:sz="0" w:space="0" w:color="auto"/>
        <w:right w:val="none" w:sz="0" w:space="0" w:color="auto"/>
      </w:divBdr>
    </w:div>
    <w:div w:id="741952898">
      <w:bodyDiv w:val="1"/>
      <w:marLeft w:val="0"/>
      <w:marRight w:val="0"/>
      <w:marTop w:val="0"/>
      <w:marBottom w:val="0"/>
      <w:divBdr>
        <w:top w:val="none" w:sz="0" w:space="0" w:color="auto"/>
        <w:left w:val="none" w:sz="0" w:space="0" w:color="auto"/>
        <w:bottom w:val="none" w:sz="0" w:space="0" w:color="auto"/>
        <w:right w:val="none" w:sz="0" w:space="0" w:color="auto"/>
      </w:divBdr>
    </w:div>
    <w:div w:id="744643603">
      <w:bodyDiv w:val="1"/>
      <w:marLeft w:val="0"/>
      <w:marRight w:val="0"/>
      <w:marTop w:val="0"/>
      <w:marBottom w:val="0"/>
      <w:divBdr>
        <w:top w:val="none" w:sz="0" w:space="0" w:color="auto"/>
        <w:left w:val="none" w:sz="0" w:space="0" w:color="auto"/>
        <w:bottom w:val="none" w:sz="0" w:space="0" w:color="auto"/>
        <w:right w:val="none" w:sz="0" w:space="0" w:color="auto"/>
      </w:divBdr>
    </w:div>
    <w:div w:id="746920515">
      <w:bodyDiv w:val="1"/>
      <w:marLeft w:val="0"/>
      <w:marRight w:val="0"/>
      <w:marTop w:val="0"/>
      <w:marBottom w:val="0"/>
      <w:divBdr>
        <w:top w:val="none" w:sz="0" w:space="0" w:color="auto"/>
        <w:left w:val="none" w:sz="0" w:space="0" w:color="auto"/>
        <w:bottom w:val="none" w:sz="0" w:space="0" w:color="auto"/>
        <w:right w:val="none" w:sz="0" w:space="0" w:color="auto"/>
      </w:divBdr>
    </w:div>
    <w:div w:id="747578282">
      <w:bodyDiv w:val="1"/>
      <w:marLeft w:val="0"/>
      <w:marRight w:val="0"/>
      <w:marTop w:val="0"/>
      <w:marBottom w:val="0"/>
      <w:divBdr>
        <w:top w:val="none" w:sz="0" w:space="0" w:color="auto"/>
        <w:left w:val="none" w:sz="0" w:space="0" w:color="auto"/>
        <w:bottom w:val="none" w:sz="0" w:space="0" w:color="auto"/>
        <w:right w:val="none" w:sz="0" w:space="0" w:color="auto"/>
      </w:divBdr>
    </w:div>
    <w:div w:id="748310472">
      <w:bodyDiv w:val="1"/>
      <w:marLeft w:val="0"/>
      <w:marRight w:val="0"/>
      <w:marTop w:val="0"/>
      <w:marBottom w:val="0"/>
      <w:divBdr>
        <w:top w:val="none" w:sz="0" w:space="0" w:color="auto"/>
        <w:left w:val="none" w:sz="0" w:space="0" w:color="auto"/>
        <w:bottom w:val="none" w:sz="0" w:space="0" w:color="auto"/>
        <w:right w:val="none" w:sz="0" w:space="0" w:color="auto"/>
      </w:divBdr>
    </w:div>
    <w:div w:id="751123812">
      <w:bodyDiv w:val="1"/>
      <w:marLeft w:val="0"/>
      <w:marRight w:val="0"/>
      <w:marTop w:val="0"/>
      <w:marBottom w:val="0"/>
      <w:divBdr>
        <w:top w:val="none" w:sz="0" w:space="0" w:color="auto"/>
        <w:left w:val="none" w:sz="0" w:space="0" w:color="auto"/>
        <w:bottom w:val="none" w:sz="0" w:space="0" w:color="auto"/>
        <w:right w:val="none" w:sz="0" w:space="0" w:color="auto"/>
      </w:divBdr>
    </w:div>
    <w:div w:id="751195065">
      <w:bodyDiv w:val="1"/>
      <w:marLeft w:val="0"/>
      <w:marRight w:val="0"/>
      <w:marTop w:val="0"/>
      <w:marBottom w:val="0"/>
      <w:divBdr>
        <w:top w:val="none" w:sz="0" w:space="0" w:color="auto"/>
        <w:left w:val="none" w:sz="0" w:space="0" w:color="auto"/>
        <w:bottom w:val="none" w:sz="0" w:space="0" w:color="auto"/>
        <w:right w:val="none" w:sz="0" w:space="0" w:color="auto"/>
      </w:divBdr>
    </w:div>
    <w:div w:id="751661493">
      <w:bodyDiv w:val="1"/>
      <w:marLeft w:val="0"/>
      <w:marRight w:val="0"/>
      <w:marTop w:val="0"/>
      <w:marBottom w:val="0"/>
      <w:divBdr>
        <w:top w:val="none" w:sz="0" w:space="0" w:color="auto"/>
        <w:left w:val="none" w:sz="0" w:space="0" w:color="auto"/>
        <w:bottom w:val="none" w:sz="0" w:space="0" w:color="auto"/>
        <w:right w:val="none" w:sz="0" w:space="0" w:color="auto"/>
      </w:divBdr>
    </w:div>
    <w:div w:id="754127878">
      <w:bodyDiv w:val="1"/>
      <w:marLeft w:val="0"/>
      <w:marRight w:val="0"/>
      <w:marTop w:val="0"/>
      <w:marBottom w:val="0"/>
      <w:divBdr>
        <w:top w:val="none" w:sz="0" w:space="0" w:color="auto"/>
        <w:left w:val="none" w:sz="0" w:space="0" w:color="auto"/>
        <w:bottom w:val="none" w:sz="0" w:space="0" w:color="auto"/>
        <w:right w:val="none" w:sz="0" w:space="0" w:color="auto"/>
      </w:divBdr>
    </w:div>
    <w:div w:id="754322901">
      <w:bodyDiv w:val="1"/>
      <w:marLeft w:val="0"/>
      <w:marRight w:val="0"/>
      <w:marTop w:val="0"/>
      <w:marBottom w:val="0"/>
      <w:divBdr>
        <w:top w:val="none" w:sz="0" w:space="0" w:color="auto"/>
        <w:left w:val="none" w:sz="0" w:space="0" w:color="auto"/>
        <w:bottom w:val="none" w:sz="0" w:space="0" w:color="auto"/>
        <w:right w:val="none" w:sz="0" w:space="0" w:color="auto"/>
      </w:divBdr>
    </w:div>
    <w:div w:id="755172540">
      <w:bodyDiv w:val="1"/>
      <w:marLeft w:val="0"/>
      <w:marRight w:val="0"/>
      <w:marTop w:val="0"/>
      <w:marBottom w:val="0"/>
      <w:divBdr>
        <w:top w:val="none" w:sz="0" w:space="0" w:color="auto"/>
        <w:left w:val="none" w:sz="0" w:space="0" w:color="auto"/>
        <w:bottom w:val="none" w:sz="0" w:space="0" w:color="auto"/>
        <w:right w:val="none" w:sz="0" w:space="0" w:color="auto"/>
      </w:divBdr>
    </w:div>
    <w:div w:id="756831491">
      <w:bodyDiv w:val="1"/>
      <w:marLeft w:val="0"/>
      <w:marRight w:val="0"/>
      <w:marTop w:val="0"/>
      <w:marBottom w:val="0"/>
      <w:divBdr>
        <w:top w:val="none" w:sz="0" w:space="0" w:color="auto"/>
        <w:left w:val="none" w:sz="0" w:space="0" w:color="auto"/>
        <w:bottom w:val="none" w:sz="0" w:space="0" w:color="auto"/>
        <w:right w:val="none" w:sz="0" w:space="0" w:color="auto"/>
      </w:divBdr>
    </w:div>
    <w:div w:id="757216832">
      <w:bodyDiv w:val="1"/>
      <w:marLeft w:val="0"/>
      <w:marRight w:val="0"/>
      <w:marTop w:val="0"/>
      <w:marBottom w:val="0"/>
      <w:divBdr>
        <w:top w:val="none" w:sz="0" w:space="0" w:color="auto"/>
        <w:left w:val="none" w:sz="0" w:space="0" w:color="auto"/>
        <w:bottom w:val="none" w:sz="0" w:space="0" w:color="auto"/>
        <w:right w:val="none" w:sz="0" w:space="0" w:color="auto"/>
      </w:divBdr>
    </w:div>
    <w:div w:id="757407852">
      <w:bodyDiv w:val="1"/>
      <w:marLeft w:val="0"/>
      <w:marRight w:val="0"/>
      <w:marTop w:val="0"/>
      <w:marBottom w:val="0"/>
      <w:divBdr>
        <w:top w:val="none" w:sz="0" w:space="0" w:color="auto"/>
        <w:left w:val="none" w:sz="0" w:space="0" w:color="auto"/>
        <w:bottom w:val="none" w:sz="0" w:space="0" w:color="auto"/>
        <w:right w:val="none" w:sz="0" w:space="0" w:color="auto"/>
      </w:divBdr>
    </w:div>
    <w:div w:id="758450498">
      <w:bodyDiv w:val="1"/>
      <w:marLeft w:val="0"/>
      <w:marRight w:val="0"/>
      <w:marTop w:val="0"/>
      <w:marBottom w:val="0"/>
      <w:divBdr>
        <w:top w:val="none" w:sz="0" w:space="0" w:color="auto"/>
        <w:left w:val="none" w:sz="0" w:space="0" w:color="auto"/>
        <w:bottom w:val="none" w:sz="0" w:space="0" w:color="auto"/>
        <w:right w:val="none" w:sz="0" w:space="0" w:color="auto"/>
      </w:divBdr>
    </w:div>
    <w:div w:id="758454367">
      <w:bodyDiv w:val="1"/>
      <w:marLeft w:val="0"/>
      <w:marRight w:val="0"/>
      <w:marTop w:val="0"/>
      <w:marBottom w:val="0"/>
      <w:divBdr>
        <w:top w:val="none" w:sz="0" w:space="0" w:color="auto"/>
        <w:left w:val="none" w:sz="0" w:space="0" w:color="auto"/>
        <w:bottom w:val="none" w:sz="0" w:space="0" w:color="auto"/>
        <w:right w:val="none" w:sz="0" w:space="0" w:color="auto"/>
      </w:divBdr>
    </w:div>
    <w:div w:id="761268851">
      <w:bodyDiv w:val="1"/>
      <w:marLeft w:val="0"/>
      <w:marRight w:val="0"/>
      <w:marTop w:val="0"/>
      <w:marBottom w:val="0"/>
      <w:divBdr>
        <w:top w:val="none" w:sz="0" w:space="0" w:color="auto"/>
        <w:left w:val="none" w:sz="0" w:space="0" w:color="auto"/>
        <w:bottom w:val="none" w:sz="0" w:space="0" w:color="auto"/>
        <w:right w:val="none" w:sz="0" w:space="0" w:color="auto"/>
      </w:divBdr>
    </w:div>
    <w:div w:id="761339183">
      <w:bodyDiv w:val="1"/>
      <w:marLeft w:val="0"/>
      <w:marRight w:val="0"/>
      <w:marTop w:val="0"/>
      <w:marBottom w:val="0"/>
      <w:divBdr>
        <w:top w:val="none" w:sz="0" w:space="0" w:color="auto"/>
        <w:left w:val="none" w:sz="0" w:space="0" w:color="auto"/>
        <w:bottom w:val="none" w:sz="0" w:space="0" w:color="auto"/>
        <w:right w:val="none" w:sz="0" w:space="0" w:color="auto"/>
      </w:divBdr>
    </w:div>
    <w:div w:id="761341083">
      <w:bodyDiv w:val="1"/>
      <w:marLeft w:val="0"/>
      <w:marRight w:val="0"/>
      <w:marTop w:val="0"/>
      <w:marBottom w:val="0"/>
      <w:divBdr>
        <w:top w:val="none" w:sz="0" w:space="0" w:color="auto"/>
        <w:left w:val="none" w:sz="0" w:space="0" w:color="auto"/>
        <w:bottom w:val="none" w:sz="0" w:space="0" w:color="auto"/>
        <w:right w:val="none" w:sz="0" w:space="0" w:color="auto"/>
      </w:divBdr>
    </w:div>
    <w:div w:id="764039515">
      <w:bodyDiv w:val="1"/>
      <w:marLeft w:val="0"/>
      <w:marRight w:val="0"/>
      <w:marTop w:val="0"/>
      <w:marBottom w:val="0"/>
      <w:divBdr>
        <w:top w:val="none" w:sz="0" w:space="0" w:color="auto"/>
        <w:left w:val="none" w:sz="0" w:space="0" w:color="auto"/>
        <w:bottom w:val="none" w:sz="0" w:space="0" w:color="auto"/>
        <w:right w:val="none" w:sz="0" w:space="0" w:color="auto"/>
      </w:divBdr>
    </w:div>
    <w:div w:id="765657344">
      <w:bodyDiv w:val="1"/>
      <w:marLeft w:val="0"/>
      <w:marRight w:val="0"/>
      <w:marTop w:val="0"/>
      <w:marBottom w:val="0"/>
      <w:divBdr>
        <w:top w:val="none" w:sz="0" w:space="0" w:color="auto"/>
        <w:left w:val="none" w:sz="0" w:space="0" w:color="auto"/>
        <w:bottom w:val="none" w:sz="0" w:space="0" w:color="auto"/>
        <w:right w:val="none" w:sz="0" w:space="0" w:color="auto"/>
      </w:divBdr>
    </w:div>
    <w:div w:id="765662523">
      <w:bodyDiv w:val="1"/>
      <w:marLeft w:val="0"/>
      <w:marRight w:val="0"/>
      <w:marTop w:val="0"/>
      <w:marBottom w:val="0"/>
      <w:divBdr>
        <w:top w:val="none" w:sz="0" w:space="0" w:color="auto"/>
        <w:left w:val="none" w:sz="0" w:space="0" w:color="auto"/>
        <w:bottom w:val="none" w:sz="0" w:space="0" w:color="auto"/>
        <w:right w:val="none" w:sz="0" w:space="0" w:color="auto"/>
      </w:divBdr>
    </w:div>
    <w:div w:id="766198601">
      <w:bodyDiv w:val="1"/>
      <w:marLeft w:val="0"/>
      <w:marRight w:val="0"/>
      <w:marTop w:val="0"/>
      <w:marBottom w:val="0"/>
      <w:divBdr>
        <w:top w:val="none" w:sz="0" w:space="0" w:color="auto"/>
        <w:left w:val="none" w:sz="0" w:space="0" w:color="auto"/>
        <w:bottom w:val="none" w:sz="0" w:space="0" w:color="auto"/>
        <w:right w:val="none" w:sz="0" w:space="0" w:color="auto"/>
      </w:divBdr>
    </w:div>
    <w:div w:id="767239117">
      <w:bodyDiv w:val="1"/>
      <w:marLeft w:val="0"/>
      <w:marRight w:val="0"/>
      <w:marTop w:val="0"/>
      <w:marBottom w:val="0"/>
      <w:divBdr>
        <w:top w:val="none" w:sz="0" w:space="0" w:color="auto"/>
        <w:left w:val="none" w:sz="0" w:space="0" w:color="auto"/>
        <w:bottom w:val="none" w:sz="0" w:space="0" w:color="auto"/>
        <w:right w:val="none" w:sz="0" w:space="0" w:color="auto"/>
      </w:divBdr>
    </w:div>
    <w:div w:id="770585584">
      <w:bodyDiv w:val="1"/>
      <w:marLeft w:val="0"/>
      <w:marRight w:val="0"/>
      <w:marTop w:val="0"/>
      <w:marBottom w:val="0"/>
      <w:divBdr>
        <w:top w:val="none" w:sz="0" w:space="0" w:color="auto"/>
        <w:left w:val="none" w:sz="0" w:space="0" w:color="auto"/>
        <w:bottom w:val="none" w:sz="0" w:space="0" w:color="auto"/>
        <w:right w:val="none" w:sz="0" w:space="0" w:color="auto"/>
      </w:divBdr>
    </w:div>
    <w:div w:id="773553520">
      <w:bodyDiv w:val="1"/>
      <w:marLeft w:val="0"/>
      <w:marRight w:val="0"/>
      <w:marTop w:val="0"/>
      <w:marBottom w:val="0"/>
      <w:divBdr>
        <w:top w:val="none" w:sz="0" w:space="0" w:color="auto"/>
        <w:left w:val="none" w:sz="0" w:space="0" w:color="auto"/>
        <w:bottom w:val="none" w:sz="0" w:space="0" w:color="auto"/>
        <w:right w:val="none" w:sz="0" w:space="0" w:color="auto"/>
      </w:divBdr>
    </w:div>
    <w:div w:id="774330102">
      <w:bodyDiv w:val="1"/>
      <w:marLeft w:val="0"/>
      <w:marRight w:val="0"/>
      <w:marTop w:val="0"/>
      <w:marBottom w:val="0"/>
      <w:divBdr>
        <w:top w:val="none" w:sz="0" w:space="0" w:color="auto"/>
        <w:left w:val="none" w:sz="0" w:space="0" w:color="auto"/>
        <w:bottom w:val="none" w:sz="0" w:space="0" w:color="auto"/>
        <w:right w:val="none" w:sz="0" w:space="0" w:color="auto"/>
      </w:divBdr>
    </w:div>
    <w:div w:id="775909582">
      <w:bodyDiv w:val="1"/>
      <w:marLeft w:val="0"/>
      <w:marRight w:val="0"/>
      <w:marTop w:val="0"/>
      <w:marBottom w:val="0"/>
      <w:divBdr>
        <w:top w:val="none" w:sz="0" w:space="0" w:color="auto"/>
        <w:left w:val="none" w:sz="0" w:space="0" w:color="auto"/>
        <w:bottom w:val="none" w:sz="0" w:space="0" w:color="auto"/>
        <w:right w:val="none" w:sz="0" w:space="0" w:color="auto"/>
      </w:divBdr>
    </w:div>
    <w:div w:id="776019106">
      <w:bodyDiv w:val="1"/>
      <w:marLeft w:val="0"/>
      <w:marRight w:val="0"/>
      <w:marTop w:val="0"/>
      <w:marBottom w:val="0"/>
      <w:divBdr>
        <w:top w:val="none" w:sz="0" w:space="0" w:color="auto"/>
        <w:left w:val="none" w:sz="0" w:space="0" w:color="auto"/>
        <w:bottom w:val="none" w:sz="0" w:space="0" w:color="auto"/>
        <w:right w:val="none" w:sz="0" w:space="0" w:color="auto"/>
      </w:divBdr>
    </w:div>
    <w:div w:id="776293440">
      <w:bodyDiv w:val="1"/>
      <w:marLeft w:val="0"/>
      <w:marRight w:val="0"/>
      <w:marTop w:val="0"/>
      <w:marBottom w:val="0"/>
      <w:divBdr>
        <w:top w:val="none" w:sz="0" w:space="0" w:color="auto"/>
        <w:left w:val="none" w:sz="0" w:space="0" w:color="auto"/>
        <w:bottom w:val="none" w:sz="0" w:space="0" w:color="auto"/>
        <w:right w:val="none" w:sz="0" w:space="0" w:color="auto"/>
      </w:divBdr>
    </w:div>
    <w:div w:id="777333154">
      <w:bodyDiv w:val="1"/>
      <w:marLeft w:val="0"/>
      <w:marRight w:val="0"/>
      <w:marTop w:val="0"/>
      <w:marBottom w:val="0"/>
      <w:divBdr>
        <w:top w:val="none" w:sz="0" w:space="0" w:color="auto"/>
        <w:left w:val="none" w:sz="0" w:space="0" w:color="auto"/>
        <w:bottom w:val="none" w:sz="0" w:space="0" w:color="auto"/>
        <w:right w:val="none" w:sz="0" w:space="0" w:color="auto"/>
      </w:divBdr>
    </w:div>
    <w:div w:id="779573116">
      <w:bodyDiv w:val="1"/>
      <w:marLeft w:val="0"/>
      <w:marRight w:val="0"/>
      <w:marTop w:val="0"/>
      <w:marBottom w:val="0"/>
      <w:divBdr>
        <w:top w:val="none" w:sz="0" w:space="0" w:color="auto"/>
        <w:left w:val="none" w:sz="0" w:space="0" w:color="auto"/>
        <w:bottom w:val="none" w:sz="0" w:space="0" w:color="auto"/>
        <w:right w:val="none" w:sz="0" w:space="0" w:color="auto"/>
      </w:divBdr>
    </w:div>
    <w:div w:id="781532027">
      <w:bodyDiv w:val="1"/>
      <w:marLeft w:val="0"/>
      <w:marRight w:val="0"/>
      <w:marTop w:val="0"/>
      <w:marBottom w:val="0"/>
      <w:divBdr>
        <w:top w:val="none" w:sz="0" w:space="0" w:color="auto"/>
        <w:left w:val="none" w:sz="0" w:space="0" w:color="auto"/>
        <w:bottom w:val="none" w:sz="0" w:space="0" w:color="auto"/>
        <w:right w:val="none" w:sz="0" w:space="0" w:color="auto"/>
      </w:divBdr>
    </w:div>
    <w:div w:id="782919714">
      <w:bodyDiv w:val="1"/>
      <w:marLeft w:val="0"/>
      <w:marRight w:val="0"/>
      <w:marTop w:val="0"/>
      <w:marBottom w:val="0"/>
      <w:divBdr>
        <w:top w:val="none" w:sz="0" w:space="0" w:color="auto"/>
        <w:left w:val="none" w:sz="0" w:space="0" w:color="auto"/>
        <w:bottom w:val="none" w:sz="0" w:space="0" w:color="auto"/>
        <w:right w:val="none" w:sz="0" w:space="0" w:color="auto"/>
      </w:divBdr>
    </w:div>
    <w:div w:id="786850295">
      <w:bodyDiv w:val="1"/>
      <w:marLeft w:val="0"/>
      <w:marRight w:val="0"/>
      <w:marTop w:val="0"/>
      <w:marBottom w:val="0"/>
      <w:divBdr>
        <w:top w:val="none" w:sz="0" w:space="0" w:color="auto"/>
        <w:left w:val="none" w:sz="0" w:space="0" w:color="auto"/>
        <w:bottom w:val="none" w:sz="0" w:space="0" w:color="auto"/>
        <w:right w:val="none" w:sz="0" w:space="0" w:color="auto"/>
      </w:divBdr>
    </w:div>
    <w:div w:id="790897437">
      <w:bodyDiv w:val="1"/>
      <w:marLeft w:val="0"/>
      <w:marRight w:val="0"/>
      <w:marTop w:val="0"/>
      <w:marBottom w:val="0"/>
      <w:divBdr>
        <w:top w:val="none" w:sz="0" w:space="0" w:color="auto"/>
        <w:left w:val="none" w:sz="0" w:space="0" w:color="auto"/>
        <w:bottom w:val="none" w:sz="0" w:space="0" w:color="auto"/>
        <w:right w:val="none" w:sz="0" w:space="0" w:color="auto"/>
      </w:divBdr>
    </w:div>
    <w:div w:id="790972717">
      <w:bodyDiv w:val="1"/>
      <w:marLeft w:val="0"/>
      <w:marRight w:val="0"/>
      <w:marTop w:val="0"/>
      <w:marBottom w:val="0"/>
      <w:divBdr>
        <w:top w:val="none" w:sz="0" w:space="0" w:color="auto"/>
        <w:left w:val="none" w:sz="0" w:space="0" w:color="auto"/>
        <w:bottom w:val="none" w:sz="0" w:space="0" w:color="auto"/>
        <w:right w:val="none" w:sz="0" w:space="0" w:color="auto"/>
      </w:divBdr>
    </w:div>
    <w:div w:id="790976995">
      <w:bodyDiv w:val="1"/>
      <w:marLeft w:val="0"/>
      <w:marRight w:val="0"/>
      <w:marTop w:val="0"/>
      <w:marBottom w:val="0"/>
      <w:divBdr>
        <w:top w:val="none" w:sz="0" w:space="0" w:color="auto"/>
        <w:left w:val="none" w:sz="0" w:space="0" w:color="auto"/>
        <w:bottom w:val="none" w:sz="0" w:space="0" w:color="auto"/>
        <w:right w:val="none" w:sz="0" w:space="0" w:color="auto"/>
      </w:divBdr>
    </w:div>
    <w:div w:id="791747538">
      <w:bodyDiv w:val="1"/>
      <w:marLeft w:val="0"/>
      <w:marRight w:val="0"/>
      <w:marTop w:val="0"/>
      <w:marBottom w:val="0"/>
      <w:divBdr>
        <w:top w:val="none" w:sz="0" w:space="0" w:color="auto"/>
        <w:left w:val="none" w:sz="0" w:space="0" w:color="auto"/>
        <w:bottom w:val="none" w:sz="0" w:space="0" w:color="auto"/>
        <w:right w:val="none" w:sz="0" w:space="0" w:color="auto"/>
      </w:divBdr>
    </w:div>
    <w:div w:id="793251953">
      <w:bodyDiv w:val="1"/>
      <w:marLeft w:val="0"/>
      <w:marRight w:val="0"/>
      <w:marTop w:val="0"/>
      <w:marBottom w:val="0"/>
      <w:divBdr>
        <w:top w:val="none" w:sz="0" w:space="0" w:color="auto"/>
        <w:left w:val="none" w:sz="0" w:space="0" w:color="auto"/>
        <w:bottom w:val="none" w:sz="0" w:space="0" w:color="auto"/>
        <w:right w:val="none" w:sz="0" w:space="0" w:color="auto"/>
      </w:divBdr>
    </w:div>
    <w:div w:id="793257898">
      <w:bodyDiv w:val="1"/>
      <w:marLeft w:val="0"/>
      <w:marRight w:val="0"/>
      <w:marTop w:val="0"/>
      <w:marBottom w:val="0"/>
      <w:divBdr>
        <w:top w:val="none" w:sz="0" w:space="0" w:color="auto"/>
        <w:left w:val="none" w:sz="0" w:space="0" w:color="auto"/>
        <w:bottom w:val="none" w:sz="0" w:space="0" w:color="auto"/>
        <w:right w:val="none" w:sz="0" w:space="0" w:color="auto"/>
      </w:divBdr>
    </w:div>
    <w:div w:id="794638988">
      <w:bodyDiv w:val="1"/>
      <w:marLeft w:val="0"/>
      <w:marRight w:val="0"/>
      <w:marTop w:val="0"/>
      <w:marBottom w:val="0"/>
      <w:divBdr>
        <w:top w:val="none" w:sz="0" w:space="0" w:color="auto"/>
        <w:left w:val="none" w:sz="0" w:space="0" w:color="auto"/>
        <w:bottom w:val="none" w:sz="0" w:space="0" w:color="auto"/>
        <w:right w:val="none" w:sz="0" w:space="0" w:color="auto"/>
      </w:divBdr>
      <w:divsChild>
        <w:div w:id="988249578">
          <w:marLeft w:val="0"/>
          <w:marRight w:val="0"/>
          <w:marTop w:val="0"/>
          <w:marBottom w:val="0"/>
          <w:divBdr>
            <w:top w:val="none" w:sz="0" w:space="0" w:color="auto"/>
            <w:left w:val="none" w:sz="0" w:space="0" w:color="auto"/>
            <w:bottom w:val="none" w:sz="0" w:space="0" w:color="auto"/>
            <w:right w:val="none" w:sz="0" w:space="0" w:color="auto"/>
          </w:divBdr>
        </w:div>
      </w:divsChild>
    </w:div>
    <w:div w:id="796728304">
      <w:bodyDiv w:val="1"/>
      <w:marLeft w:val="0"/>
      <w:marRight w:val="0"/>
      <w:marTop w:val="0"/>
      <w:marBottom w:val="0"/>
      <w:divBdr>
        <w:top w:val="none" w:sz="0" w:space="0" w:color="auto"/>
        <w:left w:val="none" w:sz="0" w:space="0" w:color="auto"/>
        <w:bottom w:val="none" w:sz="0" w:space="0" w:color="auto"/>
        <w:right w:val="none" w:sz="0" w:space="0" w:color="auto"/>
      </w:divBdr>
    </w:div>
    <w:div w:id="797183799">
      <w:bodyDiv w:val="1"/>
      <w:marLeft w:val="0"/>
      <w:marRight w:val="0"/>
      <w:marTop w:val="0"/>
      <w:marBottom w:val="0"/>
      <w:divBdr>
        <w:top w:val="none" w:sz="0" w:space="0" w:color="auto"/>
        <w:left w:val="none" w:sz="0" w:space="0" w:color="auto"/>
        <w:bottom w:val="none" w:sz="0" w:space="0" w:color="auto"/>
        <w:right w:val="none" w:sz="0" w:space="0" w:color="auto"/>
      </w:divBdr>
    </w:div>
    <w:div w:id="798912165">
      <w:bodyDiv w:val="1"/>
      <w:marLeft w:val="0"/>
      <w:marRight w:val="0"/>
      <w:marTop w:val="0"/>
      <w:marBottom w:val="0"/>
      <w:divBdr>
        <w:top w:val="none" w:sz="0" w:space="0" w:color="auto"/>
        <w:left w:val="none" w:sz="0" w:space="0" w:color="auto"/>
        <w:bottom w:val="none" w:sz="0" w:space="0" w:color="auto"/>
        <w:right w:val="none" w:sz="0" w:space="0" w:color="auto"/>
      </w:divBdr>
    </w:div>
    <w:div w:id="805394285">
      <w:bodyDiv w:val="1"/>
      <w:marLeft w:val="0"/>
      <w:marRight w:val="0"/>
      <w:marTop w:val="0"/>
      <w:marBottom w:val="0"/>
      <w:divBdr>
        <w:top w:val="none" w:sz="0" w:space="0" w:color="auto"/>
        <w:left w:val="none" w:sz="0" w:space="0" w:color="auto"/>
        <w:bottom w:val="none" w:sz="0" w:space="0" w:color="auto"/>
        <w:right w:val="none" w:sz="0" w:space="0" w:color="auto"/>
      </w:divBdr>
    </w:div>
    <w:div w:id="805439963">
      <w:bodyDiv w:val="1"/>
      <w:marLeft w:val="0"/>
      <w:marRight w:val="0"/>
      <w:marTop w:val="0"/>
      <w:marBottom w:val="0"/>
      <w:divBdr>
        <w:top w:val="none" w:sz="0" w:space="0" w:color="auto"/>
        <w:left w:val="none" w:sz="0" w:space="0" w:color="auto"/>
        <w:bottom w:val="none" w:sz="0" w:space="0" w:color="auto"/>
        <w:right w:val="none" w:sz="0" w:space="0" w:color="auto"/>
      </w:divBdr>
    </w:div>
    <w:div w:id="806316279">
      <w:bodyDiv w:val="1"/>
      <w:marLeft w:val="0"/>
      <w:marRight w:val="0"/>
      <w:marTop w:val="0"/>
      <w:marBottom w:val="0"/>
      <w:divBdr>
        <w:top w:val="none" w:sz="0" w:space="0" w:color="auto"/>
        <w:left w:val="none" w:sz="0" w:space="0" w:color="auto"/>
        <w:bottom w:val="none" w:sz="0" w:space="0" w:color="auto"/>
        <w:right w:val="none" w:sz="0" w:space="0" w:color="auto"/>
      </w:divBdr>
    </w:div>
    <w:div w:id="809785448">
      <w:bodyDiv w:val="1"/>
      <w:marLeft w:val="0"/>
      <w:marRight w:val="0"/>
      <w:marTop w:val="0"/>
      <w:marBottom w:val="0"/>
      <w:divBdr>
        <w:top w:val="none" w:sz="0" w:space="0" w:color="auto"/>
        <w:left w:val="none" w:sz="0" w:space="0" w:color="auto"/>
        <w:bottom w:val="none" w:sz="0" w:space="0" w:color="auto"/>
        <w:right w:val="none" w:sz="0" w:space="0" w:color="auto"/>
      </w:divBdr>
    </w:div>
    <w:div w:id="810639519">
      <w:bodyDiv w:val="1"/>
      <w:marLeft w:val="0"/>
      <w:marRight w:val="0"/>
      <w:marTop w:val="0"/>
      <w:marBottom w:val="0"/>
      <w:divBdr>
        <w:top w:val="none" w:sz="0" w:space="0" w:color="auto"/>
        <w:left w:val="none" w:sz="0" w:space="0" w:color="auto"/>
        <w:bottom w:val="none" w:sz="0" w:space="0" w:color="auto"/>
        <w:right w:val="none" w:sz="0" w:space="0" w:color="auto"/>
      </w:divBdr>
    </w:div>
    <w:div w:id="811752582">
      <w:bodyDiv w:val="1"/>
      <w:marLeft w:val="0"/>
      <w:marRight w:val="0"/>
      <w:marTop w:val="0"/>
      <w:marBottom w:val="0"/>
      <w:divBdr>
        <w:top w:val="none" w:sz="0" w:space="0" w:color="auto"/>
        <w:left w:val="none" w:sz="0" w:space="0" w:color="auto"/>
        <w:bottom w:val="none" w:sz="0" w:space="0" w:color="auto"/>
        <w:right w:val="none" w:sz="0" w:space="0" w:color="auto"/>
      </w:divBdr>
    </w:div>
    <w:div w:id="812211613">
      <w:bodyDiv w:val="1"/>
      <w:marLeft w:val="0"/>
      <w:marRight w:val="0"/>
      <w:marTop w:val="0"/>
      <w:marBottom w:val="0"/>
      <w:divBdr>
        <w:top w:val="none" w:sz="0" w:space="0" w:color="auto"/>
        <w:left w:val="none" w:sz="0" w:space="0" w:color="auto"/>
        <w:bottom w:val="none" w:sz="0" w:space="0" w:color="auto"/>
        <w:right w:val="none" w:sz="0" w:space="0" w:color="auto"/>
      </w:divBdr>
    </w:div>
    <w:div w:id="812327898">
      <w:bodyDiv w:val="1"/>
      <w:marLeft w:val="0"/>
      <w:marRight w:val="0"/>
      <w:marTop w:val="0"/>
      <w:marBottom w:val="0"/>
      <w:divBdr>
        <w:top w:val="none" w:sz="0" w:space="0" w:color="auto"/>
        <w:left w:val="none" w:sz="0" w:space="0" w:color="auto"/>
        <w:bottom w:val="none" w:sz="0" w:space="0" w:color="auto"/>
        <w:right w:val="none" w:sz="0" w:space="0" w:color="auto"/>
      </w:divBdr>
    </w:div>
    <w:div w:id="812521842">
      <w:bodyDiv w:val="1"/>
      <w:marLeft w:val="0"/>
      <w:marRight w:val="0"/>
      <w:marTop w:val="0"/>
      <w:marBottom w:val="0"/>
      <w:divBdr>
        <w:top w:val="none" w:sz="0" w:space="0" w:color="auto"/>
        <w:left w:val="none" w:sz="0" w:space="0" w:color="auto"/>
        <w:bottom w:val="none" w:sz="0" w:space="0" w:color="auto"/>
        <w:right w:val="none" w:sz="0" w:space="0" w:color="auto"/>
      </w:divBdr>
    </w:div>
    <w:div w:id="816536957">
      <w:bodyDiv w:val="1"/>
      <w:marLeft w:val="0"/>
      <w:marRight w:val="0"/>
      <w:marTop w:val="0"/>
      <w:marBottom w:val="0"/>
      <w:divBdr>
        <w:top w:val="none" w:sz="0" w:space="0" w:color="auto"/>
        <w:left w:val="none" w:sz="0" w:space="0" w:color="auto"/>
        <w:bottom w:val="none" w:sz="0" w:space="0" w:color="auto"/>
        <w:right w:val="none" w:sz="0" w:space="0" w:color="auto"/>
      </w:divBdr>
    </w:div>
    <w:div w:id="816843668">
      <w:bodyDiv w:val="1"/>
      <w:marLeft w:val="0"/>
      <w:marRight w:val="0"/>
      <w:marTop w:val="0"/>
      <w:marBottom w:val="0"/>
      <w:divBdr>
        <w:top w:val="none" w:sz="0" w:space="0" w:color="auto"/>
        <w:left w:val="none" w:sz="0" w:space="0" w:color="auto"/>
        <w:bottom w:val="none" w:sz="0" w:space="0" w:color="auto"/>
        <w:right w:val="none" w:sz="0" w:space="0" w:color="auto"/>
      </w:divBdr>
    </w:div>
    <w:div w:id="817890408">
      <w:bodyDiv w:val="1"/>
      <w:marLeft w:val="0"/>
      <w:marRight w:val="0"/>
      <w:marTop w:val="0"/>
      <w:marBottom w:val="0"/>
      <w:divBdr>
        <w:top w:val="none" w:sz="0" w:space="0" w:color="auto"/>
        <w:left w:val="none" w:sz="0" w:space="0" w:color="auto"/>
        <w:bottom w:val="none" w:sz="0" w:space="0" w:color="auto"/>
        <w:right w:val="none" w:sz="0" w:space="0" w:color="auto"/>
      </w:divBdr>
    </w:div>
    <w:div w:id="818228886">
      <w:bodyDiv w:val="1"/>
      <w:marLeft w:val="0"/>
      <w:marRight w:val="0"/>
      <w:marTop w:val="0"/>
      <w:marBottom w:val="0"/>
      <w:divBdr>
        <w:top w:val="none" w:sz="0" w:space="0" w:color="auto"/>
        <w:left w:val="none" w:sz="0" w:space="0" w:color="auto"/>
        <w:bottom w:val="none" w:sz="0" w:space="0" w:color="auto"/>
        <w:right w:val="none" w:sz="0" w:space="0" w:color="auto"/>
      </w:divBdr>
    </w:div>
    <w:div w:id="819538812">
      <w:bodyDiv w:val="1"/>
      <w:marLeft w:val="0"/>
      <w:marRight w:val="0"/>
      <w:marTop w:val="0"/>
      <w:marBottom w:val="0"/>
      <w:divBdr>
        <w:top w:val="none" w:sz="0" w:space="0" w:color="auto"/>
        <w:left w:val="none" w:sz="0" w:space="0" w:color="auto"/>
        <w:bottom w:val="none" w:sz="0" w:space="0" w:color="auto"/>
        <w:right w:val="none" w:sz="0" w:space="0" w:color="auto"/>
      </w:divBdr>
    </w:div>
    <w:div w:id="823551399">
      <w:bodyDiv w:val="1"/>
      <w:marLeft w:val="0"/>
      <w:marRight w:val="0"/>
      <w:marTop w:val="0"/>
      <w:marBottom w:val="0"/>
      <w:divBdr>
        <w:top w:val="none" w:sz="0" w:space="0" w:color="auto"/>
        <w:left w:val="none" w:sz="0" w:space="0" w:color="auto"/>
        <w:bottom w:val="none" w:sz="0" w:space="0" w:color="auto"/>
        <w:right w:val="none" w:sz="0" w:space="0" w:color="auto"/>
      </w:divBdr>
    </w:div>
    <w:div w:id="825971749">
      <w:bodyDiv w:val="1"/>
      <w:marLeft w:val="0"/>
      <w:marRight w:val="0"/>
      <w:marTop w:val="0"/>
      <w:marBottom w:val="0"/>
      <w:divBdr>
        <w:top w:val="none" w:sz="0" w:space="0" w:color="auto"/>
        <w:left w:val="none" w:sz="0" w:space="0" w:color="auto"/>
        <w:bottom w:val="none" w:sz="0" w:space="0" w:color="auto"/>
        <w:right w:val="none" w:sz="0" w:space="0" w:color="auto"/>
      </w:divBdr>
    </w:div>
    <w:div w:id="828255649">
      <w:bodyDiv w:val="1"/>
      <w:marLeft w:val="0"/>
      <w:marRight w:val="0"/>
      <w:marTop w:val="0"/>
      <w:marBottom w:val="0"/>
      <w:divBdr>
        <w:top w:val="none" w:sz="0" w:space="0" w:color="auto"/>
        <w:left w:val="none" w:sz="0" w:space="0" w:color="auto"/>
        <w:bottom w:val="none" w:sz="0" w:space="0" w:color="auto"/>
        <w:right w:val="none" w:sz="0" w:space="0" w:color="auto"/>
      </w:divBdr>
    </w:div>
    <w:div w:id="828517557">
      <w:bodyDiv w:val="1"/>
      <w:marLeft w:val="0"/>
      <w:marRight w:val="0"/>
      <w:marTop w:val="0"/>
      <w:marBottom w:val="0"/>
      <w:divBdr>
        <w:top w:val="none" w:sz="0" w:space="0" w:color="auto"/>
        <w:left w:val="none" w:sz="0" w:space="0" w:color="auto"/>
        <w:bottom w:val="none" w:sz="0" w:space="0" w:color="auto"/>
        <w:right w:val="none" w:sz="0" w:space="0" w:color="auto"/>
      </w:divBdr>
    </w:div>
    <w:div w:id="828794272">
      <w:bodyDiv w:val="1"/>
      <w:marLeft w:val="0"/>
      <w:marRight w:val="0"/>
      <w:marTop w:val="0"/>
      <w:marBottom w:val="0"/>
      <w:divBdr>
        <w:top w:val="none" w:sz="0" w:space="0" w:color="auto"/>
        <w:left w:val="none" w:sz="0" w:space="0" w:color="auto"/>
        <w:bottom w:val="none" w:sz="0" w:space="0" w:color="auto"/>
        <w:right w:val="none" w:sz="0" w:space="0" w:color="auto"/>
      </w:divBdr>
    </w:div>
    <w:div w:id="829952679">
      <w:bodyDiv w:val="1"/>
      <w:marLeft w:val="0"/>
      <w:marRight w:val="0"/>
      <w:marTop w:val="0"/>
      <w:marBottom w:val="0"/>
      <w:divBdr>
        <w:top w:val="none" w:sz="0" w:space="0" w:color="auto"/>
        <w:left w:val="none" w:sz="0" w:space="0" w:color="auto"/>
        <w:bottom w:val="none" w:sz="0" w:space="0" w:color="auto"/>
        <w:right w:val="none" w:sz="0" w:space="0" w:color="auto"/>
      </w:divBdr>
    </w:div>
    <w:div w:id="831456435">
      <w:bodyDiv w:val="1"/>
      <w:marLeft w:val="0"/>
      <w:marRight w:val="0"/>
      <w:marTop w:val="0"/>
      <w:marBottom w:val="0"/>
      <w:divBdr>
        <w:top w:val="none" w:sz="0" w:space="0" w:color="auto"/>
        <w:left w:val="none" w:sz="0" w:space="0" w:color="auto"/>
        <w:bottom w:val="none" w:sz="0" w:space="0" w:color="auto"/>
        <w:right w:val="none" w:sz="0" w:space="0" w:color="auto"/>
      </w:divBdr>
    </w:div>
    <w:div w:id="831683994">
      <w:bodyDiv w:val="1"/>
      <w:marLeft w:val="0"/>
      <w:marRight w:val="0"/>
      <w:marTop w:val="0"/>
      <w:marBottom w:val="0"/>
      <w:divBdr>
        <w:top w:val="none" w:sz="0" w:space="0" w:color="auto"/>
        <w:left w:val="none" w:sz="0" w:space="0" w:color="auto"/>
        <w:bottom w:val="none" w:sz="0" w:space="0" w:color="auto"/>
        <w:right w:val="none" w:sz="0" w:space="0" w:color="auto"/>
      </w:divBdr>
    </w:div>
    <w:div w:id="832141260">
      <w:bodyDiv w:val="1"/>
      <w:marLeft w:val="0"/>
      <w:marRight w:val="0"/>
      <w:marTop w:val="0"/>
      <w:marBottom w:val="0"/>
      <w:divBdr>
        <w:top w:val="none" w:sz="0" w:space="0" w:color="auto"/>
        <w:left w:val="none" w:sz="0" w:space="0" w:color="auto"/>
        <w:bottom w:val="none" w:sz="0" w:space="0" w:color="auto"/>
        <w:right w:val="none" w:sz="0" w:space="0" w:color="auto"/>
      </w:divBdr>
    </w:div>
    <w:div w:id="832333753">
      <w:bodyDiv w:val="1"/>
      <w:marLeft w:val="0"/>
      <w:marRight w:val="0"/>
      <w:marTop w:val="0"/>
      <w:marBottom w:val="0"/>
      <w:divBdr>
        <w:top w:val="none" w:sz="0" w:space="0" w:color="auto"/>
        <w:left w:val="none" w:sz="0" w:space="0" w:color="auto"/>
        <w:bottom w:val="none" w:sz="0" w:space="0" w:color="auto"/>
        <w:right w:val="none" w:sz="0" w:space="0" w:color="auto"/>
      </w:divBdr>
    </w:div>
    <w:div w:id="832381809">
      <w:bodyDiv w:val="1"/>
      <w:marLeft w:val="0"/>
      <w:marRight w:val="0"/>
      <w:marTop w:val="0"/>
      <w:marBottom w:val="0"/>
      <w:divBdr>
        <w:top w:val="none" w:sz="0" w:space="0" w:color="auto"/>
        <w:left w:val="none" w:sz="0" w:space="0" w:color="auto"/>
        <w:bottom w:val="none" w:sz="0" w:space="0" w:color="auto"/>
        <w:right w:val="none" w:sz="0" w:space="0" w:color="auto"/>
      </w:divBdr>
    </w:div>
    <w:div w:id="835456803">
      <w:bodyDiv w:val="1"/>
      <w:marLeft w:val="0"/>
      <w:marRight w:val="0"/>
      <w:marTop w:val="0"/>
      <w:marBottom w:val="0"/>
      <w:divBdr>
        <w:top w:val="none" w:sz="0" w:space="0" w:color="auto"/>
        <w:left w:val="none" w:sz="0" w:space="0" w:color="auto"/>
        <w:bottom w:val="none" w:sz="0" w:space="0" w:color="auto"/>
        <w:right w:val="none" w:sz="0" w:space="0" w:color="auto"/>
      </w:divBdr>
    </w:div>
    <w:div w:id="841244219">
      <w:bodyDiv w:val="1"/>
      <w:marLeft w:val="0"/>
      <w:marRight w:val="0"/>
      <w:marTop w:val="0"/>
      <w:marBottom w:val="0"/>
      <w:divBdr>
        <w:top w:val="none" w:sz="0" w:space="0" w:color="auto"/>
        <w:left w:val="none" w:sz="0" w:space="0" w:color="auto"/>
        <w:bottom w:val="none" w:sz="0" w:space="0" w:color="auto"/>
        <w:right w:val="none" w:sz="0" w:space="0" w:color="auto"/>
      </w:divBdr>
      <w:divsChild>
        <w:div w:id="693075772">
          <w:marLeft w:val="0"/>
          <w:marRight w:val="0"/>
          <w:marTop w:val="0"/>
          <w:marBottom w:val="0"/>
          <w:divBdr>
            <w:top w:val="none" w:sz="0" w:space="0" w:color="auto"/>
            <w:left w:val="none" w:sz="0" w:space="0" w:color="auto"/>
            <w:bottom w:val="none" w:sz="0" w:space="0" w:color="auto"/>
            <w:right w:val="none" w:sz="0" w:space="0" w:color="auto"/>
          </w:divBdr>
          <w:divsChild>
            <w:div w:id="2101172878">
              <w:marLeft w:val="0"/>
              <w:marRight w:val="0"/>
              <w:marTop w:val="0"/>
              <w:marBottom w:val="0"/>
              <w:divBdr>
                <w:top w:val="none" w:sz="0" w:space="0" w:color="auto"/>
                <w:left w:val="none" w:sz="0" w:space="0" w:color="auto"/>
                <w:bottom w:val="none" w:sz="0" w:space="0" w:color="auto"/>
                <w:right w:val="none" w:sz="0" w:space="0" w:color="auto"/>
              </w:divBdr>
              <w:divsChild>
                <w:div w:id="8762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4559">
      <w:bodyDiv w:val="1"/>
      <w:marLeft w:val="0"/>
      <w:marRight w:val="0"/>
      <w:marTop w:val="0"/>
      <w:marBottom w:val="0"/>
      <w:divBdr>
        <w:top w:val="none" w:sz="0" w:space="0" w:color="auto"/>
        <w:left w:val="none" w:sz="0" w:space="0" w:color="auto"/>
        <w:bottom w:val="none" w:sz="0" w:space="0" w:color="auto"/>
        <w:right w:val="none" w:sz="0" w:space="0" w:color="auto"/>
      </w:divBdr>
    </w:div>
    <w:div w:id="843394796">
      <w:bodyDiv w:val="1"/>
      <w:marLeft w:val="0"/>
      <w:marRight w:val="0"/>
      <w:marTop w:val="0"/>
      <w:marBottom w:val="0"/>
      <w:divBdr>
        <w:top w:val="none" w:sz="0" w:space="0" w:color="auto"/>
        <w:left w:val="none" w:sz="0" w:space="0" w:color="auto"/>
        <w:bottom w:val="none" w:sz="0" w:space="0" w:color="auto"/>
        <w:right w:val="none" w:sz="0" w:space="0" w:color="auto"/>
      </w:divBdr>
    </w:div>
    <w:div w:id="844707139">
      <w:bodyDiv w:val="1"/>
      <w:marLeft w:val="0"/>
      <w:marRight w:val="0"/>
      <w:marTop w:val="0"/>
      <w:marBottom w:val="0"/>
      <w:divBdr>
        <w:top w:val="none" w:sz="0" w:space="0" w:color="auto"/>
        <w:left w:val="none" w:sz="0" w:space="0" w:color="auto"/>
        <w:bottom w:val="none" w:sz="0" w:space="0" w:color="auto"/>
        <w:right w:val="none" w:sz="0" w:space="0" w:color="auto"/>
      </w:divBdr>
    </w:div>
    <w:div w:id="845633839">
      <w:bodyDiv w:val="1"/>
      <w:marLeft w:val="0"/>
      <w:marRight w:val="0"/>
      <w:marTop w:val="0"/>
      <w:marBottom w:val="0"/>
      <w:divBdr>
        <w:top w:val="none" w:sz="0" w:space="0" w:color="auto"/>
        <w:left w:val="none" w:sz="0" w:space="0" w:color="auto"/>
        <w:bottom w:val="none" w:sz="0" w:space="0" w:color="auto"/>
        <w:right w:val="none" w:sz="0" w:space="0" w:color="auto"/>
      </w:divBdr>
    </w:div>
    <w:div w:id="848445214">
      <w:bodyDiv w:val="1"/>
      <w:marLeft w:val="0"/>
      <w:marRight w:val="0"/>
      <w:marTop w:val="0"/>
      <w:marBottom w:val="0"/>
      <w:divBdr>
        <w:top w:val="none" w:sz="0" w:space="0" w:color="auto"/>
        <w:left w:val="none" w:sz="0" w:space="0" w:color="auto"/>
        <w:bottom w:val="none" w:sz="0" w:space="0" w:color="auto"/>
        <w:right w:val="none" w:sz="0" w:space="0" w:color="auto"/>
      </w:divBdr>
    </w:div>
    <w:div w:id="850920727">
      <w:bodyDiv w:val="1"/>
      <w:marLeft w:val="0"/>
      <w:marRight w:val="0"/>
      <w:marTop w:val="0"/>
      <w:marBottom w:val="0"/>
      <w:divBdr>
        <w:top w:val="none" w:sz="0" w:space="0" w:color="auto"/>
        <w:left w:val="none" w:sz="0" w:space="0" w:color="auto"/>
        <w:bottom w:val="none" w:sz="0" w:space="0" w:color="auto"/>
        <w:right w:val="none" w:sz="0" w:space="0" w:color="auto"/>
      </w:divBdr>
    </w:div>
    <w:div w:id="851989945">
      <w:bodyDiv w:val="1"/>
      <w:marLeft w:val="0"/>
      <w:marRight w:val="0"/>
      <w:marTop w:val="0"/>
      <w:marBottom w:val="0"/>
      <w:divBdr>
        <w:top w:val="none" w:sz="0" w:space="0" w:color="auto"/>
        <w:left w:val="none" w:sz="0" w:space="0" w:color="auto"/>
        <w:bottom w:val="none" w:sz="0" w:space="0" w:color="auto"/>
        <w:right w:val="none" w:sz="0" w:space="0" w:color="auto"/>
      </w:divBdr>
    </w:div>
    <w:div w:id="852108117">
      <w:bodyDiv w:val="1"/>
      <w:marLeft w:val="0"/>
      <w:marRight w:val="0"/>
      <w:marTop w:val="0"/>
      <w:marBottom w:val="0"/>
      <w:divBdr>
        <w:top w:val="none" w:sz="0" w:space="0" w:color="auto"/>
        <w:left w:val="none" w:sz="0" w:space="0" w:color="auto"/>
        <w:bottom w:val="none" w:sz="0" w:space="0" w:color="auto"/>
        <w:right w:val="none" w:sz="0" w:space="0" w:color="auto"/>
      </w:divBdr>
    </w:div>
    <w:div w:id="852185046">
      <w:bodyDiv w:val="1"/>
      <w:marLeft w:val="0"/>
      <w:marRight w:val="0"/>
      <w:marTop w:val="0"/>
      <w:marBottom w:val="0"/>
      <w:divBdr>
        <w:top w:val="none" w:sz="0" w:space="0" w:color="auto"/>
        <w:left w:val="none" w:sz="0" w:space="0" w:color="auto"/>
        <w:bottom w:val="none" w:sz="0" w:space="0" w:color="auto"/>
        <w:right w:val="none" w:sz="0" w:space="0" w:color="auto"/>
      </w:divBdr>
    </w:div>
    <w:div w:id="853107581">
      <w:bodyDiv w:val="1"/>
      <w:marLeft w:val="0"/>
      <w:marRight w:val="0"/>
      <w:marTop w:val="0"/>
      <w:marBottom w:val="0"/>
      <w:divBdr>
        <w:top w:val="none" w:sz="0" w:space="0" w:color="auto"/>
        <w:left w:val="none" w:sz="0" w:space="0" w:color="auto"/>
        <w:bottom w:val="none" w:sz="0" w:space="0" w:color="auto"/>
        <w:right w:val="none" w:sz="0" w:space="0" w:color="auto"/>
      </w:divBdr>
    </w:div>
    <w:div w:id="855115450">
      <w:bodyDiv w:val="1"/>
      <w:marLeft w:val="0"/>
      <w:marRight w:val="0"/>
      <w:marTop w:val="0"/>
      <w:marBottom w:val="0"/>
      <w:divBdr>
        <w:top w:val="none" w:sz="0" w:space="0" w:color="auto"/>
        <w:left w:val="none" w:sz="0" w:space="0" w:color="auto"/>
        <w:bottom w:val="none" w:sz="0" w:space="0" w:color="auto"/>
        <w:right w:val="none" w:sz="0" w:space="0" w:color="auto"/>
      </w:divBdr>
    </w:div>
    <w:div w:id="855578534">
      <w:bodyDiv w:val="1"/>
      <w:marLeft w:val="0"/>
      <w:marRight w:val="0"/>
      <w:marTop w:val="0"/>
      <w:marBottom w:val="0"/>
      <w:divBdr>
        <w:top w:val="none" w:sz="0" w:space="0" w:color="auto"/>
        <w:left w:val="none" w:sz="0" w:space="0" w:color="auto"/>
        <w:bottom w:val="none" w:sz="0" w:space="0" w:color="auto"/>
        <w:right w:val="none" w:sz="0" w:space="0" w:color="auto"/>
      </w:divBdr>
    </w:div>
    <w:div w:id="856389907">
      <w:bodyDiv w:val="1"/>
      <w:marLeft w:val="0"/>
      <w:marRight w:val="0"/>
      <w:marTop w:val="0"/>
      <w:marBottom w:val="0"/>
      <w:divBdr>
        <w:top w:val="none" w:sz="0" w:space="0" w:color="auto"/>
        <w:left w:val="none" w:sz="0" w:space="0" w:color="auto"/>
        <w:bottom w:val="none" w:sz="0" w:space="0" w:color="auto"/>
        <w:right w:val="none" w:sz="0" w:space="0" w:color="auto"/>
      </w:divBdr>
    </w:div>
    <w:div w:id="857428708">
      <w:bodyDiv w:val="1"/>
      <w:marLeft w:val="0"/>
      <w:marRight w:val="0"/>
      <w:marTop w:val="0"/>
      <w:marBottom w:val="0"/>
      <w:divBdr>
        <w:top w:val="none" w:sz="0" w:space="0" w:color="auto"/>
        <w:left w:val="none" w:sz="0" w:space="0" w:color="auto"/>
        <w:bottom w:val="none" w:sz="0" w:space="0" w:color="auto"/>
        <w:right w:val="none" w:sz="0" w:space="0" w:color="auto"/>
      </w:divBdr>
    </w:div>
    <w:div w:id="857962296">
      <w:bodyDiv w:val="1"/>
      <w:marLeft w:val="0"/>
      <w:marRight w:val="0"/>
      <w:marTop w:val="0"/>
      <w:marBottom w:val="0"/>
      <w:divBdr>
        <w:top w:val="none" w:sz="0" w:space="0" w:color="auto"/>
        <w:left w:val="none" w:sz="0" w:space="0" w:color="auto"/>
        <w:bottom w:val="none" w:sz="0" w:space="0" w:color="auto"/>
        <w:right w:val="none" w:sz="0" w:space="0" w:color="auto"/>
      </w:divBdr>
    </w:div>
    <w:div w:id="858079247">
      <w:bodyDiv w:val="1"/>
      <w:marLeft w:val="0"/>
      <w:marRight w:val="0"/>
      <w:marTop w:val="0"/>
      <w:marBottom w:val="0"/>
      <w:divBdr>
        <w:top w:val="none" w:sz="0" w:space="0" w:color="auto"/>
        <w:left w:val="none" w:sz="0" w:space="0" w:color="auto"/>
        <w:bottom w:val="none" w:sz="0" w:space="0" w:color="auto"/>
        <w:right w:val="none" w:sz="0" w:space="0" w:color="auto"/>
      </w:divBdr>
    </w:div>
    <w:div w:id="860388800">
      <w:bodyDiv w:val="1"/>
      <w:marLeft w:val="0"/>
      <w:marRight w:val="0"/>
      <w:marTop w:val="0"/>
      <w:marBottom w:val="0"/>
      <w:divBdr>
        <w:top w:val="none" w:sz="0" w:space="0" w:color="auto"/>
        <w:left w:val="none" w:sz="0" w:space="0" w:color="auto"/>
        <w:bottom w:val="none" w:sz="0" w:space="0" w:color="auto"/>
        <w:right w:val="none" w:sz="0" w:space="0" w:color="auto"/>
      </w:divBdr>
      <w:divsChild>
        <w:div w:id="810681803">
          <w:marLeft w:val="450"/>
          <w:marRight w:val="0"/>
          <w:marTop w:val="0"/>
          <w:marBottom w:val="0"/>
          <w:divBdr>
            <w:top w:val="none" w:sz="0" w:space="0" w:color="auto"/>
            <w:left w:val="none" w:sz="0" w:space="0" w:color="auto"/>
            <w:bottom w:val="none" w:sz="0" w:space="0" w:color="auto"/>
            <w:right w:val="none" w:sz="0" w:space="0" w:color="auto"/>
          </w:divBdr>
        </w:div>
      </w:divsChild>
    </w:div>
    <w:div w:id="860893831">
      <w:bodyDiv w:val="1"/>
      <w:marLeft w:val="0"/>
      <w:marRight w:val="0"/>
      <w:marTop w:val="0"/>
      <w:marBottom w:val="0"/>
      <w:divBdr>
        <w:top w:val="none" w:sz="0" w:space="0" w:color="auto"/>
        <w:left w:val="none" w:sz="0" w:space="0" w:color="auto"/>
        <w:bottom w:val="none" w:sz="0" w:space="0" w:color="auto"/>
        <w:right w:val="none" w:sz="0" w:space="0" w:color="auto"/>
      </w:divBdr>
    </w:div>
    <w:div w:id="861362855">
      <w:bodyDiv w:val="1"/>
      <w:marLeft w:val="0"/>
      <w:marRight w:val="0"/>
      <w:marTop w:val="0"/>
      <w:marBottom w:val="0"/>
      <w:divBdr>
        <w:top w:val="none" w:sz="0" w:space="0" w:color="auto"/>
        <w:left w:val="none" w:sz="0" w:space="0" w:color="auto"/>
        <w:bottom w:val="none" w:sz="0" w:space="0" w:color="auto"/>
        <w:right w:val="none" w:sz="0" w:space="0" w:color="auto"/>
      </w:divBdr>
    </w:div>
    <w:div w:id="861549648">
      <w:bodyDiv w:val="1"/>
      <w:marLeft w:val="0"/>
      <w:marRight w:val="0"/>
      <w:marTop w:val="0"/>
      <w:marBottom w:val="0"/>
      <w:divBdr>
        <w:top w:val="none" w:sz="0" w:space="0" w:color="auto"/>
        <w:left w:val="none" w:sz="0" w:space="0" w:color="auto"/>
        <w:bottom w:val="none" w:sz="0" w:space="0" w:color="auto"/>
        <w:right w:val="none" w:sz="0" w:space="0" w:color="auto"/>
      </w:divBdr>
    </w:div>
    <w:div w:id="862979725">
      <w:bodyDiv w:val="1"/>
      <w:marLeft w:val="0"/>
      <w:marRight w:val="0"/>
      <w:marTop w:val="0"/>
      <w:marBottom w:val="0"/>
      <w:divBdr>
        <w:top w:val="none" w:sz="0" w:space="0" w:color="auto"/>
        <w:left w:val="none" w:sz="0" w:space="0" w:color="auto"/>
        <w:bottom w:val="none" w:sz="0" w:space="0" w:color="auto"/>
        <w:right w:val="none" w:sz="0" w:space="0" w:color="auto"/>
      </w:divBdr>
    </w:div>
    <w:div w:id="862983945">
      <w:bodyDiv w:val="1"/>
      <w:marLeft w:val="0"/>
      <w:marRight w:val="0"/>
      <w:marTop w:val="0"/>
      <w:marBottom w:val="0"/>
      <w:divBdr>
        <w:top w:val="none" w:sz="0" w:space="0" w:color="auto"/>
        <w:left w:val="none" w:sz="0" w:space="0" w:color="auto"/>
        <w:bottom w:val="none" w:sz="0" w:space="0" w:color="auto"/>
        <w:right w:val="none" w:sz="0" w:space="0" w:color="auto"/>
      </w:divBdr>
    </w:div>
    <w:div w:id="865674391">
      <w:bodyDiv w:val="1"/>
      <w:marLeft w:val="0"/>
      <w:marRight w:val="0"/>
      <w:marTop w:val="0"/>
      <w:marBottom w:val="0"/>
      <w:divBdr>
        <w:top w:val="none" w:sz="0" w:space="0" w:color="auto"/>
        <w:left w:val="none" w:sz="0" w:space="0" w:color="auto"/>
        <w:bottom w:val="none" w:sz="0" w:space="0" w:color="auto"/>
        <w:right w:val="none" w:sz="0" w:space="0" w:color="auto"/>
      </w:divBdr>
    </w:div>
    <w:div w:id="867794489">
      <w:bodyDiv w:val="1"/>
      <w:marLeft w:val="0"/>
      <w:marRight w:val="0"/>
      <w:marTop w:val="0"/>
      <w:marBottom w:val="0"/>
      <w:divBdr>
        <w:top w:val="none" w:sz="0" w:space="0" w:color="auto"/>
        <w:left w:val="none" w:sz="0" w:space="0" w:color="auto"/>
        <w:bottom w:val="none" w:sz="0" w:space="0" w:color="auto"/>
        <w:right w:val="none" w:sz="0" w:space="0" w:color="auto"/>
      </w:divBdr>
    </w:div>
    <w:div w:id="868448872">
      <w:bodyDiv w:val="1"/>
      <w:marLeft w:val="0"/>
      <w:marRight w:val="0"/>
      <w:marTop w:val="0"/>
      <w:marBottom w:val="0"/>
      <w:divBdr>
        <w:top w:val="none" w:sz="0" w:space="0" w:color="auto"/>
        <w:left w:val="none" w:sz="0" w:space="0" w:color="auto"/>
        <w:bottom w:val="none" w:sz="0" w:space="0" w:color="auto"/>
        <w:right w:val="none" w:sz="0" w:space="0" w:color="auto"/>
      </w:divBdr>
    </w:div>
    <w:div w:id="869805198">
      <w:bodyDiv w:val="1"/>
      <w:marLeft w:val="0"/>
      <w:marRight w:val="0"/>
      <w:marTop w:val="0"/>
      <w:marBottom w:val="0"/>
      <w:divBdr>
        <w:top w:val="none" w:sz="0" w:space="0" w:color="auto"/>
        <w:left w:val="none" w:sz="0" w:space="0" w:color="auto"/>
        <w:bottom w:val="none" w:sz="0" w:space="0" w:color="auto"/>
        <w:right w:val="none" w:sz="0" w:space="0" w:color="auto"/>
      </w:divBdr>
    </w:div>
    <w:div w:id="871846655">
      <w:bodyDiv w:val="1"/>
      <w:marLeft w:val="0"/>
      <w:marRight w:val="0"/>
      <w:marTop w:val="0"/>
      <w:marBottom w:val="0"/>
      <w:divBdr>
        <w:top w:val="none" w:sz="0" w:space="0" w:color="auto"/>
        <w:left w:val="none" w:sz="0" w:space="0" w:color="auto"/>
        <w:bottom w:val="none" w:sz="0" w:space="0" w:color="auto"/>
        <w:right w:val="none" w:sz="0" w:space="0" w:color="auto"/>
      </w:divBdr>
    </w:div>
    <w:div w:id="873268376">
      <w:bodyDiv w:val="1"/>
      <w:marLeft w:val="0"/>
      <w:marRight w:val="0"/>
      <w:marTop w:val="0"/>
      <w:marBottom w:val="0"/>
      <w:divBdr>
        <w:top w:val="none" w:sz="0" w:space="0" w:color="auto"/>
        <w:left w:val="none" w:sz="0" w:space="0" w:color="auto"/>
        <w:bottom w:val="none" w:sz="0" w:space="0" w:color="auto"/>
        <w:right w:val="none" w:sz="0" w:space="0" w:color="auto"/>
      </w:divBdr>
    </w:div>
    <w:div w:id="873273350">
      <w:bodyDiv w:val="1"/>
      <w:marLeft w:val="0"/>
      <w:marRight w:val="0"/>
      <w:marTop w:val="0"/>
      <w:marBottom w:val="0"/>
      <w:divBdr>
        <w:top w:val="none" w:sz="0" w:space="0" w:color="auto"/>
        <w:left w:val="none" w:sz="0" w:space="0" w:color="auto"/>
        <w:bottom w:val="none" w:sz="0" w:space="0" w:color="auto"/>
        <w:right w:val="none" w:sz="0" w:space="0" w:color="auto"/>
      </w:divBdr>
    </w:div>
    <w:div w:id="874661934">
      <w:bodyDiv w:val="1"/>
      <w:marLeft w:val="0"/>
      <w:marRight w:val="0"/>
      <w:marTop w:val="0"/>
      <w:marBottom w:val="0"/>
      <w:divBdr>
        <w:top w:val="none" w:sz="0" w:space="0" w:color="auto"/>
        <w:left w:val="none" w:sz="0" w:space="0" w:color="auto"/>
        <w:bottom w:val="none" w:sz="0" w:space="0" w:color="auto"/>
        <w:right w:val="none" w:sz="0" w:space="0" w:color="auto"/>
      </w:divBdr>
    </w:div>
    <w:div w:id="875125015">
      <w:bodyDiv w:val="1"/>
      <w:marLeft w:val="0"/>
      <w:marRight w:val="0"/>
      <w:marTop w:val="0"/>
      <w:marBottom w:val="0"/>
      <w:divBdr>
        <w:top w:val="none" w:sz="0" w:space="0" w:color="auto"/>
        <w:left w:val="none" w:sz="0" w:space="0" w:color="auto"/>
        <w:bottom w:val="none" w:sz="0" w:space="0" w:color="auto"/>
        <w:right w:val="none" w:sz="0" w:space="0" w:color="auto"/>
      </w:divBdr>
    </w:div>
    <w:div w:id="875770735">
      <w:bodyDiv w:val="1"/>
      <w:marLeft w:val="0"/>
      <w:marRight w:val="0"/>
      <w:marTop w:val="0"/>
      <w:marBottom w:val="0"/>
      <w:divBdr>
        <w:top w:val="none" w:sz="0" w:space="0" w:color="auto"/>
        <w:left w:val="none" w:sz="0" w:space="0" w:color="auto"/>
        <w:bottom w:val="none" w:sz="0" w:space="0" w:color="auto"/>
        <w:right w:val="none" w:sz="0" w:space="0" w:color="auto"/>
      </w:divBdr>
    </w:div>
    <w:div w:id="876965533">
      <w:bodyDiv w:val="1"/>
      <w:marLeft w:val="0"/>
      <w:marRight w:val="0"/>
      <w:marTop w:val="0"/>
      <w:marBottom w:val="0"/>
      <w:divBdr>
        <w:top w:val="none" w:sz="0" w:space="0" w:color="auto"/>
        <w:left w:val="none" w:sz="0" w:space="0" w:color="auto"/>
        <w:bottom w:val="none" w:sz="0" w:space="0" w:color="auto"/>
        <w:right w:val="none" w:sz="0" w:space="0" w:color="auto"/>
      </w:divBdr>
    </w:div>
    <w:div w:id="881674130">
      <w:bodyDiv w:val="1"/>
      <w:marLeft w:val="0"/>
      <w:marRight w:val="0"/>
      <w:marTop w:val="0"/>
      <w:marBottom w:val="0"/>
      <w:divBdr>
        <w:top w:val="none" w:sz="0" w:space="0" w:color="auto"/>
        <w:left w:val="none" w:sz="0" w:space="0" w:color="auto"/>
        <w:bottom w:val="none" w:sz="0" w:space="0" w:color="auto"/>
        <w:right w:val="none" w:sz="0" w:space="0" w:color="auto"/>
      </w:divBdr>
    </w:div>
    <w:div w:id="883761210">
      <w:bodyDiv w:val="1"/>
      <w:marLeft w:val="0"/>
      <w:marRight w:val="0"/>
      <w:marTop w:val="0"/>
      <w:marBottom w:val="0"/>
      <w:divBdr>
        <w:top w:val="none" w:sz="0" w:space="0" w:color="auto"/>
        <w:left w:val="none" w:sz="0" w:space="0" w:color="auto"/>
        <w:bottom w:val="none" w:sz="0" w:space="0" w:color="auto"/>
        <w:right w:val="none" w:sz="0" w:space="0" w:color="auto"/>
      </w:divBdr>
    </w:div>
    <w:div w:id="884833670">
      <w:bodyDiv w:val="1"/>
      <w:marLeft w:val="0"/>
      <w:marRight w:val="0"/>
      <w:marTop w:val="0"/>
      <w:marBottom w:val="0"/>
      <w:divBdr>
        <w:top w:val="none" w:sz="0" w:space="0" w:color="auto"/>
        <w:left w:val="none" w:sz="0" w:space="0" w:color="auto"/>
        <w:bottom w:val="none" w:sz="0" w:space="0" w:color="auto"/>
        <w:right w:val="none" w:sz="0" w:space="0" w:color="auto"/>
      </w:divBdr>
    </w:div>
    <w:div w:id="884951750">
      <w:bodyDiv w:val="1"/>
      <w:marLeft w:val="0"/>
      <w:marRight w:val="0"/>
      <w:marTop w:val="0"/>
      <w:marBottom w:val="0"/>
      <w:divBdr>
        <w:top w:val="none" w:sz="0" w:space="0" w:color="auto"/>
        <w:left w:val="none" w:sz="0" w:space="0" w:color="auto"/>
        <w:bottom w:val="none" w:sz="0" w:space="0" w:color="auto"/>
        <w:right w:val="none" w:sz="0" w:space="0" w:color="auto"/>
      </w:divBdr>
    </w:div>
    <w:div w:id="885946280">
      <w:bodyDiv w:val="1"/>
      <w:marLeft w:val="0"/>
      <w:marRight w:val="0"/>
      <w:marTop w:val="0"/>
      <w:marBottom w:val="0"/>
      <w:divBdr>
        <w:top w:val="none" w:sz="0" w:space="0" w:color="auto"/>
        <w:left w:val="none" w:sz="0" w:space="0" w:color="auto"/>
        <w:bottom w:val="none" w:sz="0" w:space="0" w:color="auto"/>
        <w:right w:val="none" w:sz="0" w:space="0" w:color="auto"/>
      </w:divBdr>
    </w:div>
    <w:div w:id="885994564">
      <w:bodyDiv w:val="1"/>
      <w:marLeft w:val="0"/>
      <w:marRight w:val="0"/>
      <w:marTop w:val="0"/>
      <w:marBottom w:val="0"/>
      <w:divBdr>
        <w:top w:val="none" w:sz="0" w:space="0" w:color="auto"/>
        <w:left w:val="none" w:sz="0" w:space="0" w:color="auto"/>
        <w:bottom w:val="none" w:sz="0" w:space="0" w:color="auto"/>
        <w:right w:val="none" w:sz="0" w:space="0" w:color="auto"/>
      </w:divBdr>
    </w:div>
    <w:div w:id="887188448">
      <w:bodyDiv w:val="1"/>
      <w:marLeft w:val="0"/>
      <w:marRight w:val="0"/>
      <w:marTop w:val="0"/>
      <w:marBottom w:val="0"/>
      <w:divBdr>
        <w:top w:val="none" w:sz="0" w:space="0" w:color="auto"/>
        <w:left w:val="none" w:sz="0" w:space="0" w:color="auto"/>
        <w:bottom w:val="none" w:sz="0" w:space="0" w:color="auto"/>
        <w:right w:val="none" w:sz="0" w:space="0" w:color="auto"/>
      </w:divBdr>
    </w:div>
    <w:div w:id="887382021">
      <w:bodyDiv w:val="1"/>
      <w:marLeft w:val="0"/>
      <w:marRight w:val="0"/>
      <w:marTop w:val="0"/>
      <w:marBottom w:val="0"/>
      <w:divBdr>
        <w:top w:val="none" w:sz="0" w:space="0" w:color="auto"/>
        <w:left w:val="none" w:sz="0" w:space="0" w:color="auto"/>
        <w:bottom w:val="none" w:sz="0" w:space="0" w:color="auto"/>
        <w:right w:val="none" w:sz="0" w:space="0" w:color="auto"/>
      </w:divBdr>
    </w:div>
    <w:div w:id="887882365">
      <w:bodyDiv w:val="1"/>
      <w:marLeft w:val="0"/>
      <w:marRight w:val="0"/>
      <w:marTop w:val="0"/>
      <w:marBottom w:val="0"/>
      <w:divBdr>
        <w:top w:val="none" w:sz="0" w:space="0" w:color="auto"/>
        <w:left w:val="none" w:sz="0" w:space="0" w:color="auto"/>
        <w:bottom w:val="none" w:sz="0" w:space="0" w:color="auto"/>
        <w:right w:val="none" w:sz="0" w:space="0" w:color="auto"/>
      </w:divBdr>
    </w:div>
    <w:div w:id="889070526">
      <w:bodyDiv w:val="1"/>
      <w:marLeft w:val="0"/>
      <w:marRight w:val="0"/>
      <w:marTop w:val="0"/>
      <w:marBottom w:val="0"/>
      <w:divBdr>
        <w:top w:val="none" w:sz="0" w:space="0" w:color="auto"/>
        <w:left w:val="none" w:sz="0" w:space="0" w:color="auto"/>
        <w:bottom w:val="none" w:sz="0" w:space="0" w:color="auto"/>
        <w:right w:val="none" w:sz="0" w:space="0" w:color="auto"/>
      </w:divBdr>
    </w:div>
    <w:div w:id="889147114">
      <w:bodyDiv w:val="1"/>
      <w:marLeft w:val="0"/>
      <w:marRight w:val="0"/>
      <w:marTop w:val="0"/>
      <w:marBottom w:val="0"/>
      <w:divBdr>
        <w:top w:val="none" w:sz="0" w:space="0" w:color="auto"/>
        <w:left w:val="none" w:sz="0" w:space="0" w:color="auto"/>
        <w:bottom w:val="none" w:sz="0" w:space="0" w:color="auto"/>
        <w:right w:val="none" w:sz="0" w:space="0" w:color="auto"/>
      </w:divBdr>
    </w:div>
    <w:div w:id="895436476">
      <w:bodyDiv w:val="1"/>
      <w:marLeft w:val="0"/>
      <w:marRight w:val="0"/>
      <w:marTop w:val="0"/>
      <w:marBottom w:val="0"/>
      <w:divBdr>
        <w:top w:val="none" w:sz="0" w:space="0" w:color="auto"/>
        <w:left w:val="none" w:sz="0" w:space="0" w:color="auto"/>
        <w:bottom w:val="none" w:sz="0" w:space="0" w:color="auto"/>
        <w:right w:val="none" w:sz="0" w:space="0" w:color="auto"/>
      </w:divBdr>
    </w:div>
    <w:div w:id="900678622">
      <w:bodyDiv w:val="1"/>
      <w:marLeft w:val="0"/>
      <w:marRight w:val="0"/>
      <w:marTop w:val="0"/>
      <w:marBottom w:val="0"/>
      <w:divBdr>
        <w:top w:val="none" w:sz="0" w:space="0" w:color="auto"/>
        <w:left w:val="none" w:sz="0" w:space="0" w:color="auto"/>
        <w:bottom w:val="none" w:sz="0" w:space="0" w:color="auto"/>
        <w:right w:val="none" w:sz="0" w:space="0" w:color="auto"/>
      </w:divBdr>
    </w:div>
    <w:div w:id="901794545">
      <w:bodyDiv w:val="1"/>
      <w:marLeft w:val="0"/>
      <w:marRight w:val="0"/>
      <w:marTop w:val="0"/>
      <w:marBottom w:val="0"/>
      <w:divBdr>
        <w:top w:val="none" w:sz="0" w:space="0" w:color="auto"/>
        <w:left w:val="none" w:sz="0" w:space="0" w:color="auto"/>
        <w:bottom w:val="none" w:sz="0" w:space="0" w:color="auto"/>
        <w:right w:val="none" w:sz="0" w:space="0" w:color="auto"/>
      </w:divBdr>
    </w:div>
    <w:div w:id="903414686">
      <w:bodyDiv w:val="1"/>
      <w:marLeft w:val="0"/>
      <w:marRight w:val="0"/>
      <w:marTop w:val="0"/>
      <w:marBottom w:val="0"/>
      <w:divBdr>
        <w:top w:val="none" w:sz="0" w:space="0" w:color="auto"/>
        <w:left w:val="none" w:sz="0" w:space="0" w:color="auto"/>
        <w:bottom w:val="none" w:sz="0" w:space="0" w:color="auto"/>
        <w:right w:val="none" w:sz="0" w:space="0" w:color="auto"/>
      </w:divBdr>
    </w:div>
    <w:div w:id="905577200">
      <w:bodyDiv w:val="1"/>
      <w:marLeft w:val="0"/>
      <w:marRight w:val="0"/>
      <w:marTop w:val="0"/>
      <w:marBottom w:val="0"/>
      <w:divBdr>
        <w:top w:val="none" w:sz="0" w:space="0" w:color="auto"/>
        <w:left w:val="none" w:sz="0" w:space="0" w:color="auto"/>
        <w:bottom w:val="none" w:sz="0" w:space="0" w:color="auto"/>
        <w:right w:val="none" w:sz="0" w:space="0" w:color="auto"/>
      </w:divBdr>
    </w:div>
    <w:div w:id="908073772">
      <w:bodyDiv w:val="1"/>
      <w:marLeft w:val="0"/>
      <w:marRight w:val="0"/>
      <w:marTop w:val="0"/>
      <w:marBottom w:val="0"/>
      <w:divBdr>
        <w:top w:val="none" w:sz="0" w:space="0" w:color="auto"/>
        <w:left w:val="none" w:sz="0" w:space="0" w:color="auto"/>
        <w:bottom w:val="none" w:sz="0" w:space="0" w:color="auto"/>
        <w:right w:val="none" w:sz="0" w:space="0" w:color="auto"/>
      </w:divBdr>
    </w:div>
    <w:div w:id="909003226">
      <w:bodyDiv w:val="1"/>
      <w:marLeft w:val="0"/>
      <w:marRight w:val="0"/>
      <w:marTop w:val="0"/>
      <w:marBottom w:val="0"/>
      <w:divBdr>
        <w:top w:val="none" w:sz="0" w:space="0" w:color="auto"/>
        <w:left w:val="none" w:sz="0" w:space="0" w:color="auto"/>
        <w:bottom w:val="none" w:sz="0" w:space="0" w:color="auto"/>
        <w:right w:val="none" w:sz="0" w:space="0" w:color="auto"/>
      </w:divBdr>
    </w:div>
    <w:div w:id="913316221">
      <w:bodyDiv w:val="1"/>
      <w:marLeft w:val="0"/>
      <w:marRight w:val="0"/>
      <w:marTop w:val="0"/>
      <w:marBottom w:val="0"/>
      <w:divBdr>
        <w:top w:val="none" w:sz="0" w:space="0" w:color="auto"/>
        <w:left w:val="none" w:sz="0" w:space="0" w:color="auto"/>
        <w:bottom w:val="none" w:sz="0" w:space="0" w:color="auto"/>
        <w:right w:val="none" w:sz="0" w:space="0" w:color="auto"/>
      </w:divBdr>
    </w:div>
    <w:div w:id="913973441">
      <w:bodyDiv w:val="1"/>
      <w:marLeft w:val="0"/>
      <w:marRight w:val="0"/>
      <w:marTop w:val="0"/>
      <w:marBottom w:val="0"/>
      <w:divBdr>
        <w:top w:val="none" w:sz="0" w:space="0" w:color="auto"/>
        <w:left w:val="none" w:sz="0" w:space="0" w:color="auto"/>
        <w:bottom w:val="none" w:sz="0" w:space="0" w:color="auto"/>
        <w:right w:val="none" w:sz="0" w:space="0" w:color="auto"/>
      </w:divBdr>
    </w:div>
    <w:div w:id="915630748">
      <w:bodyDiv w:val="1"/>
      <w:marLeft w:val="0"/>
      <w:marRight w:val="0"/>
      <w:marTop w:val="0"/>
      <w:marBottom w:val="0"/>
      <w:divBdr>
        <w:top w:val="none" w:sz="0" w:space="0" w:color="auto"/>
        <w:left w:val="none" w:sz="0" w:space="0" w:color="auto"/>
        <w:bottom w:val="none" w:sz="0" w:space="0" w:color="auto"/>
        <w:right w:val="none" w:sz="0" w:space="0" w:color="auto"/>
      </w:divBdr>
    </w:div>
    <w:div w:id="915671655">
      <w:bodyDiv w:val="1"/>
      <w:marLeft w:val="0"/>
      <w:marRight w:val="0"/>
      <w:marTop w:val="0"/>
      <w:marBottom w:val="0"/>
      <w:divBdr>
        <w:top w:val="none" w:sz="0" w:space="0" w:color="auto"/>
        <w:left w:val="none" w:sz="0" w:space="0" w:color="auto"/>
        <w:bottom w:val="none" w:sz="0" w:space="0" w:color="auto"/>
        <w:right w:val="none" w:sz="0" w:space="0" w:color="auto"/>
      </w:divBdr>
      <w:divsChild>
        <w:div w:id="1747650649">
          <w:marLeft w:val="0"/>
          <w:marRight w:val="0"/>
          <w:marTop w:val="0"/>
          <w:marBottom w:val="0"/>
          <w:divBdr>
            <w:top w:val="none" w:sz="0" w:space="0" w:color="auto"/>
            <w:left w:val="none" w:sz="0" w:space="0" w:color="auto"/>
            <w:bottom w:val="none" w:sz="0" w:space="0" w:color="auto"/>
            <w:right w:val="none" w:sz="0" w:space="0" w:color="auto"/>
          </w:divBdr>
        </w:div>
        <w:div w:id="1441610909">
          <w:marLeft w:val="0"/>
          <w:marRight w:val="0"/>
          <w:marTop w:val="0"/>
          <w:marBottom w:val="0"/>
          <w:divBdr>
            <w:top w:val="none" w:sz="0" w:space="0" w:color="auto"/>
            <w:left w:val="none" w:sz="0" w:space="0" w:color="auto"/>
            <w:bottom w:val="none" w:sz="0" w:space="0" w:color="auto"/>
            <w:right w:val="none" w:sz="0" w:space="0" w:color="auto"/>
          </w:divBdr>
        </w:div>
        <w:div w:id="1861895892">
          <w:marLeft w:val="0"/>
          <w:marRight w:val="0"/>
          <w:marTop w:val="0"/>
          <w:marBottom w:val="0"/>
          <w:divBdr>
            <w:top w:val="none" w:sz="0" w:space="0" w:color="auto"/>
            <w:left w:val="none" w:sz="0" w:space="0" w:color="auto"/>
            <w:bottom w:val="none" w:sz="0" w:space="0" w:color="auto"/>
            <w:right w:val="none" w:sz="0" w:space="0" w:color="auto"/>
          </w:divBdr>
        </w:div>
        <w:div w:id="1070615468">
          <w:marLeft w:val="0"/>
          <w:marRight w:val="0"/>
          <w:marTop w:val="0"/>
          <w:marBottom w:val="0"/>
          <w:divBdr>
            <w:top w:val="none" w:sz="0" w:space="0" w:color="auto"/>
            <w:left w:val="none" w:sz="0" w:space="0" w:color="auto"/>
            <w:bottom w:val="none" w:sz="0" w:space="0" w:color="auto"/>
            <w:right w:val="none" w:sz="0" w:space="0" w:color="auto"/>
          </w:divBdr>
        </w:div>
        <w:div w:id="698627378">
          <w:marLeft w:val="0"/>
          <w:marRight w:val="0"/>
          <w:marTop w:val="0"/>
          <w:marBottom w:val="0"/>
          <w:divBdr>
            <w:top w:val="none" w:sz="0" w:space="0" w:color="auto"/>
            <w:left w:val="none" w:sz="0" w:space="0" w:color="auto"/>
            <w:bottom w:val="none" w:sz="0" w:space="0" w:color="auto"/>
            <w:right w:val="none" w:sz="0" w:space="0" w:color="auto"/>
          </w:divBdr>
        </w:div>
        <w:div w:id="1228807023">
          <w:marLeft w:val="0"/>
          <w:marRight w:val="0"/>
          <w:marTop w:val="0"/>
          <w:marBottom w:val="0"/>
          <w:divBdr>
            <w:top w:val="none" w:sz="0" w:space="0" w:color="auto"/>
            <w:left w:val="none" w:sz="0" w:space="0" w:color="auto"/>
            <w:bottom w:val="none" w:sz="0" w:space="0" w:color="auto"/>
            <w:right w:val="none" w:sz="0" w:space="0" w:color="auto"/>
          </w:divBdr>
        </w:div>
        <w:div w:id="1945990554">
          <w:marLeft w:val="0"/>
          <w:marRight w:val="0"/>
          <w:marTop w:val="0"/>
          <w:marBottom w:val="0"/>
          <w:divBdr>
            <w:top w:val="none" w:sz="0" w:space="0" w:color="auto"/>
            <w:left w:val="none" w:sz="0" w:space="0" w:color="auto"/>
            <w:bottom w:val="none" w:sz="0" w:space="0" w:color="auto"/>
            <w:right w:val="none" w:sz="0" w:space="0" w:color="auto"/>
          </w:divBdr>
        </w:div>
        <w:div w:id="1048603486">
          <w:marLeft w:val="0"/>
          <w:marRight w:val="0"/>
          <w:marTop w:val="0"/>
          <w:marBottom w:val="0"/>
          <w:divBdr>
            <w:top w:val="none" w:sz="0" w:space="0" w:color="auto"/>
            <w:left w:val="none" w:sz="0" w:space="0" w:color="auto"/>
            <w:bottom w:val="none" w:sz="0" w:space="0" w:color="auto"/>
            <w:right w:val="none" w:sz="0" w:space="0" w:color="auto"/>
          </w:divBdr>
        </w:div>
        <w:div w:id="748622335">
          <w:marLeft w:val="0"/>
          <w:marRight w:val="0"/>
          <w:marTop w:val="0"/>
          <w:marBottom w:val="0"/>
          <w:divBdr>
            <w:top w:val="none" w:sz="0" w:space="0" w:color="auto"/>
            <w:left w:val="none" w:sz="0" w:space="0" w:color="auto"/>
            <w:bottom w:val="none" w:sz="0" w:space="0" w:color="auto"/>
            <w:right w:val="none" w:sz="0" w:space="0" w:color="auto"/>
          </w:divBdr>
        </w:div>
        <w:div w:id="1889293186">
          <w:marLeft w:val="0"/>
          <w:marRight w:val="0"/>
          <w:marTop w:val="0"/>
          <w:marBottom w:val="0"/>
          <w:divBdr>
            <w:top w:val="none" w:sz="0" w:space="0" w:color="auto"/>
            <w:left w:val="none" w:sz="0" w:space="0" w:color="auto"/>
            <w:bottom w:val="none" w:sz="0" w:space="0" w:color="auto"/>
            <w:right w:val="none" w:sz="0" w:space="0" w:color="auto"/>
          </w:divBdr>
        </w:div>
        <w:div w:id="1147089699">
          <w:marLeft w:val="0"/>
          <w:marRight w:val="0"/>
          <w:marTop w:val="0"/>
          <w:marBottom w:val="0"/>
          <w:divBdr>
            <w:top w:val="none" w:sz="0" w:space="0" w:color="auto"/>
            <w:left w:val="none" w:sz="0" w:space="0" w:color="auto"/>
            <w:bottom w:val="none" w:sz="0" w:space="0" w:color="auto"/>
            <w:right w:val="none" w:sz="0" w:space="0" w:color="auto"/>
          </w:divBdr>
        </w:div>
        <w:div w:id="1575117103">
          <w:marLeft w:val="0"/>
          <w:marRight w:val="0"/>
          <w:marTop w:val="0"/>
          <w:marBottom w:val="0"/>
          <w:divBdr>
            <w:top w:val="none" w:sz="0" w:space="0" w:color="auto"/>
            <w:left w:val="none" w:sz="0" w:space="0" w:color="auto"/>
            <w:bottom w:val="none" w:sz="0" w:space="0" w:color="auto"/>
            <w:right w:val="none" w:sz="0" w:space="0" w:color="auto"/>
          </w:divBdr>
        </w:div>
        <w:div w:id="1824664720">
          <w:marLeft w:val="0"/>
          <w:marRight w:val="0"/>
          <w:marTop w:val="0"/>
          <w:marBottom w:val="0"/>
          <w:divBdr>
            <w:top w:val="none" w:sz="0" w:space="0" w:color="auto"/>
            <w:left w:val="none" w:sz="0" w:space="0" w:color="auto"/>
            <w:bottom w:val="none" w:sz="0" w:space="0" w:color="auto"/>
            <w:right w:val="none" w:sz="0" w:space="0" w:color="auto"/>
          </w:divBdr>
        </w:div>
      </w:divsChild>
    </w:div>
    <w:div w:id="915821426">
      <w:bodyDiv w:val="1"/>
      <w:marLeft w:val="0"/>
      <w:marRight w:val="0"/>
      <w:marTop w:val="0"/>
      <w:marBottom w:val="0"/>
      <w:divBdr>
        <w:top w:val="none" w:sz="0" w:space="0" w:color="auto"/>
        <w:left w:val="none" w:sz="0" w:space="0" w:color="auto"/>
        <w:bottom w:val="none" w:sz="0" w:space="0" w:color="auto"/>
        <w:right w:val="none" w:sz="0" w:space="0" w:color="auto"/>
      </w:divBdr>
    </w:div>
    <w:div w:id="917783843">
      <w:bodyDiv w:val="1"/>
      <w:marLeft w:val="0"/>
      <w:marRight w:val="0"/>
      <w:marTop w:val="0"/>
      <w:marBottom w:val="0"/>
      <w:divBdr>
        <w:top w:val="none" w:sz="0" w:space="0" w:color="auto"/>
        <w:left w:val="none" w:sz="0" w:space="0" w:color="auto"/>
        <w:bottom w:val="none" w:sz="0" w:space="0" w:color="auto"/>
        <w:right w:val="none" w:sz="0" w:space="0" w:color="auto"/>
      </w:divBdr>
    </w:div>
    <w:div w:id="918445874">
      <w:bodyDiv w:val="1"/>
      <w:marLeft w:val="0"/>
      <w:marRight w:val="0"/>
      <w:marTop w:val="0"/>
      <w:marBottom w:val="0"/>
      <w:divBdr>
        <w:top w:val="none" w:sz="0" w:space="0" w:color="auto"/>
        <w:left w:val="none" w:sz="0" w:space="0" w:color="auto"/>
        <w:bottom w:val="none" w:sz="0" w:space="0" w:color="auto"/>
        <w:right w:val="none" w:sz="0" w:space="0" w:color="auto"/>
      </w:divBdr>
    </w:div>
    <w:div w:id="919217843">
      <w:bodyDiv w:val="1"/>
      <w:marLeft w:val="0"/>
      <w:marRight w:val="0"/>
      <w:marTop w:val="0"/>
      <w:marBottom w:val="0"/>
      <w:divBdr>
        <w:top w:val="none" w:sz="0" w:space="0" w:color="auto"/>
        <w:left w:val="none" w:sz="0" w:space="0" w:color="auto"/>
        <w:bottom w:val="none" w:sz="0" w:space="0" w:color="auto"/>
        <w:right w:val="none" w:sz="0" w:space="0" w:color="auto"/>
      </w:divBdr>
    </w:div>
    <w:div w:id="920718849">
      <w:bodyDiv w:val="1"/>
      <w:marLeft w:val="0"/>
      <w:marRight w:val="0"/>
      <w:marTop w:val="0"/>
      <w:marBottom w:val="0"/>
      <w:divBdr>
        <w:top w:val="none" w:sz="0" w:space="0" w:color="auto"/>
        <w:left w:val="none" w:sz="0" w:space="0" w:color="auto"/>
        <w:bottom w:val="none" w:sz="0" w:space="0" w:color="auto"/>
        <w:right w:val="none" w:sz="0" w:space="0" w:color="auto"/>
      </w:divBdr>
    </w:div>
    <w:div w:id="923807966">
      <w:bodyDiv w:val="1"/>
      <w:marLeft w:val="0"/>
      <w:marRight w:val="0"/>
      <w:marTop w:val="0"/>
      <w:marBottom w:val="0"/>
      <w:divBdr>
        <w:top w:val="none" w:sz="0" w:space="0" w:color="auto"/>
        <w:left w:val="none" w:sz="0" w:space="0" w:color="auto"/>
        <w:bottom w:val="none" w:sz="0" w:space="0" w:color="auto"/>
        <w:right w:val="none" w:sz="0" w:space="0" w:color="auto"/>
      </w:divBdr>
    </w:div>
    <w:div w:id="924654885">
      <w:bodyDiv w:val="1"/>
      <w:marLeft w:val="0"/>
      <w:marRight w:val="0"/>
      <w:marTop w:val="0"/>
      <w:marBottom w:val="0"/>
      <w:divBdr>
        <w:top w:val="none" w:sz="0" w:space="0" w:color="auto"/>
        <w:left w:val="none" w:sz="0" w:space="0" w:color="auto"/>
        <w:bottom w:val="none" w:sz="0" w:space="0" w:color="auto"/>
        <w:right w:val="none" w:sz="0" w:space="0" w:color="auto"/>
      </w:divBdr>
    </w:div>
    <w:div w:id="925461980">
      <w:bodyDiv w:val="1"/>
      <w:marLeft w:val="0"/>
      <w:marRight w:val="0"/>
      <w:marTop w:val="0"/>
      <w:marBottom w:val="0"/>
      <w:divBdr>
        <w:top w:val="none" w:sz="0" w:space="0" w:color="auto"/>
        <w:left w:val="none" w:sz="0" w:space="0" w:color="auto"/>
        <w:bottom w:val="none" w:sz="0" w:space="0" w:color="auto"/>
        <w:right w:val="none" w:sz="0" w:space="0" w:color="auto"/>
      </w:divBdr>
    </w:div>
    <w:div w:id="925725962">
      <w:bodyDiv w:val="1"/>
      <w:marLeft w:val="0"/>
      <w:marRight w:val="0"/>
      <w:marTop w:val="0"/>
      <w:marBottom w:val="0"/>
      <w:divBdr>
        <w:top w:val="none" w:sz="0" w:space="0" w:color="auto"/>
        <w:left w:val="none" w:sz="0" w:space="0" w:color="auto"/>
        <w:bottom w:val="none" w:sz="0" w:space="0" w:color="auto"/>
        <w:right w:val="none" w:sz="0" w:space="0" w:color="auto"/>
      </w:divBdr>
    </w:div>
    <w:div w:id="926042753">
      <w:bodyDiv w:val="1"/>
      <w:marLeft w:val="0"/>
      <w:marRight w:val="0"/>
      <w:marTop w:val="0"/>
      <w:marBottom w:val="0"/>
      <w:divBdr>
        <w:top w:val="none" w:sz="0" w:space="0" w:color="auto"/>
        <w:left w:val="none" w:sz="0" w:space="0" w:color="auto"/>
        <w:bottom w:val="none" w:sz="0" w:space="0" w:color="auto"/>
        <w:right w:val="none" w:sz="0" w:space="0" w:color="auto"/>
      </w:divBdr>
    </w:div>
    <w:div w:id="926114712">
      <w:bodyDiv w:val="1"/>
      <w:marLeft w:val="0"/>
      <w:marRight w:val="0"/>
      <w:marTop w:val="0"/>
      <w:marBottom w:val="0"/>
      <w:divBdr>
        <w:top w:val="none" w:sz="0" w:space="0" w:color="auto"/>
        <w:left w:val="none" w:sz="0" w:space="0" w:color="auto"/>
        <w:bottom w:val="none" w:sz="0" w:space="0" w:color="auto"/>
        <w:right w:val="none" w:sz="0" w:space="0" w:color="auto"/>
      </w:divBdr>
    </w:div>
    <w:div w:id="926695074">
      <w:bodyDiv w:val="1"/>
      <w:marLeft w:val="0"/>
      <w:marRight w:val="0"/>
      <w:marTop w:val="0"/>
      <w:marBottom w:val="0"/>
      <w:divBdr>
        <w:top w:val="none" w:sz="0" w:space="0" w:color="auto"/>
        <w:left w:val="none" w:sz="0" w:space="0" w:color="auto"/>
        <w:bottom w:val="none" w:sz="0" w:space="0" w:color="auto"/>
        <w:right w:val="none" w:sz="0" w:space="0" w:color="auto"/>
      </w:divBdr>
    </w:div>
    <w:div w:id="927887432">
      <w:bodyDiv w:val="1"/>
      <w:marLeft w:val="0"/>
      <w:marRight w:val="0"/>
      <w:marTop w:val="0"/>
      <w:marBottom w:val="0"/>
      <w:divBdr>
        <w:top w:val="none" w:sz="0" w:space="0" w:color="auto"/>
        <w:left w:val="none" w:sz="0" w:space="0" w:color="auto"/>
        <w:bottom w:val="none" w:sz="0" w:space="0" w:color="auto"/>
        <w:right w:val="none" w:sz="0" w:space="0" w:color="auto"/>
      </w:divBdr>
    </w:div>
    <w:div w:id="928779688">
      <w:bodyDiv w:val="1"/>
      <w:marLeft w:val="0"/>
      <w:marRight w:val="0"/>
      <w:marTop w:val="0"/>
      <w:marBottom w:val="0"/>
      <w:divBdr>
        <w:top w:val="none" w:sz="0" w:space="0" w:color="auto"/>
        <w:left w:val="none" w:sz="0" w:space="0" w:color="auto"/>
        <w:bottom w:val="none" w:sz="0" w:space="0" w:color="auto"/>
        <w:right w:val="none" w:sz="0" w:space="0" w:color="auto"/>
      </w:divBdr>
    </w:div>
    <w:div w:id="930629675">
      <w:bodyDiv w:val="1"/>
      <w:marLeft w:val="0"/>
      <w:marRight w:val="0"/>
      <w:marTop w:val="0"/>
      <w:marBottom w:val="0"/>
      <w:divBdr>
        <w:top w:val="none" w:sz="0" w:space="0" w:color="auto"/>
        <w:left w:val="none" w:sz="0" w:space="0" w:color="auto"/>
        <w:bottom w:val="none" w:sz="0" w:space="0" w:color="auto"/>
        <w:right w:val="none" w:sz="0" w:space="0" w:color="auto"/>
      </w:divBdr>
    </w:div>
    <w:div w:id="932012201">
      <w:bodyDiv w:val="1"/>
      <w:marLeft w:val="0"/>
      <w:marRight w:val="0"/>
      <w:marTop w:val="0"/>
      <w:marBottom w:val="0"/>
      <w:divBdr>
        <w:top w:val="none" w:sz="0" w:space="0" w:color="auto"/>
        <w:left w:val="none" w:sz="0" w:space="0" w:color="auto"/>
        <w:bottom w:val="none" w:sz="0" w:space="0" w:color="auto"/>
        <w:right w:val="none" w:sz="0" w:space="0" w:color="auto"/>
      </w:divBdr>
      <w:divsChild>
        <w:div w:id="624510609">
          <w:marLeft w:val="0"/>
          <w:marRight w:val="0"/>
          <w:marTop w:val="0"/>
          <w:marBottom w:val="0"/>
          <w:divBdr>
            <w:top w:val="none" w:sz="0" w:space="0" w:color="auto"/>
            <w:left w:val="none" w:sz="0" w:space="0" w:color="auto"/>
            <w:bottom w:val="none" w:sz="0" w:space="0" w:color="auto"/>
            <w:right w:val="none" w:sz="0" w:space="0" w:color="auto"/>
          </w:divBdr>
          <w:divsChild>
            <w:div w:id="578560687">
              <w:marLeft w:val="0"/>
              <w:marRight w:val="0"/>
              <w:marTop w:val="0"/>
              <w:marBottom w:val="0"/>
              <w:divBdr>
                <w:top w:val="none" w:sz="0" w:space="0" w:color="auto"/>
                <w:left w:val="none" w:sz="0" w:space="0" w:color="auto"/>
                <w:bottom w:val="none" w:sz="0" w:space="0" w:color="auto"/>
                <w:right w:val="none" w:sz="0" w:space="0" w:color="auto"/>
              </w:divBdr>
              <w:divsChild>
                <w:div w:id="1219635297">
                  <w:marLeft w:val="4245"/>
                  <w:marRight w:val="0"/>
                  <w:marTop w:val="0"/>
                  <w:marBottom w:val="0"/>
                  <w:divBdr>
                    <w:top w:val="none" w:sz="0" w:space="0" w:color="auto"/>
                    <w:left w:val="none" w:sz="0" w:space="0" w:color="auto"/>
                    <w:bottom w:val="none" w:sz="0" w:space="0" w:color="auto"/>
                    <w:right w:val="none" w:sz="0" w:space="0" w:color="auto"/>
                  </w:divBdr>
                  <w:divsChild>
                    <w:div w:id="464735106">
                      <w:marLeft w:val="4200"/>
                      <w:marRight w:val="0"/>
                      <w:marTop w:val="2175"/>
                      <w:marBottom w:val="0"/>
                      <w:divBdr>
                        <w:top w:val="none" w:sz="0" w:space="0" w:color="auto"/>
                        <w:left w:val="none" w:sz="0" w:space="0" w:color="auto"/>
                        <w:bottom w:val="none" w:sz="0" w:space="0" w:color="auto"/>
                        <w:right w:val="none" w:sz="0" w:space="0" w:color="auto"/>
                      </w:divBdr>
                      <w:divsChild>
                        <w:div w:id="21155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250099">
      <w:bodyDiv w:val="1"/>
      <w:marLeft w:val="0"/>
      <w:marRight w:val="0"/>
      <w:marTop w:val="0"/>
      <w:marBottom w:val="0"/>
      <w:divBdr>
        <w:top w:val="none" w:sz="0" w:space="0" w:color="auto"/>
        <w:left w:val="none" w:sz="0" w:space="0" w:color="auto"/>
        <w:bottom w:val="none" w:sz="0" w:space="0" w:color="auto"/>
        <w:right w:val="none" w:sz="0" w:space="0" w:color="auto"/>
      </w:divBdr>
    </w:div>
    <w:div w:id="933441578">
      <w:bodyDiv w:val="1"/>
      <w:marLeft w:val="0"/>
      <w:marRight w:val="0"/>
      <w:marTop w:val="0"/>
      <w:marBottom w:val="0"/>
      <w:divBdr>
        <w:top w:val="none" w:sz="0" w:space="0" w:color="auto"/>
        <w:left w:val="none" w:sz="0" w:space="0" w:color="auto"/>
        <w:bottom w:val="none" w:sz="0" w:space="0" w:color="auto"/>
        <w:right w:val="none" w:sz="0" w:space="0" w:color="auto"/>
      </w:divBdr>
    </w:div>
    <w:div w:id="935674523">
      <w:bodyDiv w:val="1"/>
      <w:marLeft w:val="0"/>
      <w:marRight w:val="0"/>
      <w:marTop w:val="0"/>
      <w:marBottom w:val="0"/>
      <w:divBdr>
        <w:top w:val="none" w:sz="0" w:space="0" w:color="auto"/>
        <w:left w:val="none" w:sz="0" w:space="0" w:color="auto"/>
        <w:bottom w:val="none" w:sz="0" w:space="0" w:color="auto"/>
        <w:right w:val="none" w:sz="0" w:space="0" w:color="auto"/>
      </w:divBdr>
    </w:div>
    <w:div w:id="937063932">
      <w:bodyDiv w:val="1"/>
      <w:marLeft w:val="0"/>
      <w:marRight w:val="0"/>
      <w:marTop w:val="0"/>
      <w:marBottom w:val="0"/>
      <w:divBdr>
        <w:top w:val="none" w:sz="0" w:space="0" w:color="auto"/>
        <w:left w:val="none" w:sz="0" w:space="0" w:color="auto"/>
        <w:bottom w:val="none" w:sz="0" w:space="0" w:color="auto"/>
        <w:right w:val="none" w:sz="0" w:space="0" w:color="auto"/>
      </w:divBdr>
    </w:div>
    <w:div w:id="937182470">
      <w:bodyDiv w:val="1"/>
      <w:marLeft w:val="0"/>
      <w:marRight w:val="0"/>
      <w:marTop w:val="0"/>
      <w:marBottom w:val="0"/>
      <w:divBdr>
        <w:top w:val="none" w:sz="0" w:space="0" w:color="auto"/>
        <w:left w:val="none" w:sz="0" w:space="0" w:color="auto"/>
        <w:bottom w:val="none" w:sz="0" w:space="0" w:color="auto"/>
        <w:right w:val="none" w:sz="0" w:space="0" w:color="auto"/>
      </w:divBdr>
    </w:div>
    <w:div w:id="937954306">
      <w:bodyDiv w:val="1"/>
      <w:marLeft w:val="0"/>
      <w:marRight w:val="0"/>
      <w:marTop w:val="0"/>
      <w:marBottom w:val="0"/>
      <w:divBdr>
        <w:top w:val="none" w:sz="0" w:space="0" w:color="auto"/>
        <w:left w:val="none" w:sz="0" w:space="0" w:color="auto"/>
        <w:bottom w:val="none" w:sz="0" w:space="0" w:color="auto"/>
        <w:right w:val="none" w:sz="0" w:space="0" w:color="auto"/>
      </w:divBdr>
    </w:div>
    <w:div w:id="939996775">
      <w:bodyDiv w:val="1"/>
      <w:marLeft w:val="0"/>
      <w:marRight w:val="0"/>
      <w:marTop w:val="0"/>
      <w:marBottom w:val="0"/>
      <w:divBdr>
        <w:top w:val="none" w:sz="0" w:space="0" w:color="auto"/>
        <w:left w:val="none" w:sz="0" w:space="0" w:color="auto"/>
        <w:bottom w:val="none" w:sz="0" w:space="0" w:color="auto"/>
        <w:right w:val="none" w:sz="0" w:space="0" w:color="auto"/>
      </w:divBdr>
    </w:div>
    <w:div w:id="940911876">
      <w:bodyDiv w:val="1"/>
      <w:marLeft w:val="0"/>
      <w:marRight w:val="0"/>
      <w:marTop w:val="0"/>
      <w:marBottom w:val="0"/>
      <w:divBdr>
        <w:top w:val="none" w:sz="0" w:space="0" w:color="auto"/>
        <w:left w:val="none" w:sz="0" w:space="0" w:color="auto"/>
        <w:bottom w:val="none" w:sz="0" w:space="0" w:color="auto"/>
        <w:right w:val="none" w:sz="0" w:space="0" w:color="auto"/>
      </w:divBdr>
    </w:div>
    <w:div w:id="941457181">
      <w:bodyDiv w:val="1"/>
      <w:marLeft w:val="0"/>
      <w:marRight w:val="0"/>
      <w:marTop w:val="0"/>
      <w:marBottom w:val="0"/>
      <w:divBdr>
        <w:top w:val="none" w:sz="0" w:space="0" w:color="auto"/>
        <w:left w:val="none" w:sz="0" w:space="0" w:color="auto"/>
        <w:bottom w:val="none" w:sz="0" w:space="0" w:color="auto"/>
        <w:right w:val="none" w:sz="0" w:space="0" w:color="auto"/>
      </w:divBdr>
    </w:div>
    <w:div w:id="941649213">
      <w:bodyDiv w:val="1"/>
      <w:marLeft w:val="0"/>
      <w:marRight w:val="0"/>
      <w:marTop w:val="0"/>
      <w:marBottom w:val="0"/>
      <w:divBdr>
        <w:top w:val="none" w:sz="0" w:space="0" w:color="auto"/>
        <w:left w:val="none" w:sz="0" w:space="0" w:color="auto"/>
        <w:bottom w:val="none" w:sz="0" w:space="0" w:color="auto"/>
        <w:right w:val="none" w:sz="0" w:space="0" w:color="auto"/>
      </w:divBdr>
    </w:div>
    <w:div w:id="943194447">
      <w:bodyDiv w:val="1"/>
      <w:marLeft w:val="0"/>
      <w:marRight w:val="0"/>
      <w:marTop w:val="0"/>
      <w:marBottom w:val="0"/>
      <w:divBdr>
        <w:top w:val="none" w:sz="0" w:space="0" w:color="auto"/>
        <w:left w:val="none" w:sz="0" w:space="0" w:color="auto"/>
        <w:bottom w:val="none" w:sz="0" w:space="0" w:color="auto"/>
        <w:right w:val="none" w:sz="0" w:space="0" w:color="auto"/>
      </w:divBdr>
    </w:div>
    <w:div w:id="945815675">
      <w:bodyDiv w:val="1"/>
      <w:marLeft w:val="0"/>
      <w:marRight w:val="0"/>
      <w:marTop w:val="0"/>
      <w:marBottom w:val="0"/>
      <w:divBdr>
        <w:top w:val="none" w:sz="0" w:space="0" w:color="auto"/>
        <w:left w:val="none" w:sz="0" w:space="0" w:color="auto"/>
        <w:bottom w:val="none" w:sz="0" w:space="0" w:color="auto"/>
        <w:right w:val="none" w:sz="0" w:space="0" w:color="auto"/>
      </w:divBdr>
    </w:div>
    <w:div w:id="947591385">
      <w:bodyDiv w:val="1"/>
      <w:marLeft w:val="0"/>
      <w:marRight w:val="0"/>
      <w:marTop w:val="0"/>
      <w:marBottom w:val="0"/>
      <w:divBdr>
        <w:top w:val="none" w:sz="0" w:space="0" w:color="auto"/>
        <w:left w:val="none" w:sz="0" w:space="0" w:color="auto"/>
        <w:bottom w:val="none" w:sz="0" w:space="0" w:color="auto"/>
        <w:right w:val="none" w:sz="0" w:space="0" w:color="auto"/>
      </w:divBdr>
    </w:div>
    <w:div w:id="948704462">
      <w:bodyDiv w:val="1"/>
      <w:marLeft w:val="0"/>
      <w:marRight w:val="0"/>
      <w:marTop w:val="0"/>
      <w:marBottom w:val="0"/>
      <w:divBdr>
        <w:top w:val="none" w:sz="0" w:space="0" w:color="auto"/>
        <w:left w:val="none" w:sz="0" w:space="0" w:color="auto"/>
        <w:bottom w:val="none" w:sz="0" w:space="0" w:color="auto"/>
        <w:right w:val="none" w:sz="0" w:space="0" w:color="auto"/>
      </w:divBdr>
    </w:div>
    <w:div w:id="948705752">
      <w:bodyDiv w:val="1"/>
      <w:marLeft w:val="0"/>
      <w:marRight w:val="0"/>
      <w:marTop w:val="0"/>
      <w:marBottom w:val="0"/>
      <w:divBdr>
        <w:top w:val="none" w:sz="0" w:space="0" w:color="auto"/>
        <w:left w:val="none" w:sz="0" w:space="0" w:color="auto"/>
        <w:bottom w:val="none" w:sz="0" w:space="0" w:color="auto"/>
        <w:right w:val="none" w:sz="0" w:space="0" w:color="auto"/>
      </w:divBdr>
    </w:div>
    <w:div w:id="948968585">
      <w:bodyDiv w:val="1"/>
      <w:marLeft w:val="0"/>
      <w:marRight w:val="0"/>
      <w:marTop w:val="0"/>
      <w:marBottom w:val="0"/>
      <w:divBdr>
        <w:top w:val="none" w:sz="0" w:space="0" w:color="auto"/>
        <w:left w:val="none" w:sz="0" w:space="0" w:color="auto"/>
        <w:bottom w:val="none" w:sz="0" w:space="0" w:color="auto"/>
        <w:right w:val="none" w:sz="0" w:space="0" w:color="auto"/>
      </w:divBdr>
      <w:divsChild>
        <w:div w:id="1660183650">
          <w:marLeft w:val="0"/>
          <w:marRight w:val="0"/>
          <w:marTop w:val="0"/>
          <w:marBottom w:val="0"/>
          <w:divBdr>
            <w:top w:val="none" w:sz="0" w:space="0" w:color="auto"/>
            <w:left w:val="none" w:sz="0" w:space="0" w:color="auto"/>
            <w:bottom w:val="none" w:sz="0" w:space="0" w:color="auto"/>
            <w:right w:val="none" w:sz="0" w:space="0" w:color="auto"/>
          </w:divBdr>
          <w:divsChild>
            <w:div w:id="227110485">
              <w:marLeft w:val="-2928"/>
              <w:marRight w:val="0"/>
              <w:marTop w:val="0"/>
              <w:marBottom w:val="144"/>
              <w:divBdr>
                <w:top w:val="none" w:sz="0" w:space="0" w:color="auto"/>
                <w:left w:val="none" w:sz="0" w:space="0" w:color="auto"/>
                <w:bottom w:val="none" w:sz="0" w:space="0" w:color="auto"/>
                <w:right w:val="none" w:sz="0" w:space="0" w:color="auto"/>
              </w:divBdr>
              <w:divsChild>
                <w:div w:id="1258372264">
                  <w:marLeft w:val="2928"/>
                  <w:marRight w:val="0"/>
                  <w:marTop w:val="720"/>
                  <w:marBottom w:val="0"/>
                  <w:divBdr>
                    <w:top w:val="single" w:sz="6" w:space="0" w:color="AAAAAA"/>
                    <w:left w:val="single" w:sz="6" w:space="0" w:color="AAAAAA"/>
                    <w:bottom w:val="single" w:sz="6" w:space="0" w:color="AAAAAA"/>
                    <w:right w:val="none" w:sz="0" w:space="0" w:color="auto"/>
                  </w:divBdr>
                  <w:divsChild>
                    <w:div w:id="10821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974296">
      <w:bodyDiv w:val="1"/>
      <w:marLeft w:val="0"/>
      <w:marRight w:val="0"/>
      <w:marTop w:val="0"/>
      <w:marBottom w:val="0"/>
      <w:divBdr>
        <w:top w:val="none" w:sz="0" w:space="0" w:color="auto"/>
        <w:left w:val="none" w:sz="0" w:space="0" w:color="auto"/>
        <w:bottom w:val="none" w:sz="0" w:space="0" w:color="auto"/>
        <w:right w:val="none" w:sz="0" w:space="0" w:color="auto"/>
      </w:divBdr>
    </w:div>
    <w:div w:id="951328010">
      <w:bodyDiv w:val="1"/>
      <w:marLeft w:val="0"/>
      <w:marRight w:val="0"/>
      <w:marTop w:val="0"/>
      <w:marBottom w:val="0"/>
      <w:divBdr>
        <w:top w:val="none" w:sz="0" w:space="0" w:color="auto"/>
        <w:left w:val="none" w:sz="0" w:space="0" w:color="auto"/>
        <w:bottom w:val="none" w:sz="0" w:space="0" w:color="auto"/>
        <w:right w:val="none" w:sz="0" w:space="0" w:color="auto"/>
      </w:divBdr>
    </w:div>
    <w:div w:id="952203082">
      <w:bodyDiv w:val="1"/>
      <w:marLeft w:val="0"/>
      <w:marRight w:val="0"/>
      <w:marTop w:val="0"/>
      <w:marBottom w:val="0"/>
      <w:divBdr>
        <w:top w:val="none" w:sz="0" w:space="0" w:color="auto"/>
        <w:left w:val="none" w:sz="0" w:space="0" w:color="auto"/>
        <w:bottom w:val="none" w:sz="0" w:space="0" w:color="auto"/>
        <w:right w:val="none" w:sz="0" w:space="0" w:color="auto"/>
      </w:divBdr>
    </w:div>
    <w:div w:id="952397023">
      <w:bodyDiv w:val="1"/>
      <w:marLeft w:val="0"/>
      <w:marRight w:val="0"/>
      <w:marTop w:val="0"/>
      <w:marBottom w:val="0"/>
      <w:divBdr>
        <w:top w:val="none" w:sz="0" w:space="0" w:color="auto"/>
        <w:left w:val="none" w:sz="0" w:space="0" w:color="auto"/>
        <w:bottom w:val="none" w:sz="0" w:space="0" w:color="auto"/>
        <w:right w:val="none" w:sz="0" w:space="0" w:color="auto"/>
      </w:divBdr>
    </w:div>
    <w:div w:id="953558541">
      <w:bodyDiv w:val="1"/>
      <w:marLeft w:val="0"/>
      <w:marRight w:val="0"/>
      <w:marTop w:val="0"/>
      <w:marBottom w:val="0"/>
      <w:divBdr>
        <w:top w:val="none" w:sz="0" w:space="0" w:color="auto"/>
        <w:left w:val="none" w:sz="0" w:space="0" w:color="auto"/>
        <w:bottom w:val="none" w:sz="0" w:space="0" w:color="auto"/>
        <w:right w:val="none" w:sz="0" w:space="0" w:color="auto"/>
      </w:divBdr>
    </w:div>
    <w:div w:id="958216891">
      <w:bodyDiv w:val="1"/>
      <w:marLeft w:val="0"/>
      <w:marRight w:val="0"/>
      <w:marTop w:val="0"/>
      <w:marBottom w:val="0"/>
      <w:divBdr>
        <w:top w:val="none" w:sz="0" w:space="0" w:color="auto"/>
        <w:left w:val="none" w:sz="0" w:space="0" w:color="auto"/>
        <w:bottom w:val="none" w:sz="0" w:space="0" w:color="auto"/>
        <w:right w:val="none" w:sz="0" w:space="0" w:color="auto"/>
      </w:divBdr>
    </w:div>
    <w:div w:id="959650990">
      <w:bodyDiv w:val="1"/>
      <w:marLeft w:val="0"/>
      <w:marRight w:val="0"/>
      <w:marTop w:val="0"/>
      <w:marBottom w:val="0"/>
      <w:divBdr>
        <w:top w:val="none" w:sz="0" w:space="0" w:color="auto"/>
        <w:left w:val="none" w:sz="0" w:space="0" w:color="auto"/>
        <w:bottom w:val="none" w:sz="0" w:space="0" w:color="auto"/>
        <w:right w:val="none" w:sz="0" w:space="0" w:color="auto"/>
      </w:divBdr>
    </w:div>
    <w:div w:id="960066630">
      <w:bodyDiv w:val="1"/>
      <w:marLeft w:val="0"/>
      <w:marRight w:val="0"/>
      <w:marTop w:val="0"/>
      <w:marBottom w:val="0"/>
      <w:divBdr>
        <w:top w:val="none" w:sz="0" w:space="0" w:color="auto"/>
        <w:left w:val="none" w:sz="0" w:space="0" w:color="auto"/>
        <w:bottom w:val="none" w:sz="0" w:space="0" w:color="auto"/>
        <w:right w:val="none" w:sz="0" w:space="0" w:color="auto"/>
      </w:divBdr>
    </w:div>
    <w:div w:id="965501037">
      <w:bodyDiv w:val="1"/>
      <w:marLeft w:val="0"/>
      <w:marRight w:val="0"/>
      <w:marTop w:val="0"/>
      <w:marBottom w:val="0"/>
      <w:divBdr>
        <w:top w:val="none" w:sz="0" w:space="0" w:color="auto"/>
        <w:left w:val="none" w:sz="0" w:space="0" w:color="auto"/>
        <w:bottom w:val="none" w:sz="0" w:space="0" w:color="auto"/>
        <w:right w:val="none" w:sz="0" w:space="0" w:color="auto"/>
      </w:divBdr>
    </w:div>
    <w:div w:id="965506264">
      <w:bodyDiv w:val="1"/>
      <w:marLeft w:val="0"/>
      <w:marRight w:val="0"/>
      <w:marTop w:val="0"/>
      <w:marBottom w:val="0"/>
      <w:divBdr>
        <w:top w:val="none" w:sz="0" w:space="0" w:color="auto"/>
        <w:left w:val="none" w:sz="0" w:space="0" w:color="auto"/>
        <w:bottom w:val="none" w:sz="0" w:space="0" w:color="auto"/>
        <w:right w:val="none" w:sz="0" w:space="0" w:color="auto"/>
      </w:divBdr>
    </w:div>
    <w:div w:id="967201118">
      <w:bodyDiv w:val="1"/>
      <w:marLeft w:val="0"/>
      <w:marRight w:val="0"/>
      <w:marTop w:val="0"/>
      <w:marBottom w:val="0"/>
      <w:divBdr>
        <w:top w:val="none" w:sz="0" w:space="0" w:color="auto"/>
        <w:left w:val="none" w:sz="0" w:space="0" w:color="auto"/>
        <w:bottom w:val="none" w:sz="0" w:space="0" w:color="auto"/>
        <w:right w:val="none" w:sz="0" w:space="0" w:color="auto"/>
      </w:divBdr>
    </w:div>
    <w:div w:id="968128781">
      <w:bodyDiv w:val="1"/>
      <w:marLeft w:val="0"/>
      <w:marRight w:val="0"/>
      <w:marTop w:val="0"/>
      <w:marBottom w:val="0"/>
      <w:divBdr>
        <w:top w:val="none" w:sz="0" w:space="0" w:color="auto"/>
        <w:left w:val="none" w:sz="0" w:space="0" w:color="auto"/>
        <w:bottom w:val="none" w:sz="0" w:space="0" w:color="auto"/>
        <w:right w:val="none" w:sz="0" w:space="0" w:color="auto"/>
      </w:divBdr>
    </w:div>
    <w:div w:id="968166094">
      <w:bodyDiv w:val="1"/>
      <w:marLeft w:val="0"/>
      <w:marRight w:val="0"/>
      <w:marTop w:val="0"/>
      <w:marBottom w:val="0"/>
      <w:divBdr>
        <w:top w:val="none" w:sz="0" w:space="0" w:color="auto"/>
        <w:left w:val="none" w:sz="0" w:space="0" w:color="auto"/>
        <w:bottom w:val="none" w:sz="0" w:space="0" w:color="auto"/>
        <w:right w:val="none" w:sz="0" w:space="0" w:color="auto"/>
      </w:divBdr>
    </w:div>
    <w:div w:id="970090917">
      <w:bodyDiv w:val="1"/>
      <w:marLeft w:val="0"/>
      <w:marRight w:val="0"/>
      <w:marTop w:val="0"/>
      <w:marBottom w:val="0"/>
      <w:divBdr>
        <w:top w:val="none" w:sz="0" w:space="0" w:color="auto"/>
        <w:left w:val="none" w:sz="0" w:space="0" w:color="auto"/>
        <w:bottom w:val="none" w:sz="0" w:space="0" w:color="auto"/>
        <w:right w:val="none" w:sz="0" w:space="0" w:color="auto"/>
      </w:divBdr>
    </w:div>
    <w:div w:id="970552752">
      <w:bodyDiv w:val="1"/>
      <w:marLeft w:val="0"/>
      <w:marRight w:val="0"/>
      <w:marTop w:val="0"/>
      <w:marBottom w:val="0"/>
      <w:divBdr>
        <w:top w:val="none" w:sz="0" w:space="0" w:color="auto"/>
        <w:left w:val="none" w:sz="0" w:space="0" w:color="auto"/>
        <w:bottom w:val="none" w:sz="0" w:space="0" w:color="auto"/>
        <w:right w:val="none" w:sz="0" w:space="0" w:color="auto"/>
      </w:divBdr>
    </w:div>
    <w:div w:id="972173474">
      <w:bodyDiv w:val="1"/>
      <w:marLeft w:val="0"/>
      <w:marRight w:val="0"/>
      <w:marTop w:val="0"/>
      <w:marBottom w:val="0"/>
      <w:divBdr>
        <w:top w:val="none" w:sz="0" w:space="0" w:color="auto"/>
        <w:left w:val="none" w:sz="0" w:space="0" w:color="auto"/>
        <w:bottom w:val="none" w:sz="0" w:space="0" w:color="auto"/>
        <w:right w:val="none" w:sz="0" w:space="0" w:color="auto"/>
      </w:divBdr>
    </w:div>
    <w:div w:id="972446938">
      <w:bodyDiv w:val="1"/>
      <w:marLeft w:val="0"/>
      <w:marRight w:val="0"/>
      <w:marTop w:val="0"/>
      <w:marBottom w:val="0"/>
      <w:divBdr>
        <w:top w:val="none" w:sz="0" w:space="0" w:color="auto"/>
        <w:left w:val="none" w:sz="0" w:space="0" w:color="auto"/>
        <w:bottom w:val="none" w:sz="0" w:space="0" w:color="auto"/>
        <w:right w:val="none" w:sz="0" w:space="0" w:color="auto"/>
      </w:divBdr>
    </w:div>
    <w:div w:id="973144536">
      <w:bodyDiv w:val="1"/>
      <w:marLeft w:val="0"/>
      <w:marRight w:val="0"/>
      <w:marTop w:val="0"/>
      <w:marBottom w:val="0"/>
      <w:divBdr>
        <w:top w:val="none" w:sz="0" w:space="0" w:color="auto"/>
        <w:left w:val="none" w:sz="0" w:space="0" w:color="auto"/>
        <w:bottom w:val="none" w:sz="0" w:space="0" w:color="auto"/>
        <w:right w:val="none" w:sz="0" w:space="0" w:color="auto"/>
      </w:divBdr>
    </w:div>
    <w:div w:id="975136082">
      <w:bodyDiv w:val="1"/>
      <w:marLeft w:val="0"/>
      <w:marRight w:val="0"/>
      <w:marTop w:val="0"/>
      <w:marBottom w:val="0"/>
      <w:divBdr>
        <w:top w:val="none" w:sz="0" w:space="0" w:color="auto"/>
        <w:left w:val="none" w:sz="0" w:space="0" w:color="auto"/>
        <w:bottom w:val="none" w:sz="0" w:space="0" w:color="auto"/>
        <w:right w:val="none" w:sz="0" w:space="0" w:color="auto"/>
      </w:divBdr>
    </w:div>
    <w:div w:id="975601016">
      <w:bodyDiv w:val="1"/>
      <w:marLeft w:val="0"/>
      <w:marRight w:val="0"/>
      <w:marTop w:val="0"/>
      <w:marBottom w:val="0"/>
      <w:divBdr>
        <w:top w:val="none" w:sz="0" w:space="0" w:color="auto"/>
        <w:left w:val="none" w:sz="0" w:space="0" w:color="auto"/>
        <w:bottom w:val="none" w:sz="0" w:space="0" w:color="auto"/>
        <w:right w:val="none" w:sz="0" w:space="0" w:color="auto"/>
      </w:divBdr>
    </w:div>
    <w:div w:id="977999347">
      <w:bodyDiv w:val="1"/>
      <w:marLeft w:val="0"/>
      <w:marRight w:val="0"/>
      <w:marTop w:val="0"/>
      <w:marBottom w:val="0"/>
      <w:divBdr>
        <w:top w:val="none" w:sz="0" w:space="0" w:color="auto"/>
        <w:left w:val="none" w:sz="0" w:space="0" w:color="auto"/>
        <w:bottom w:val="none" w:sz="0" w:space="0" w:color="auto"/>
        <w:right w:val="none" w:sz="0" w:space="0" w:color="auto"/>
      </w:divBdr>
    </w:div>
    <w:div w:id="978151348">
      <w:bodyDiv w:val="1"/>
      <w:marLeft w:val="0"/>
      <w:marRight w:val="0"/>
      <w:marTop w:val="0"/>
      <w:marBottom w:val="0"/>
      <w:divBdr>
        <w:top w:val="none" w:sz="0" w:space="0" w:color="auto"/>
        <w:left w:val="none" w:sz="0" w:space="0" w:color="auto"/>
        <w:bottom w:val="none" w:sz="0" w:space="0" w:color="auto"/>
        <w:right w:val="none" w:sz="0" w:space="0" w:color="auto"/>
      </w:divBdr>
    </w:div>
    <w:div w:id="979193945">
      <w:bodyDiv w:val="1"/>
      <w:marLeft w:val="0"/>
      <w:marRight w:val="0"/>
      <w:marTop w:val="0"/>
      <w:marBottom w:val="0"/>
      <w:divBdr>
        <w:top w:val="none" w:sz="0" w:space="0" w:color="auto"/>
        <w:left w:val="none" w:sz="0" w:space="0" w:color="auto"/>
        <w:bottom w:val="none" w:sz="0" w:space="0" w:color="auto"/>
        <w:right w:val="none" w:sz="0" w:space="0" w:color="auto"/>
      </w:divBdr>
    </w:div>
    <w:div w:id="984894445">
      <w:bodyDiv w:val="1"/>
      <w:marLeft w:val="0"/>
      <w:marRight w:val="0"/>
      <w:marTop w:val="0"/>
      <w:marBottom w:val="0"/>
      <w:divBdr>
        <w:top w:val="none" w:sz="0" w:space="0" w:color="auto"/>
        <w:left w:val="none" w:sz="0" w:space="0" w:color="auto"/>
        <w:bottom w:val="none" w:sz="0" w:space="0" w:color="auto"/>
        <w:right w:val="none" w:sz="0" w:space="0" w:color="auto"/>
      </w:divBdr>
    </w:div>
    <w:div w:id="984966084">
      <w:bodyDiv w:val="1"/>
      <w:marLeft w:val="0"/>
      <w:marRight w:val="0"/>
      <w:marTop w:val="0"/>
      <w:marBottom w:val="0"/>
      <w:divBdr>
        <w:top w:val="none" w:sz="0" w:space="0" w:color="auto"/>
        <w:left w:val="none" w:sz="0" w:space="0" w:color="auto"/>
        <w:bottom w:val="none" w:sz="0" w:space="0" w:color="auto"/>
        <w:right w:val="none" w:sz="0" w:space="0" w:color="auto"/>
      </w:divBdr>
    </w:div>
    <w:div w:id="988827938">
      <w:bodyDiv w:val="1"/>
      <w:marLeft w:val="0"/>
      <w:marRight w:val="0"/>
      <w:marTop w:val="0"/>
      <w:marBottom w:val="0"/>
      <w:divBdr>
        <w:top w:val="none" w:sz="0" w:space="0" w:color="auto"/>
        <w:left w:val="none" w:sz="0" w:space="0" w:color="auto"/>
        <w:bottom w:val="none" w:sz="0" w:space="0" w:color="auto"/>
        <w:right w:val="none" w:sz="0" w:space="0" w:color="auto"/>
      </w:divBdr>
    </w:div>
    <w:div w:id="989557973">
      <w:bodyDiv w:val="1"/>
      <w:marLeft w:val="0"/>
      <w:marRight w:val="0"/>
      <w:marTop w:val="0"/>
      <w:marBottom w:val="0"/>
      <w:divBdr>
        <w:top w:val="none" w:sz="0" w:space="0" w:color="auto"/>
        <w:left w:val="none" w:sz="0" w:space="0" w:color="auto"/>
        <w:bottom w:val="none" w:sz="0" w:space="0" w:color="auto"/>
        <w:right w:val="none" w:sz="0" w:space="0" w:color="auto"/>
      </w:divBdr>
    </w:div>
    <w:div w:id="989676990">
      <w:bodyDiv w:val="1"/>
      <w:marLeft w:val="0"/>
      <w:marRight w:val="0"/>
      <w:marTop w:val="0"/>
      <w:marBottom w:val="0"/>
      <w:divBdr>
        <w:top w:val="none" w:sz="0" w:space="0" w:color="auto"/>
        <w:left w:val="none" w:sz="0" w:space="0" w:color="auto"/>
        <w:bottom w:val="none" w:sz="0" w:space="0" w:color="auto"/>
        <w:right w:val="none" w:sz="0" w:space="0" w:color="auto"/>
      </w:divBdr>
    </w:div>
    <w:div w:id="991567186">
      <w:bodyDiv w:val="1"/>
      <w:marLeft w:val="0"/>
      <w:marRight w:val="0"/>
      <w:marTop w:val="0"/>
      <w:marBottom w:val="0"/>
      <w:divBdr>
        <w:top w:val="none" w:sz="0" w:space="0" w:color="auto"/>
        <w:left w:val="none" w:sz="0" w:space="0" w:color="auto"/>
        <w:bottom w:val="none" w:sz="0" w:space="0" w:color="auto"/>
        <w:right w:val="none" w:sz="0" w:space="0" w:color="auto"/>
      </w:divBdr>
    </w:div>
    <w:div w:id="994604554">
      <w:bodyDiv w:val="1"/>
      <w:marLeft w:val="0"/>
      <w:marRight w:val="0"/>
      <w:marTop w:val="0"/>
      <w:marBottom w:val="0"/>
      <w:divBdr>
        <w:top w:val="none" w:sz="0" w:space="0" w:color="auto"/>
        <w:left w:val="none" w:sz="0" w:space="0" w:color="auto"/>
        <w:bottom w:val="none" w:sz="0" w:space="0" w:color="auto"/>
        <w:right w:val="none" w:sz="0" w:space="0" w:color="auto"/>
      </w:divBdr>
    </w:div>
    <w:div w:id="994912039">
      <w:bodyDiv w:val="1"/>
      <w:marLeft w:val="0"/>
      <w:marRight w:val="0"/>
      <w:marTop w:val="0"/>
      <w:marBottom w:val="0"/>
      <w:divBdr>
        <w:top w:val="none" w:sz="0" w:space="0" w:color="auto"/>
        <w:left w:val="none" w:sz="0" w:space="0" w:color="auto"/>
        <w:bottom w:val="none" w:sz="0" w:space="0" w:color="auto"/>
        <w:right w:val="none" w:sz="0" w:space="0" w:color="auto"/>
      </w:divBdr>
    </w:div>
    <w:div w:id="995767863">
      <w:bodyDiv w:val="1"/>
      <w:marLeft w:val="0"/>
      <w:marRight w:val="0"/>
      <w:marTop w:val="0"/>
      <w:marBottom w:val="0"/>
      <w:divBdr>
        <w:top w:val="none" w:sz="0" w:space="0" w:color="auto"/>
        <w:left w:val="none" w:sz="0" w:space="0" w:color="auto"/>
        <w:bottom w:val="none" w:sz="0" w:space="0" w:color="auto"/>
        <w:right w:val="none" w:sz="0" w:space="0" w:color="auto"/>
      </w:divBdr>
    </w:div>
    <w:div w:id="996761508">
      <w:bodyDiv w:val="1"/>
      <w:marLeft w:val="0"/>
      <w:marRight w:val="0"/>
      <w:marTop w:val="0"/>
      <w:marBottom w:val="0"/>
      <w:divBdr>
        <w:top w:val="none" w:sz="0" w:space="0" w:color="auto"/>
        <w:left w:val="none" w:sz="0" w:space="0" w:color="auto"/>
        <w:bottom w:val="none" w:sz="0" w:space="0" w:color="auto"/>
        <w:right w:val="none" w:sz="0" w:space="0" w:color="auto"/>
      </w:divBdr>
    </w:div>
    <w:div w:id="998000602">
      <w:bodyDiv w:val="1"/>
      <w:marLeft w:val="0"/>
      <w:marRight w:val="0"/>
      <w:marTop w:val="0"/>
      <w:marBottom w:val="0"/>
      <w:divBdr>
        <w:top w:val="none" w:sz="0" w:space="0" w:color="auto"/>
        <w:left w:val="none" w:sz="0" w:space="0" w:color="auto"/>
        <w:bottom w:val="none" w:sz="0" w:space="0" w:color="auto"/>
        <w:right w:val="none" w:sz="0" w:space="0" w:color="auto"/>
      </w:divBdr>
    </w:div>
    <w:div w:id="999045745">
      <w:bodyDiv w:val="1"/>
      <w:marLeft w:val="0"/>
      <w:marRight w:val="0"/>
      <w:marTop w:val="0"/>
      <w:marBottom w:val="0"/>
      <w:divBdr>
        <w:top w:val="none" w:sz="0" w:space="0" w:color="auto"/>
        <w:left w:val="none" w:sz="0" w:space="0" w:color="auto"/>
        <w:bottom w:val="none" w:sz="0" w:space="0" w:color="auto"/>
        <w:right w:val="none" w:sz="0" w:space="0" w:color="auto"/>
      </w:divBdr>
    </w:div>
    <w:div w:id="1000037814">
      <w:bodyDiv w:val="1"/>
      <w:marLeft w:val="0"/>
      <w:marRight w:val="0"/>
      <w:marTop w:val="0"/>
      <w:marBottom w:val="0"/>
      <w:divBdr>
        <w:top w:val="none" w:sz="0" w:space="0" w:color="auto"/>
        <w:left w:val="none" w:sz="0" w:space="0" w:color="auto"/>
        <w:bottom w:val="none" w:sz="0" w:space="0" w:color="auto"/>
        <w:right w:val="none" w:sz="0" w:space="0" w:color="auto"/>
      </w:divBdr>
    </w:div>
    <w:div w:id="1003243759">
      <w:bodyDiv w:val="1"/>
      <w:marLeft w:val="0"/>
      <w:marRight w:val="0"/>
      <w:marTop w:val="0"/>
      <w:marBottom w:val="0"/>
      <w:divBdr>
        <w:top w:val="none" w:sz="0" w:space="0" w:color="auto"/>
        <w:left w:val="none" w:sz="0" w:space="0" w:color="auto"/>
        <w:bottom w:val="none" w:sz="0" w:space="0" w:color="auto"/>
        <w:right w:val="none" w:sz="0" w:space="0" w:color="auto"/>
      </w:divBdr>
    </w:div>
    <w:div w:id="1003509762">
      <w:bodyDiv w:val="1"/>
      <w:marLeft w:val="0"/>
      <w:marRight w:val="0"/>
      <w:marTop w:val="0"/>
      <w:marBottom w:val="0"/>
      <w:divBdr>
        <w:top w:val="none" w:sz="0" w:space="0" w:color="auto"/>
        <w:left w:val="none" w:sz="0" w:space="0" w:color="auto"/>
        <w:bottom w:val="none" w:sz="0" w:space="0" w:color="auto"/>
        <w:right w:val="none" w:sz="0" w:space="0" w:color="auto"/>
      </w:divBdr>
    </w:div>
    <w:div w:id="1003751183">
      <w:bodyDiv w:val="1"/>
      <w:marLeft w:val="0"/>
      <w:marRight w:val="0"/>
      <w:marTop w:val="0"/>
      <w:marBottom w:val="0"/>
      <w:divBdr>
        <w:top w:val="none" w:sz="0" w:space="0" w:color="auto"/>
        <w:left w:val="none" w:sz="0" w:space="0" w:color="auto"/>
        <w:bottom w:val="none" w:sz="0" w:space="0" w:color="auto"/>
        <w:right w:val="none" w:sz="0" w:space="0" w:color="auto"/>
      </w:divBdr>
    </w:div>
    <w:div w:id="1005523433">
      <w:bodyDiv w:val="1"/>
      <w:marLeft w:val="0"/>
      <w:marRight w:val="0"/>
      <w:marTop w:val="0"/>
      <w:marBottom w:val="0"/>
      <w:divBdr>
        <w:top w:val="none" w:sz="0" w:space="0" w:color="auto"/>
        <w:left w:val="none" w:sz="0" w:space="0" w:color="auto"/>
        <w:bottom w:val="none" w:sz="0" w:space="0" w:color="auto"/>
        <w:right w:val="none" w:sz="0" w:space="0" w:color="auto"/>
      </w:divBdr>
    </w:div>
    <w:div w:id="1005742852">
      <w:bodyDiv w:val="1"/>
      <w:marLeft w:val="0"/>
      <w:marRight w:val="0"/>
      <w:marTop w:val="0"/>
      <w:marBottom w:val="0"/>
      <w:divBdr>
        <w:top w:val="none" w:sz="0" w:space="0" w:color="auto"/>
        <w:left w:val="none" w:sz="0" w:space="0" w:color="auto"/>
        <w:bottom w:val="none" w:sz="0" w:space="0" w:color="auto"/>
        <w:right w:val="none" w:sz="0" w:space="0" w:color="auto"/>
      </w:divBdr>
    </w:div>
    <w:div w:id="1007900209">
      <w:bodyDiv w:val="1"/>
      <w:marLeft w:val="0"/>
      <w:marRight w:val="0"/>
      <w:marTop w:val="0"/>
      <w:marBottom w:val="0"/>
      <w:divBdr>
        <w:top w:val="none" w:sz="0" w:space="0" w:color="auto"/>
        <w:left w:val="none" w:sz="0" w:space="0" w:color="auto"/>
        <w:bottom w:val="none" w:sz="0" w:space="0" w:color="auto"/>
        <w:right w:val="none" w:sz="0" w:space="0" w:color="auto"/>
      </w:divBdr>
    </w:div>
    <w:div w:id="1008605411">
      <w:bodyDiv w:val="1"/>
      <w:marLeft w:val="0"/>
      <w:marRight w:val="0"/>
      <w:marTop w:val="0"/>
      <w:marBottom w:val="0"/>
      <w:divBdr>
        <w:top w:val="none" w:sz="0" w:space="0" w:color="auto"/>
        <w:left w:val="none" w:sz="0" w:space="0" w:color="auto"/>
        <w:bottom w:val="none" w:sz="0" w:space="0" w:color="auto"/>
        <w:right w:val="none" w:sz="0" w:space="0" w:color="auto"/>
      </w:divBdr>
    </w:div>
    <w:div w:id="1009870457">
      <w:bodyDiv w:val="1"/>
      <w:marLeft w:val="0"/>
      <w:marRight w:val="0"/>
      <w:marTop w:val="0"/>
      <w:marBottom w:val="0"/>
      <w:divBdr>
        <w:top w:val="none" w:sz="0" w:space="0" w:color="auto"/>
        <w:left w:val="none" w:sz="0" w:space="0" w:color="auto"/>
        <w:bottom w:val="none" w:sz="0" w:space="0" w:color="auto"/>
        <w:right w:val="none" w:sz="0" w:space="0" w:color="auto"/>
      </w:divBdr>
    </w:div>
    <w:div w:id="1012301614">
      <w:bodyDiv w:val="1"/>
      <w:marLeft w:val="0"/>
      <w:marRight w:val="0"/>
      <w:marTop w:val="0"/>
      <w:marBottom w:val="0"/>
      <w:divBdr>
        <w:top w:val="none" w:sz="0" w:space="0" w:color="auto"/>
        <w:left w:val="none" w:sz="0" w:space="0" w:color="auto"/>
        <w:bottom w:val="none" w:sz="0" w:space="0" w:color="auto"/>
        <w:right w:val="none" w:sz="0" w:space="0" w:color="auto"/>
      </w:divBdr>
    </w:div>
    <w:div w:id="1014117018">
      <w:bodyDiv w:val="1"/>
      <w:marLeft w:val="0"/>
      <w:marRight w:val="0"/>
      <w:marTop w:val="0"/>
      <w:marBottom w:val="0"/>
      <w:divBdr>
        <w:top w:val="none" w:sz="0" w:space="0" w:color="auto"/>
        <w:left w:val="none" w:sz="0" w:space="0" w:color="auto"/>
        <w:bottom w:val="none" w:sz="0" w:space="0" w:color="auto"/>
        <w:right w:val="none" w:sz="0" w:space="0" w:color="auto"/>
      </w:divBdr>
    </w:div>
    <w:div w:id="1014651649">
      <w:bodyDiv w:val="1"/>
      <w:marLeft w:val="0"/>
      <w:marRight w:val="0"/>
      <w:marTop w:val="0"/>
      <w:marBottom w:val="0"/>
      <w:divBdr>
        <w:top w:val="none" w:sz="0" w:space="0" w:color="auto"/>
        <w:left w:val="none" w:sz="0" w:space="0" w:color="auto"/>
        <w:bottom w:val="none" w:sz="0" w:space="0" w:color="auto"/>
        <w:right w:val="none" w:sz="0" w:space="0" w:color="auto"/>
      </w:divBdr>
    </w:div>
    <w:div w:id="1019507054">
      <w:bodyDiv w:val="1"/>
      <w:marLeft w:val="0"/>
      <w:marRight w:val="0"/>
      <w:marTop w:val="0"/>
      <w:marBottom w:val="0"/>
      <w:divBdr>
        <w:top w:val="none" w:sz="0" w:space="0" w:color="auto"/>
        <w:left w:val="none" w:sz="0" w:space="0" w:color="auto"/>
        <w:bottom w:val="none" w:sz="0" w:space="0" w:color="auto"/>
        <w:right w:val="none" w:sz="0" w:space="0" w:color="auto"/>
      </w:divBdr>
    </w:div>
    <w:div w:id="1019889438">
      <w:bodyDiv w:val="1"/>
      <w:marLeft w:val="0"/>
      <w:marRight w:val="0"/>
      <w:marTop w:val="0"/>
      <w:marBottom w:val="0"/>
      <w:divBdr>
        <w:top w:val="none" w:sz="0" w:space="0" w:color="auto"/>
        <w:left w:val="none" w:sz="0" w:space="0" w:color="auto"/>
        <w:bottom w:val="none" w:sz="0" w:space="0" w:color="auto"/>
        <w:right w:val="none" w:sz="0" w:space="0" w:color="auto"/>
      </w:divBdr>
    </w:div>
    <w:div w:id="1020819461">
      <w:bodyDiv w:val="1"/>
      <w:marLeft w:val="0"/>
      <w:marRight w:val="0"/>
      <w:marTop w:val="0"/>
      <w:marBottom w:val="0"/>
      <w:divBdr>
        <w:top w:val="none" w:sz="0" w:space="0" w:color="auto"/>
        <w:left w:val="none" w:sz="0" w:space="0" w:color="auto"/>
        <w:bottom w:val="none" w:sz="0" w:space="0" w:color="auto"/>
        <w:right w:val="none" w:sz="0" w:space="0" w:color="auto"/>
      </w:divBdr>
    </w:div>
    <w:div w:id="1025520467">
      <w:bodyDiv w:val="1"/>
      <w:marLeft w:val="0"/>
      <w:marRight w:val="0"/>
      <w:marTop w:val="0"/>
      <w:marBottom w:val="0"/>
      <w:divBdr>
        <w:top w:val="none" w:sz="0" w:space="0" w:color="auto"/>
        <w:left w:val="none" w:sz="0" w:space="0" w:color="auto"/>
        <w:bottom w:val="none" w:sz="0" w:space="0" w:color="auto"/>
        <w:right w:val="none" w:sz="0" w:space="0" w:color="auto"/>
      </w:divBdr>
    </w:div>
    <w:div w:id="1026640061">
      <w:bodyDiv w:val="1"/>
      <w:marLeft w:val="0"/>
      <w:marRight w:val="0"/>
      <w:marTop w:val="0"/>
      <w:marBottom w:val="0"/>
      <w:divBdr>
        <w:top w:val="none" w:sz="0" w:space="0" w:color="auto"/>
        <w:left w:val="none" w:sz="0" w:space="0" w:color="auto"/>
        <w:bottom w:val="none" w:sz="0" w:space="0" w:color="auto"/>
        <w:right w:val="none" w:sz="0" w:space="0" w:color="auto"/>
      </w:divBdr>
    </w:div>
    <w:div w:id="1028488700">
      <w:bodyDiv w:val="1"/>
      <w:marLeft w:val="0"/>
      <w:marRight w:val="0"/>
      <w:marTop w:val="0"/>
      <w:marBottom w:val="0"/>
      <w:divBdr>
        <w:top w:val="none" w:sz="0" w:space="0" w:color="auto"/>
        <w:left w:val="none" w:sz="0" w:space="0" w:color="auto"/>
        <w:bottom w:val="none" w:sz="0" w:space="0" w:color="auto"/>
        <w:right w:val="none" w:sz="0" w:space="0" w:color="auto"/>
      </w:divBdr>
    </w:div>
    <w:div w:id="1028994560">
      <w:bodyDiv w:val="1"/>
      <w:marLeft w:val="0"/>
      <w:marRight w:val="0"/>
      <w:marTop w:val="0"/>
      <w:marBottom w:val="0"/>
      <w:divBdr>
        <w:top w:val="none" w:sz="0" w:space="0" w:color="auto"/>
        <w:left w:val="none" w:sz="0" w:space="0" w:color="auto"/>
        <w:bottom w:val="none" w:sz="0" w:space="0" w:color="auto"/>
        <w:right w:val="none" w:sz="0" w:space="0" w:color="auto"/>
      </w:divBdr>
    </w:div>
    <w:div w:id="1029913226">
      <w:bodyDiv w:val="1"/>
      <w:marLeft w:val="0"/>
      <w:marRight w:val="0"/>
      <w:marTop w:val="0"/>
      <w:marBottom w:val="0"/>
      <w:divBdr>
        <w:top w:val="none" w:sz="0" w:space="0" w:color="auto"/>
        <w:left w:val="none" w:sz="0" w:space="0" w:color="auto"/>
        <w:bottom w:val="none" w:sz="0" w:space="0" w:color="auto"/>
        <w:right w:val="none" w:sz="0" w:space="0" w:color="auto"/>
      </w:divBdr>
    </w:div>
    <w:div w:id="1030108520">
      <w:bodyDiv w:val="1"/>
      <w:marLeft w:val="0"/>
      <w:marRight w:val="0"/>
      <w:marTop w:val="0"/>
      <w:marBottom w:val="0"/>
      <w:divBdr>
        <w:top w:val="none" w:sz="0" w:space="0" w:color="auto"/>
        <w:left w:val="none" w:sz="0" w:space="0" w:color="auto"/>
        <w:bottom w:val="none" w:sz="0" w:space="0" w:color="auto"/>
        <w:right w:val="none" w:sz="0" w:space="0" w:color="auto"/>
      </w:divBdr>
    </w:div>
    <w:div w:id="1031034806">
      <w:bodyDiv w:val="1"/>
      <w:marLeft w:val="0"/>
      <w:marRight w:val="0"/>
      <w:marTop w:val="0"/>
      <w:marBottom w:val="0"/>
      <w:divBdr>
        <w:top w:val="none" w:sz="0" w:space="0" w:color="auto"/>
        <w:left w:val="none" w:sz="0" w:space="0" w:color="auto"/>
        <w:bottom w:val="none" w:sz="0" w:space="0" w:color="auto"/>
        <w:right w:val="none" w:sz="0" w:space="0" w:color="auto"/>
      </w:divBdr>
    </w:div>
    <w:div w:id="1031416628">
      <w:bodyDiv w:val="1"/>
      <w:marLeft w:val="0"/>
      <w:marRight w:val="0"/>
      <w:marTop w:val="0"/>
      <w:marBottom w:val="0"/>
      <w:divBdr>
        <w:top w:val="none" w:sz="0" w:space="0" w:color="auto"/>
        <w:left w:val="none" w:sz="0" w:space="0" w:color="auto"/>
        <w:bottom w:val="none" w:sz="0" w:space="0" w:color="auto"/>
        <w:right w:val="none" w:sz="0" w:space="0" w:color="auto"/>
      </w:divBdr>
    </w:div>
    <w:div w:id="1031490015">
      <w:bodyDiv w:val="1"/>
      <w:marLeft w:val="0"/>
      <w:marRight w:val="0"/>
      <w:marTop w:val="0"/>
      <w:marBottom w:val="0"/>
      <w:divBdr>
        <w:top w:val="none" w:sz="0" w:space="0" w:color="auto"/>
        <w:left w:val="none" w:sz="0" w:space="0" w:color="auto"/>
        <w:bottom w:val="none" w:sz="0" w:space="0" w:color="auto"/>
        <w:right w:val="none" w:sz="0" w:space="0" w:color="auto"/>
      </w:divBdr>
    </w:div>
    <w:div w:id="1031492550">
      <w:bodyDiv w:val="1"/>
      <w:marLeft w:val="0"/>
      <w:marRight w:val="0"/>
      <w:marTop w:val="0"/>
      <w:marBottom w:val="0"/>
      <w:divBdr>
        <w:top w:val="none" w:sz="0" w:space="0" w:color="auto"/>
        <w:left w:val="none" w:sz="0" w:space="0" w:color="auto"/>
        <w:bottom w:val="none" w:sz="0" w:space="0" w:color="auto"/>
        <w:right w:val="none" w:sz="0" w:space="0" w:color="auto"/>
      </w:divBdr>
    </w:div>
    <w:div w:id="1031959883">
      <w:bodyDiv w:val="1"/>
      <w:marLeft w:val="0"/>
      <w:marRight w:val="0"/>
      <w:marTop w:val="0"/>
      <w:marBottom w:val="0"/>
      <w:divBdr>
        <w:top w:val="none" w:sz="0" w:space="0" w:color="auto"/>
        <w:left w:val="none" w:sz="0" w:space="0" w:color="auto"/>
        <w:bottom w:val="none" w:sz="0" w:space="0" w:color="auto"/>
        <w:right w:val="none" w:sz="0" w:space="0" w:color="auto"/>
      </w:divBdr>
    </w:div>
    <w:div w:id="1032606763">
      <w:bodyDiv w:val="1"/>
      <w:marLeft w:val="0"/>
      <w:marRight w:val="0"/>
      <w:marTop w:val="0"/>
      <w:marBottom w:val="0"/>
      <w:divBdr>
        <w:top w:val="none" w:sz="0" w:space="0" w:color="auto"/>
        <w:left w:val="none" w:sz="0" w:space="0" w:color="auto"/>
        <w:bottom w:val="none" w:sz="0" w:space="0" w:color="auto"/>
        <w:right w:val="none" w:sz="0" w:space="0" w:color="auto"/>
      </w:divBdr>
    </w:div>
    <w:div w:id="1033576251">
      <w:bodyDiv w:val="1"/>
      <w:marLeft w:val="0"/>
      <w:marRight w:val="0"/>
      <w:marTop w:val="0"/>
      <w:marBottom w:val="0"/>
      <w:divBdr>
        <w:top w:val="none" w:sz="0" w:space="0" w:color="auto"/>
        <w:left w:val="none" w:sz="0" w:space="0" w:color="auto"/>
        <w:bottom w:val="none" w:sz="0" w:space="0" w:color="auto"/>
        <w:right w:val="none" w:sz="0" w:space="0" w:color="auto"/>
      </w:divBdr>
    </w:div>
    <w:div w:id="1037504457">
      <w:bodyDiv w:val="1"/>
      <w:marLeft w:val="0"/>
      <w:marRight w:val="0"/>
      <w:marTop w:val="0"/>
      <w:marBottom w:val="0"/>
      <w:divBdr>
        <w:top w:val="none" w:sz="0" w:space="0" w:color="auto"/>
        <w:left w:val="none" w:sz="0" w:space="0" w:color="auto"/>
        <w:bottom w:val="none" w:sz="0" w:space="0" w:color="auto"/>
        <w:right w:val="none" w:sz="0" w:space="0" w:color="auto"/>
      </w:divBdr>
    </w:div>
    <w:div w:id="1039630104">
      <w:bodyDiv w:val="1"/>
      <w:marLeft w:val="0"/>
      <w:marRight w:val="0"/>
      <w:marTop w:val="0"/>
      <w:marBottom w:val="0"/>
      <w:divBdr>
        <w:top w:val="none" w:sz="0" w:space="0" w:color="auto"/>
        <w:left w:val="none" w:sz="0" w:space="0" w:color="auto"/>
        <w:bottom w:val="none" w:sz="0" w:space="0" w:color="auto"/>
        <w:right w:val="none" w:sz="0" w:space="0" w:color="auto"/>
      </w:divBdr>
    </w:div>
    <w:div w:id="1044250835">
      <w:bodyDiv w:val="1"/>
      <w:marLeft w:val="0"/>
      <w:marRight w:val="0"/>
      <w:marTop w:val="0"/>
      <w:marBottom w:val="0"/>
      <w:divBdr>
        <w:top w:val="none" w:sz="0" w:space="0" w:color="auto"/>
        <w:left w:val="none" w:sz="0" w:space="0" w:color="auto"/>
        <w:bottom w:val="none" w:sz="0" w:space="0" w:color="auto"/>
        <w:right w:val="none" w:sz="0" w:space="0" w:color="auto"/>
      </w:divBdr>
    </w:div>
    <w:div w:id="1044671238">
      <w:bodyDiv w:val="1"/>
      <w:marLeft w:val="0"/>
      <w:marRight w:val="0"/>
      <w:marTop w:val="0"/>
      <w:marBottom w:val="0"/>
      <w:divBdr>
        <w:top w:val="none" w:sz="0" w:space="0" w:color="auto"/>
        <w:left w:val="none" w:sz="0" w:space="0" w:color="auto"/>
        <w:bottom w:val="none" w:sz="0" w:space="0" w:color="auto"/>
        <w:right w:val="none" w:sz="0" w:space="0" w:color="auto"/>
      </w:divBdr>
    </w:div>
    <w:div w:id="1045563100">
      <w:bodyDiv w:val="1"/>
      <w:marLeft w:val="0"/>
      <w:marRight w:val="0"/>
      <w:marTop w:val="0"/>
      <w:marBottom w:val="0"/>
      <w:divBdr>
        <w:top w:val="none" w:sz="0" w:space="0" w:color="auto"/>
        <w:left w:val="none" w:sz="0" w:space="0" w:color="auto"/>
        <w:bottom w:val="none" w:sz="0" w:space="0" w:color="auto"/>
        <w:right w:val="none" w:sz="0" w:space="0" w:color="auto"/>
      </w:divBdr>
    </w:div>
    <w:div w:id="1046638789">
      <w:bodyDiv w:val="1"/>
      <w:marLeft w:val="0"/>
      <w:marRight w:val="0"/>
      <w:marTop w:val="0"/>
      <w:marBottom w:val="0"/>
      <w:divBdr>
        <w:top w:val="none" w:sz="0" w:space="0" w:color="auto"/>
        <w:left w:val="none" w:sz="0" w:space="0" w:color="auto"/>
        <w:bottom w:val="none" w:sz="0" w:space="0" w:color="auto"/>
        <w:right w:val="none" w:sz="0" w:space="0" w:color="auto"/>
      </w:divBdr>
      <w:divsChild>
        <w:div w:id="1174764808">
          <w:marLeft w:val="0"/>
          <w:marRight w:val="0"/>
          <w:marTop w:val="100"/>
          <w:marBottom w:val="100"/>
          <w:divBdr>
            <w:top w:val="none" w:sz="0" w:space="0" w:color="auto"/>
            <w:left w:val="none" w:sz="0" w:space="0" w:color="auto"/>
            <w:bottom w:val="none" w:sz="0" w:space="0" w:color="auto"/>
            <w:right w:val="none" w:sz="0" w:space="0" w:color="auto"/>
          </w:divBdr>
          <w:divsChild>
            <w:div w:id="1500004031">
              <w:marLeft w:val="5100"/>
              <w:marRight w:val="1050"/>
              <w:marTop w:val="0"/>
              <w:marBottom w:val="0"/>
              <w:divBdr>
                <w:top w:val="none" w:sz="0" w:space="0" w:color="auto"/>
                <w:left w:val="none" w:sz="0" w:space="0" w:color="auto"/>
                <w:bottom w:val="none" w:sz="0" w:space="0" w:color="auto"/>
                <w:right w:val="none" w:sz="0" w:space="0" w:color="auto"/>
              </w:divBdr>
              <w:divsChild>
                <w:div w:id="529488708">
                  <w:marLeft w:val="0"/>
                  <w:marRight w:val="0"/>
                  <w:marTop w:val="0"/>
                  <w:marBottom w:val="0"/>
                  <w:divBdr>
                    <w:top w:val="none" w:sz="0" w:space="0" w:color="auto"/>
                    <w:left w:val="none" w:sz="0" w:space="0" w:color="auto"/>
                    <w:bottom w:val="none" w:sz="0" w:space="0" w:color="auto"/>
                    <w:right w:val="none" w:sz="0" w:space="0" w:color="auto"/>
                  </w:divBdr>
                  <w:divsChild>
                    <w:div w:id="650140245">
                      <w:marLeft w:val="0"/>
                      <w:marRight w:val="0"/>
                      <w:marTop w:val="0"/>
                      <w:marBottom w:val="0"/>
                      <w:divBdr>
                        <w:top w:val="single" w:sz="12" w:space="8" w:color="D5DAE1"/>
                        <w:left w:val="none" w:sz="0" w:space="0" w:color="auto"/>
                        <w:bottom w:val="none" w:sz="0" w:space="0" w:color="auto"/>
                        <w:right w:val="none" w:sz="0" w:space="0" w:color="auto"/>
                      </w:divBdr>
                      <w:divsChild>
                        <w:div w:id="789400896">
                          <w:marLeft w:val="0"/>
                          <w:marRight w:val="0"/>
                          <w:marTop w:val="0"/>
                          <w:marBottom w:val="0"/>
                          <w:divBdr>
                            <w:top w:val="none" w:sz="0" w:space="0" w:color="auto"/>
                            <w:left w:val="none" w:sz="0" w:space="0" w:color="auto"/>
                            <w:bottom w:val="single" w:sz="12" w:space="8" w:color="D5DAE1"/>
                            <w:right w:val="none" w:sz="0" w:space="0" w:color="auto"/>
                          </w:divBdr>
                        </w:div>
                      </w:divsChild>
                    </w:div>
                  </w:divsChild>
                </w:div>
              </w:divsChild>
            </w:div>
          </w:divsChild>
        </w:div>
      </w:divsChild>
    </w:div>
    <w:div w:id="1047680367">
      <w:bodyDiv w:val="1"/>
      <w:marLeft w:val="0"/>
      <w:marRight w:val="0"/>
      <w:marTop w:val="0"/>
      <w:marBottom w:val="0"/>
      <w:divBdr>
        <w:top w:val="none" w:sz="0" w:space="0" w:color="auto"/>
        <w:left w:val="none" w:sz="0" w:space="0" w:color="auto"/>
        <w:bottom w:val="none" w:sz="0" w:space="0" w:color="auto"/>
        <w:right w:val="none" w:sz="0" w:space="0" w:color="auto"/>
      </w:divBdr>
    </w:div>
    <w:div w:id="1053652822">
      <w:bodyDiv w:val="1"/>
      <w:marLeft w:val="0"/>
      <w:marRight w:val="0"/>
      <w:marTop w:val="0"/>
      <w:marBottom w:val="0"/>
      <w:divBdr>
        <w:top w:val="none" w:sz="0" w:space="0" w:color="auto"/>
        <w:left w:val="none" w:sz="0" w:space="0" w:color="auto"/>
        <w:bottom w:val="none" w:sz="0" w:space="0" w:color="auto"/>
        <w:right w:val="none" w:sz="0" w:space="0" w:color="auto"/>
      </w:divBdr>
    </w:div>
    <w:div w:id="1056778581">
      <w:bodyDiv w:val="1"/>
      <w:marLeft w:val="0"/>
      <w:marRight w:val="0"/>
      <w:marTop w:val="0"/>
      <w:marBottom w:val="0"/>
      <w:divBdr>
        <w:top w:val="none" w:sz="0" w:space="0" w:color="auto"/>
        <w:left w:val="none" w:sz="0" w:space="0" w:color="auto"/>
        <w:bottom w:val="none" w:sz="0" w:space="0" w:color="auto"/>
        <w:right w:val="none" w:sz="0" w:space="0" w:color="auto"/>
      </w:divBdr>
    </w:div>
    <w:div w:id="1057968403">
      <w:bodyDiv w:val="1"/>
      <w:marLeft w:val="0"/>
      <w:marRight w:val="0"/>
      <w:marTop w:val="0"/>
      <w:marBottom w:val="0"/>
      <w:divBdr>
        <w:top w:val="none" w:sz="0" w:space="0" w:color="auto"/>
        <w:left w:val="none" w:sz="0" w:space="0" w:color="auto"/>
        <w:bottom w:val="none" w:sz="0" w:space="0" w:color="auto"/>
        <w:right w:val="none" w:sz="0" w:space="0" w:color="auto"/>
      </w:divBdr>
    </w:div>
    <w:div w:id="1061051286">
      <w:bodyDiv w:val="1"/>
      <w:marLeft w:val="0"/>
      <w:marRight w:val="0"/>
      <w:marTop w:val="0"/>
      <w:marBottom w:val="0"/>
      <w:divBdr>
        <w:top w:val="none" w:sz="0" w:space="0" w:color="auto"/>
        <w:left w:val="none" w:sz="0" w:space="0" w:color="auto"/>
        <w:bottom w:val="none" w:sz="0" w:space="0" w:color="auto"/>
        <w:right w:val="none" w:sz="0" w:space="0" w:color="auto"/>
      </w:divBdr>
    </w:div>
    <w:div w:id="1061711050">
      <w:bodyDiv w:val="1"/>
      <w:marLeft w:val="0"/>
      <w:marRight w:val="0"/>
      <w:marTop w:val="0"/>
      <w:marBottom w:val="0"/>
      <w:divBdr>
        <w:top w:val="none" w:sz="0" w:space="0" w:color="auto"/>
        <w:left w:val="none" w:sz="0" w:space="0" w:color="auto"/>
        <w:bottom w:val="none" w:sz="0" w:space="0" w:color="auto"/>
        <w:right w:val="none" w:sz="0" w:space="0" w:color="auto"/>
      </w:divBdr>
    </w:div>
    <w:div w:id="1063990731">
      <w:bodyDiv w:val="1"/>
      <w:marLeft w:val="0"/>
      <w:marRight w:val="0"/>
      <w:marTop w:val="0"/>
      <w:marBottom w:val="0"/>
      <w:divBdr>
        <w:top w:val="none" w:sz="0" w:space="0" w:color="auto"/>
        <w:left w:val="none" w:sz="0" w:space="0" w:color="auto"/>
        <w:bottom w:val="none" w:sz="0" w:space="0" w:color="auto"/>
        <w:right w:val="none" w:sz="0" w:space="0" w:color="auto"/>
      </w:divBdr>
    </w:div>
    <w:div w:id="1067342307">
      <w:bodyDiv w:val="1"/>
      <w:marLeft w:val="0"/>
      <w:marRight w:val="0"/>
      <w:marTop w:val="0"/>
      <w:marBottom w:val="0"/>
      <w:divBdr>
        <w:top w:val="none" w:sz="0" w:space="0" w:color="auto"/>
        <w:left w:val="none" w:sz="0" w:space="0" w:color="auto"/>
        <w:bottom w:val="none" w:sz="0" w:space="0" w:color="auto"/>
        <w:right w:val="none" w:sz="0" w:space="0" w:color="auto"/>
      </w:divBdr>
    </w:div>
    <w:div w:id="1067876303">
      <w:bodyDiv w:val="1"/>
      <w:marLeft w:val="0"/>
      <w:marRight w:val="0"/>
      <w:marTop w:val="0"/>
      <w:marBottom w:val="0"/>
      <w:divBdr>
        <w:top w:val="none" w:sz="0" w:space="0" w:color="auto"/>
        <w:left w:val="none" w:sz="0" w:space="0" w:color="auto"/>
        <w:bottom w:val="none" w:sz="0" w:space="0" w:color="auto"/>
        <w:right w:val="none" w:sz="0" w:space="0" w:color="auto"/>
      </w:divBdr>
    </w:div>
    <w:div w:id="1069425230">
      <w:bodyDiv w:val="1"/>
      <w:marLeft w:val="0"/>
      <w:marRight w:val="0"/>
      <w:marTop w:val="0"/>
      <w:marBottom w:val="0"/>
      <w:divBdr>
        <w:top w:val="none" w:sz="0" w:space="0" w:color="auto"/>
        <w:left w:val="none" w:sz="0" w:space="0" w:color="auto"/>
        <w:bottom w:val="none" w:sz="0" w:space="0" w:color="auto"/>
        <w:right w:val="none" w:sz="0" w:space="0" w:color="auto"/>
      </w:divBdr>
    </w:div>
    <w:div w:id="1073087015">
      <w:bodyDiv w:val="1"/>
      <w:marLeft w:val="0"/>
      <w:marRight w:val="0"/>
      <w:marTop w:val="0"/>
      <w:marBottom w:val="0"/>
      <w:divBdr>
        <w:top w:val="none" w:sz="0" w:space="0" w:color="auto"/>
        <w:left w:val="none" w:sz="0" w:space="0" w:color="auto"/>
        <w:bottom w:val="none" w:sz="0" w:space="0" w:color="auto"/>
        <w:right w:val="none" w:sz="0" w:space="0" w:color="auto"/>
      </w:divBdr>
    </w:div>
    <w:div w:id="1073506965">
      <w:bodyDiv w:val="1"/>
      <w:marLeft w:val="0"/>
      <w:marRight w:val="0"/>
      <w:marTop w:val="0"/>
      <w:marBottom w:val="0"/>
      <w:divBdr>
        <w:top w:val="none" w:sz="0" w:space="0" w:color="auto"/>
        <w:left w:val="none" w:sz="0" w:space="0" w:color="auto"/>
        <w:bottom w:val="none" w:sz="0" w:space="0" w:color="auto"/>
        <w:right w:val="none" w:sz="0" w:space="0" w:color="auto"/>
      </w:divBdr>
    </w:div>
    <w:div w:id="1073509215">
      <w:bodyDiv w:val="1"/>
      <w:marLeft w:val="0"/>
      <w:marRight w:val="0"/>
      <w:marTop w:val="0"/>
      <w:marBottom w:val="0"/>
      <w:divBdr>
        <w:top w:val="none" w:sz="0" w:space="0" w:color="auto"/>
        <w:left w:val="none" w:sz="0" w:space="0" w:color="auto"/>
        <w:bottom w:val="none" w:sz="0" w:space="0" w:color="auto"/>
        <w:right w:val="none" w:sz="0" w:space="0" w:color="auto"/>
      </w:divBdr>
    </w:div>
    <w:div w:id="1075054863">
      <w:bodyDiv w:val="1"/>
      <w:marLeft w:val="0"/>
      <w:marRight w:val="0"/>
      <w:marTop w:val="0"/>
      <w:marBottom w:val="0"/>
      <w:divBdr>
        <w:top w:val="none" w:sz="0" w:space="0" w:color="auto"/>
        <w:left w:val="none" w:sz="0" w:space="0" w:color="auto"/>
        <w:bottom w:val="none" w:sz="0" w:space="0" w:color="auto"/>
        <w:right w:val="none" w:sz="0" w:space="0" w:color="auto"/>
      </w:divBdr>
    </w:div>
    <w:div w:id="1076122564">
      <w:bodyDiv w:val="1"/>
      <w:marLeft w:val="0"/>
      <w:marRight w:val="0"/>
      <w:marTop w:val="0"/>
      <w:marBottom w:val="0"/>
      <w:divBdr>
        <w:top w:val="none" w:sz="0" w:space="0" w:color="auto"/>
        <w:left w:val="none" w:sz="0" w:space="0" w:color="auto"/>
        <w:bottom w:val="none" w:sz="0" w:space="0" w:color="auto"/>
        <w:right w:val="none" w:sz="0" w:space="0" w:color="auto"/>
      </w:divBdr>
    </w:div>
    <w:div w:id="1079671753">
      <w:bodyDiv w:val="1"/>
      <w:marLeft w:val="0"/>
      <w:marRight w:val="0"/>
      <w:marTop w:val="0"/>
      <w:marBottom w:val="0"/>
      <w:divBdr>
        <w:top w:val="none" w:sz="0" w:space="0" w:color="auto"/>
        <w:left w:val="none" w:sz="0" w:space="0" w:color="auto"/>
        <w:bottom w:val="none" w:sz="0" w:space="0" w:color="auto"/>
        <w:right w:val="none" w:sz="0" w:space="0" w:color="auto"/>
      </w:divBdr>
    </w:div>
    <w:div w:id="1080105807">
      <w:bodyDiv w:val="1"/>
      <w:marLeft w:val="0"/>
      <w:marRight w:val="0"/>
      <w:marTop w:val="0"/>
      <w:marBottom w:val="0"/>
      <w:divBdr>
        <w:top w:val="none" w:sz="0" w:space="0" w:color="auto"/>
        <w:left w:val="none" w:sz="0" w:space="0" w:color="auto"/>
        <w:bottom w:val="none" w:sz="0" w:space="0" w:color="auto"/>
        <w:right w:val="none" w:sz="0" w:space="0" w:color="auto"/>
      </w:divBdr>
    </w:div>
    <w:div w:id="1081177544">
      <w:bodyDiv w:val="1"/>
      <w:marLeft w:val="0"/>
      <w:marRight w:val="0"/>
      <w:marTop w:val="0"/>
      <w:marBottom w:val="0"/>
      <w:divBdr>
        <w:top w:val="none" w:sz="0" w:space="0" w:color="auto"/>
        <w:left w:val="none" w:sz="0" w:space="0" w:color="auto"/>
        <w:bottom w:val="none" w:sz="0" w:space="0" w:color="auto"/>
        <w:right w:val="none" w:sz="0" w:space="0" w:color="auto"/>
      </w:divBdr>
    </w:div>
    <w:div w:id="1082291759">
      <w:bodyDiv w:val="1"/>
      <w:marLeft w:val="0"/>
      <w:marRight w:val="0"/>
      <w:marTop w:val="0"/>
      <w:marBottom w:val="0"/>
      <w:divBdr>
        <w:top w:val="none" w:sz="0" w:space="0" w:color="auto"/>
        <w:left w:val="none" w:sz="0" w:space="0" w:color="auto"/>
        <w:bottom w:val="none" w:sz="0" w:space="0" w:color="auto"/>
        <w:right w:val="none" w:sz="0" w:space="0" w:color="auto"/>
      </w:divBdr>
    </w:div>
    <w:div w:id="1082485297">
      <w:bodyDiv w:val="1"/>
      <w:marLeft w:val="0"/>
      <w:marRight w:val="0"/>
      <w:marTop w:val="0"/>
      <w:marBottom w:val="0"/>
      <w:divBdr>
        <w:top w:val="none" w:sz="0" w:space="0" w:color="auto"/>
        <w:left w:val="none" w:sz="0" w:space="0" w:color="auto"/>
        <w:bottom w:val="none" w:sz="0" w:space="0" w:color="auto"/>
        <w:right w:val="none" w:sz="0" w:space="0" w:color="auto"/>
      </w:divBdr>
    </w:div>
    <w:div w:id="1082678807">
      <w:bodyDiv w:val="1"/>
      <w:marLeft w:val="0"/>
      <w:marRight w:val="0"/>
      <w:marTop w:val="0"/>
      <w:marBottom w:val="0"/>
      <w:divBdr>
        <w:top w:val="none" w:sz="0" w:space="0" w:color="auto"/>
        <w:left w:val="none" w:sz="0" w:space="0" w:color="auto"/>
        <w:bottom w:val="none" w:sz="0" w:space="0" w:color="auto"/>
        <w:right w:val="none" w:sz="0" w:space="0" w:color="auto"/>
      </w:divBdr>
    </w:div>
    <w:div w:id="1084184448">
      <w:bodyDiv w:val="1"/>
      <w:marLeft w:val="0"/>
      <w:marRight w:val="0"/>
      <w:marTop w:val="0"/>
      <w:marBottom w:val="0"/>
      <w:divBdr>
        <w:top w:val="none" w:sz="0" w:space="0" w:color="auto"/>
        <w:left w:val="none" w:sz="0" w:space="0" w:color="auto"/>
        <w:bottom w:val="none" w:sz="0" w:space="0" w:color="auto"/>
        <w:right w:val="none" w:sz="0" w:space="0" w:color="auto"/>
      </w:divBdr>
    </w:div>
    <w:div w:id="1086611000">
      <w:bodyDiv w:val="1"/>
      <w:marLeft w:val="0"/>
      <w:marRight w:val="0"/>
      <w:marTop w:val="0"/>
      <w:marBottom w:val="0"/>
      <w:divBdr>
        <w:top w:val="none" w:sz="0" w:space="0" w:color="auto"/>
        <w:left w:val="none" w:sz="0" w:space="0" w:color="auto"/>
        <w:bottom w:val="none" w:sz="0" w:space="0" w:color="auto"/>
        <w:right w:val="none" w:sz="0" w:space="0" w:color="auto"/>
      </w:divBdr>
    </w:div>
    <w:div w:id="1087533436">
      <w:bodyDiv w:val="1"/>
      <w:marLeft w:val="0"/>
      <w:marRight w:val="0"/>
      <w:marTop w:val="0"/>
      <w:marBottom w:val="0"/>
      <w:divBdr>
        <w:top w:val="none" w:sz="0" w:space="0" w:color="auto"/>
        <w:left w:val="none" w:sz="0" w:space="0" w:color="auto"/>
        <w:bottom w:val="none" w:sz="0" w:space="0" w:color="auto"/>
        <w:right w:val="none" w:sz="0" w:space="0" w:color="auto"/>
      </w:divBdr>
    </w:div>
    <w:div w:id="1087766821">
      <w:bodyDiv w:val="1"/>
      <w:marLeft w:val="0"/>
      <w:marRight w:val="0"/>
      <w:marTop w:val="0"/>
      <w:marBottom w:val="0"/>
      <w:divBdr>
        <w:top w:val="none" w:sz="0" w:space="0" w:color="auto"/>
        <w:left w:val="none" w:sz="0" w:space="0" w:color="auto"/>
        <w:bottom w:val="none" w:sz="0" w:space="0" w:color="auto"/>
        <w:right w:val="none" w:sz="0" w:space="0" w:color="auto"/>
      </w:divBdr>
    </w:div>
    <w:div w:id="1088696635">
      <w:bodyDiv w:val="1"/>
      <w:marLeft w:val="0"/>
      <w:marRight w:val="0"/>
      <w:marTop w:val="0"/>
      <w:marBottom w:val="0"/>
      <w:divBdr>
        <w:top w:val="none" w:sz="0" w:space="0" w:color="auto"/>
        <w:left w:val="none" w:sz="0" w:space="0" w:color="auto"/>
        <w:bottom w:val="none" w:sz="0" w:space="0" w:color="auto"/>
        <w:right w:val="none" w:sz="0" w:space="0" w:color="auto"/>
      </w:divBdr>
    </w:div>
    <w:div w:id="1090078952">
      <w:bodyDiv w:val="1"/>
      <w:marLeft w:val="0"/>
      <w:marRight w:val="0"/>
      <w:marTop w:val="0"/>
      <w:marBottom w:val="0"/>
      <w:divBdr>
        <w:top w:val="none" w:sz="0" w:space="0" w:color="auto"/>
        <w:left w:val="none" w:sz="0" w:space="0" w:color="auto"/>
        <w:bottom w:val="none" w:sz="0" w:space="0" w:color="auto"/>
        <w:right w:val="none" w:sz="0" w:space="0" w:color="auto"/>
      </w:divBdr>
    </w:div>
    <w:div w:id="1090586861">
      <w:bodyDiv w:val="1"/>
      <w:marLeft w:val="0"/>
      <w:marRight w:val="0"/>
      <w:marTop w:val="0"/>
      <w:marBottom w:val="0"/>
      <w:divBdr>
        <w:top w:val="none" w:sz="0" w:space="0" w:color="auto"/>
        <w:left w:val="none" w:sz="0" w:space="0" w:color="auto"/>
        <w:bottom w:val="none" w:sz="0" w:space="0" w:color="auto"/>
        <w:right w:val="none" w:sz="0" w:space="0" w:color="auto"/>
      </w:divBdr>
    </w:div>
    <w:div w:id="1091048031">
      <w:bodyDiv w:val="1"/>
      <w:marLeft w:val="0"/>
      <w:marRight w:val="0"/>
      <w:marTop w:val="0"/>
      <w:marBottom w:val="0"/>
      <w:divBdr>
        <w:top w:val="none" w:sz="0" w:space="0" w:color="auto"/>
        <w:left w:val="none" w:sz="0" w:space="0" w:color="auto"/>
        <w:bottom w:val="none" w:sz="0" w:space="0" w:color="auto"/>
        <w:right w:val="none" w:sz="0" w:space="0" w:color="auto"/>
      </w:divBdr>
    </w:div>
    <w:div w:id="1094861940">
      <w:bodyDiv w:val="1"/>
      <w:marLeft w:val="0"/>
      <w:marRight w:val="0"/>
      <w:marTop w:val="0"/>
      <w:marBottom w:val="0"/>
      <w:divBdr>
        <w:top w:val="none" w:sz="0" w:space="0" w:color="auto"/>
        <w:left w:val="none" w:sz="0" w:space="0" w:color="auto"/>
        <w:bottom w:val="none" w:sz="0" w:space="0" w:color="auto"/>
        <w:right w:val="none" w:sz="0" w:space="0" w:color="auto"/>
      </w:divBdr>
    </w:div>
    <w:div w:id="1097749835">
      <w:bodyDiv w:val="1"/>
      <w:marLeft w:val="0"/>
      <w:marRight w:val="0"/>
      <w:marTop w:val="0"/>
      <w:marBottom w:val="0"/>
      <w:divBdr>
        <w:top w:val="none" w:sz="0" w:space="0" w:color="auto"/>
        <w:left w:val="none" w:sz="0" w:space="0" w:color="auto"/>
        <w:bottom w:val="none" w:sz="0" w:space="0" w:color="auto"/>
        <w:right w:val="none" w:sz="0" w:space="0" w:color="auto"/>
      </w:divBdr>
    </w:div>
    <w:div w:id="1098209771">
      <w:bodyDiv w:val="1"/>
      <w:marLeft w:val="0"/>
      <w:marRight w:val="0"/>
      <w:marTop w:val="0"/>
      <w:marBottom w:val="0"/>
      <w:divBdr>
        <w:top w:val="none" w:sz="0" w:space="0" w:color="auto"/>
        <w:left w:val="none" w:sz="0" w:space="0" w:color="auto"/>
        <w:bottom w:val="none" w:sz="0" w:space="0" w:color="auto"/>
        <w:right w:val="none" w:sz="0" w:space="0" w:color="auto"/>
      </w:divBdr>
    </w:div>
    <w:div w:id="1098522778">
      <w:bodyDiv w:val="1"/>
      <w:marLeft w:val="0"/>
      <w:marRight w:val="0"/>
      <w:marTop w:val="0"/>
      <w:marBottom w:val="0"/>
      <w:divBdr>
        <w:top w:val="none" w:sz="0" w:space="0" w:color="auto"/>
        <w:left w:val="none" w:sz="0" w:space="0" w:color="auto"/>
        <w:bottom w:val="none" w:sz="0" w:space="0" w:color="auto"/>
        <w:right w:val="none" w:sz="0" w:space="0" w:color="auto"/>
      </w:divBdr>
    </w:div>
    <w:div w:id="1098983341">
      <w:bodyDiv w:val="1"/>
      <w:marLeft w:val="0"/>
      <w:marRight w:val="0"/>
      <w:marTop w:val="0"/>
      <w:marBottom w:val="0"/>
      <w:divBdr>
        <w:top w:val="none" w:sz="0" w:space="0" w:color="auto"/>
        <w:left w:val="none" w:sz="0" w:space="0" w:color="auto"/>
        <w:bottom w:val="none" w:sz="0" w:space="0" w:color="auto"/>
        <w:right w:val="none" w:sz="0" w:space="0" w:color="auto"/>
      </w:divBdr>
    </w:div>
    <w:div w:id="1099325938">
      <w:bodyDiv w:val="1"/>
      <w:marLeft w:val="0"/>
      <w:marRight w:val="0"/>
      <w:marTop w:val="0"/>
      <w:marBottom w:val="0"/>
      <w:divBdr>
        <w:top w:val="none" w:sz="0" w:space="0" w:color="auto"/>
        <w:left w:val="none" w:sz="0" w:space="0" w:color="auto"/>
        <w:bottom w:val="none" w:sz="0" w:space="0" w:color="auto"/>
        <w:right w:val="none" w:sz="0" w:space="0" w:color="auto"/>
      </w:divBdr>
    </w:div>
    <w:div w:id="1099449700">
      <w:bodyDiv w:val="1"/>
      <w:marLeft w:val="0"/>
      <w:marRight w:val="0"/>
      <w:marTop w:val="0"/>
      <w:marBottom w:val="0"/>
      <w:divBdr>
        <w:top w:val="none" w:sz="0" w:space="0" w:color="auto"/>
        <w:left w:val="none" w:sz="0" w:space="0" w:color="auto"/>
        <w:bottom w:val="none" w:sz="0" w:space="0" w:color="auto"/>
        <w:right w:val="none" w:sz="0" w:space="0" w:color="auto"/>
      </w:divBdr>
    </w:div>
    <w:div w:id="1100372147">
      <w:bodyDiv w:val="1"/>
      <w:marLeft w:val="0"/>
      <w:marRight w:val="0"/>
      <w:marTop w:val="0"/>
      <w:marBottom w:val="0"/>
      <w:divBdr>
        <w:top w:val="none" w:sz="0" w:space="0" w:color="auto"/>
        <w:left w:val="none" w:sz="0" w:space="0" w:color="auto"/>
        <w:bottom w:val="none" w:sz="0" w:space="0" w:color="auto"/>
        <w:right w:val="none" w:sz="0" w:space="0" w:color="auto"/>
      </w:divBdr>
    </w:div>
    <w:div w:id="1102609129">
      <w:bodyDiv w:val="1"/>
      <w:marLeft w:val="0"/>
      <w:marRight w:val="0"/>
      <w:marTop w:val="0"/>
      <w:marBottom w:val="0"/>
      <w:divBdr>
        <w:top w:val="none" w:sz="0" w:space="0" w:color="auto"/>
        <w:left w:val="none" w:sz="0" w:space="0" w:color="auto"/>
        <w:bottom w:val="none" w:sz="0" w:space="0" w:color="auto"/>
        <w:right w:val="none" w:sz="0" w:space="0" w:color="auto"/>
      </w:divBdr>
    </w:div>
    <w:div w:id="1103038322">
      <w:bodyDiv w:val="1"/>
      <w:marLeft w:val="0"/>
      <w:marRight w:val="0"/>
      <w:marTop w:val="0"/>
      <w:marBottom w:val="0"/>
      <w:divBdr>
        <w:top w:val="none" w:sz="0" w:space="0" w:color="auto"/>
        <w:left w:val="none" w:sz="0" w:space="0" w:color="auto"/>
        <w:bottom w:val="none" w:sz="0" w:space="0" w:color="auto"/>
        <w:right w:val="none" w:sz="0" w:space="0" w:color="auto"/>
      </w:divBdr>
    </w:div>
    <w:div w:id="1105156217">
      <w:bodyDiv w:val="1"/>
      <w:marLeft w:val="0"/>
      <w:marRight w:val="0"/>
      <w:marTop w:val="0"/>
      <w:marBottom w:val="0"/>
      <w:divBdr>
        <w:top w:val="none" w:sz="0" w:space="0" w:color="auto"/>
        <w:left w:val="none" w:sz="0" w:space="0" w:color="auto"/>
        <w:bottom w:val="none" w:sz="0" w:space="0" w:color="auto"/>
        <w:right w:val="none" w:sz="0" w:space="0" w:color="auto"/>
      </w:divBdr>
    </w:div>
    <w:div w:id="1105417466">
      <w:bodyDiv w:val="1"/>
      <w:marLeft w:val="0"/>
      <w:marRight w:val="0"/>
      <w:marTop w:val="0"/>
      <w:marBottom w:val="0"/>
      <w:divBdr>
        <w:top w:val="none" w:sz="0" w:space="0" w:color="auto"/>
        <w:left w:val="none" w:sz="0" w:space="0" w:color="auto"/>
        <w:bottom w:val="none" w:sz="0" w:space="0" w:color="auto"/>
        <w:right w:val="none" w:sz="0" w:space="0" w:color="auto"/>
      </w:divBdr>
    </w:div>
    <w:div w:id="1105419985">
      <w:bodyDiv w:val="1"/>
      <w:marLeft w:val="0"/>
      <w:marRight w:val="0"/>
      <w:marTop w:val="0"/>
      <w:marBottom w:val="0"/>
      <w:divBdr>
        <w:top w:val="none" w:sz="0" w:space="0" w:color="auto"/>
        <w:left w:val="none" w:sz="0" w:space="0" w:color="auto"/>
        <w:bottom w:val="none" w:sz="0" w:space="0" w:color="auto"/>
        <w:right w:val="none" w:sz="0" w:space="0" w:color="auto"/>
      </w:divBdr>
    </w:div>
    <w:div w:id="1108280315">
      <w:bodyDiv w:val="1"/>
      <w:marLeft w:val="0"/>
      <w:marRight w:val="0"/>
      <w:marTop w:val="0"/>
      <w:marBottom w:val="0"/>
      <w:divBdr>
        <w:top w:val="none" w:sz="0" w:space="0" w:color="auto"/>
        <w:left w:val="none" w:sz="0" w:space="0" w:color="auto"/>
        <w:bottom w:val="none" w:sz="0" w:space="0" w:color="auto"/>
        <w:right w:val="none" w:sz="0" w:space="0" w:color="auto"/>
      </w:divBdr>
    </w:div>
    <w:div w:id="1108935014">
      <w:bodyDiv w:val="1"/>
      <w:marLeft w:val="0"/>
      <w:marRight w:val="0"/>
      <w:marTop w:val="0"/>
      <w:marBottom w:val="0"/>
      <w:divBdr>
        <w:top w:val="none" w:sz="0" w:space="0" w:color="auto"/>
        <w:left w:val="none" w:sz="0" w:space="0" w:color="auto"/>
        <w:bottom w:val="none" w:sz="0" w:space="0" w:color="auto"/>
        <w:right w:val="none" w:sz="0" w:space="0" w:color="auto"/>
      </w:divBdr>
    </w:div>
    <w:div w:id="1113591836">
      <w:bodyDiv w:val="1"/>
      <w:marLeft w:val="0"/>
      <w:marRight w:val="0"/>
      <w:marTop w:val="0"/>
      <w:marBottom w:val="0"/>
      <w:divBdr>
        <w:top w:val="none" w:sz="0" w:space="0" w:color="auto"/>
        <w:left w:val="none" w:sz="0" w:space="0" w:color="auto"/>
        <w:bottom w:val="none" w:sz="0" w:space="0" w:color="auto"/>
        <w:right w:val="none" w:sz="0" w:space="0" w:color="auto"/>
      </w:divBdr>
    </w:div>
    <w:div w:id="1114596198">
      <w:bodyDiv w:val="1"/>
      <w:marLeft w:val="0"/>
      <w:marRight w:val="0"/>
      <w:marTop w:val="0"/>
      <w:marBottom w:val="0"/>
      <w:divBdr>
        <w:top w:val="none" w:sz="0" w:space="0" w:color="auto"/>
        <w:left w:val="none" w:sz="0" w:space="0" w:color="auto"/>
        <w:bottom w:val="none" w:sz="0" w:space="0" w:color="auto"/>
        <w:right w:val="none" w:sz="0" w:space="0" w:color="auto"/>
      </w:divBdr>
    </w:div>
    <w:div w:id="1114981505">
      <w:bodyDiv w:val="1"/>
      <w:marLeft w:val="0"/>
      <w:marRight w:val="0"/>
      <w:marTop w:val="0"/>
      <w:marBottom w:val="0"/>
      <w:divBdr>
        <w:top w:val="none" w:sz="0" w:space="0" w:color="auto"/>
        <w:left w:val="none" w:sz="0" w:space="0" w:color="auto"/>
        <w:bottom w:val="none" w:sz="0" w:space="0" w:color="auto"/>
        <w:right w:val="none" w:sz="0" w:space="0" w:color="auto"/>
      </w:divBdr>
    </w:div>
    <w:div w:id="1116022066">
      <w:bodyDiv w:val="1"/>
      <w:marLeft w:val="0"/>
      <w:marRight w:val="0"/>
      <w:marTop w:val="0"/>
      <w:marBottom w:val="0"/>
      <w:divBdr>
        <w:top w:val="none" w:sz="0" w:space="0" w:color="auto"/>
        <w:left w:val="none" w:sz="0" w:space="0" w:color="auto"/>
        <w:bottom w:val="none" w:sz="0" w:space="0" w:color="auto"/>
        <w:right w:val="none" w:sz="0" w:space="0" w:color="auto"/>
      </w:divBdr>
    </w:div>
    <w:div w:id="1116409038">
      <w:bodyDiv w:val="1"/>
      <w:marLeft w:val="0"/>
      <w:marRight w:val="0"/>
      <w:marTop w:val="0"/>
      <w:marBottom w:val="0"/>
      <w:divBdr>
        <w:top w:val="none" w:sz="0" w:space="0" w:color="auto"/>
        <w:left w:val="none" w:sz="0" w:space="0" w:color="auto"/>
        <w:bottom w:val="none" w:sz="0" w:space="0" w:color="auto"/>
        <w:right w:val="none" w:sz="0" w:space="0" w:color="auto"/>
      </w:divBdr>
    </w:div>
    <w:div w:id="1117680835">
      <w:bodyDiv w:val="1"/>
      <w:marLeft w:val="0"/>
      <w:marRight w:val="0"/>
      <w:marTop w:val="0"/>
      <w:marBottom w:val="0"/>
      <w:divBdr>
        <w:top w:val="none" w:sz="0" w:space="0" w:color="auto"/>
        <w:left w:val="none" w:sz="0" w:space="0" w:color="auto"/>
        <w:bottom w:val="none" w:sz="0" w:space="0" w:color="auto"/>
        <w:right w:val="none" w:sz="0" w:space="0" w:color="auto"/>
      </w:divBdr>
    </w:div>
    <w:div w:id="1117944086">
      <w:bodyDiv w:val="1"/>
      <w:marLeft w:val="0"/>
      <w:marRight w:val="0"/>
      <w:marTop w:val="0"/>
      <w:marBottom w:val="0"/>
      <w:divBdr>
        <w:top w:val="none" w:sz="0" w:space="0" w:color="auto"/>
        <w:left w:val="none" w:sz="0" w:space="0" w:color="auto"/>
        <w:bottom w:val="none" w:sz="0" w:space="0" w:color="auto"/>
        <w:right w:val="none" w:sz="0" w:space="0" w:color="auto"/>
      </w:divBdr>
    </w:div>
    <w:div w:id="1122772194">
      <w:bodyDiv w:val="1"/>
      <w:marLeft w:val="0"/>
      <w:marRight w:val="0"/>
      <w:marTop w:val="0"/>
      <w:marBottom w:val="0"/>
      <w:divBdr>
        <w:top w:val="none" w:sz="0" w:space="0" w:color="auto"/>
        <w:left w:val="none" w:sz="0" w:space="0" w:color="auto"/>
        <w:bottom w:val="none" w:sz="0" w:space="0" w:color="auto"/>
        <w:right w:val="none" w:sz="0" w:space="0" w:color="auto"/>
      </w:divBdr>
    </w:div>
    <w:div w:id="1123039091">
      <w:bodyDiv w:val="1"/>
      <w:marLeft w:val="0"/>
      <w:marRight w:val="0"/>
      <w:marTop w:val="0"/>
      <w:marBottom w:val="0"/>
      <w:divBdr>
        <w:top w:val="none" w:sz="0" w:space="0" w:color="auto"/>
        <w:left w:val="none" w:sz="0" w:space="0" w:color="auto"/>
        <w:bottom w:val="none" w:sz="0" w:space="0" w:color="auto"/>
        <w:right w:val="none" w:sz="0" w:space="0" w:color="auto"/>
      </w:divBdr>
    </w:div>
    <w:div w:id="1123578577">
      <w:bodyDiv w:val="1"/>
      <w:marLeft w:val="0"/>
      <w:marRight w:val="0"/>
      <w:marTop w:val="0"/>
      <w:marBottom w:val="0"/>
      <w:divBdr>
        <w:top w:val="none" w:sz="0" w:space="0" w:color="auto"/>
        <w:left w:val="none" w:sz="0" w:space="0" w:color="auto"/>
        <w:bottom w:val="none" w:sz="0" w:space="0" w:color="auto"/>
        <w:right w:val="none" w:sz="0" w:space="0" w:color="auto"/>
      </w:divBdr>
    </w:div>
    <w:div w:id="1128234626">
      <w:bodyDiv w:val="1"/>
      <w:marLeft w:val="0"/>
      <w:marRight w:val="0"/>
      <w:marTop w:val="0"/>
      <w:marBottom w:val="0"/>
      <w:divBdr>
        <w:top w:val="none" w:sz="0" w:space="0" w:color="auto"/>
        <w:left w:val="none" w:sz="0" w:space="0" w:color="auto"/>
        <w:bottom w:val="none" w:sz="0" w:space="0" w:color="auto"/>
        <w:right w:val="none" w:sz="0" w:space="0" w:color="auto"/>
      </w:divBdr>
    </w:div>
    <w:div w:id="1128283834">
      <w:bodyDiv w:val="1"/>
      <w:marLeft w:val="0"/>
      <w:marRight w:val="0"/>
      <w:marTop w:val="0"/>
      <w:marBottom w:val="0"/>
      <w:divBdr>
        <w:top w:val="none" w:sz="0" w:space="0" w:color="auto"/>
        <w:left w:val="none" w:sz="0" w:space="0" w:color="auto"/>
        <w:bottom w:val="none" w:sz="0" w:space="0" w:color="auto"/>
        <w:right w:val="none" w:sz="0" w:space="0" w:color="auto"/>
      </w:divBdr>
    </w:div>
    <w:div w:id="1128399328">
      <w:bodyDiv w:val="1"/>
      <w:marLeft w:val="0"/>
      <w:marRight w:val="0"/>
      <w:marTop w:val="0"/>
      <w:marBottom w:val="0"/>
      <w:divBdr>
        <w:top w:val="none" w:sz="0" w:space="0" w:color="auto"/>
        <w:left w:val="none" w:sz="0" w:space="0" w:color="auto"/>
        <w:bottom w:val="none" w:sz="0" w:space="0" w:color="auto"/>
        <w:right w:val="none" w:sz="0" w:space="0" w:color="auto"/>
      </w:divBdr>
    </w:div>
    <w:div w:id="1129669671">
      <w:bodyDiv w:val="1"/>
      <w:marLeft w:val="0"/>
      <w:marRight w:val="0"/>
      <w:marTop w:val="0"/>
      <w:marBottom w:val="0"/>
      <w:divBdr>
        <w:top w:val="none" w:sz="0" w:space="0" w:color="auto"/>
        <w:left w:val="none" w:sz="0" w:space="0" w:color="auto"/>
        <w:bottom w:val="none" w:sz="0" w:space="0" w:color="auto"/>
        <w:right w:val="none" w:sz="0" w:space="0" w:color="auto"/>
      </w:divBdr>
    </w:div>
    <w:div w:id="1132747124">
      <w:bodyDiv w:val="1"/>
      <w:marLeft w:val="0"/>
      <w:marRight w:val="0"/>
      <w:marTop w:val="0"/>
      <w:marBottom w:val="0"/>
      <w:divBdr>
        <w:top w:val="none" w:sz="0" w:space="0" w:color="auto"/>
        <w:left w:val="none" w:sz="0" w:space="0" w:color="auto"/>
        <w:bottom w:val="none" w:sz="0" w:space="0" w:color="auto"/>
        <w:right w:val="none" w:sz="0" w:space="0" w:color="auto"/>
      </w:divBdr>
    </w:div>
    <w:div w:id="1133450454">
      <w:bodyDiv w:val="1"/>
      <w:marLeft w:val="0"/>
      <w:marRight w:val="0"/>
      <w:marTop w:val="0"/>
      <w:marBottom w:val="0"/>
      <w:divBdr>
        <w:top w:val="none" w:sz="0" w:space="0" w:color="auto"/>
        <w:left w:val="none" w:sz="0" w:space="0" w:color="auto"/>
        <w:bottom w:val="none" w:sz="0" w:space="0" w:color="auto"/>
        <w:right w:val="none" w:sz="0" w:space="0" w:color="auto"/>
      </w:divBdr>
    </w:div>
    <w:div w:id="1135178466">
      <w:bodyDiv w:val="1"/>
      <w:marLeft w:val="0"/>
      <w:marRight w:val="0"/>
      <w:marTop w:val="0"/>
      <w:marBottom w:val="0"/>
      <w:divBdr>
        <w:top w:val="none" w:sz="0" w:space="0" w:color="auto"/>
        <w:left w:val="none" w:sz="0" w:space="0" w:color="auto"/>
        <w:bottom w:val="none" w:sz="0" w:space="0" w:color="auto"/>
        <w:right w:val="none" w:sz="0" w:space="0" w:color="auto"/>
      </w:divBdr>
    </w:div>
    <w:div w:id="1136753863">
      <w:bodyDiv w:val="1"/>
      <w:marLeft w:val="0"/>
      <w:marRight w:val="0"/>
      <w:marTop w:val="0"/>
      <w:marBottom w:val="0"/>
      <w:divBdr>
        <w:top w:val="none" w:sz="0" w:space="0" w:color="auto"/>
        <w:left w:val="none" w:sz="0" w:space="0" w:color="auto"/>
        <w:bottom w:val="none" w:sz="0" w:space="0" w:color="auto"/>
        <w:right w:val="none" w:sz="0" w:space="0" w:color="auto"/>
      </w:divBdr>
    </w:div>
    <w:div w:id="1136948066">
      <w:bodyDiv w:val="1"/>
      <w:marLeft w:val="0"/>
      <w:marRight w:val="0"/>
      <w:marTop w:val="0"/>
      <w:marBottom w:val="0"/>
      <w:divBdr>
        <w:top w:val="none" w:sz="0" w:space="0" w:color="auto"/>
        <w:left w:val="none" w:sz="0" w:space="0" w:color="auto"/>
        <w:bottom w:val="none" w:sz="0" w:space="0" w:color="auto"/>
        <w:right w:val="none" w:sz="0" w:space="0" w:color="auto"/>
      </w:divBdr>
    </w:div>
    <w:div w:id="1138061921">
      <w:bodyDiv w:val="1"/>
      <w:marLeft w:val="0"/>
      <w:marRight w:val="0"/>
      <w:marTop w:val="0"/>
      <w:marBottom w:val="0"/>
      <w:divBdr>
        <w:top w:val="none" w:sz="0" w:space="0" w:color="auto"/>
        <w:left w:val="none" w:sz="0" w:space="0" w:color="auto"/>
        <w:bottom w:val="none" w:sz="0" w:space="0" w:color="auto"/>
        <w:right w:val="none" w:sz="0" w:space="0" w:color="auto"/>
      </w:divBdr>
    </w:div>
    <w:div w:id="1139223075">
      <w:bodyDiv w:val="1"/>
      <w:marLeft w:val="0"/>
      <w:marRight w:val="0"/>
      <w:marTop w:val="0"/>
      <w:marBottom w:val="0"/>
      <w:divBdr>
        <w:top w:val="none" w:sz="0" w:space="0" w:color="auto"/>
        <w:left w:val="none" w:sz="0" w:space="0" w:color="auto"/>
        <w:bottom w:val="none" w:sz="0" w:space="0" w:color="auto"/>
        <w:right w:val="none" w:sz="0" w:space="0" w:color="auto"/>
      </w:divBdr>
    </w:div>
    <w:div w:id="1142230073">
      <w:bodyDiv w:val="1"/>
      <w:marLeft w:val="0"/>
      <w:marRight w:val="0"/>
      <w:marTop w:val="0"/>
      <w:marBottom w:val="0"/>
      <w:divBdr>
        <w:top w:val="none" w:sz="0" w:space="0" w:color="auto"/>
        <w:left w:val="none" w:sz="0" w:space="0" w:color="auto"/>
        <w:bottom w:val="none" w:sz="0" w:space="0" w:color="auto"/>
        <w:right w:val="none" w:sz="0" w:space="0" w:color="auto"/>
      </w:divBdr>
    </w:div>
    <w:div w:id="1146974698">
      <w:bodyDiv w:val="1"/>
      <w:marLeft w:val="0"/>
      <w:marRight w:val="0"/>
      <w:marTop w:val="0"/>
      <w:marBottom w:val="0"/>
      <w:divBdr>
        <w:top w:val="none" w:sz="0" w:space="0" w:color="auto"/>
        <w:left w:val="none" w:sz="0" w:space="0" w:color="auto"/>
        <w:bottom w:val="none" w:sz="0" w:space="0" w:color="auto"/>
        <w:right w:val="none" w:sz="0" w:space="0" w:color="auto"/>
      </w:divBdr>
    </w:div>
    <w:div w:id="1149327338">
      <w:bodyDiv w:val="1"/>
      <w:marLeft w:val="0"/>
      <w:marRight w:val="0"/>
      <w:marTop w:val="0"/>
      <w:marBottom w:val="0"/>
      <w:divBdr>
        <w:top w:val="none" w:sz="0" w:space="0" w:color="auto"/>
        <w:left w:val="none" w:sz="0" w:space="0" w:color="auto"/>
        <w:bottom w:val="none" w:sz="0" w:space="0" w:color="auto"/>
        <w:right w:val="none" w:sz="0" w:space="0" w:color="auto"/>
      </w:divBdr>
    </w:div>
    <w:div w:id="1149513220">
      <w:bodyDiv w:val="1"/>
      <w:marLeft w:val="0"/>
      <w:marRight w:val="0"/>
      <w:marTop w:val="0"/>
      <w:marBottom w:val="0"/>
      <w:divBdr>
        <w:top w:val="none" w:sz="0" w:space="0" w:color="auto"/>
        <w:left w:val="none" w:sz="0" w:space="0" w:color="auto"/>
        <w:bottom w:val="none" w:sz="0" w:space="0" w:color="auto"/>
        <w:right w:val="none" w:sz="0" w:space="0" w:color="auto"/>
      </w:divBdr>
    </w:div>
    <w:div w:id="1150633821">
      <w:bodyDiv w:val="1"/>
      <w:marLeft w:val="0"/>
      <w:marRight w:val="0"/>
      <w:marTop w:val="0"/>
      <w:marBottom w:val="0"/>
      <w:divBdr>
        <w:top w:val="none" w:sz="0" w:space="0" w:color="auto"/>
        <w:left w:val="none" w:sz="0" w:space="0" w:color="auto"/>
        <w:bottom w:val="none" w:sz="0" w:space="0" w:color="auto"/>
        <w:right w:val="none" w:sz="0" w:space="0" w:color="auto"/>
      </w:divBdr>
    </w:div>
    <w:div w:id="1151097822">
      <w:bodyDiv w:val="1"/>
      <w:marLeft w:val="0"/>
      <w:marRight w:val="0"/>
      <w:marTop w:val="0"/>
      <w:marBottom w:val="0"/>
      <w:divBdr>
        <w:top w:val="none" w:sz="0" w:space="0" w:color="auto"/>
        <w:left w:val="none" w:sz="0" w:space="0" w:color="auto"/>
        <w:bottom w:val="none" w:sz="0" w:space="0" w:color="auto"/>
        <w:right w:val="none" w:sz="0" w:space="0" w:color="auto"/>
      </w:divBdr>
    </w:div>
    <w:div w:id="1152478623">
      <w:bodyDiv w:val="1"/>
      <w:marLeft w:val="0"/>
      <w:marRight w:val="0"/>
      <w:marTop w:val="0"/>
      <w:marBottom w:val="0"/>
      <w:divBdr>
        <w:top w:val="none" w:sz="0" w:space="0" w:color="auto"/>
        <w:left w:val="none" w:sz="0" w:space="0" w:color="auto"/>
        <w:bottom w:val="none" w:sz="0" w:space="0" w:color="auto"/>
        <w:right w:val="none" w:sz="0" w:space="0" w:color="auto"/>
      </w:divBdr>
    </w:div>
    <w:div w:id="1152674155">
      <w:bodyDiv w:val="1"/>
      <w:marLeft w:val="0"/>
      <w:marRight w:val="0"/>
      <w:marTop w:val="0"/>
      <w:marBottom w:val="0"/>
      <w:divBdr>
        <w:top w:val="none" w:sz="0" w:space="0" w:color="auto"/>
        <w:left w:val="none" w:sz="0" w:space="0" w:color="auto"/>
        <w:bottom w:val="none" w:sz="0" w:space="0" w:color="auto"/>
        <w:right w:val="none" w:sz="0" w:space="0" w:color="auto"/>
      </w:divBdr>
    </w:div>
    <w:div w:id="1152985018">
      <w:bodyDiv w:val="1"/>
      <w:marLeft w:val="0"/>
      <w:marRight w:val="0"/>
      <w:marTop w:val="0"/>
      <w:marBottom w:val="0"/>
      <w:divBdr>
        <w:top w:val="none" w:sz="0" w:space="0" w:color="auto"/>
        <w:left w:val="none" w:sz="0" w:space="0" w:color="auto"/>
        <w:bottom w:val="none" w:sz="0" w:space="0" w:color="auto"/>
        <w:right w:val="none" w:sz="0" w:space="0" w:color="auto"/>
      </w:divBdr>
    </w:div>
    <w:div w:id="1153254302">
      <w:bodyDiv w:val="1"/>
      <w:marLeft w:val="0"/>
      <w:marRight w:val="0"/>
      <w:marTop w:val="0"/>
      <w:marBottom w:val="0"/>
      <w:divBdr>
        <w:top w:val="none" w:sz="0" w:space="0" w:color="auto"/>
        <w:left w:val="none" w:sz="0" w:space="0" w:color="auto"/>
        <w:bottom w:val="none" w:sz="0" w:space="0" w:color="auto"/>
        <w:right w:val="none" w:sz="0" w:space="0" w:color="auto"/>
      </w:divBdr>
    </w:div>
    <w:div w:id="1154025436">
      <w:bodyDiv w:val="1"/>
      <w:marLeft w:val="0"/>
      <w:marRight w:val="0"/>
      <w:marTop w:val="0"/>
      <w:marBottom w:val="0"/>
      <w:divBdr>
        <w:top w:val="none" w:sz="0" w:space="0" w:color="auto"/>
        <w:left w:val="none" w:sz="0" w:space="0" w:color="auto"/>
        <w:bottom w:val="none" w:sz="0" w:space="0" w:color="auto"/>
        <w:right w:val="none" w:sz="0" w:space="0" w:color="auto"/>
      </w:divBdr>
    </w:div>
    <w:div w:id="1156798566">
      <w:bodyDiv w:val="1"/>
      <w:marLeft w:val="0"/>
      <w:marRight w:val="0"/>
      <w:marTop w:val="0"/>
      <w:marBottom w:val="0"/>
      <w:divBdr>
        <w:top w:val="none" w:sz="0" w:space="0" w:color="auto"/>
        <w:left w:val="none" w:sz="0" w:space="0" w:color="auto"/>
        <w:bottom w:val="none" w:sz="0" w:space="0" w:color="auto"/>
        <w:right w:val="none" w:sz="0" w:space="0" w:color="auto"/>
      </w:divBdr>
    </w:div>
    <w:div w:id="1161845659">
      <w:bodyDiv w:val="1"/>
      <w:marLeft w:val="0"/>
      <w:marRight w:val="0"/>
      <w:marTop w:val="0"/>
      <w:marBottom w:val="0"/>
      <w:divBdr>
        <w:top w:val="none" w:sz="0" w:space="0" w:color="auto"/>
        <w:left w:val="none" w:sz="0" w:space="0" w:color="auto"/>
        <w:bottom w:val="none" w:sz="0" w:space="0" w:color="auto"/>
        <w:right w:val="none" w:sz="0" w:space="0" w:color="auto"/>
      </w:divBdr>
    </w:div>
    <w:div w:id="1165049586">
      <w:bodyDiv w:val="1"/>
      <w:marLeft w:val="0"/>
      <w:marRight w:val="0"/>
      <w:marTop w:val="0"/>
      <w:marBottom w:val="0"/>
      <w:divBdr>
        <w:top w:val="none" w:sz="0" w:space="0" w:color="auto"/>
        <w:left w:val="none" w:sz="0" w:space="0" w:color="auto"/>
        <w:bottom w:val="none" w:sz="0" w:space="0" w:color="auto"/>
        <w:right w:val="none" w:sz="0" w:space="0" w:color="auto"/>
      </w:divBdr>
      <w:divsChild>
        <w:div w:id="88239713">
          <w:marLeft w:val="0"/>
          <w:marRight w:val="0"/>
          <w:marTop w:val="0"/>
          <w:marBottom w:val="0"/>
          <w:divBdr>
            <w:top w:val="none" w:sz="0" w:space="0" w:color="auto"/>
            <w:left w:val="none" w:sz="0" w:space="0" w:color="auto"/>
            <w:bottom w:val="none" w:sz="0" w:space="0" w:color="auto"/>
            <w:right w:val="none" w:sz="0" w:space="0" w:color="auto"/>
          </w:divBdr>
        </w:div>
        <w:div w:id="435834608">
          <w:marLeft w:val="0"/>
          <w:marRight w:val="0"/>
          <w:marTop w:val="0"/>
          <w:marBottom w:val="0"/>
          <w:divBdr>
            <w:top w:val="none" w:sz="0" w:space="0" w:color="auto"/>
            <w:left w:val="none" w:sz="0" w:space="0" w:color="auto"/>
            <w:bottom w:val="none" w:sz="0" w:space="0" w:color="auto"/>
            <w:right w:val="none" w:sz="0" w:space="0" w:color="auto"/>
          </w:divBdr>
        </w:div>
        <w:div w:id="733166569">
          <w:marLeft w:val="0"/>
          <w:marRight w:val="0"/>
          <w:marTop w:val="0"/>
          <w:marBottom w:val="0"/>
          <w:divBdr>
            <w:top w:val="none" w:sz="0" w:space="0" w:color="auto"/>
            <w:left w:val="none" w:sz="0" w:space="0" w:color="auto"/>
            <w:bottom w:val="none" w:sz="0" w:space="0" w:color="auto"/>
            <w:right w:val="none" w:sz="0" w:space="0" w:color="auto"/>
          </w:divBdr>
        </w:div>
        <w:div w:id="1768695043">
          <w:marLeft w:val="0"/>
          <w:marRight w:val="0"/>
          <w:marTop w:val="0"/>
          <w:marBottom w:val="0"/>
          <w:divBdr>
            <w:top w:val="none" w:sz="0" w:space="0" w:color="auto"/>
            <w:left w:val="none" w:sz="0" w:space="0" w:color="auto"/>
            <w:bottom w:val="none" w:sz="0" w:space="0" w:color="auto"/>
            <w:right w:val="none" w:sz="0" w:space="0" w:color="auto"/>
          </w:divBdr>
        </w:div>
        <w:div w:id="1952207030">
          <w:marLeft w:val="0"/>
          <w:marRight w:val="0"/>
          <w:marTop w:val="0"/>
          <w:marBottom w:val="0"/>
          <w:divBdr>
            <w:top w:val="none" w:sz="0" w:space="0" w:color="auto"/>
            <w:left w:val="none" w:sz="0" w:space="0" w:color="auto"/>
            <w:bottom w:val="none" w:sz="0" w:space="0" w:color="auto"/>
            <w:right w:val="none" w:sz="0" w:space="0" w:color="auto"/>
          </w:divBdr>
        </w:div>
        <w:div w:id="2115437230">
          <w:marLeft w:val="0"/>
          <w:marRight w:val="0"/>
          <w:marTop w:val="0"/>
          <w:marBottom w:val="0"/>
          <w:divBdr>
            <w:top w:val="none" w:sz="0" w:space="0" w:color="auto"/>
            <w:left w:val="none" w:sz="0" w:space="0" w:color="auto"/>
            <w:bottom w:val="none" w:sz="0" w:space="0" w:color="auto"/>
            <w:right w:val="none" w:sz="0" w:space="0" w:color="auto"/>
          </w:divBdr>
        </w:div>
        <w:div w:id="2130195166">
          <w:marLeft w:val="0"/>
          <w:marRight w:val="0"/>
          <w:marTop w:val="0"/>
          <w:marBottom w:val="0"/>
          <w:divBdr>
            <w:top w:val="none" w:sz="0" w:space="0" w:color="auto"/>
            <w:left w:val="none" w:sz="0" w:space="0" w:color="auto"/>
            <w:bottom w:val="none" w:sz="0" w:space="0" w:color="auto"/>
            <w:right w:val="none" w:sz="0" w:space="0" w:color="auto"/>
          </w:divBdr>
        </w:div>
      </w:divsChild>
    </w:div>
    <w:div w:id="1165630016">
      <w:bodyDiv w:val="1"/>
      <w:marLeft w:val="0"/>
      <w:marRight w:val="0"/>
      <w:marTop w:val="0"/>
      <w:marBottom w:val="0"/>
      <w:divBdr>
        <w:top w:val="none" w:sz="0" w:space="0" w:color="auto"/>
        <w:left w:val="none" w:sz="0" w:space="0" w:color="auto"/>
        <w:bottom w:val="none" w:sz="0" w:space="0" w:color="auto"/>
        <w:right w:val="none" w:sz="0" w:space="0" w:color="auto"/>
      </w:divBdr>
    </w:div>
    <w:div w:id="1168180251">
      <w:bodyDiv w:val="1"/>
      <w:marLeft w:val="0"/>
      <w:marRight w:val="0"/>
      <w:marTop w:val="0"/>
      <w:marBottom w:val="0"/>
      <w:divBdr>
        <w:top w:val="none" w:sz="0" w:space="0" w:color="auto"/>
        <w:left w:val="none" w:sz="0" w:space="0" w:color="auto"/>
        <w:bottom w:val="none" w:sz="0" w:space="0" w:color="auto"/>
        <w:right w:val="none" w:sz="0" w:space="0" w:color="auto"/>
      </w:divBdr>
    </w:div>
    <w:div w:id="1170175191">
      <w:bodyDiv w:val="1"/>
      <w:marLeft w:val="0"/>
      <w:marRight w:val="0"/>
      <w:marTop w:val="0"/>
      <w:marBottom w:val="0"/>
      <w:divBdr>
        <w:top w:val="none" w:sz="0" w:space="0" w:color="auto"/>
        <w:left w:val="none" w:sz="0" w:space="0" w:color="auto"/>
        <w:bottom w:val="none" w:sz="0" w:space="0" w:color="auto"/>
        <w:right w:val="none" w:sz="0" w:space="0" w:color="auto"/>
      </w:divBdr>
    </w:div>
    <w:div w:id="1171531204">
      <w:bodyDiv w:val="1"/>
      <w:marLeft w:val="0"/>
      <w:marRight w:val="0"/>
      <w:marTop w:val="0"/>
      <w:marBottom w:val="0"/>
      <w:divBdr>
        <w:top w:val="none" w:sz="0" w:space="0" w:color="auto"/>
        <w:left w:val="none" w:sz="0" w:space="0" w:color="auto"/>
        <w:bottom w:val="none" w:sz="0" w:space="0" w:color="auto"/>
        <w:right w:val="none" w:sz="0" w:space="0" w:color="auto"/>
      </w:divBdr>
    </w:div>
    <w:div w:id="1172839358">
      <w:bodyDiv w:val="1"/>
      <w:marLeft w:val="0"/>
      <w:marRight w:val="0"/>
      <w:marTop w:val="0"/>
      <w:marBottom w:val="0"/>
      <w:divBdr>
        <w:top w:val="none" w:sz="0" w:space="0" w:color="auto"/>
        <w:left w:val="none" w:sz="0" w:space="0" w:color="auto"/>
        <w:bottom w:val="none" w:sz="0" w:space="0" w:color="auto"/>
        <w:right w:val="none" w:sz="0" w:space="0" w:color="auto"/>
      </w:divBdr>
    </w:div>
    <w:div w:id="1173450315">
      <w:bodyDiv w:val="1"/>
      <w:marLeft w:val="0"/>
      <w:marRight w:val="0"/>
      <w:marTop w:val="0"/>
      <w:marBottom w:val="0"/>
      <w:divBdr>
        <w:top w:val="none" w:sz="0" w:space="0" w:color="auto"/>
        <w:left w:val="none" w:sz="0" w:space="0" w:color="auto"/>
        <w:bottom w:val="none" w:sz="0" w:space="0" w:color="auto"/>
        <w:right w:val="none" w:sz="0" w:space="0" w:color="auto"/>
      </w:divBdr>
    </w:div>
    <w:div w:id="1174615734">
      <w:bodyDiv w:val="1"/>
      <w:marLeft w:val="0"/>
      <w:marRight w:val="0"/>
      <w:marTop w:val="0"/>
      <w:marBottom w:val="0"/>
      <w:divBdr>
        <w:top w:val="none" w:sz="0" w:space="0" w:color="auto"/>
        <w:left w:val="none" w:sz="0" w:space="0" w:color="auto"/>
        <w:bottom w:val="none" w:sz="0" w:space="0" w:color="auto"/>
        <w:right w:val="none" w:sz="0" w:space="0" w:color="auto"/>
      </w:divBdr>
    </w:div>
    <w:div w:id="1175805580">
      <w:bodyDiv w:val="1"/>
      <w:marLeft w:val="0"/>
      <w:marRight w:val="0"/>
      <w:marTop w:val="0"/>
      <w:marBottom w:val="0"/>
      <w:divBdr>
        <w:top w:val="none" w:sz="0" w:space="0" w:color="auto"/>
        <w:left w:val="none" w:sz="0" w:space="0" w:color="auto"/>
        <w:bottom w:val="none" w:sz="0" w:space="0" w:color="auto"/>
        <w:right w:val="none" w:sz="0" w:space="0" w:color="auto"/>
      </w:divBdr>
    </w:div>
    <w:div w:id="1175850138">
      <w:bodyDiv w:val="1"/>
      <w:marLeft w:val="0"/>
      <w:marRight w:val="0"/>
      <w:marTop w:val="0"/>
      <w:marBottom w:val="0"/>
      <w:divBdr>
        <w:top w:val="none" w:sz="0" w:space="0" w:color="auto"/>
        <w:left w:val="none" w:sz="0" w:space="0" w:color="auto"/>
        <w:bottom w:val="none" w:sz="0" w:space="0" w:color="auto"/>
        <w:right w:val="none" w:sz="0" w:space="0" w:color="auto"/>
      </w:divBdr>
    </w:div>
    <w:div w:id="1175850697">
      <w:bodyDiv w:val="1"/>
      <w:marLeft w:val="0"/>
      <w:marRight w:val="0"/>
      <w:marTop w:val="0"/>
      <w:marBottom w:val="0"/>
      <w:divBdr>
        <w:top w:val="none" w:sz="0" w:space="0" w:color="auto"/>
        <w:left w:val="none" w:sz="0" w:space="0" w:color="auto"/>
        <w:bottom w:val="none" w:sz="0" w:space="0" w:color="auto"/>
        <w:right w:val="none" w:sz="0" w:space="0" w:color="auto"/>
      </w:divBdr>
    </w:div>
    <w:div w:id="1175878649">
      <w:bodyDiv w:val="1"/>
      <w:marLeft w:val="0"/>
      <w:marRight w:val="0"/>
      <w:marTop w:val="0"/>
      <w:marBottom w:val="0"/>
      <w:divBdr>
        <w:top w:val="none" w:sz="0" w:space="0" w:color="auto"/>
        <w:left w:val="none" w:sz="0" w:space="0" w:color="auto"/>
        <w:bottom w:val="none" w:sz="0" w:space="0" w:color="auto"/>
        <w:right w:val="none" w:sz="0" w:space="0" w:color="auto"/>
      </w:divBdr>
    </w:div>
    <w:div w:id="1178077193">
      <w:bodyDiv w:val="1"/>
      <w:marLeft w:val="0"/>
      <w:marRight w:val="0"/>
      <w:marTop w:val="0"/>
      <w:marBottom w:val="0"/>
      <w:divBdr>
        <w:top w:val="none" w:sz="0" w:space="0" w:color="auto"/>
        <w:left w:val="none" w:sz="0" w:space="0" w:color="auto"/>
        <w:bottom w:val="none" w:sz="0" w:space="0" w:color="auto"/>
        <w:right w:val="none" w:sz="0" w:space="0" w:color="auto"/>
      </w:divBdr>
    </w:div>
    <w:div w:id="1180895671">
      <w:bodyDiv w:val="1"/>
      <w:marLeft w:val="0"/>
      <w:marRight w:val="0"/>
      <w:marTop w:val="0"/>
      <w:marBottom w:val="0"/>
      <w:divBdr>
        <w:top w:val="none" w:sz="0" w:space="0" w:color="auto"/>
        <w:left w:val="none" w:sz="0" w:space="0" w:color="auto"/>
        <w:bottom w:val="none" w:sz="0" w:space="0" w:color="auto"/>
        <w:right w:val="none" w:sz="0" w:space="0" w:color="auto"/>
      </w:divBdr>
    </w:div>
    <w:div w:id="1188255661">
      <w:bodyDiv w:val="1"/>
      <w:marLeft w:val="0"/>
      <w:marRight w:val="0"/>
      <w:marTop w:val="0"/>
      <w:marBottom w:val="0"/>
      <w:divBdr>
        <w:top w:val="none" w:sz="0" w:space="0" w:color="auto"/>
        <w:left w:val="none" w:sz="0" w:space="0" w:color="auto"/>
        <w:bottom w:val="none" w:sz="0" w:space="0" w:color="auto"/>
        <w:right w:val="none" w:sz="0" w:space="0" w:color="auto"/>
      </w:divBdr>
    </w:div>
    <w:div w:id="1188521096">
      <w:bodyDiv w:val="1"/>
      <w:marLeft w:val="0"/>
      <w:marRight w:val="0"/>
      <w:marTop w:val="0"/>
      <w:marBottom w:val="0"/>
      <w:divBdr>
        <w:top w:val="none" w:sz="0" w:space="0" w:color="auto"/>
        <w:left w:val="none" w:sz="0" w:space="0" w:color="auto"/>
        <w:bottom w:val="none" w:sz="0" w:space="0" w:color="auto"/>
        <w:right w:val="none" w:sz="0" w:space="0" w:color="auto"/>
      </w:divBdr>
    </w:div>
    <w:div w:id="1188762168">
      <w:bodyDiv w:val="1"/>
      <w:marLeft w:val="0"/>
      <w:marRight w:val="0"/>
      <w:marTop w:val="0"/>
      <w:marBottom w:val="0"/>
      <w:divBdr>
        <w:top w:val="none" w:sz="0" w:space="0" w:color="auto"/>
        <w:left w:val="none" w:sz="0" w:space="0" w:color="auto"/>
        <w:bottom w:val="none" w:sz="0" w:space="0" w:color="auto"/>
        <w:right w:val="none" w:sz="0" w:space="0" w:color="auto"/>
      </w:divBdr>
    </w:div>
    <w:div w:id="1191839863">
      <w:bodyDiv w:val="1"/>
      <w:marLeft w:val="0"/>
      <w:marRight w:val="0"/>
      <w:marTop w:val="0"/>
      <w:marBottom w:val="0"/>
      <w:divBdr>
        <w:top w:val="none" w:sz="0" w:space="0" w:color="auto"/>
        <w:left w:val="none" w:sz="0" w:space="0" w:color="auto"/>
        <w:bottom w:val="none" w:sz="0" w:space="0" w:color="auto"/>
        <w:right w:val="none" w:sz="0" w:space="0" w:color="auto"/>
      </w:divBdr>
    </w:div>
    <w:div w:id="1191993018">
      <w:bodyDiv w:val="1"/>
      <w:marLeft w:val="0"/>
      <w:marRight w:val="0"/>
      <w:marTop w:val="0"/>
      <w:marBottom w:val="0"/>
      <w:divBdr>
        <w:top w:val="none" w:sz="0" w:space="0" w:color="auto"/>
        <w:left w:val="none" w:sz="0" w:space="0" w:color="auto"/>
        <w:bottom w:val="none" w:sz="0" w:space="0" w:color="auto"/>
        <w:right w:val="none" w:sz="0" w:space="0" w:color="auto"/>
      </w:divBdr>
    </w:div>
    <w:div w:id="1192843802">
      <w:bodyDiv w:val="1"/>
      <w:marLeft w:val="0"/>
      <w:marRight w:val="0"/>
      <w:marTop w:val="0"/>
      <w:marBottom w:val="0"/>
      <w:divBdr>
        <w:top w:val="none" w:sz="0" w:space="0" w:color="auto"/>
        <w:left w:val="none" w:sz="0" w:space="0" w:color="auto"/>
        <w:bottom w:val="none" w:sz="0" w:space="0" w:color="auto"/>
        <w:right w:val="none" w:sz="0" w:space="0" w:color="auto"/>
      </w:divBdr>
    </w:div>
    <w:div w:id="1194346535">
      <w:bodyDiv w:val="1"/>
      <w:marLeft w:val="0"/>
      <w:marRight w:val="0"/>
      <w:marTop w:val="0"/>
      <w:marBottom w:val="0"/>
      <w:divBdr>
        <w:top w:val="none" w:sz="0" w:space="0" w:color="auto"/>
        <w:left w:val="none" w:sz="0" w:space="0" w:color="auto"/>
        <w:bottom w:val="none" w:sz="0" w:space="0" w:color="auto"/>
        <w:right w:val="none" w:sz="0" w:space="0" w:color="auto"/>
      </w:divBdr>
    </w:div>
    <w:div w:id="1198858061">
      <w:bodyDiv w:val="1"/>
      <w:marLeft w:val="0"/>
      <w:marRight w:val="0"/>
      <w:marTop w:val="0"/>
      <w:marBottom w:val="0"/>
      <w:divBdr>
        <w:top w:val="none" w:sz="0" w:space="0" w:color="auto"/>
        <w:left w:val="none" w:sz="0" w:space="0" w:color="auto"/>
        <w:bottom w:val="none" w:sz="0" w:space="0" w:color="auto"/>
        <w:right w:val="none" w:sz="0" w:space="0" w:color="auto"/>
      </w:divBdr>
    </w:div>
    <w:div w:id="1200782693">
      <w:bodyDiv w:val="1"/>
      <w:marLeft w:val="0"/>
      <w:marRight w:val="0"/>
      <w:marTop w:val="0"/>
      <w:marBottom w:val="0"/>
      <w:divBdr>
        <w:top w:val="none" w:sz="0" w:space="0" w:color="auto"/>
        <w:left w:val="none" w:sz="0" w:space="0" w:color="auto"/>
        <w:bottom w:val="none" w:sz="0" w:space="0" w:color="auto"/>
        <w:right w:val="none" w:sz="0" w:space="0" w:color="auto"/>
      </w:divBdr>
    </w:div>
    <w:div w:id="1201935160">
      <w:bodyDiv w:val="1"/>
      <w:marLeft w:val="0"/>
      <w:marRight w:val="0"/>
      <w:marTop w:val="0"/>
      <w:marBottom w:val="0"/>
      <w:divBdr>
        <w:top w:val="none" w:sz="0" w:space="0" w:color="auto"/>
        <w:left w:val="none" w:sz="0" w:space="0" w:color="auto"/>
        <w:bottom w:val="none" w:sz="0" w:space="0" w:color="auto"/>
        <w:right w:val="none" w:sz="0" w:space="0" w:color="auto"/>
      </w:divBdr>
    </w:div>
    <w:div w:id="1202597796">
      <w:bodyDiv w:val="1"/>
      <w:marLeft w:val="0"/>
      <w:marRight w:val="0"/>
      <w:marTop w:val="0"/>
      <w:marBottom w:val="0"/>
      <w:divBdr>
        <w:top w:val="none" w:sz="0" w:space="0" w:color="auto"/>
        <w:left w:val="none" w:sz="0" w:space="0" w:color="auto"/>
        <w:bottom w:val="none" w:sz="0" w:space="0" w:color="auto"/>
        <w:right w:val="none" w:sz="0" w:space="0" w:color="auto"/>
      </w:divBdr>
    </w:div>
    <w:div w:id="1204827598">
      <w:bodyDiv w:val="1"/>
      <w:marLeft w:val="0"/>
      <w:marRight w:val="0"/>
      <w:marTop w:val="0"/>
      <w:marBottom w:val="0"/>
      <w:divBdr>
        <w:top w:val="none" w:sz="0" w:space="0" w:color="auto"/>
        <w:left w:val="none" w:sz="0" w:space="0" w:color="auto"/>
        <w:bottom w:val="none" w:sz="0" w:space="0" w:color="auto"/>
        <w:right w:val="none" w:sz="0" w:space="0" w:color="auto"/>
      </w:divBdr>
    </w:div>
    <w:div w:id="1205366910">
      <w:bodyDiv w:val="1"/>
      <w:marLeft w:val="0"/>
      <w:marRight w:val="0"/>
      <w:marTop w:val="0"/>
      <w:marBottom w:val="0"/>
      <w:divBdr>
        <w:top w:val="none" w:sz="0" w:space="0" w:color="auto"/>
        <w:left w:val="none" w:sz="0" w:space="0" w:color="auto"/>
        <w:bottom w:val="none" w:sz="0" w:space="0" w:color="auto"/>
        <w:right w:val="none" w:sz="0" w:space="0" w:color="auto"/>
      </w:divBdr>
    </w:div>
    <w:div w:id="1207907451">
      <w:bodyDiv w:val="1"/>
      <w:marLeft w:val="0"/>
      <w:marRight w:val="0"/>
      <w:marTop w:val="0"/>
      <w:marBottom w:val="0"/>
      <w:divBdr>
        <w:top w:val="none" w:sz="0" w:space="0" w:color="auto"/>
        <w:left w:val="none" w:sz="0" w:space="0" w:color="auto"/>
        <w:bottom w:val="none" w:sz="0" w:space="0" w:color="auto"/>
        <w:right w:val="none" w:sz="0" w:space="0" w:color="auto"/>
      </w:divBdr>
    </w:div>
    <w:div w:id="1207911784">
      <w:bodyDiv w:val="1"/>
      <w:marLeft w:val="0"/>
      <w:marRight w:val="0"/>
      <w:marTop w:val="0"/>
      <w:marBottom w:val="0"/>
      <w:divBdr>
        <w:top w:val="none" w:sz="0" w:space="0" w:color="auto"/>
        <w:left w:val="none" w:sz="0" w:space="0" w:color="auto"/>
        <w:bottom w:val="none" w:sz="0" w:space="0" w:color="auto"/>
        <w:right w:val="none" w:sz="0" w:space="0" w:color="auto"/>
      </w:divBdr>
    </w:div>
    <w:div w:id="1208109911">
      <w:bodyDiv w:val="1"/>
      <w:marLeft w:val="0"/>
      <w:marRight w:val="0"/>
      <w:marTop w:val="0"/>
      <w:marBottom w:val="0"/>
      <w:divBdr>
        <w:top w:val="none" w:sz="0" w:space="0" w:color="auto"/>
        <w:left w:val="none" w:sz="0" w:space="0" w:color="auto"/>
        <w:bottom w:val="none" w:sz="0" w:space="0" w:color="auto"/>
        <w:right w:val="none" w:sz="0" w:space="0" w:color="auto"/>
      </w:divBdr>
    </w:div>
    <w:div w:id="1208296830">
      <w:bodyDiv w:val="1"/>
      <w:marLeft w:val="0"/>
      <w:marRight w:val="0"/>
      <w:marTop w:val="0"/>
      <w:marBottom w:val="0"/>
      <w:divBdr>
        <w:top w:val="none" w:sz="0" w:space="0" w:color="auto"/>
        <w:left w:val="none" w:sz="0" w:space="0" w:color="auto"/>
        <w:bottom w:val="none" w:sz="0" w:space="0" w:color="auto"/>
        <w:right w:val="none" w:sz="0" w:space="0" w:color="auto"/>
      </w:divBdr>
    </w:div>
    <w:div w:id="1209535350">
      <w:bodyDiv w:val="1"/>
      <w:marLeft w:val="0"/>
      <w:marRight w:val="0"/>
      <w:marTop w:val="0"/>
      <w:marBottom w:val="0"/>
      <w:divBdr>
        <w:top w:val="none" w:sz="0" w:space="0" w:color="auto"/>
        <w:left w:val="none" w:sz="0" w:space="0" w:color="auto"/>
        <w:bottom w:val="none" w:sz="0" w:space="0" w:color="auto"/>
        <w:right w:val="none" w:sz="0" w:space="0" w:color="auto"/>
      </w:divBdr>
    </w:div>
    <w:div w:id="1210918712">
      <w:bodyDiv w:val="1"/>
      <w:marLeft w:val="0"/>
      <w:marRight w:val="0"/>
      <w:marTop w:val="0"/>
      <w:marBottom w:val="0"/>
      <w:divBdr>
        <w:top w:val="none" w:sz="0" w:space="0" w:color="auto"/>
        <w:left w:val="none" w:sz="0" w:space="0" w:color="auto"/>
        <w:bottom w:val="none" w:sz="0" w:space="0" w:color="auto"/>
        <w:right w:val="none" w:sz="0" w:space="0" w:color="auto"/>
      </w:divBdr>
    </w:div>
    <w:div w:id="1212033831">
      <w:bodyDiv w:val="1"/>
      <w:marLeft w:val="0"/>
      <w:marRight w:val="0"/>
      <w:marTop w:val="0"/>
      <w:marBottom w:val="0"/>
      <w:divBdr>
        <w:top w:val="none" w:sz="0" w:space="0" w:color="auto"/>
        <w:left w:val="none" w:sz="0" w:space="0" w:color="auto"/>
        <w:bottom w:val="none" w:sz="0" w:space="0" w:color="auto"/>
        <w:right w:val="none" w:sz="0" w:space="0" w:color="auto"/>
      </w:divBdr>
    </w:div>
    <w:div w:id="1213038315">
      <w:bodyDiv w:val="1"/>
      <w:marLeft w:val="0"/>
      <w:marRight w:val="0"/>
      <w:marTop w:val="0"/>
      <w:marBottom w:val="0"/>
      <w:divBdr>
        <w:top w:val="none" w:sz="0" w:space="0" w:color="auto"/>
        <w:left w:val="none" w:sz="0" w:space="0" w:color="auto"/>
        <w:bottom w:val="none" w:sz="0" w:space="0" w:color="auto"/>
        <w:right w:val="none" w:sz="0" w:space="0" w:color="auto"/>
      </w:divBdr>
    </w:div>
    <w:div w:id="1214780381">
      <w:bodyDiv w:val="1"/>
      <w:marLeft w:val="0"/>
      <w:marRight w:val="0"/>
      <w:marTop w:val="0"/>
      <w:marBottom w:val="0"/>
      <w:divBdr>
        <w:top w:val="none" w:sz="0" w:space="0" w:color="auto"/>
        <w:left w:val="none" w:sz="0" w:space="0" w:color="auto"/>
        <w:bottom w:val="none" w:sz="0" w:space="0" w:color="auto"/>
        <w:right w:val="none" w:sz="0" w:space="0" w:color="auto"/>
      </w:divBdr>
    </w:div>
    <w:div w:id="1215507179">
      <w:bodyDiv w:val="1"/>
      <w:marLeft w:val="0"/>
      <w:marRight w:val="0"/>
      <w:marTop w:val="0"/>
      <w:marBottom w:val="0"/>
      <w:divBdr>
        <w:top w:val="none" w:sz="0" w:space="0" w:color="auto"/>
        <w:left w:val="none" w:sz="0" w:space="0" w:color="auto"/>
        <w:bottom w:val="none" w:sz="0" w:space="0" w:color="auto"/>
        <w:right w:val="none" w:sz="0" w:space="0" w:color="auto"/>
      </w:divBdr>
    </w:div>
    <w:div w:id="1218053470">
      <w:bodyDiv w:val="1"/>
      <w:marLeft w:val="0"/>
      <w:marRight w:val="0"/>
      <w:marTop w:val="0"/>
      <w:marBottom w:val="0"/>
      <w:divBdr>
        <w:top w:val="none" w:sz="0" w:space="0" w:color="auto"/>
        <w:left w:val="none" w:sz="0" w:space="0" w:color="auto"/>
        <w:bottom w:val="none" w:sz="0" w:space="0" w:color="auto"/>
        <w:right w:val="none" w:sz="0" w:space="0" w:color="auto"/>
      </w:divBdr>
    </w:div>
    <w:div w:id="1219172793">
      <w:bodyDiv w:val="1"/>
      <w:marLeft w:val="0"/>
      <w:marRight w:val="0"/>
      <w:marTop w:val="0"/>
      <w:marBottom w:val="0"/>
      <w:divBdr>
        <w:top w:val="none" w:sz="0" w:space="0" w:color="auto"/>
        <w:left w:val="none" w:sz="0" w:space="0" w:color="auto"/>
        <w:bottom w:val="none" w:sz="0" w:space="0" w:color="auto"/>
        <w:right w:val="none" w:sz="0" w:space="0" w:color="auto"/>
      </w:divBdr>
    </w:div>
    <w:div w:id="1219633972">
      <w:bodyDiv w:val="1"/>
      <w:marLeft w:val="0"/>
      <w:marRight w:val="0"/>
      <w:marTop w:val="0"/>
      <w:marBottom w:val="0"/>
      <w:divBdr>
        <w:top w:val="none" w:sz="0" w:space="0" w:color="auto"/>
        <w:left w:val="none" w:sz="0" w:space="0" w:color="auto"/>
        <w:bottom w:val="none" w:sz="0" w:space="0" w:color="auto"/>
        <w:right w:val="none" w:sz="0" w:space="0" w:color="auto"/>
      </w:divBdr>
    </w:div>
    <w:div w:id="1219635295">
      <w:bodyDiv w:val="1"/>
      <w:marLeft w:val="0"/>
      <w:marRight w:val="0"/>
      <w:marTop w:val="0"/>
      <w:marBottom w:val="0"/>
      <w:divBdr>
        <w:top w:val="none" w:sz="0" w:space="0" w:color="auto"/>
        <w:left w:val="none" w:sz="0" w:space="0" w:color="auto"/>
        <w:bottom w:val="none" w:sz="0" w:space="0" w:color="auto"/>
        <w:right w:val="none" w:sz="0" w:space="0" w:color="auto"/>
      </w:divBdr>
    </w:div>
    <w:div w:id="1219780259">
      <w:bodyDiv w:val="1"/>
      <w:marLeft w:val="0"/>
      <w:marRight w:val="0"/>
      <w:marTop w:val="0"/>
      <w:marBottom w:val="0"/>
      <w:divBdr>
        <w:top w:val="none" w:sz="0" w:space="0" w:color="auto"/>
        <w:left w:val="none" w:sz="0" w:space="0" w:color="auto"/>
        <w:bottom w:val="none" w:sz="0" w:space="0" w:color="auto"/>
        <w:right w:val="none" w:sz="0" w:space="0" w:color="auto"/>
      </w:divBdr>
    </w:div>
    <w:div w:id="1220552594">
      <w:bodyDiv w:val="1"/>
      <w:marLeft w:val="0"/>
      <w:marRight w:val="0"/>
      <w:marTop w:val="0"/>
      <w:marBottom w:val="0"/>
      <w:divBdr>
        <w:top w:val="none" w:sz="0" w:space="0" w:color="auto"/>
        <w:left w:val="none" w:sz="0" w:space="0" w:color="auto"/>
        <w:bottom w:val="none" w:sz="0" w:space="0" w:color="auto"/>
        <w:right w:val="none" w:sz="0" w:space="0" w:color="auto"/>
      </w:divBdr>
    </w:div>
    <w:div w:id="1221475633">
      <w:bodyDiv w:val="1"/>
      <w:marLeft w:val="0"/>
      <w:marRight w:val="0"/>
      <w:marTop w:val="0"/>
      <w:marBottom w:val="0"/>
      <w:divBdr>
        <w:top w:val="none" w:sz="0" w:space="0" w:color="auto"/>
        <w:left w:val="none" w:sz="0" w:space="0" w:color="auto"/>
        <w:bottom w:val="none" w:sz="0" w:space="0" w:color="auto"/>
        <w:right w:val="none" w:sz="0" w:space="0" w:color="auto"/>
      </w:divBdr>
    </w:div>
    <w:div w:id="1221668035">
      <w:bodyDiv w:val="1"/>
      <w:marLeft w:val="0"/>
      <w:marRight w:val="0"/>
      <w:marTop w:val="0"/>
      <w:marBottom w:val="0"/>
      <w:divBdr>
        <w:top w:val="none" w:sz="0" w:space="0" w:color="auto"/>
        <w:left w:val="none" w:sz="0" w:space="0" w:color="auto"/>
        <w:bottom w:val="none" w:sz="0" w:space="0" w:color="auto"/>
        <w:right w:val="none" w:sz="0" w:space="0" w:color="auto"/>
      </w:divBdr>
    </w:div>
    <w:div w:id="1226602391">
      <w:bodyDiv w:val="1"/>
      <w:marLeft w:val="0"/>
      <w:marRight w:val="0"/>
      <w:marTop w:val="0"/>
      <w:marBottom w:val="0"/>
      <w:divBdr>
        <w:top w:val="none" w:sz="0" w:space="0" w:color="auto"/>
        <w:left w:val="none" w:sz="0" w:space="0" w:color="auto"/>
        <w:bottom w:val="none" w:sz="0" w:space="0" w:color="auto"/>
        <w:right w:val="none" w:sz="0" w:space="0" w:color="auto"/>
      </w:divBdr>
    </w:div>
    <w:div w:id="1227649099">
      <w:bodyDiv w:val="1"/>
      <w:marLeft w:val="0"/>
      <w:marRight w:val="0"/>
      <w:marTop w:val="0"/>
      <w:marBottom w:val="0"/>
      <w:divBdr>
        <w:top w:val="none" w:sz="0" w:space="0" w:color="auto"/>
        <w:left w:val="none" w:sz="0" w:space="0" w:color="auto"/>
        <w:bottom w:val="none" w:sz="0" w:space="0" w:color="auto"/>
        <w:right w:val="none" w:sz="0" w:space="0" w:color="auto"/>
      </w:divBdr>
    </w:div>
    <w:div w:id="1228881970">
      <w:bodyDiv w:val="1"/>
      <w:marLeft w:val="0"/>
      <w:marRight w:val="0"/>
      <w:marTop w:val="0"/>
      <w:marBottom w:val="0"/>
      <w:divBdr>
        <w:top w:val="none" w:sz="0" w:space="0" w:color="auto"/>
        <w:left w:val="none" w:sz="0" w:space="0" w:color="auto"/>
        <w:bottom w:val="none" w:sz="0" w:space="0" w:color="auto"/>
        <w:right w:val="none" w:sz="0" w:space="0" w:color="auto"/>
      </w:divBdr>
    </w:div>
    <w:div w:id="1228959828">
      <w:bodyDiv w:val="1"/>
      <w:marLeft w:val="0"/>
      <w:marRight w:val="0"/>
      <w:marTop w:val="0"/>
      <w:marBottom w:val="0"/>
      <w:divBdr>
        <w:top w:val="none" w:sz="0" w:space="0" w:color="auto"/>
        <w:left w:val="none" w:sz="0" w:space="0" w:color="auto"/>
        <w:bottom w:val="none" w:sz="0" w:space="0" w:color="auto"/>
        <w:right w:val="none" w:sz="0" w:space="0" w:color="auto"/>
      </w:divBdr>
    </w:div>
    <w:div w:id="1233346392">
      <w:bodyDiv w:val="1"/>
      <w:marLeft w:val="0"/>
      <w:marRight w:val="0"/>
      <w:marTop w:val="0"/>
      <w:marBottom w:val="0"/>
      <w:divBdr>
        <w:top w:val="none" w:sz="0" w:space="0" w:color="auto"/>
        <w:left w:val="none" w:sz="0" w:space="0" w:color="auto"/>
        <w:bottom w:val="none" w:sz="0" w:space="0" w:color="auto"/>
        <w:right w:val="none" w:sz="0" w:space="0" w:color="auto"/>
      </w:divBdr>
    </w:div>
    <w:div w:id="1233614446">
      <w:bodyDiv w:val="1"/>
      <w:marLeft w:val="0"/>
      <w:marRight w:val="0"/>
      <w:marTop w:val="0"/>
      <w:marBottom w:val="0"/>
      <w:divBdr>
        <w:top w:val="none" w:sz="0" w:space="0" w:color="auto"/>
        <w:left w:val="none" w:sz="0" w:space="0" w:color="auto"/>
        <w:bottom w:val="none" w:sz="0" w:space="0" w:color="auto"/>
        <w:right w:val="none" w:sz="0" w:space="0" w:color="auto"/>
      </w:divBdr>
    </w:div>
    <w:div w:id="1237129370">
      <w:bodyDiv w:val="1"/>
      <w:marLeft w:val="0"/>
      <w:marRight w:val="0"/>
      <w:marTop w:val="0"/>
      <w:marBottom w:val="0"/>
      <w:divBdr>
        <w:top w:val="none" w:sz="0" w:space="0" w:color="auto"/>
        <w:left w:val="none" w:sz="0" w:space="0" w:color="auto"/>
        <w:bottom w:val="none" w:sz="0" w:space="0" w:color="auto"/>
        <w:right w:val="none" w:sz="0" w:space="0" w:color="auto"/>
      </w:divBdr>
    </w:div>
    <w:div w:id="1237790035">
      <w:bodyDiv w:val="1"/>
      <w:marLeft w:val="0"/>
      <w:marRight w:val="0"/>
      <w:marTop w:val="0"/>
      <w:marBottom w:val="0"/>
      <w:divBdr>
        <w:top w:val="none" w:sz="0" w:space="0" w:color="auto"/>
        <w:left w:val="none" w:sz="0" w:space="0" w:color="auto"/>
        <w:bottom w:val="none" w:sz="0" w:space="0" w:color="auto"/>
        <w:right w:val="none" w:sz="0" w:space="0" w:color="auto"/>
      </w:divBdr>
    </w:div>
    <w:div w:id="1237862477">
      <w:bodyDiv w:val="1"/>
      <w:marLeft w:val="0"/>
      <w:marRight w:val="0"/>
      <w:marTop w:val="0"/>
      <w:marBottom w:val="0"/>
      <w:divBdr>
        <w:top w:val="none" w:sz="0" w:space="0" w:color="auto"/>
        <w:left w:val="none" w:sz="0" w:space="0" w:color="auto"/>
        <w:bottom w:val="none" w:sz="0" w:space="0" w:color="auto"/>
        <w:right w:val="none" w:sz="0" w:space="0" w:color="auto"/>
      </w:divBdr>
    </w:div>
    <w:div w:id="1240599552">
      <w:bodyDiv w:val="1"/>
      <w:marLeft w:val="0"/>
      <w:marRight w:val="0"/>
      <w:marTop w:val="0"/>
      <w:marBottom w:val="0"/>
      <w:divBdr>
        <w:top w:val="none" w:sz="0" w:space="0" w:color="auto"/>
        <w:left w:val="none" w:sz="0" w:space="0" w:color="auto"/>
        <w:bottom w:val="none" w:sz="0" w:space="0" w:color="auto"/>
        <w:right w:val="none" w:sz="0" w:space="0" w:color="auto"/>
      </w:divBdr>
    </w:div>
    <w:div w:id="1241714645">
      <w:bodyDiv w:val="1"/>
      <w:marLeft w:val="0"/>
      <w:marRight w:val="0"/>
      <w:marTop w:val="0"/>
      <w:marBottom w:val="0"/>
      <w:divBdr>
        <w:top w:val="none" w:sz="0" w:space="0" w:color="auto"/>
        <w:left w:val="none" w:sz="0" w:space="0" w:color="auto"/>
        <w:bottom w:val="none" w:sz="0" w:space="0" w:color="auto"/>
        <w:right w:val="none" w:sz="0" w:space="0" w:color="auto"/>
      </w:divBdr>
    </w:div>
    <w:div w:id="1242056803">
      <w:bodyDiv w:val="1"/>
      <w:marLeft w:val="0"/>
      <w:marRight w:val="0"/>
      <w:marTop w:val="0"/>
      <w:marBottom w:val="0"/>
      <w:divBdr>
        <w:top w:val="none" w:sz="0" w:space="0" w:color="auto"/>
        <w:left w:val="none" w:sz="0" w:space="0" w:color="auto"/>
        <w:bottom w:val="none" w:sz="0" w:space="0" w:color="auto"/>
        <w:right w:val="none" w:sz="0" w:space="0" w:color="auto"/>
      </w:divBdr>
    </w:div>
    <w:div w:id="1242450090">
      <w:bodyDiv w:val="1"/>
      <w:marLeft w:val="0"/>
      <w:marRight w:val="0"/>
      <w:marTop w:val="0"/>
      <w:marBottom w:val="0"/>
      <w:divBdr>
        <w:top w:val="none" w:sz="0" w:space="0" w:color="auto"/>
        <w:left w:val="none" w:sz="0" w:space="0" w:color="auto"/>
        <w:bottom w:val="none" w:sz="0" w:space="0" w:color="auto"/>
        <w:right w:val="none" w:sz="0" w:space="0" w:color="auto"/>
      </w:divBdr>
    </w:div>
    <w:div w:id="1246650868">
      <w:bodyDiv w:val="1"/>
      <w:marLeft w:val="0"/>
      <w:marRight w:val="0"/>
      <w:marTop w:val="0"/>
      <w:marBottom w:val="0"/>
      <w:divBdr>
        <w:top w:val="none" w:sz="0" w:space="0" w:color="auto"/>
        <w:left w:val="none" w:sz="0" w:space="0" w:color="auto"/>
        <w:bottom w:val="none" w:sz="0" w:space="0" w:color="auto"/>
        <w:right w:val="none" w:sz="0" w:space="0" w:color="auto"/>
      </w:divBdr>
    </w:div>
    <w:div w:id="1253734442">
      <w:bodyDiv w:val="1"/>
      <w:marLeft w:val="0"/>
      <w:marRight w:val="0"/>
      <w:marTop w:val="0"/>
      <w:marBottom w:val="0"/>
      <w:divBdr>
        <w:top w:val="none" w:sz="0" w:space="0" w:color="auto"/>
        <w:left w:val="none" w:sz="0" w:space="0" w:color="auto"/>
        <w:bottom w:val="none" w:sz="0" w:space="0" w:color="auto"/>
        <w:right w:val="none" w:sz="0" w:space="0" w:color="auto"/>
      </w:divBdr>
    </w:div>
    <w:div w:id="1255284990">
      <w:bodyDiv w:val="1"/>
      <w:marLeft w:val="0"/>
      <w:marRight w:val="0"/>
      <w:marTop w:val="0"/>
      <w:marBottom w:val="0"/>
      <w:divBdr>
        <w:top w:val="none" w:sz="0" w:space="0" w:color="auto"/>
        <w:left w:val="none" w:sz="0" w:space="0" w:color="auto"/>
        <w:bottom w:val="none" w:sz="0" w:space="0" w:color="auto"/>
        <w:right w:val="none" w:sz="0" w:space="0" w:color="auto"/>
      </w:divBdr>
    </w:div>
    <w:div w:id="1256087664">
      <w:bodyDiv w:val="1"/>
      <w:marLeft w:val="0"/>
      <w:marRight w:val="0"/>
      <w:marTop w:val="0"/>
      <w:marBottom w:val="0"/>
      <w:divBdr>
        <w:top w:val="none" w:sz="0" w:space="0" w:color="auto"/>
        <w:left w:val="none" w:sz="0" w:space="0" w:color="auto"/>
        <w:bottom w:val="none" w:sz="0" w:space="0" w:color="auto"/>
        <w:right w:val="none" w:sz="0" w:space="0" w:color="auto"/>
      </w:divBdr>
    </w:div>
    <w:div w:id="1256090734">
      <w:bodyDiv w:val="1"/>
      <w:marLeft w:val="0"/>
      <w:marRight w:val="0"/>
      <w:marTop w:val="0"/>
      <w:marBottom w:val="0"/>
      <w:divBdr>
        <w:top w:val="none" w:sz="0" w:space="0" w:color="auto"/>
        <w:left w:val="none" w:sz="0" w:space="0" w:color="auto"/>
        <w:bottom w:val="none" w:sz="0" w:space="0" w:color="auto"/>
        <w:right w:val="none" w:sz="0" w:space="0" w:color="auto"/>
      </w:divBdr>
    </w:div>
    <w:div w:id="1257858160">
      <w:bodyDiv w:val="1"/>
      <w:marLeft w:val="0"/>
      <w:marRight w:val="0"/>
      <w:marTop w:val="0"/>
      <w:marBottom w:val="0"/>
      <w:divBdr>
        <w:top w:val="none" w:sz="0" w:space="0" w:color="auto"/>
        <w:left w:val="none" w:sz="0" w:space="0" w:color="auto"/>
        <w:bottom w:val="none" w:sz="0" w:space="0" w:color="auto"/>
        <w:right w:val="none" w:sz="0" w:space="0" w:color="auto"/>
      </w:divBdr>
    </w:div>
    <w:div w:id="1259290427">
      <w:bodyDiv w:val="1"/>
      <w:marLeft w:val="0"/>
      <w:marRight w:val="0"/>
      <w:marTop w:val="0"/>
      <w:marBottom w:val="0"/>
      <w:divBdr>
        <w:top w:val="none" w:sz="0" w:space="0" w:color="auto"/>
        <w:left w:val="none" w:sz="0" w:space="0" w:color="auto"/>
        <w:bottom w:val="none" w:sz="0" w:space="0" w:color="auto"/>
        <w:right w:val="none" w:sz="0" w:space="0" w:color="auto"/>
      </w:divBdr>
    </w:div>
    <w:div w:id="1261061581">
      <w:bodyDiv w:val="1"/>
      <w:marLeft w:val="0"/>
      <w:marRight w:val="0"/>
      <w:marTop w:val="0"/>
      <w:marBottom w:val="0"/>
      <w:divBdr>
        <w:top w:val="none" w:sz="0" w:space="0" w:color="auto"/>
        <w:left w:val="none" w:sz="0" w:space="0" w:color="auto"/>
        <w:bottom w:val="none" w:sz="0" w:space="0" w:color="auto"/>
        <w:right w:val="none" w:sz="0" w:space="0" w:color="auto"/>
      </w:divBdr>
    </w:div>
    <w:div w:id="1263344464">
      <w:bodyDiv w:val="1"/>
      <w:marLeft w:val="0"/>
      <w:marRight w:val="0"/>
      <w:marTop w:val="0"/>
      <w:marBottom w:val="0"/>
      <w:divBdr>
        <w:top w:val="none" w:sz="0" w:space="0" w:color="auto"/>
        <w:left w:val="none" w:sz="0" w:space="0" w:color="auto"/>
        <w:bottom w:val="none" w:sz="0" w:space="0" w:color="auto"/>
        <w:right w:val="none" w:sz="0" w:space="0" w:color="auto"/>
      </w:divBdr>
    </w:div>
    <w:div w:id="1268733055">
      <w:bodyDiv w:val="1"/>
      <w:marLeft w:val="0"/>
      <w:marRight w:val="0"/>
      <w:marTop w:val="0"/>
      <w:marBottom w:val="0"/>
      <w:divBdr>
        <w:top w:val="none" w:sz="0" w:space="0" w:color="auto"/>
        <w:left w:val="none" w:sz="0" w:space="0" w:color="auto"/>
        <w:bottom w:val="none" w:sz="0" w:space="0" w:color="auto"/>
        <w:right w:val="none" w:sz="0" w:space="0" w:color="auto"/>
      </w:divBdr>
    </w:div>
    <w:div w:id="1269198097">
      <w:bodyDiv w:val="1"/>
      <w:marLeft w:val="0"/>
      <w:marRight w:val="0"/>
      <w:marTop w:val="0"/>
      <w:marBottom w:val="0"/>
      <w:divBdr>
        <w:top w:val="none" w:sz="0" w:space="0" w:color="auto"/>
        <w:left w:val="none" w:sz="0" w:space="0" w:color="auto"/>
        <w:bottom w:val="none" w:sz="0" w:space="0" w:color="auto"/>
        <w:right w:val="none" w:sz="0" w:space="0" w:color="auto"/>
      </w:divBdr>
    </w:div>
    <w:div w:id="1269239736">
      <w:bodyDiv w:val="1"/>
      <w:marLeft w:val="0"/>
      <w:marRight w:val="0"/>
      <w:marTop w:val="0"/>
      <w:marBottom w:val="0"/>
      <w:divBdr>
        <w:top w:val="none" w:sz="0" w:space="0" w:color="auto"/>
        <w:left w:val="none" w:sz="0" w:space="0" w:color="auto"/>
        <w:bottom w:val="none" w:sz="0" w:space="0" w:color="auto"/>
        <w:right w:val="none" w:sz="0" w:space="0" w:color="auto"/>
      </w:divBdr>
    </w:div>
    <w:div w:id="1271359411">
      <w:bodyDiv w:val="1"/>
      <w:marLeft w:val="0"/>
      <w:marRight w:val="0"/>
      <w:marTop w:val="0"/>
      <w:marBottom w:val="0"/>
      <w:divBdr>
        <w:top w:val="none" w:sz="0" w:space="0" w:color="auto"/>
        <w:left w:val="none" w:sz="0" w:space="0" w:color="auto"/>
        <w:bottom w:val="none" w:sz="0" w:space="0" w:color="auto"/>
        <w:right w:val="none" w:sz="0" w:space="0" w:color="auto"/>
      </w:divBdr>
    </w:div>
    <w:div w:id="1274169372">
      <w:bodyDiv w:val="1"/>
      <w:marLeft w:val="0"/>
      <w:marRight w:val="0"/>
      <w:marTop w:val="0"/>
      <w:marBottom w:val="0"/>
      <w:divBdr>
        <w:top w:val="none" w:sz="0" w:space="0" w:color="auto"/>
        <w:left w:val="none" w:sz="0" w:space="0" w:color="auto"/>
        <w:bottom w:val="none" w:sz="0" w:space="0" w:color="auto"/>
        <w:right w:val="none" w:sz="0" w:space="0" w:color="auto"/>
      </w:divBdr>
    </w:div>
    <w:div w:id="1275553763">
      <w:bodyDiv w:val="1"/>
      <w:marLeft w:val="0"/>
      <w:marRight w:val="0"/>
      <w:marTop w:val="0"/>
      <w:marBottom w:val="0"/>
      <w:divBdr>
        <w:top w:val="none" w:sz="0" w:space="0" w:color="auto"/>
        <w:left w:val="none" w:sz="0" w:space="0" w:color="auto"/>
        <w:bottom w:val="none" w:sz="0" w:space="0" w:color="auto"/>
        <w:right w:val="none" w:sz="0" w:space="0" w:color="auto"/>
      </w:divBdr>
    </w:div>
    <w:div w:id="1279490018">
      <w:bodyDiv w:val="1"/>
      <w:marLeft w:val="0"/>
      <w:marRight w:val="0"/>
      <w:marTop w:val="0"/>
      <w:marBottom w:val="0"/>
      <w:divBdr>
        <w:top w:val="none" w:sz="0" w:space="0" w:color="auto"/>
        <w:left w:val="none" w:sz="0" w:space="0" w:color="auto"/>
        <w:bottom w:val="none" w:sz="0" w:space="0" w:color="auto"/>
        <w:right w:val="none" w:sz="0" w:space="0" w:color="auto"/>
      </w:divBdr>
    </w:div>
    <w:div w:id="1280912070">
      <w:bodyDiv w:val="1"/>
      <w:marLeft w:val="0"/>
      <w:marRight w:val="0"/>
      <w:marTop w:val="0"/>
      <w:marBottom w:val="0"/>
      <w:divBdr>
        <w:top w:val="none" w:sz="0" w:space="0" w:color="auto"/>
        <w:left w:val="none" w:sz="0" w:space="0" w:color="auto"/>
        <w:bottom w:val="none" w:sz="0" w:space="0" w:color="auto"/>
        <w:right w:val="none" w:sz="0" w:space="0" w:color="auto"/>
      </w:divBdr>
    </w:div>
    <w:div w:id="1281644491">
      <w:bodyDiv w:val="1"/>
      <w:marLeft w:val="0"/>
      <w:marRight w:val="0"/>
      <w:marTop w:val="0"/>
      <w:marBottom w:val="0"/>
      <w:divBdr>
        <w:top w:val="none" w:sz="0" w:space="0" w:color="auto"/>
        <w:left w:val="none" w:sz="0" w:space="0" w:color="auto"/>
        <w:bottom w:val="none" w:sz="0" w:space="0" w:color="auto"/>
        <w:right w:val="none" w:sz="0" w:space="0" w:color="auto"/>
      </w:divBdr>
    </w:div>
    <w:div w:id="1283146963">
      <w:bodyDiv w:val="1"/>
      <w:marLeft w:val="0"/>
      <w:marRight w:val="0"/>
      <w:marTop w:val="0"/>
      <w:marBottom w:val="0"/>
      <w:divBdr>
        <w:top w:val="none" w:sz="0" w:space="0" w:color="auto"/>
        <w:left w:val="none" w:sz="0" w:space="0" w:color="auto"/>
        <w:bottom w:val="none" w:sz="0" w:space="0" w:color="auto"/>
        <w:right w:val="none" w:sz="0" w:space="0" w:color="auto"/>
      </w:divBdr>
    </w:div>
    <w:div w:id="1286958847">
      <w:bodyDiv w:val="1"/>
      <w:marLeft w:val="0"/>
      <w:marRight w:val="0"/>
      <w:marTop w:val="0"/>
      <w:marBottom w:val="0"/>
      <w:divBdr>
        <w:top w:val="none" w:sz="0" w:space="0" w:color="auto"/>
        <w:left w:val="none" w:sz="0" w:space="0" w:color="auto"/>
        <w:bottom w:val="none" w:sz="0" w:space="0" w:color="auto"/>
        <w:right w:val="none" w:sz="0" w:space="0" w:color="auto"/>
      </w:divBdr>
    </w:div>
    <w:div w:id="1290354071">
      <w:bodyDiv w:val="1"/>
      <w:marLeft w:val="0"/>
      <w:marRight w:val="0"/>
      <w:marTop w:val="0"/>
      <w:marBottom w:val="0"/>
      <w:divBdr>
        <w:top w:val="none" w:sz="0" w:space="0" w:color="auto"/>
        <w:left w:val="none" w:sz="0" w:space="0" w:color="auto"/>
        <w:bottom w:val="none" w:sz="0" w:space="0" w:color="auto"/>
        <w:right w:val="none" w:sz="0" w:space="0" w:color="auto"/>
      </w:divBdr>
    </w:div>
    <w:div w:id="1291404357">
      <w:bodyDiv w:val="1"/>
      <w:marLeft w:val="0"/>
      <w:marRight w:val="0"/>
      <w:marTop w:val="0"/>
      <w:marBottom w:val="0"/>
      <w:divBdr>
        <w:top w:val="none" w:sz="0" w:space="0" w:color="auto"/>
        <w:left w:val="none" w:sz="0" w:space="0" w:color="auto"/>
        <w:bottom w:val="none" w:sz="0" w:space="0" w:color="auto"/>
        <w:right w:val="none" w:sz="0" w:space="0" w:color="auto"/>
      </w:divBdr>
    </w:div>
    <w:div w:id="1292596362">
      <w:bodyDiv w:val="1"/>
      <w:marLeft w:val="0"/>
      <w:marRight w:val="0"/>
      <w:marTop w:val="0"/>
      <w:marBottom w:val="0"/>
      <w:divBdr>
        <w:top w:val="none" w:sz="0" w:space="0" w:color="auto"/>
        <w:left w:val="none" w:sz="0" w:space="0" w:color="auto"/>
        <w:bottom w:val="none" w:sz="0" w:space="0" w:color="auto"/>
        <w:right w:val="none" w:sz="0" w:space="0" w:color="auto"/>
      </w:divBdr>
    </w:div>
    <w:div w:id="1293366199">
      <w:bodyDiv w:val="1"/>
      <w:marLeft w:val="0"/>
      <w:marRight w:val="0"/>
      <w:marTop w:val="0"/>
      <w:marBottom w:val="0"/>
      <w:divBdr>
        <w:top w:val="none" w:sz="0" w:space="0" w:color="auto"/>
        <w:left w:val="none" w:sz="0" w:space="0" w:color="auto"/>
        <w:bottom w:val="none" w:sz="0" w:space="0" w:color="auto"/>
        <w:right w:val="none" w:sz="0" w:space="0" w:color="auto"/>
      </w:divBdr>
    </w:div>
    <w:div w:id="1293366311">
      <w:bodyDiv w:val="1"/>
      <w:marLeft w:val="0"/>
      <w:marRight w:val="0"/>
      <w:marTop w:val="0"/>
      <w:marBottom w:val="0"/>
      <w:divBdr>
        <w:top w:val="none" w:sz="0" w:space="0" w:color="auto"/>
        <w:left w:val="none" w:sz="0" w:space="0" w:color="auto"/>
        <w:bottom w:val="none" w:sz="0" w:space="0" w:color="auto"/>
        <w:right w:val="none" w:sz="0" w:space="0" w:color="auto"/>
      </w:divBdr>
    </w:div>
    <w:div w:id="1293975314">
      <w:bodyDiv w:val="1"/>
      <w:marLeft w:val="0"/>
      <w:marRight w:val="0"/>
      <w:marTop w:val="0"/>
      <w:marBottom w:val="0"/>
      <w:divBdr>
        <w:top w:val="none" w:sz="0" w:space="0" w:color="auto"/>
        <w:left w:val="none" w:sz="0" w:space="0" w:color="auto"/>
        <w:bottom w:val="none" w:sz="0" w:space="0" w:color="auto"/>
        <w:right w:val="none" w:sz="0" w:space="0" w:color="auto"/>
      </w:divBdr>
    </w:div>
    <w:div w:id="1294291511">
      <w:bodyDiv w:val="1"/>
      <w:marLeft w:val="0"/>
      <w:marRight w:val="0"/>
      <w:marTop w:val="0"/>
      <w:marBottom w:val="0"/>
      <w:divBdr>
        <w:top w:val="none" w:sz="0" w:space="0" w:color="auto"/>
        <w:left w:val="none" w:sz="0" w:space="0" w:color="auto"/>
        <w:bottom w:val="none" w:sz="0" w:space="0" w:color="auto"/>
        <w:right w:val="none" w:sz="0" w:space="0" w:color="auto"/>
      </w:divBdr>
    </w:div>
    <w:div w:id="1295259177">
      <w:bodyDiv w:val="1"/>
      <w:marLeft w:val="0"/>
      <w:marRight w:val="0"/>
      <w:marTop w:val="0"/>
      <w:marBottom w:val="0"/>
      <w:divBdr>
        <w:top w:val="none" w:sz="0" w:space="0" w:color="auto"/>
        <w:left w:val="none" w:sz="0" w:space="0" w:color="auto"/>
        <w:bottom w:val="none" w:sz="0" w:space="0" w:color="auto"/>
        <w:right w:val="none" w:sz="0" w:space="0" w:color="auto"/>
      </w:divBdr>
    </w:div>
    <w:div w:id="1295793265">
      <w:bodyDiv w:val="1"/>
      <w:marLeft w:val="0"/>
      <w:marRight w:val="0"/>
      <w:marTop w:val="0"/>
      <w:marBottom w:val="0"/>
      <w:divBdr>
        <w:top w:val="none" w:sz="0" w:space="0" w:color="auto"/>
        <w:left w:val="none" w:sz="0" w:space="0" w:color="auto"/>
        <w:bottom w:val="none" w:sz="0" w:space="0" w:color="auto"/>
        <w:right w:val="none" w:sz="0" w:space="0" w:color="auto"/>
      </w:divBdr>
    </w:div>
    <w:div w:id="1297565111">
      <w:bodyDiv w:val="1"/>
      <w:marLeft w:val="0"/>
      <w:marRight w:val="0"/>
      <w:marTop w:val="0"/>
      <w:marBottom w:val="0"/>
      <w:divBdr>
        <w:top w:val="none" w:sz="0" w:space="0" w:color="auto"/>
        <w:left w:val="none" w:sz="0" w:space="0" w:color="auto"/>
        <w:bottom w:val="none" w:sz="0" w:space="0" w:color="auto"/>
        <w:right w:val="none" w:sz="0" w:space="0" w:color="auto"/>
      </w:divBdr>
    </w:div>
    <w:div w:id="1298684632">
      <w:bodyDiv w:val="1"/>
      <w:marLeft w:val="0"/>
      <w:marRight w:val="0"/>
      <w:marTop w:val="0"/>
      <w:marBottom w:val="0"/>
      <w:divBdr>
        <w:top w:val="none" w:sz="0" w:space="0" w:color="auto"/>
        <w:left w:val="none" w:sz="0" w:space="0" w:color="auto"/>
        <w:bottom w:val="none" w:sz="0" w:space="0" w:color="auto"/>
        <w:right w:val="none" w:sz="0" w:space="0" w:color="auto"/>
      </w:divBdr>
    </w:div>
    <w:div w:id="1299725191">
      <w:bodyDiv w:val="1"/>
      <w:marLeft w:val="0"/>
      <w:marRight w:val="0"/>
      <w:marTop w:val="0"/>
      <w:marBottom w:val="0"/>
      <w:divBdr>
        <w:top w:val="none" w:sz="0" w:space="0" w:color="auto"/>
        <w:left w:val="none" w:sz="0" w:space="0" w:color="auto"/>
        <w:bottom w:val="none" w:sz="0" w:space="0" w:color="auto"/>
        <w:right w:val="none" w:sz="0" w:space="0" w:color="auto"/>
      </w:divBdr>
    </w:div>
    <w:div w:id="1299795874">
      <w:bodyDiv w:val="1"/>
      <w:marLeft w:val="0"/>
      <w:marRight w:val="0"/>
      <w:marTop w:val="0"/>
      <w:marBottom w:val="0"/>
      <w:divBdr>
        <w:top w:val="none" w:sz="0" w:space="0" w:color="auto"/>
        <w:left w:val="none" w:sz="0" w:space="0" w:color="auto"/>
        <w:bottom w:val="none" w:sz="0" w:space="0" w:color="auto"/>
        <w:right w:val="none" w:sz="0" w:space="0" w:color="auto"/>
      </w:divBdr>
    </w:div>
    <w:div w:id="1300259415">
      <w:bodyDiv w:val="1"/>
      <w:marLeft w:val="0"/>
      <w:marRight w:val="0"/>
      <w:marTop w:val="0"/>
      <w:marBottom w:val="0"/>
      <w:divBdr>
        <w:top w:val="none" w:sz="0" w:space="0" w:color="auto"/>
        <w:left w:val="none" w:sz="0" w:space="0" w:color="auto"/>
        <w:bottom w:val="none" w:sz="0" w:space="0" w:color="auto"/>
        <w:right w:val="none" w:sz="0" w:space="0" w:color="auto"/>
      </w:divBdr>
    </w:div>
    <w:div w:id="1300696160">
      <w:bodyDiv w:val="1"/>
      <w:marLeft w:val="0"/>
      <w:marRight w:val="0"/>
      <w:marTop w:val="0"/>
      <w:marBottom w:val="0"/>
      <w:divBdr>
        <w:top w:val="none" w:sz="0" w:space="0" w:color="auto"/>
        <w:left w:val="none" w:sz="0" w:space="0" w:color="auto"/>
        <w:bottom w:val="none" w:sz="0" w:space="0" w:color="auto"/>
        <w:right w:val="none" w:sz="0" w:space="0" w:color="auto"/>
      </w:divBdr>
    </w:div>
    <w:div w:id="1301879308">
      <w:bodyDiv w:val="1"/>
      <w:marLeft w:val="0"/>
      <w:marRight w:val="0"/>
      <w:marTop w:val="0"/>
      <w:marBottom w:val="0"/>
      <w:divBdr>
        <w:top w:val="none" w:sz="0" w:space="0" w:color="auto"/>
        <w:left w:val="none" w:sz="0" w:space="0" w:color="auto"/>
        <w:bottom w:val="none" w:sz="0" w:space="0" w:color="auto"/>
        <w:right w:val="none" w:sz="0" w:space="0" w:color="auto"/>
      </w:divBdr>
    </w:div>
    <w:div w:id="1301957908">
      <w:bodyDiv w:val="1"/>
      <w:marLeft w:val="0"/>
      <w:marRight w:val="0"/>
      <w:marTop w:val="0"/>
      <w:marBottom w:val="0"/>
      <w:divBdr>
        <w:top w:val="none" w:sz="0" w:space="0" w:color="auto"/>
        <w:left w:val="none" w:sz="0" w:space="0" w:color="auto"/>
        <w:bottom w:val="none" w:sz="0" w:space="0" w:color="auto"/>
        <w:right w:val="none" w:sz="0" w:space="0" w:color="auto"/>
      </w:divBdr>
    </w:div>
    <w:div w:id="1302225948">
      <w:bodyDiv w:val="1"/>
      <w:marLeft w:val="0"/>
      <w:marRight w:val="0"/>
      <w:marTop w:val="0"/>
      <w:marBottom w:val="0"/>
      <w:divBdr>
        <w:top w:val="none" w:sz="0" w:space="0" w:color="auto"/>
        <w:left w:val="none" w:sz="0" w:space="0" w:color="auto"/>
        <w:bottom w:val="none" w:sz="0" w:space="0" w:color="auto"/>
        <w:right w:val="none" w:sz="0" w:space="0" w:color="auto"/>
      </w:divBdr>
    </w:div>
    <w:div w:id="1303123410">
      <w:bodyDiv w:val="1"/>
      <w:marLeft w:val="0"/>
      <w:marRight w:val="0"/>
      <w:marTop w:val="0"/>
      <w:marBottom w:val="0"/>
      <w:divBdr>
        <w:top w:val="none" w:sz="0" w:space="0" w:color="auto"/>
        <w:left w:val="none" w:sz="0" w:space="0" w:color="auto"/>
        <w:bottom w:val="none" w:sz="0" w:space="0" w:color="auto"/>
        <w:right w:val="none" w:sz="0" w:space="0" w:color="auto"/>
      </w:divBdr>
    </w:div>
    <w:div w:id="1303652568">
      <w:bodyDiv w:val="1"/>
      <w:marLeft w:val="0"/>
      <w:marRight w:val="0"/>
      <w:marTop w:val="0"/>
      <w:marBottom w:val="0"/>
      <w:divBdr>
        <w:top w:val="none" w:sz="0" w:space="0" w:color="auto"/>
        <w:left w:val="none" w:sz="0" w:space="0" w:color="auto"/>
        <w:bottom w:val="none" w:sz="0" w:space="0" w:color="auto"/>
        <w:right w:val="none" w:sz="0" w:space="0" w:color="auto"/>
      </w:divBdr>
    </w:div>
    <w:div w:id="1304038496">
      <w:bodyDiv w:val="1"/>
      <w:marLeft w:val="0"/>
      <w:marRight w:val="0"/>
      <w:marTop w:val="0"/>
      <w:marBottom w:val="0"/>
      <w:divBdr>
        <w:top w:val="none" w:sz="0" w:space="0" w:color="auto"/>
        <w:left w:val="none" w:sz="0" w:space="0" w:color="auto"/>
        <w:bottom w:val="none" w:sz="0" w:space="0" w:color="auto"/>
        <w:right w:val="none" w:sz="0" w:space="0" w:color="auto"/>
      </w:divBdr>
    </w:div>
    <w:div w:id="1305047068">
      <w:bodyDiv w:val="1"/>
      <w:marLeft w:val="0"/>
      <w:marRight w:val="0"/>
      <w:marTop w:val="0"/>
      <w:marBottom w:val="0"/>
      <w:divBdr>
        <w:top w:val="none" w:sz="0" w:space="0" w:color="auto"/>
        <w:left w:val="none" w:sz="0" w:space="0" w:color="auto"/>
        <w:bottom w:val="none" w:sz="0" w:space="0" w:color="auto"/>
        <w:right w:val="none" w:sz="0" w:space="0" w:color="auto"/>
      </w:divBdr>
    </w:div>
    <w:div w:id="1305694229">
      <w:bodyDiv w:val="1"/>
      <w:marLeft w:val="0"/>
      <w:marRight w:val="0"/>
      <w:marTop w:val="0"/>
      <w:marBottom w:val="0"/>
      <w:divBdr>
        <w:top w:val="none" w:sz="0" w:space="0" w:color="auto"/>
        <w:left w:val="none" w:sz="0" w:space="0" w:color="auto"/>
        <w:bottom w:val="none" w:sz="0" w:space="0" w:color="auto"/>
        <w:right w:val="none" w:sz="0" w:space="0" w:color="auto"/>
      </w:divBdr>
    </w:div>
    <w:div w:id="1306085154">
      <w:bodyDiv w:val="1"/>
      <w:marLeft w:val="0"/>
      <w:marRight w:val="0"/>
      <w:marTop w:val="0"/>
      <w:marBottom w:val="0"/>
      <w:divBdr>
        <w:top w:val="none" w:sz="0" w:space="0" w:color="auto"/>
        <w:left w:val="none" w:sz="0" w:space="0" w:color="auto"/>
        <w:bottom w:val="none" w:sz="0" w:space="0" w:color="auto"/>
        <w:right w:val="none" w:sz="0" w:space="0" w:color="auto"/>
      </w:divBdr>
    </w:div>
    <w:div w:id="1308977058">
      <w:bodyDiv w:val="1"/>
      <w:marLeft w:val="0"/>
      <w:marRight w:val="0"/>
      <w:marTop w:val="0"/>
      <w:marBottom w:val="0"/>
      <w:divBdr>
        <w:top w:val="none" w:sz="0" w:space="0" w:color="auto"/>
        <w:left w:val="none" w:sz="0" w:space="0" w:color="auto"/>
        <w:bottom w:val="none" w:sz="0" w:space="0" w:color="auto"/>
        <w:right w:val="none" w:sz="0" w:space="0" w:color="auto"/>
      </w:divBdr>
    </w:div>
    <w:div w:id="1313026501">
      <w:bodyDiv w:val="1"/>
      <w:marLeft w:val="0"/>
      <w:marRight w:val="0"/>
      <w:marTop w:val="0"/>
      <w:marBottom w:val="0"/>
      <w:divBdr>
        <w:top w:val="none" w:sz="0" w:space="0" w:color="auto"/>
        <w:left w:val="none" w:sz="0" w:space="0" w:color="auto"/>
        <w:bottom w:val="none" w:sz="0" w:space="0" w:color="auto"/>
        <w:right w:val="none" w:sz="0" w:space="0" w:color="auto"/>
      </w:divBdr>
    </w:div>
    <w:div w:id="1315337393">
      <w:bodyDiv w:val="1"/>
      <w:marLeft w:val="0"/>
      <w:marRight w:val="0"/>
      <w:marTop w:val="0"/>
      <w:marBottom w:val="0"/>
      <w:divBdr>
        <w:top w:val="none" w:sz="0" w:space="0" w:color="auto"/>
        <w:left w:val="none" w:sz="0" w:space="0" w:color="auto"/>
        <w:bottom w:val="none" w:sz="0" w:space="0" w:color="auto"/>
        <w:right w:val="none" w:sz="0" w:space="0" w:color="auto"/>
      </w:divBdr>
    </w:div>
    <w:div w:id="1319844921">
      <w:bodyDiv w:val="1"/>
      <w:marLeft w:val="0"/>
      <w:marRight w:val="0"/>
      <w:marTop w:val="0"/>
      <w:marBottom w:val="0"/>
      <w:divBdr>
        <w:top w:val="none" w:sz="0" w:space="0" w:color="auto"/>
        <w:left w:val="none" w:sz="0" w:space="0" w:color="auto"/>
        <w:bottom w:val="none" w:sz="0" w:space="0" w:color="auto"/>
        <w:right w:val="none" w:sz="0" w:space="0" w:color="auto"/>
      </w:divBdr>
    </w:div>
    <w:div w:id="1321428384">
      <w:bodyDiv w:val="1"/>
      <w:marLeft w:val="0"/>
      <w:marRight w:val="0"/>
      <w:marTop w:val="0"/>
      <w:marBottom w:val="0"/>
      <w:divBdr>
        <w:top w:val="none" w:sz="0" w:space="0" w:color="auto"/>
        <w:left w:val="none" w:sz="0" w:space="0" w:color="auto"/>
        <w:bottom w:val="none" w:sz="0" w:space="0" w:color="auto"/>
        <w:right w:val="none" w:sz="0" w:space="0" w:color="auto"/>
      </w:divBdr>
    </w:div>
    <w:div w:id="1322192427">
      <w:bodyDiv w:val="1"/>
      <w:marLeft w:val="0"/>
      <w:marRight w:val="0"/>
      <w:marTop w:val="0"/>
      <w:marBottom w:val="0"/>
      <w:divBdr>
        <w:top w:val="none" w:sz="0" w:space="0" w:color="auto"/>
        <w:left w:val="none" w:sz="0" w:space="0" w:color="auto"/>
        <w:bottom w:val="none" w:sz="0" w:space="0" w:color="auto"/>
        <w:right w:val="none" w:sz="0" w:space="0" w:color="auto"/>
      </w:divBdr>
    </w:div>
    <w:div w:id="1323193318">
      <w:bodyDiv w:val="1"/>
      <w:marLeft w:val="0"/>
      <w:marRight w:val="0"/>
      <w:marTop w:val="0"/>
      <w:marBottom w:val="0"/>
      <w:divBdr>
        <w:top w:val="none" w:sz="0" w:space="0" w:color="auto"/>
        <w:left w:val="none" w:sz="0" w:space="0" w:color="auto"/>
        <w:bottom w:val="none" w:sz="0" w:space="0" w:color="auto"/>
        <w:right w:val="none" w:sz="0" w:space="0" w:color="auto"/>
      </w:divBdr>
    </w:div>
    <w:div w:id="1325889640">
      <w:bodyDiv w:val="1"/>
      <w:marLeft w:val="0"/>
      <w:marRight w:val="0"/>
      <w:marTop w:val="0"/>
      <w:marBottom w:val="0"/>
      <w:divBdr>
        <w:top w:val="none" w:sz="0" w:space="0" w:color="auto"/>
        <w:left w:val="none" w:sz="0" w:space="0" w:color="auto"/>
        <w:bottom w:val="none" w:sz="0" w:space="0" w:color="auto"/>
        <w:right w:val="none" w:sz="0" w:space="0" w:color="auto"/>
      </w:divBdr>
    </w:div>
    <w:div w:id="1326010320">
      <w:bodyDiv w:val="1"/>
      <w:marLeft w:val="0"/>
      <w:marRight w:val="0"/>
      <w:marTop w:val="0"/>
      <w:marBottom w:val="0"/>
      <w:divBdr>
        <w:top w:val="none" w:sz="0" w:space="0" w:color="auto"/>
        <w:left w:val="none" w:sz="0" w:space="0" w:color="auto"/>
        <w:bottom w:val="none" w:sz="0" w:space="0" w:color="auto"/>
        <w:right w:val="none" w:sz="0" w:space="0" w:color="auto"/>
      </w:divBdr>
    </w:div>
    <w:div w:id="1326740049">
      <w:bodyDiv w:val="1"/>
      <w:marLeft w:val="0"/>
      <w:marRight w:val="0"/>
      <w:marTop w:val="0"/>
      <w:marBottom w:val="0"/>
      <w:divBdr>
        <w:top w:val="none" w:sz="0" w:space="0" w:color="auto"/>
        <w:left w:val="none" w:sz="0" w:space="0" w:color="auto"/>
        <w:bottom w:val="none" w:sz="0" w:space="0" w:color="auto"/>
        <w:right w:val="none" w:sz="0" w:space="0" w:color="auto"/>
      </w:divBdr>
    </w:div>
    <w:div w:id="1333483575">
      <w:bodyDiv w:val="1"/>
      <w:marLeft w:val="0"/>
      <w:marRight w:val="0"/>
      <w:marTop w:val="0"/>
      <w:marBottom w:val="0"/>
      <w:divBdr>
        <w:top w:val="none" w:sz="0" w:space="0" w:color="auto"/>
        <w:left w:val="none" w:sz="0" w:space="0" w:color="auto"/>
        <w:bottom w:val="none" w:sz="0" w:space="0" w:color="auto"/>
        <w:right w:val="none" w:sz="0" w:space="0" w:color="auto"/>
      </w:divBdr>
    </w:div>
    <w:div w:id="1334458759">
      <w:bodyDiv w:val="1"/>
      <w:marLeft w:val="0"/>
      <w:marRight w:val="0"/>
      <w:marTop w:val="0"/>
      <w:marBottom w:val="0"/>
      <w:divBdr>
        <w:top w:val="none" w:sz="0" w:space="0" w:color="auto"/>
        <w:left w:val="none" w:sz="0" w:space="0" w:color="auto"/>
        <w:bottom w:val="none" w:sz="0" w:space="0" w:color="auto"/>
        <w:right w:val="none" w:sz="0" w:space="0" w:color="auto"/>
      </w:divBdr>
    </w:div>
    <w:div w:id="1334989062">
      <w:bodyDiv w:val="1"/>
      <w:marLeft w:val="0"/>
      <w:marRight w:val="0"/>
      <w:marTop w:val="0"/>
      <w:marBottom w:val="0"/>
      <w:divBdr>
        <w:top w:val="none" w:sz="0" w:space="0" w:color="auto"/>
        <w:left w:val="none" w:sz="0" w:space="0" w:color="auto"/>
        <w:bottom w:val="none" w:sz="0" w:space="0" w:color="auto"/>
        <w:right w:val="none" w:sz="0" w:space="0" w:color="auto"/>
      </w:divBdr>
    </w:div>
    <w:div w:id="1336685137">
      <w:bodyDiv w:val="1"/>
      <w:marLeft w:val="0"/>
      <w:marRight w:val="0"/>
      <w:marTop w:val="0"/>
      <w:marBottom w:val="0"/>
      <w:divBdr>
        <w:top w:val="none" w:sz="0" w:space="0" w:color="auto"/>
        <w:left w:val="none" w:sz="0" w:space="0" w:color="auto"/>
        <w:bottom w:val="none" w:sz="0" w:space="0" w:color="auto"/>
        <w:right w:val="none" w:sz="0" w:space="0" w:color="auto"/>
      </w:divBdr>
    </w:div>
    <w:div w:id="1341351645">
      <w:bodyDiv w:val="1"/>
      <w:marLeft w:val="0"/>
      <w:marRight w:val="0"/>
      <w:marTop w:val="0"/>
      <w:marBottom w:val="0"/>
      <w:divBdr>
        <w:top w:val="none" w:sz="0" w:space="0" w:color="auto"/>
        <w:left w:val="none" w:sz="0" w:space="0" w:color="auto"/>
        <w:bottom w:val="none" w:sz="0" w:space="0" w:color="auto"/>
        <w:right w:val="none" w:sz="0" w:space="0" w:color="auto"/>
      </w:divBdr>
    </w:div>
    <w:div w:id="1342010298">
      <w:bodyDiv w:val="1"/>
      <w:marLeft w:val="0"/>
      <w:marRight w:val="0"/>
      <w:marTop w:val="0"/>
      <w:marBottom w:val="0"/>
      <w:divBdr>
        <w:top w:val="none" w:sz="0" w:space="0" w:color="auto"/>
        <w:left w:val="none" w:sz="0" w:space="0" w:color="auto"/>
        <w:bottom w:val="none" w:sz="0" w:space="0" w:color="auto"/>
        <w:right w:val="none" w:sz="0" w:space="0" w:color="auto"/>
      </w:divBdr>
    </w:div>
    <w:div w:id="1342930751">
      <w:bodyDiv w:val="1"/>
      <w:marLeft w:val="0"/>
      <w:marRight w:val="0"/>
      <w:marTop w:val="0"/>
      <w:marBottom w:val="0"/>
      <w:divBdr>
        <w:top w:val="none" w:sz="0" w:space="0" w:color="auto"/>
        <w:left w:val="none" w:sz="0" w:space="0" w:color="auto"/>
        <w:bottom w:val="none" w:sz="0" w:space="0" w:color="auto"/>
        <w:right w:val="none" w:sz="0" w:space="0" w:color="auto"/>
      </w:divBdr>
      <w:divsChild>
        <w:div w:id="102463160">
          <w:marLeft w:val="0"/>
          <w:marRight w:val="0"/>
          <w:marTop w:val="0"/>
          <w:marBottom w:val="0"/>
          <w:divBdr>
            <w:top w:val="none" w:sz="0" w:space="0" w:color="auto"/>
            <w:left w:val="none" w:sz="0" w:space="0" w:color="auto"/>
            <w:bottom w:val="none" w:sz="0" w:space="0" w:color="auto"/>
            <w:right w:val="none" w:sz="0" w:space="0" w:color="auto"/>
          </w:divBdr>
        </w:div>
        <w:div w:id="168184368">
          <w:marLeft w:val="0"/>
          <w:marRight w:val="0"/>
          <w:marTop w:val="0"/>
          <w:marBottom w:val="0"/>
          <w:divBdr>
            <w:top w:val="none" w:sz="0" w:space="0" w:color="auto"/>
            <w:left w:val="none" w:sz="0" w:space="0" w:color="auto"/>
            <w:bottom w:val="none" w:sz="0" w:space="0" w:color="auto"/>
            <w:right w:val="none" w:sz="0" w:space="0" w:color="auto"/>
          </w:divBdr>
        </w:div>
        <w:div w:id="315568840">
          <w:marLeft w:val="0"/>
          <w:marRight w:val="0"/>
          <w:marTop w:val="0"/>
          <w:marBottom w:val="0"/>
          <w:divBdr>
            <w:top w:val="none" w:sz="0" w:space="0" w:color="auto"/>
            <w:left w:val="none" w:sz="0" w:space="0" w:color="auto"/>
            <w:bottom w:val="none" w:sz="0" w:space="0" w:color="auto"/>
            <w:right w:val="none" w:sz="0" w:space="0" w:color="auto"/>
          </w:divBdr>
        </w:div>
        <w:div w:id="382867959">
          <w:marLeft w:val="0"/>
          <w:marRight w:val="0"/>
          <w:marTop w:val="0"/>
          <w:marBottom w:val="0"/>
          <w:divBdr>
            <w:top w:val="none" w:sz="0" w:space="0" w:color="auto"/>
            <w:left w:val="none" w:sz="0" w:space="0" w:color="auto"/>
            <w:bottom w:val="none" w:sz="0" w:space="0" w:color="auto"/>
            <w:right w:val="none" w:sz="0" w:space="0" w:color="auto"/>
          </w:divBdr>
        </w:div>
        <w:div w:id="391778510">
          <w:marLeft w:val="0"/>
          <w:marRight w:val="0"/>
          <w:marTop w:val="0"/>
          <w:marBottom w:val="0"/>
          <w:divBdr>
            <w:top w:val="none" w:sz="0" w:space="0" w:color="auto"/>
            <w:left w:val="none" w:sz="0" w:space="0" w:color="auto"/>
            <w:bottom w:val="none" w:sz="0" w:space="0" w:color="auto"/>
            <w:right w:val="none" w:sz="0" w:space="0" w:color="auto"/>
          </w:divBdr>
        </w:div>
        <w:div w:id="451172827">
          <w:marLeft w:val="0"/>
          <w:marRight w:val="0"/>
          <w:marTop w:val="0"/>
          <w:marBottom w:val="0"/>
          <w:divBdr>
            <w:top w:val="none" w:sz="0" w:space="0" w:color="auto"/>
            <w:left w:val="none" w:sz="0" w:space="0" w:color="auto"/>
            <w:bottom w:val="none" w:sz="0" w:space="0" w:color="auto"/>
            <w:right w:val="none" w:sz="0" w:space="0" w:color="auto"/>
          </w:divBdr>
        </w:div>
        <w:div w:id="453906503">
          <w:marLeft w:val="0"/>
          <w:marRight w:val="0"/>
          <w:marTop w:val="0"/>
          <w:marBottom w:val="0"/>
          <w:divBdr>
            <w:top w:val="none" w:sz="0" w:space="0" w:color="auto"/>
            <w:left w:val="none" w:sz="0" w:space="0" w:color="auto"/>
            <w:bottom w:val="none" w:sz="0" w:space="0" w:color="auto"/>
            <w:right w:val="none" w:sz="0" w:space="0" w:color="auto"/>
          </w:divBdr>
        </w:div>
        <w:div w:id="587033752">
          <w:marLeft w:val="0"/>
          <w:marRight w:val="0"/>
          <w:marTop w:val="0"/>
          <w:marBottom w:val="0"/>
          <w:divBdr>
            <w:top w:val="none" w:sz="0" w:space="0" w:color="auto"/>
            <w:left w:val="none" w:sz="0" w:space="0" w:color="auto"/>
            <w:bottom w:val="none" w:sz="0" w:space="0" w:color="auto"/>
            <w:right w:val="none" w:sz="0" w:space="0" w:color="auto"/>
          </w:divBdr>
        </w:div>
        <w:div w:id="711075395">
          <w:marLeft w:val="0"/>
          <w:marRight w:val="0"/>
          <w:marTop w:val="0"/>
          <w:marBottom w:val="0"/>
          <w:divBdr>
            <w:top w:val="none" w:sz="0" w:space="0" w:color="auto"/>
            <w:left w:val="none" w:sz="0" w:space="0" w:color="auto"/>
            <w:bottom w:val="none" w:sz="0" w:space="0" w:color="auto"/>
            <w:right w:val="none" w:sz="0" w:space="0" w:color="auto"/>
          </w:divBdr>
        </w:div>
        <w:div w:id="749472402">
          <w:marLeft w:val="0"/>
          <w:marRight w:val="0"/>
          <w:marTop w:val="0"/>
          <w:marBottom w:val="0"/>
          <w:divBdr>
            <w:top w:val="none" w:sz="0" w:space="0" w:color="auto"/>
            <w:left w:val="none" w:sz="0" w:space="0" w:color="auto"/>
            <w:bottom w:val="none" w:sz="0" w:space="0" w:color="auto"/>
            <w:right w:val="none" w:sz="0" w:space="0" w:color="auto"/>
          </w:divBdr>
        </w:div>
        <w:div w:id="757868767">
          <w:marLeft w:val="0"/>
          <w:marRight w:val="0"/>
          <w:marTop w:val="0"/>
          <w:marBottom w:val="0"/>
          <w:divBdr>
            <w:top w:val="none" w:sz="0" w:space="0" w:color="auto"/>
            <w:left w:val="none" w:sz="0" w:space="0" w:color="auto"/>
            <w:bottom w:val="none" w:sz="0" w:space="0" w:color="auto"/>
            <w:right w:val="none" w:sz="0" w:space="0" w:color="auto"/>
          </w:divBdr>
        </w:div>
        <w:div w:id="759564309">
          <w:marLeft w:val="0"/>
          <w:marRight w:val="0"/>
          <w:marTop w:val="0"/>
          <w:marBottom w:val="0"/>
          <w:divBdr>
            <w:top w:val="none" w:sz="0" w:space="0" w:color="auto"/>
            <w:left w:val="none" w:sz="0" w:space="0" w:color="auto"/>
            <w:bottom w:val="none" w:sz="0" w:space="0" w:color="auto"/>
            <w:right w:val="none" w:sz="0" w:space="0" w:color="auto"/>
          </w:divBdr>
        </w:div>
        <w:div w:id="853958071">
          <w:marLeft w:val="0"/>
          <w:marRight w:val="0"/>
          <w:marTop w:val="0"/>
          <w:marBottom w:val="0"/>
          <w:divBdr>
            <w:top w:val="none" w:sz="0" w:space="0" w:color="auto"/>
            <w:left w:val="none" w:sz="0" w:space="0" w:color="auto"/>
            <w:bottom w:val="none" w:sz="0" w:space="0" w:color="auto"/>
            <w:right w:val="none" w:sz="0" w:space="0" w:color="auto"/>
          </w:divBdr>
        </w:div>
        <w:div w:id="895707195">
          <w:marLeft w:val="0"/>
          <w:marRight w:val="0"/>
          <w:marTop w:val="0"/>
          <w:marBottom w:val="0"/>
          <w:divBdr>
            <w:top w:val="none" w:sz="0" w:space="0" w:color="auto"/>
            <w:left w:val="none" w:sz="0" w:space="0" w:color="auto"/>
            <w:bottom w:val="none" w:sz="0" w:space="0" w:color="auto"/>
            <w:right w:val="none" w:sz="0" w:space="0" w:color="auto"/>
          </w:divBdr>
        </w:div>
        <w:div w:id="930892464">
          <w:marLeft w:val="0"/>
          <w:marRight w:val="0"/>
          <w:marTop w:val="0"/>
          <w:marBottom w:val="0"/>
          <w:divBdr>
            <w:top w:val="none" w:sz="0" w:space="0" w:color="auto"/>
            <w:left w:val="none" w:sz="0" w:space="0" w:color="auto"/>
            <w:bottom w:val="none" w:sz="0" w:space="0" w:color="auto"/>
            <w:right w:val="none" w:sz="0" w:space="0" w:color="auto"/>
          </w:divBdr>
        </w:div>
        <w:div w:id="973366571">
          <w:marLeft w:val="0"/>
          <w:marRight w:val="0"/>
          <w:marTop w:val="0"/>
          <w:marBottom w:val="0"/>
          <w:divBdr>
            <w:top w:val="none" w:sz="0" w:space="0" w:color="auto"/>
            <w:left w:val="none" w:sz="0" w:space="0" w:color="auto"/>
            <w:bottom w:val="none" w:sz="0" w:space="0" w:color="auto"/>
            <w:right w:val="none" w:sz="0" w:space="0" w:color="auto"/>
          </w:divBdr>
        </w:div>
        <w:div w:id="1023559708">
          <w:marLeft w:val="0"/>
          <w:marRight w:val="0"/>
          <w:marTop w:val="0"/>
          <w:marBottom w:val="0"/>
          <w:divBdr>
            <w:top w:val="none" w:sz="0" w:space="0" w:color="auto"/>
            <w:left w:val="none" w:sz="0" w:space="0" w:color="auto"/>
            <w:bottom w:val="none" w:sz="0" w:space="0" w:color="auto"/>
            <w:right w:val="none" w:sz="0" w:space="0" w:color="auto"/>
          </w:divBdr>
        </w:div>
        <w:div w:id="1052191619">
          <w:marLeft w:val="0"/>
          <w:marRight w:val="0"/>
          <w:marTop w:val="0"/>
          <w:marBottom w:val="0"/>
          <w:divBdr>
            <w:top w:val="none" w:sz="0" w:space="0" w:color="auto"/>
            <w:left w:val="none" w:sz="0" w:space="0" w:color="auto"/>
            <w:bottom w:val="none" w:sz="0" w:space="0" w:color="auto"/>
            <w:right w:val="none" w:sz="0" w:space="0" w:color="auto"/>
          </w:divBdr>
        </w:div>
        <w:div w:id="1054616578">
          <w:marLeft w:val="0"/>
          <w:marRight w:val="0"/>
          <w:marTop w:val="0"/>
          <w:marBottom w:val="0"/>
          <w:divBdr>
            <w:top w:val="none" w:sz="0" w:space="0" w:color="auto"/>
            <w:left w:val="none" w:sz="0" w:space="0" w:color="auto"/>
            <w:bottom w:val="none" w:sz="0" w:space="0" w:color="auto"/>
            <w:right w:val="none" w:sz="0" w:space="0" w:color="auto"/>
          </w:divBdr>
        </w:div>
        <w:div w:id="1089737060">
          <w:marLeft w:val="0"/>
          <w:marRight w:val="0"/>
          <w:marTop w:val="0"/>
          <w:marBottom w:val="0"/>
          <w:divBdr>
            <w:top w:val="none" w:sz="0" w:space="0" w:color="auto"/>
            <w:left w:val="none" w:sz="0" w:space="0" w:color="auto"/>
            <w:bottom w:val="none" w:sz="0" w:space="0" w:color="auto"/>
            <w:right w:val="none" w:sz="0" w:space="0" w:color="auto"/>
          </w:divBdr>
        </w:div>
        <w:div w:id="1093286398">
          <w:marLeft w:val="0"/>
          <w:marRight w:val="0"/>
          <w:marTop w:val="0"/>
          <w:marBottom w:val="0"/>
          <w:divBdr>
            <w:top w:val="none" w:sz="0" w:space="0" w:color="auto"/>
            <w:left w:val="none" w:sz="0" w:space="0" w:color="auto"/>
            <w:bottom w:val="none" w:sz="0" w:space="0" w:color="auto"/>
            <w:right w:val="none" w:sz="0" w:space="0" w:color="auto"/>
          </w:divBdr>
        </w:div>
        <w:div w:id="1122068514">
          <w:marLeft w:val="0"/>
          <w:marRight w:val="0"/>
          <w:marTop w:val="0"/>
          <w:marBottom w:val="0"/>
          <w:divBdr>
            <w:top w:val="none" w:sz="0" w:space="0" w:color="auto"/>
            <w:left w:val="none" w:sz="0" w:space="0" w:color="auto"/>
            <w:bottom w:val="none" w:sz="0" w:space="0" w:color="auto"/>
            <w:right w:val="none" w:sz="0" w:space="0" w:color="auto"/>
          </w:divBdr>
        </w:div>
        <w:div w:id="1150947971">
          <w:marLeft w:val="0"/>
          <w:marRight w:val="0"/>
          <w:marTop w:val="0"/>
          <w:marBottom w:val="0"/>
          <w:divBdr>
            <w:top w:val="none" w:sz="0" w:space="0" w:color="auto"/>
            <w:left w:val="none" w:sz="0" w:space="0" w:color="auto"/>
            <w:bottom w:val="none" w:sz="0" w:space="0" w:color="auto"/>
            <w:right w:val="none" w:sz="0" w:space="0" w:color="auto"/>
          </w:divBdr>
        </w:div>
        <w:div w:id="1151748501">
          <w:marLeft w:val="0"/>
          <w:marRight w:val="0"/>
          <w:marTop w:val="0"/>
          <w:marBottom w:val="0"/>
          <w:divBdr>
            <w:top w:val="none" w:sz="0" w:space="0" w:color="auto"/>
            <w:left w:val="none" w:sz="0" w:space="0" w:color="auto"/>
            <w:bottom w:val="none" w:sz="0" w:space="0" w:color="auto"/>
            <w:right w:val="none" w:sz="0" w:space="0" w:color="auto"/>
          </w:divBdr>
        </w:div>
        <w:div w:id="1157528209">
          <w:marLeft w:val="0"/>
          <w:marRight w:val="0"/>
          <w:marTop w:val="0"/>
          <w:marBottom w:val="0"/>
          <w:divBdr>
            <w:top w:val="none" w:sz="0" w:space="0" w:color="auto"/>
            <w:left w:val="none" w:sz="0" w:space="0" w:color="auto"/>
            <w:bottom w:val="none" w:sz="0" w:space="0" w:color="auto"/>
            <w:right w:val="none" w:sz="0" w:space="0" w:color="auto"/>
          </w:divBdr>
        </w:div>
        <w:div w:id="1175152369">
          <w:marLeft w:val="0"/>
          <w:marRight w:val="0"/>
          <w:marTop w:val="0"/>
          <w:marBottom w:val="0"/>
          <w:divBdr>
            <w:top w:val="none" w:sz="0" w:space="0" w:color="auto"/>
            <w:left w:val="none" w:sz="0" w:space="0" w:color="auto"/>
            <w:bottom w:val="none" w:sz="0" w:space="0" w:color="auto"/>
            <w:right w:val="none" w:sz="0" w:space="0" w:color="auto"/>
          </w:divBdr>
        </w:div>
        <w:div w:id="1269510991">
          <w:marLeft w:val="0"/>
          <w:marRight w:val="0"/>
          <w:marTop w:val="0"/>
          <w:marBottom w:val="0"/>
          <w:divBdr>
            <w:top w:val="none" w:sz="0" w:space="0" w:color="auto"/>
            <w:left w:val="none" w:sz="0" w:space="0" w:color="auto"/>
            <w:bottom w:val="none" w:sz="0" w:space="0" w:color="auto"/>
            <w:right w:val="none" w:sz="0" w:space="0" w:color="auto"/>
          </w:divBdr>
        </w:div>
        <w:div w:id="1338583765">
          <w:marLeft w:val="0"/>
          <w:marRight w:val="0"/>
          <w:marTop w:val="0"/>
          <w:marBottom w:val="0"/>
          <w:divBdr>
            <w:top w:val="none" w:sz="0" w:space="0" w:color="auto"/>
            <w:left w:val="none" w:sz="0" w:space="0" w:color="auto"/>
            <w:bottom w:val="none" w:sz="0" w:space="0" w:color="auto"/>
            <w:right w:val="none" w:sz="0" w:space="0" w:color="auto"/>
          </w:divBdr>
        </w:div>
        <w:div w:id="1467312731">
          <w:marLeft w:val="0"/>
          <w:marRight w:val="0"/>
          <w:marTop w:val="0"/>
          <w:marBottom w:val="0"/>
          <w:divBdr>
            <w:top w:val="none" w:sz="0" w:space="0" w:color="auto"/>
            <w:left w:val="none" w:sz="0" w:space="0" w:color="auto"/>
            <w:bottom w:val="none" w:sz="0" w:space="0" w:color="auto"/>
            <w:right w:val="none" w:sz="0" w:space="0" w:color="auto"/>
          </w:divBdr>
        </w:div>
        <w:div w:id="1594509632">
          <w:marLeft w:val="0"/>
          <w:marRight w:val="0"/>
          <w:marTop w:val="0"/>
          <w:marBottom w:val="0"/>
          <w:divBdr>
            <w:top w:val="none" w:sz="0" w:space="0" w:color="auto"/>
            <w:left w:val="none" w:sz="0" w:space="0" w:color="auto"/>
            <w:bottom w:val="none" w:sz="0" w:space="0" w:color="auto"/>
            <w:right w:val="none" w:sz="0" w:space="0" w:color="auto"/>
          </w:divBdr>
        </w:div>
        <w:div w:id="1626539140">
          <w:marLeft w:val="0"/>
          <w:marRight w:val="0"/>
          <w:marTop w:val="0"/>
          <w:marBottom w:val="0"/>
          <w:divBdr>
            <w:top w:val="none" w:sz="0" w:space="0" w:color="auto"/>
            <w:left w:val="none" w:sz="0" w:space="0" w:color="auto"/>
            <w:bottom w:val="none" w:sz="0" w:space="0" w:color="auto"/>
            <w:right w:val="none" w:sz="0" w:space="0" w:color="auto"/>
          </w:divBdr>
        </w:div>
        <w:div w:id="1646274286">
          <w:marLeft w:val="0"/>
          <w:marRight w:val="0"/>
          <w:marTop w:val="0"/>
          <w:marBottom w:val="0"/>
          <w:divBdr>
            <w:top w:val="none" w:sz="0" w:space="0" w:color="auto"/>
            <w:left w:val="none" w:sz="0" w:space="0" w:color="auto"/>
            <w:bottom w:val="none" w:sz="0" w:space="0" w:color="auto"/>
            <w:right w:val="none" w:sz="0" w:space="0" w:color="auto"/>
          </w:divBdr>
        </w:div>
        <w:div w:id="1719934648">
          <w:marLeft w:val="0"/>
          <w:marRight w:val="0"/>
          <w:marTop w:val="0"/>
          <w:marBottom w:val="0"/>
          <w:divBdr>
            <w:top w:val="none" w:sz="0" w:space="0" w:color="auto"/>
            <w:left w:val="none" w:sz="0" w:space="0" w:color="auto"/>
            <w:bottom w:val="none" w:sz="0" w:space="0" w:color="auto"/>
            <w:right w:val="none" w:sz="0" w:space="0" w:color="auto"/>
          </w:divBdr>
        </w:div>
        <w:div w:id="1848330568">
          <w:marLeft w:val="0"/>
          <w:marRight w:val="0"/>
          <w:marTop w:val="0"/>
          <w:marBottom w:val="0"/>
          <w:divBdr>
            <w:top w:val="none" w:sz="0" w:space="0" w:color="auto"/>
            <w:left w:val="none" w:sz="0" w:space="0" w:color="auto"/>
            <w:bottom w:val="none" w:sz="0" w:space="0" w:color="auto"/>
            <w:right w:val="none" w:sz="0" w:space="0" w:color="auto"/>
          </w:divBdr>
        </w:div>
        <w:div w:id="1854295164">
          <w:marLeft w:val="0"/>
          <w:marRight w:val="0"/>
          <w:marTop w:val="0"/>
          <w:marBottom w:val="0"/>
          <w:divBdr>
            <w:top w:val="none" w:sz="0" w:space="0" w:color="auto"/>
            <w:left w:val="none" w:sz="0" w:space="0" w:color="auto"/>
            <w:bottom w:val="none" w:sz="0" w:space="0" w:color="auto"/>
            <w:right w:val="none" w:sz="0" w:space="0" w:color="auto"/>
          </w:divBdr>
        </w:div>
        <w:div w:id="1898004075">
          <w:marLeft w:val="0"/>
          <w:marRight w:val="0"/>
          <w:marTop w:val="0"/>
          <w:marBottom w:val="0"/>
          <w:divBdr>
            <w:top w:val="none" w:sz="0" w:space="0" w:color="auto"/>
            <w:left w:val="none" w:sz="0" w:space="0" w:color="auto"/>
            <w:bottom w:val="none" w:sz="0" w:space="0" w:color="auto"/>
            <w:right w:val="none" w:sz="0" w:space="0" w:color="auto"/>
          </w:divBdr>
        </w:div>
        <w:div w:id="1945071099">
          <w:marLeft w:val="0"/>
          <w:marRight w:val="0"/>
          <w:marTop w:val="0"/>
          <w:marBottom w:val="0"/>
          <w:divBdr>
            <w:top w:val="none" w:sz="0" w:space="0" w:color="auto"/>
            <w:left w:val="none" w:sz="0" w:space="0" w:color="auto"/>
            <w:bottom w:val="none" w:sz="0" w:space="0" w:color="auto"/>
            <w:right w:val="none" w:sz="0" w:space="0" w:color="auto"/>
          </w:divBdr>
        </w:div>
        <w:div w:id="2016565622">
          <w:marLeft w:val="0"/>
          <w:marRight w:val="0"/>
          <w:marTop w:val="0"/>
          <w:marBottom w:val="0"/>
          <w:divBdr>
            <w:top w:val="none" w:sz="0" w:space="0" w:color="auto"/>
            <w:left w:val="none" w:sz="0" w:space="0" w:color="auto"/>
            <w:bottom w:val="none" w:sz="0" w:space="0" w:color="auto"/>
            <w:right w:val="none" w:sz="0" w:space="0" w:color="auto"/>
          </w:divBdr>
        </w:div>
        <w:div w:id="2145735294">
          <w:marLeft w:val="0"/>
          <w:marRight w:val="0"/>
          <w:marTop w:val="0"/>
          <w:marBottom w:val="0"/>
          <w:divBdr>
            <w:top w:val="none" w:sz="0" w:space="0" w:color="auto"/>
            <w:left w:val="none" w:sz="0" w:space="0" w:color="auto"/>
            <w:bottom w:val="none" w:sz="0" w:space="0" w:color="auto"/>
            <w:right w:val="none" w:sz="0" w:space="0" w:color="auto"/>
          </w:divBdr>
        </w:div>
      </w:divsChild>
    </w:div>
    <w:div w:id="1342971667">
      <w:bodyDiv w:val="1"/>
      <w:marLeft w:val="0"/>
      <w:marRight w:val="0"/>
      <w:marTop w:val="0"/>
      <w:marBottom w:val="0"/>
      <w:divBdr>
        <w:top w:val="none" w:sz="0" w:space="0" w:color="auto"/>
        <w:left w:val="none" w:sz="0" w:space="0" w:color="auto"/>
        <w:bottom w:val="none" w:sz="0" w:space="0" w:color="auto"/>
        <w:right w:val="none" w:sz="0" w:space="0" w:color="auto"/>
      </w:divBdr>
    </w:div>
    <w:div w:id="1346205062">
      <w:bodyDiv w:val="1"/>
      <w:marLeft w:val="0"/>
      <w:marRight w:val="0"/>
      <w:marTop w:val="0"/>
      <w:marBottom w:val="0"/>
      <w:divBdr>
        <w:top w:val="none" w:sz="0" w:space="0" w:color="auto"/>
        <w:left w:val="none" w:sz="0" w:space="0" w:color="auto"/>
        <w:bottom w:val="none" w:sz="0" w:space="0" w:color="auto"/>
        <w:right w:val="none" w:sz="0" w:space="0" w:color="auto"/>
      </w:divBdr>
    </w:div>
    <w:div w:id="1346399310">
      <w:bodyDiv w:val="1"/>
      <w:marLeft w:val="0"/>
      <w:marRight w:val="0"/>
      <w:marTop w:val="0"/>
      <w:marBottom w:val="0"/>
      <w:divBdr>
        <w:top w:val="none" w:sz="0" w:space="0" w:color="auto"/>
        <w:left w:val="none" w:sz="0" w:space="0" w:color="auto"/>
        <w:bottom w:val="none" w:sz="0" w:space="0" w:color="auto"/>
        <w:right w:val="none" w:sz="0" w:space="0" w:color="auto"/>
      </w:divBdr>
    </w:div>
    <w:div w:id="1350257947">
      <w:bodyDiv w:val="1"/>
      <w:marLeft w:val="0"/>
      <w:marRight w:val="0"/>
      <w:marTop w:val="0"/>
      <w:marBottom w:val="0"/>
      <w:divBdr>
        <w:top w:val="none" w:sz="0" w:space="0" w:color="auto"/>
        <w:left w:val="none" w:sz="0" w:space="0" w:color="auto"/>
        <w:bottom w:val="none" w:sz="0" w:space="0" w:color="auto"/>
        <w:right w:val="none" w:sz="0" w:space="0" w:color="auto"/>
      </w:divBdr>
    </w:div>
    <w:div w:id="1350910795">
      <w:bodyDiv w:val="1"/>
      <w:marLeft w:val="0"/>
      <w:marRight w:val="0"/>
      <w:marTop w:val="0"/>
      <w:marBottom w:val="0"/>
      <w:divBdr>
        <w:top w:val="none" w:sz="0" w:space="0" w:color="auto"/>
        <w:left w:val="none" w:sz="0" w:space="0" w:color="auto"/>
        <w:bottom w:val="none" w:sz="0" w:space="0" w:color="auto"/>
        <w:right w:val="none" w:sz="0" w:space="0" w:color="auto"/>
      </w:divBdr>
    </w:div>
    <w:div w:id="1351106435">
      <w:bodyDiv w:val="1"/>
      <w:marLeft w:val="0"/>
      <w:marRight w:val="0"/>
      <w:marTop w:val="0"/>
      <w:marBottom w:val="0"/>
      <w:divBdr>
        <w:top w:val="none" w:sz="0" w:space="0" w:color="auto"/>
        <w:left w:val="none" w:sz="0" w:space="0" w:color="auto"/>
        <w:bottom w:val="none" w:sz="0" w:space="0" w:color="auto"/>
        <w:right w:val="none" w:sz="0" w:space="0" w:color="auto"/>
      </w:divBdr>
    </w:div>
    <w:div w:id="1352608739">
      <w:bodyDiv w:val="1"/>
      <w:marLeft w:val="0"/>
      <w:marRight w:val="0"/>
      <w:marTop w:val="0"/>
      <w:marBottom w:val="0"/>
      <w:divBdr>
        <w:top w:val="none" w:sz="0" w:space="0" w:color="auto"/>
        <w:left w:val="none" w:sz="0" w:space="0" w:color="auto"/>
        <w:bottom w:val="none" w:sz="0" w:space="0" w:color="auto"/>
        <w:right w:val="none" w:sz="0" w:space="0" w:color="auto"/>
      </w:divBdr>
    </w:div>
    <w:div w:id="1352805563">
      <w:bodyDiv w:val="1"/>
      <w:marLeft w:val="0"/>
      <w:marRight w:val="0"/>
      <w:marTop w:val="0"/>
      <w:marBottom w:val="0"/>
      <w:divBdr>
        <w:top w:val="none" w:sz="0" w:space="0" w:color="auto"/>
        <w:left w:val="none" w:sz="0" w:space="0" w:color="auto"/>
        <w:bottom w:val="none" w:sz="0" w:space="0" w:color="auto"/>
        <w:right w:val="none" w:sz="0" w:space="0" w:color="auto"/>
      </w:divBdr>
    </w:div>
    <w:div w:id="1354109846">
      <w:bodyDiv w:val="1"/>
      <w:marLeft w:val="0"/>
      <w:marRight w:val="0"/>
      <w:marTop w:val="0"/>
      <w:marBottom w:val="0"/>
      <w:divBdr>
        <w:top w:val="none" w:sz="0" w:space="0" w:color="auto"/>
        <w:left w:val="none" w:sz="0" w:space="0" w:color="auto"/>
        <w:bottom w:val="none" w:sz="0" w:space="0" w:color="auto"/>
        <w:right w:val="none" w:sz="0" w:space="0" w:color="auto"/>
      </w:divBdr>
    </w:div>
    <w:div w:id="1354304371">
      <w:bodyDiv w:val="1"/>
      <w:marLeft w:val="0"/>
      <w:marRight w:val="0"/>
      <w:marTop w:val="0"/>
      <w:marBottom w:val="0"/>
      <w:divBdr>
        <w:top w:val="none" w:sz="0" w:space="0" w:color="auto"/>
        <w:left w:val="none" w:sz="0" w:space="0" w:color="auto"/>
        <w:bottom w:val="none" w:sz="0" w:space="0" w:color="auto"/>
        <w:right w:val="none" w:sz="0" w:space="0" w:color="auto"/>
      </w:divBdr>
    </w:div>
    <w:div w:id="1355690837">
      <w:bodyDiv w:val="1"/>
      <w:marLeft w:val="0"/>
      <w:marRight w:val="0"/>
      <w:marTop w:val="0"/>
      <w:marBottom w:val="0"/>
      <w:divBdr>
        <w:top w:val="none" w:sz="0" w:space="0" w:color="auto"/>
        <w:left w:val="none" w:sz="0" w:space="0" w:color="auto"/>
        <w:bottom w:val="none" w:sz="0" w:space="0" w:color="auto"/>
        <w:right w:val="none" w:sz="0" w:space="0" w:color="auto"/>
      </w:divBdr>
    </w:div>
    <w:div w:id="1356736121">
      <w:bodyDiv w:val="1"/>
      <w:marLeft w:val="0"/>
      <w:marRight w:val="0"/>
      <w:marTop w:val="0"/>
      <w:marBottom w:val="0"/>
      <w:divBdr>
        <w:top w:val="none" w:sz="0" w:space="0" w:color="auto"/>
        <w:left w:val="none" w:sz="0" w:space="0" w:color="auto"/>
        <w:bottom w:val="none" w:sz="0" w:space="0" w:color="auto"/>
        <w:right w:val="none" w:sz="0" w:space="0" w:color="auto"/>
      </w:divBdr>
    </w:div>
    <w:div w:id="1358460508">
      <w:bodyDiv w:val="1"/>
      <w:marLeft w:val="0"/>
      <w:marRight w:val="0"/>
      <w:marTop w:val="0"/>
      <w:marBottom w:val="0"/>
      <w:divBdr>
        <w:top w:val="none" w:sz="0" w:space="0" w:color="auto"/>
        <w:left w:val="none" w:sz="0" w:space="0" w:color="auto"/>
        <w:bottom w:val="none" w:sz="0" w:space="0" w:color="auto"/>
        <w:right w:val="none" w:sz="0" w:space="0" w:color="auto"/>
      </w:divBdr>
    </w:div>
    <w:div w:id="1361274912">
      <w:bodyDiv w:val="1"/>
      <w:marLeft w:val="0"/>
      <w:marRight w:val="0"/>
      <w:marTop w:val="0"/>
      <w:marBottom w:val="0"/>
      <w:divBdr>
        <w:top w:val="none" w:sz="0" w:space="0" w:color="auto"/>
        <w:left w:val="none" w:sz="0" w:space="0" w:color="auto"/>
        <w:bottom w:val="none" w:sz="0" w:space="0" w:color="auto"/>
        <w:right w:val="none" w:sz="0" w:space="0" w:color="auto"/>
      </w:divBdr>
    </w:div>
    <w:div w:id="1363045304">
      <w:bodyDiv w:val="1"/>
      <w:marLeft w:val="0"/>
      <w:marRight w:val="0"/>
      <w:marTop w:val="0"/>
      <w:marBottom w:val="0"/>
      <w:divBdr>
        <w:top w:val="none" w:sz="0" w:space="0" w:color="auto"/>
        <w:left w:val="none" w:sz="0" w:space="0" w:color="auto"/>
        <w:bottom w:val="none" w:sz="0" w:space="0" w:color="auto"/>
        <w:right w:val="none" w:sz="0" w:space="0" w:color="auto"/>
      </w:divBdr>
    </w:div>
    <w:div w:id="1368413798">
      <w:bodyDiv w:val="1"/>
      <w:marLeft w:val="0"/>
      <w:marRight w:val="0"/>
      <w:marTop w:val="0"/>
      <w:marBottom w:val="0"/>
      <w:divBdr>
        <w:top w:val="none" w:sz="0" w:space="0" w:color="auto"/>
        <w:left w:val="none" w:sz="0" w:space="0" w:color="auto"/>
        <w:bottom w:val="none" w:sz="0" w:space="0" w:color="auto"/>
        <w:right w:val="none" w:sz="0" w:space="0" w:color="auto"/>
      </w:divBdr>
    </w:div>
    <w:div w:id="1369379354">
      <w:bodyDiv w:val="1"/>
      <w:marLeft w:val="0"/>
      <w:marRight w:val="0"/>
      <w:marTop w:val="0"/>
      <w:marBottom w:val="0"/>
      <w:divBdr>
        <w:top w:val="none" w:sz="0" w:space="0" w:color="auto"/>
        <w:left w:val="none" w:sz="0" w:space="0" w:color="auto"/>
        <w:bottom w:val="none" w:sz="0" w:space="0" w:color="auto"/>
        <w:right w:val="none" w:sz="0" w:space="0" w:color="auto"/>
      </w:divBdr>
    </w:div>
    <w:div w:id="1370449833">
      <w:bodyDiv w:val="1"/>
      <w:marLeft w:val="0"/>
      <w:marRight w:val="0"/>
      <w:marTop w:val="0"/>
      <w:marBottom w:val="0"/>
      <w:divBdr>
        <w:top w:val="none" w:sz="0" w:space="0" w:color="auto"/>
        <w:left w:val="none" w:sz="0" w:space="0" w:color="auto"/>
        <w:bottom w:val="none" w:sz="0" w:space="0" w:color="auto"/>
        <w:right w:val="none" w:sz="0" w:space="0" w:color="auto"/>
      </w:divBdr>
    </w:div>
    <w:div w:id="1373454966">
      <w:bodyDiv w:val="1"/>
      <w:marLeft w:val="0"/>
      <w:marRight w:val="0"/>
      <w:marTop w:val="0"/>
      <w:marBottom w:val="0"/>
      <w:divBdr>
        <w:top w:val="none" w:sz="0" w:space="0" w:color="auto"/>
        <w:left w:val="none" w:sz="0" w:space="0" w:color="auto"/>
        <w:bottom w:val="none" w:sz="0" w:space="0" w:color="auto"/>
        <w:right w:val="none" w:sz="0" w:space="0" w:color="auto"/>
      </w:divBdr>
    </w:div>
    <w:div w:id="1374815413">
      <w:bodyDiv w:val="1"/>
      <w:marLeft w:val="0"/>
      <w:marRight w:val="0"/>
      <w:marTop w:val="0"/>
      <w:marBottom w:val="0"/>
      <w:divBdr>
        <w:top w:val="none" w:sz="0" w:space="0" w:color="auto"/>
        <w:left w:val="none" w:sz="0" w:space="0" w:color="auto"/>
        <w:bottom w:val="none" w:sz="0" w:space="0" w:color="auto"/>
        <w:right w:val="none" w:sz="0" w:space="0" w:color="auto"/>
      </w:divBdr>
    </w:div>
    <w:div w:id="1375039306">
      <w:bodyDiv w:val="1"/>
      <w:marLeft w:val="0"/>
      <w:marRight w:val="0"/>
      <w:marTop w:val="0"/>
      <w:marBottom w:val="0"/>
      <w:divBdr>
        <w:top w:val="none" w:sz="0" w:space="0" w:color="auto"/>
        <w:left w:val="none" w:sz="0" w:space="0" w:color="auto"/>
        <w:bottom w:val="none" w:sz="0" w:space="0" w:color="auto"/>
        <w:right w:val="none" w:sz="0" w:space="0" w:color="auto"/>
      </w:divBdr>
    </w:div>
    <w:div w:id="1379011508">
      <w:bodyDiv w:val="1"/>
      <w:marLeft w:val="0"/>
      <w:marRight w:val="0"/>
      <w:marTop w:val="0"/>
      <w:marBottom w:val="0"/>
      <w:divBdr>
        <w:top w:val="none" w:sz="0" w:space="0" w:color="auto"/>
        <w:left w:val="none" w:sz="0" w:space="0" w:color="auto"/>
        <w:bottom w:val="none" w:sz="0" w:space="0" w:color="auto"/>
        <w:right w:val="none" w:sz="0" w:space="0" w:color="auto"/>
      </w:divBdr>
    </w:div>
    <w:div w:id="1379738414">
      <w:bodyDiv w:val="1"/>
      <w:marLeft w:val="0"/>
      <w:marRight w:val="0"/>
      <w:marTop w:val="0"/>
      <w:marBottom w:val="0"/>
      <w:divBdr>
        <w:top w:val="none" w:sz="0" w:space="0" w:color="auto"/>
        <w:left w:val="none" w:sz="0" w:space="0" w:color="auto"/>
        <w:bottom w:val="none" w:sz="0" w:space="0" w:color="auto"/>
        <w:right w:val="none" w:sz="0" w:space="0" w:color="auto"/>
      </w:divBdr>
    </w:div>
    <w:div w:id="1382755387">
      <w:bodyDiv w:val="1"/>
      <w:marLeft w:val="0"/>
      <w:marRight w:val="0"/>
      <w:marTop w:val="0"/>
      <w:marBottom w:val="0"/>
      <w:divBdr>
        <w:top w:val="none" w:sz="0" w:space="0" w:color="auto"/>
        <w:left w:val="none" w:sz="0" w:space="0" w:color="auto"/>
        <w:bottom w:val="none" w:sz="0" w:space="0" w:color="auto"/>
        <w:right w:val="none" w:sz="0" w:space="0" w:color="auto"/>
      </w:divBdr>
    </w:div>
    <w:div w:id="1383560761">
      <w:bodyDiv w:val="1"/>
      <w:marLeft w:val="0"/>
      <w:marRight w:val="0"/>
      <w:marTop w:val="0"/>
      <w:marBottom w:val="0"/>
      <w:divBdr>
        <w:top w:val="none" w:sz="0" w:space="0" w:color="auto"/>
        <w:left w:val="none" w:sz="0" w:space="0" w:color="auto"/>
        <w:bottom w:val="none" w:sz="0" w:space="0" w:color="auto"/>
        <w:right w:val="none" w:sz="0" w:space="0" w:color="auto"/>
      </w:divBdr>
    </w:div>
    <w:div w:id="1384256606">
      <w:bodyDiv w:val="1"/>
      <w:marLeft w:val="0"/>
      <w:marRight w:val="0"/>
      <w:marTop w:val="0"/>
      <w:marBottom w:val="0"/>
      <w:divBdr>
        <w:top w:val="none" w:sz="0" w:space="0" w:color="auto"/>
        <w:left w:val="none" w:sz="0" w:space="0" w:color="auto"/>
        <w:bottom w:val="none" w:sz="0" w:space="0" w:color="auto"/>
        <w:right w:val="none" w:sz="0" w:space="0" w:color="auto"/>
      </w:divBdr>
    </w:div>
    <w:div w:id="1384284122">
      <w:bodyDiv w:val="1"/>
      <w:marLeft w:val="0"/>
      <w:marRight w:val="0"/>
      <w:marTop w:val="0"/>
      <w:marBottom w:val="0"/>
      <w:divBdr>
        <w:top w:val="none" w:sz="0" w:space="0" w:color="auto"/>
        <w:left w:val="none" w:sz="0" w:space="0" w:color="auto"/>
        <w:bottom w:val="none" w:sz="0" w:space="0" w:color="auto"/>
        <w:right w:val="none" w:sz="0" w:space="0" w:color="auto"/>
      </w:divBdr>
      <w:divsChild>
        <w:div w:id="269437183">
          <w:marLeft w:val="0"/>
          <w:marRight w:val="0"/>
          <w:marTop w:val="0"/>
          <w:marBottom w:val="0"/>
          <w:divBdr>
            <w:top w:val="none" w:sz="0" w:space="0" w:color="auto"/>
            <w:left w:val="none" w:sz="0" w:space="0" w:color="auto"/>
            <w:bottom w:val="none" w:sz="0" w:space="0" w:color="auto"/>
            <w:right w:val="none" w:sz="0" w:space="0" w:color="auto"/>
          </w:divBdr>
          <w:divsChild>
            <w:div w:id="1253706269">
              <w:marLeft w:val="0"/>
              <w:marRight w:val="0"/>
              <w:marTop w:val="0"/>
              <w:marBottom w:val="0"/>
              <w:divBdr>
                <w:top w:val="none" w:sz="0" w:space="0" w:color="auto"/>
                <w:left w:val="none" w:sz="0" w:space="0" w:color="auto"/>
                <w:bottom w:val="none" w:sz="0" w:space="0" w:color="auto"/>
                <w:right w:val="none" w:sz="0" w:space="0" w:color="auto"/>
              </w:divBdr>
              <w:divsChild>
                <w:div w:id="168069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716973">
      <w:bodyDiv w:val="1"/>
      <w:marLeft w:val="0"/>
      <w:marRight w:val="0"/>
      <w:marTop w:val="0"/>
      <w:marBottom w:val="0"/>
      <w:divBdr>
        <w:top w:val="none" w:sz="0" w:space="0" w:color="auto"/>
        <w:left w:val="none" w:sz="0" w:space="0" w:color="auto"/>
        <w:bottom w:val="none" w:sz="0" w:space="0" w:color="auto"/>
        <w:right w:val="none" w:sz="0" w:space="0" w:color="auto"/>
      </w:divBdr>
    </w:div>
    <w:div w:id="1386223324">
      <w:bodyDiv w:val="1"/>
      <w:marLeft w:val="0"/>
      <w:marRight w:val="0"/>
      <w:marTop w:val="0"/>
      <w:marBottom w:val="0"/>
      <w:divBdr>
        <w:top w:val="none" w:sz="0" w:space="0" w:color="auto"/>
        <w:left w:val="none" w:sz="0" w:space="0" w:color="auto"/>
        <w:bottom w:val="none" w:sz="0" w:space="0" w:color="auto"/>
        <w:right w:val="none" w:sz="0" w:space="0" w:color="auto"/>
      </w:divBdr>
    </w:div>
    <w:div w:id="1386828782">
      <w:bodyDiv w:val="1"/>
      <w:marLeft w:val="0"/>
      <w:marRight w:val="0"/>
      <w:marTop w:val="0"/>
      <w:marBottom w:val="0"/>
      <w:divBdr>
        <w:top w:val="none" w:sz="0" w:space="0" w:color="auto"/>
        <w:left w:val="none" w:sz="0" w:space="0" w:color="auto"/>
        <w:bottom w:val="none" w:sz="0" w:space="0" w:color="auto"/>
        <w:right w:val="none" w:sz="0" w:space="0" w:color="auto"/>
      </w:divBdr>
    </w:div>
    <w:div w:id="1386951645">
      <w:bodyDiv w:val="1"/>
      <w:marLeft w:val="0"/>
      <w:marRight w:val="0"/>
      <w:marTop w:val="0"/>
      <w:marBottom w:val="0"/>
      <w:divBdr>
        <w:top w:val="none" w:sz="0" w:space="0" w:color="auto"/>
        <w:left w:val="none" w:sz="0" w:space="0" w:color="auto"/>
        <w:bottom w:val="none" w:sz="0" w:space="0" w:color="auto"/>
        <w:right w:val="none" w:sz="0" w:space="0" w:color="auto"/>
      </w:divBdr>
    </w:div>
    <w:div w:id="1388844913">
      <w:bodyDiv w:val="1"/>
      <w:marLeft w:val="0"/>
      <w:marRight w:val="0"/>
      <w:marTop w:val="0"/>
      <w:marBottom w:val="0"/>
      <w:divBdr>
        <w:top w:val="none" w:sz="0" w:space="0" w:color="auto"/>
        <w:left w:val="none" w:sz="0" w:space="0" w:color="auto"/>
        <w:bottom w:val="none" w:sz="0" w:space="0" w:color="auto"/>
        <w:right w:val="none" w:sz="0" w:space="0" w:color="auto"/>
      </w:divBdr>
    </w:div>
    <w:div w:id="1392188603">
      <w:bodyDiv w:val="1"/>
      <w:marLeft w:val="0"/>
      <w:marRight w:val="0"/>
      <w:marTop w:val="0"/>
      <w:marBottom w:val="0"/>
      <w:divBdr>
        <w:top w:val="none" w:sz="0" w:space="0" w:color="auto"/>
        <w:left w:val="none" w:sz="0" w:space="0" w:color="auto"/>
        <w:bottom w:val="none" w:sz="0" w:space="0" w:color="auto"/>
        <w:right w:val="none" w:sz="0" w:space="0" w:color="auto"/>
      </w:divBdr>
    </w:div>
    <w:div w:id="1395936010">
      <w:bodyDiv w:val="1"/>
      <w:marLeft w:val="0"/>
      <w:marRight w:val="0"/>
      <w:marTop w:val="0"/>
      <w:marBottom w:val="0"/>
      <w:divBdr>
        <w:top w:val="none" w:sz="0" w:space="0" w:color="auto"/>
        <w:left w:val="none" w:sz="0" w:space="0" w:color="auto"/>
        <w:bottom w:val="none" w:sz="0" w:space="0" w:color="auto"/>
        <w:right w:val="none" w:sz="0" w:space="0" w:color="auto"/>
      </w:divBdr>
    </w:div>
    <w:div w:id="1397586060">
      <w:bodyDiv w:val="1"/>
      <w:marLeft w:val="0"/>
      <w:marRight w:val="0"/>
      <w:marTop w:val="0"/>
      <w:marBottom w:val="0"/>
      <w:divBdr>
        <w:top w:val="none" w:sz="0" w:space="0" w:color="auto"/>
        <w:left w:val="none" w:sz="0" w:space="0" w:color="auto"/>
        <w:bottom w:val="none" w:sz="0" w:space="0" w:color="auto"/>
        <w:right w:val="none" w:sz="0" w:space="0" w:color="auto"/>
      </w:divBdr>
    </w:div>
    <w:div w:id="1398017534">
      <w:bodyDiv w:val="1"/>
      <w:marLeft w:val="0"/>
      <w:marRight w:val="0"/>
      <w:marTop w:val="0"/>
      <w:marBottom w:val="0"/>
      <w:divBdr>
        <w:top w:val="none" w:sz="0" w:space="0" w:color="auto"/>
        <w:left w:val="none" w:sz="0" w:space="0" w:color="auto"/>
        <w:bottom w:val="none" w:sz="0" w:space="0" w:color="auto"/>
        <w:right w:val="none" w:sz="0" w:space="0" w:color="auto"/>
      </w:divBdr>
    </w:div>
    <w:div w:id="1398475991">
      <w:bodyDiv w:val="1"/>
      <w:marLeft w:val="0"/>
      <w:marRight w:val="0"/>
      <w:marTop w:val="0"/>
      <w:marBottom w:val="0"/>
      <w:divBdr>
        <w:top w:val="none" w:sz="0" w:space="0" w:color="auto"/>
        <w:left w:val="none" w:sz="0" w:space="0" w:color="auto"/>
        <w:bottom w:val="none" w:sz="0" w:space="0" w:color="auto"/>
        <w:right w:val="none" w:sz="0" w:space="0" w:color="auto"/>
      </w:divBdr>
    </w:div>
    <w:div w:id="1398631359">
      <w:bodyDiv w:val="1"/>
      <w:marLeft w:val="0"/>
      <w:marRight w:val="0"/>
      <w:marTop w:val="0"/>
      <w:marBottom w:val="0"/>
      <w:divBdr>
        <w:top w:val="none" w:sz="0" w:space="0" w:color="auto"/>
        <w:left w:val="none" w:sz="0" w:space="0" w:color="auto"/>
        <w:bottom w:val="none" w:sz="0" w:space="0" w:color="auto"/>
        <w:right w:val="none" w:sz="0" w:space="0" w:color="auto"/>
      </w:divBdr>
    </w:div>
    <w:div w:id="1399211489">
      <w:bodyDiv w:val="1"/>
      <w:marLeft w:val="0"/>
      <w:marRight w:val="0"/>
      <w:marTop w:val="0"/>
      <w:marBottom w:val="0"/>
      <w:divBdr>
        <w:top w:val="none" w:sz="0" w:space="0" w:color="auto"/>
        <w:left w:val="none" w:sz="0" w:space="0" w:color="auto"/>
        <w:bottom w:val="none" w:sz="0" w:space="0" w:color="auto"/>
        <w:right w:val="none" w:sz="0" w:space="0" w:color="auto"/>
      </w:divBdr>
    </w:div>
    <w:div w:id="1399741789">
      <w:bodyDiv w:val="1"/>
      <w:marLeft w:val="0"/>
      <w:marRight w:val="0"/>
      <w:marTop w:val="0"/>
      <w:marBottom w:val="0"/>
      <w:divBdr>
        <w:top w:val="none" w:sz="0" w:space="0" w:color="auto"/>
        <w:left w:val="none" w:sz="0" w:space="0" w:color="auto"/>
        <w:bottom w:val="none" w:sz="0" w:space="0" w:color="auto"/>
        <w:right w:val="none" w:sz="0" w:space="0" w:color="auto"/>
      </w:divBdr>
    </w:div>
    <w:div w:id="1406761581">
      <w:bodyDiv w:val="1"/>
      <w:marLeft w:val="0"/>
      <w:marRight w:val="0"/>
      <w:marTop w:val="0"/>
      <w:marBottom w:val="0"/>
      <w:divBdr>
        <w:top w:val="none" w:sz="0" w:space="0" w:color="auto"/>
        <w:left w:val="none" w:sz="0" w:space="0" w:color="auto"/>
        <w:bottom w:val="none" w:sz="0" w:space="0" w:color="auto"/>
        <w:right w:val="none" w:sz="0" w:space="0" w:color="auto"/>
      </w:divBdr>
    </w:div>
    <w:div w:id="1407263096">
      <w:bodyDiv w:val="1"/>
      <w:marLeft w:val="0"/>
      <w:marRight w:val="0"/>
      <w:marTop w:val="0"/>
      <w:marBottom w:val="0"/>
      <w:divBdr>
        <w:top w:val="none" w:sz="0" w:space="0" w:color="auto"/>
        <w:left w:val="none" w:sz="0" w:space="0" w:color="auto"/>
        <w:bottom w:val="none" w:sz="0" w:space="0" w:color="auto"/>
        <w:right w:val="none" w:sz="0" w:space="0" w:color="auto"/>
      </w:divBdr>
    </w:div>
    <w:div w:id="1407728141">
      <w:bodyDiv w:val="1"/>
      <w:marLeft w:val="0"/>
      <w:marRight w:val="0"/>
      <w:marTop w:val="0"/>
      <w:marBottom w:val="0"/>
      <w:divBdr>
        <w:top w:val="none" w:sz="0" w:space="0" w:color="auto"/>
        <w:left w:val="none" w:sz="0" w:space="0" w:color="auto"/>
        <w:bottom w:val="none" w:sz="0" w:space="0" w:color="auto"/>
        <w:right w:val="none" w:sz="0" w:space="0" w:color="auto"/>
      </w:divBdr>
    </w:div>
    <w:div w:id="1408116124">
      <w:bodyDiv w:val="1"/>
      <w:marLeft w:val="0"/>
      <w:marRight w:val="0"/>
      <w:marTop w:val="0"/>
      <w:marBottom w:val="0"/>
      <w:divBdr>
        <w:top w:val="none" w:sz="0" w:space="0" w:color="auto"/>
        <w:left w:val="none" w:sz="0" w:space="0" w:color="auto"/>
        <w:bottom w:val="none" w:sz="0" w:space="0" w:color="auto"/>
        <w:right w:val="none" w:sz="0" w:space="0" w:color="auto"/>
      </w:divBdr>
    </w:div>
    <w:div w:id="1408577341">
      <w:bodyDiv w:val="1"/>
      <w:marLeft w:val="0"/>
      <w:marRight w:val="0"/>
      <w:marTop w:val="0"/>
      <w:marBottom w:val="0"/>
      <w:divBdr>
        <w:top w:val="none" w:sz="0" w:space="0" w:color="auto"/>
        <w:left w:val="none" w:sz="0" w:space="0" w:color="auto"/>
        <w:bottom w:val="none" w:sz="0" w:space="0" w:color="auto"/>
        <w:right w:val="none" w:sz="0" w:space="0" w:color="auto"/>
      </w:divBdr>
    </w:div>
    <w:div w:id="1409230838">
      <w:bodyDiv w:val="1"/>
      <w:marLeft w:val="0"/>
      <w:marRight w:val="0"/>
      <w:marTop w:val="0"/>
      <w:marBottom w:val="0"/>
      <w:divBdr>
        <w:top w:val="none" w:sz="0" w:space="0" w:color="auto"/>
        <w:left w:val="none" w:sz="0" w:space="0" w:color="auto"/>
        <w:bottom w:val="none" w:sz="0" w:space="0" w:color="auto"/>
        <w:right w:val="none" w:sz="0" w:space="0" w:color="auto"/>
      </w:divBdr>
      <w:divsChild>
        <w:div w:id="1258635704">
          <w:marLeft w:val="0"/>
          <w:marRight w:val="0"/>
          <w:marTop w:val="0"/>
          <w:marBottom w:val="0"/>
          <w:divBdr>
            <w:top w:val="none" w:sz="0" w:space="0" w:color="auto"/>
            <w:left w:val="none" w:sz="0" w:space="0" w:color="auto"/>
            <w:bottom w:val="none" w:sz="0" w:space="0" w:color="auto"/>
            <w:right w:val="none" w:sz="0" w:space="0" w:color="auto"/>
          </w:divBdr>
          <w:divsChild>
            <w:div w:id="553351859">
              <w:marLeft w:val="0"/>
              <w:marRight w:val="0"/>
              <w:marTop w:val="0"/>
              <w:marBottom w:val="0"/>
              <w:divBdr>
                <w:top w:val="none" w:sz="0" w:space="0" w:color="auto"/>
                <w:left w:val="none" w:sz="0" w:space="0" w:color="auto"/>
                <w:bottom w:val="none" w:sz="0" w:space="0" w:color="auto"/>
                <w:right w:val="none" w:sz="0" w:space="0" w:color="auto"/>
              </w:divBdr>
              <w:divsChild>
                <w:div w:id="14336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20309">
      <w:bodyDiv w:val="1"/>
      <w:marLeft w:val="0"/>
      <w:marRight w:val="0"/>
      <w:marTop w:val="0"/>
      <w:marBottom w:val="0"/>
      <w:divBdr>
        <w:top w:val="none" w:sz="0" w:space="0" w:color="auto"/>
        <w:left w:val="none" w:sz="0" w:space="0" w:color="auto"/>
        <w:bottom w:val="none" w:sz="0" w:space="0" w:color="auto"/>
        <w:right w:val="none" w:sz="0" w:space="0" w:color="auto"/>
      </w:divBdr>
    </w:div>
    <w:div w:id="1410272891">
      <w:bodyDiv w:val="1"/>
      <w:marLeft w:val="0"/>
      <w:marRight w:val="0"/>
      <w:marTop w:val="0"/>
      <w:marBottom w:val="0"/>
      <w:divBdr>
        <w:top w:val="none" w:sz="0" w:space="0" w:color="auto"/>
        <w:left w:val="none" w:sz="0" w:space="0" w:color="auto"/>
        <w:bottom w:val="none" w:sz="0" w:space="0" w:color="auto"/>
        <w:right w:val="none" w:sz="0" w:space="0" w:color="auto"/>
      </w:divBdr>
    </w:div>
    <w:div w:id="1411198797">
      <w:bodyDiv w:val="1"/>
      <w:marLeft w:val="0"/>
      <w:marRight w:val="0"/>
      <w:marTop w:val="0"/>
      <w:marBottom w:val="0"/>
      <w:divBdr>
        <w:top w:val="none" w:sz="0" w:space="0" w:color="auto"/>
        <w:left w:val="none" w:sz="0" w:space="0" w:color="auto"/>
        <w:bottom w:val="none" w:sz="0" w:space="0" w:color="auto"/>
        <w:right w:val="none" w:sz="0" w:space="0" w:color="auto"/>
      </w:divBdr>
    </w:div>
    <w:div w:id="1412459166">
      <w:bodyDiv w:val="1"/>
      <w:marLeft w:val="0"/>
      <w:marRight w:val="0"/>
      <w:marTop w:val="0"/>
      <w:marBottom w:val="0"/>
      <w:divBdr>
        <w:top w:val="none" w:sz="0" w:space="0" w:color="auto"/>
        <w:left w:val="none" w:sz="0" w:space="0" w:color="auto"/>
        <w:bottom w:val="none" w:sz="0" w:space="0" w:color="auto"/>
        <w:right w:val="none" w:sz="0" w:space="0" w:color="auto"/>
      </w:divBdr>
    </w:div>
    <w:div w:id="1415319683">
      <w:bodyDiv w:val="1"/>
      <w:marLeft w:val="0"/>
      <w:marRight w:val="0"/>
      <w:marTop w:val="0"/>
      <w:marBottom w:val="0"/>
      <w:divBdr>
        <w:top w:val="none" w:sz="0" w:space="0" w:color="auto"/>
        <w:left w:val="none" w:sz="0" w:space="0" w:color="auto"/>
        <w:bottom w:val="none" w:sz="0" w:space="0" w:color="auto"/>
        <w:right w:val="none" w:sz="0" w:space="0" w:color="auto"/>
      </w:divBdr>
    </w:div>
    <w:div w:id="1415735911">
      <w:bodyDiv w:val="1"/>
      <w:marLeft w:val="0"/>
      <w:marRight w:val="0"/>
      <w:marTop w:val="0"/>
      <w:marBottom w:val="0"/>
      <w:divBdr>
        <w:top w:val="none" w:sz="0" w:space="0" w:color="auto"/>
        <w:left w:val="none" w:sz="0" w:space="0" w:color="auto"/>
        <w:bottom w:val="none" w:sz="0" w:space="0" w:color="auto"/>
        <w:right w:val="none" w:sz="0" w:space="0" w:color="auto"/>
      </w:divBdr>
    </w:div>
    <w:div w:id="1416319858">
      <w:bodyDiv w:val="1"/>
      <w:marLeft w:val="0"/>
      <w:marRight w:val="0"/>
      <w:marTop w:val="0"/>
      <w:marBottom w:val="0"/>
      <w:divBdr>
        <w:top w:val="none" w:sz="0" w:space="0" w:color="auto"/>
        <w:left w:val="none" w:sz="0" w:space="0" w:color="auto"/>
        <w:bottom w:val="none" w:sz="0" w:space="0" w:color="auto"/>
        <w:right w:val="none" w:sz="0" w:space="0" w:color="auto"/>
      </w:divBdr>
    </w:div>
    <w:div w:id="1416825889">
      <w:bodyDiv w:val="1"/>
      <w:marLeft w:val="0"/>
      <w:marRight w:val="0"/>
      <w:marTop w:val="0"/>
      <w:marBottom w:val="0"/>
      <w:divBdr>
        <w:top w:val="none" w:sz="0" w:space="0" w:color="auto"/>
        <w:left w:val="none" w:sz="0" w:space="0" w:color="auto"/>
        <w:bottom w:val="none" w:sz="0" w:space="0" w:color="auto"/>
        <w:right w:val="none" w:sz="0" w:space="0" w:color="auto"/>
      </w:divBdr>
    </w:div>
    <w:div w:id="1417743818">
      <w:bodyDiv w:val="1"/>
      <w:marLeft w:val="0"/>
      <w:marRight w:val="0"/>
      <w:marTop w:val="0"/>
      <w:marBottom w:val="0"/>
      <w:divBdr>
        <w:top w:val="none" w:sz="0" w:space="0" w:color="auto"/>
        <w:left w:val="none" w:sz="0" w:space="0" w:color="auto"/>
        <w:bottom w:val="none" w:sz="0" w:space="0" w:color="auto"/>
        <w:right w:val="none" w:sz="0" w:space="0" w:color="auto"/>
      </w:divBdr>
    </w:div>
    <w:div w:id="1424841435">
      <w:bodyDiv w:val="1"/>
      <w:marLeft w:val="0"/>
      <w:marRight w:val="0"/>
      <w:marTop w:val="0"/>
      <w:marBottom w:val="0"/>
      <w:divBdr>
        <w:top w:val="none" w:sz="0" w:space="0" w:color="auto"/>
        <w:left w:val="none" w:sz="0" w:space="0" w:color="auto"/>
        <w:bottom w:val="none" w:sz="0" w:space="0" w:color="auto"/>
        <w:right w:val="none" w:sz="0" w:space="0" w:color="auto"/>
      </w:divBdr>
    </w:div>
    <w:div w:id="1425346878">
      <w:bodyDiv w:val="1"/>
      <w:marLeft w:val="0"/>
      <w:marRight w:val="0"/>
      <w:marTop w:val="0"/>
      <w:marBottom w:val="0"/>
      <w:divBdr>
        <w:top w:val="none" w:sz="0" w:space="0" w:color="auto"/>
        <w:left w:val="none" w:sz="0" w:space="0" w:color="auto"/>
        <w:bottom w:val="none" w:sz="0" w:space="0" w:color="auto"/>
        <w:right w:val="none" w:sz="0" w:space="0" w:color="auto"/>
      </w:divBdr>
    </w:div>
    <w:div w:id="1429690301">
      <w:bodyDiv w:val="1"/>
      <w:marLeft w:val="0"/>
      <w:marRight w:val="0"/>
      <w:marTop w:val="0"/>
      <w:marBottom w:val="0"/>
      <w:divBdr>
        <w:top w:val="none" w:sz="0" w:space="0" w:color="auto"/>
        <w:left w:val="none" w:sz="0" w:space="0" w:color="auto"/>
        <w:bottom w:val="none" w:sz="0" w:space="0" w:color="auto"/>
        <w:right w:val="none" w:sz="0" w:space="0" w:color="auto"/>
      </w:divBdr>
    </w:div>
    <w:div w:id="1432772663">
      <w:bodyDiv w:val="1"/>
      <w:marLeft w:val="0"/>
      <w:marRight w:val="0"/>
      <w:marTop w:val="0"/>
      <w:marBottom w:val="0"/>
      <w:divBdr>
        <w:top w:val="none" w:sz="0" w:space="0" w:color="auto"/>
        <w:left w:val="none" w:sz="0" w:space="0" w:color="auto"/>
        <w:bottom w:val="none" w:sz="0" w:space="0" w:color="auto"/>
        <w:right w:val="none" w:sz="0" w:space="0" w:color="auto"/>
      </w:divBdr>
    </w:div>
    <w:div w:id="1434086908">
      <w:bodyDiv w:val="1"/>
      <w:marLeft w:val="0"/>
      <w:marRight w:val="0"/>
      <w:marTop w:val="0"/>
      <w:marBottom w:val="0"/>
      <w:divBdr>
        <w:top w:val="none" w:sz="0" w:space="0" w:color="auto"/>
        <w:left w:val="none" w:sz="0" w:space="0" w:color="auto"/>
        <w:bottom w:val="none" w:sz="0" w:space="0" w:color="auto"/>
        <w:right w:val="none" w:sz="0" w:space="0" w:color="auto"/>
      </w:divBdr>
    </w:div>
    <w:div w:id="1437094329">
      <w:bodyDiv w:val="1"/>
      <w:marLeft w:val="0"/>
      <w:marRight w:val="0"/>
      <w:marTop w:val="0"/>
      <w:marBottom w:val="0"/>
      <w:divBdr>
        <w:top w:val="none" w:sz="0" w:space="0" w:color="auto"/>
        <w:left w:val="none" w:sz="0" w:space="0" w:color="auto"/>
        <w:bottom w:val="none" w:sz="0" w:space="0" w:color="auto"/>
        <w:right w:val="none" w:sz="0" w:space="0" w:color="auto"/>
      </w:divBdr>
    </w:div>
    <w:div w:id="1440445101">
      <w:bodyDiv w:val="1"/>
      <w:marLeft w:val="0"/>
      <w:marRight w:val="0"/>
      <w:marTop w:val="0"/>
      <w:marBottom w:val="0"/>
      <w:divBdr>
        <w:top w:val="none" w:sz="0" w:space="0" w:color="auto"/>
        <w:left w:val="none" w:sz="0" w:space="0" w:color="auto"/>
        <w:bottom w:val="none" w:sz="0" w:space="0" w:color="auto"/>
        <w:right w:val="none" w:sz="0" w:space="0" w:color="auto"/>
      </w:divBdr>
    </w:div>
    <w:div w:id="1440488596">
      <w:bodyDiv w:val="1"/>
      <w:marLeft w:val="0"/>
      <w:marRight w:val="0"/>
      <w:marTop w:val="0"/>
      <w:marBottom w:val="0"/>
      <w:divBdr>
        <w:top w:val="none" w:sz="0" w:space="0" w:color="auto"/>
        <w:left w:val="none" w:sz="0" w:space="0" w:color="auto"/>
        <w:bottom w:val="none" w:sz="0" w:space="0" w:color="auto"/>
        <w:right w:val="none" w:sz="0" w:space="0" w:color="auto"/>
      </w:divBdr>
    </w:div>
    <w:div w:id="1441031184">
      <w:bodyDiv w:val="1"/>
      <w:marLeft w:val="0"/>
      <w:marRight w:val="0"/>
      <w:marTop w:val="0"/>
      <w:marBottom w:val="0"/>
      <w:divBdr>
        <w:top w:val="none" w:sz="0" w:space="0" w:color="auto"/>
        <w:left w:val="none" w:sz="0" w:space="0" w:color="auto"/>
        <w:bottom w:val="none" w:sz="0" w:space="0" w:color="auto"/>
        <w:right w:val="none" w:sz="0" w:space="0" w:color="auto"/>
      </w:divBdr>
    </w:div>
    <w:div w:id="1441031877">
      <w:bodyDiv w:val="1"/>
      <w:marLeft w:val="0"/>
      <w:marRight w:val="0"/>
      <w:marTop w:val="0"/>
      <w:marBottom w:val="0"/>
      <w:divBdr>
        <w:top w:val="none" w:sz="0" w:space="0" w:color="auto"/>
        <w:left w:val="none" w:sz="0" w:space="0" w:color="auto"/>
        <w:bottom w:val="none" w:sz="0" w:space="0" w:color="auto"/>
        <w:right w:val="none" w:sz="0" w:space="0" w:color="auto"/>
      </w:divBdr>
    </w:div>
    <w:div w:id="1443646804">
      <w:bodyDiv w:val="1"/>
      <w:marLeft w:val="0"/>
      <w:marRight w:val="0"/>
      <w:marTop w:val="0"/>
      <w:marBottom w:val="0"/>
      <w:divBdr>
        <w:top w:val="none" w:sz="0" w:space="0" w:color="auto"/>
        <w:left w:val="none" w:sz="0" w:space="0" w:color="auto"/>
        <w:bottom w:val="none" w:sz="0" w:space="0" w:color="auto"/>
        <w:right w:val="none" w:sz="0" w:space="0" w:color="auto"/>
      </w:divBdr>
    </w:div>
    <w:div w:id="1444614582">
      <w:bodyDiv w:val="1"/>
      <w:marLeft w:val="0"/>
      <w:marRight w:val="0"/>
      <w:marTop w:val="0"/>
      <w:marBottom w:val="0"/>
      <w:divBdr>
        <w:top w:val="none" w:sz="0" w:space="0" w:color="auto"/>
        <w:left w:val="none" w:sz="0" w:space="0" w:color="auto"/>
        <w:bottom w:val="none" w:sz="0" w:space="0" w:color="auto"/>
        <w:right w:val="none" w:sz="0" w:space="0" w:color="auto"/>
      </w:divBdr>
    </w:div>
    <w:div w:id="1447887199">
      <w:bodyDiv w:val="1"/>
      <w:marLeft w:val="0"/>
      <w:marRight w:val="0"/>
      <w:marTop w:val="0"/>
      <w:marBottom w:val="0"/>
      <w:divBdr>
        <w:top w:val="none" w:sz="0" w:space="0" w:color="auto"/>
        <w:left w:val="none" w:sz="0" w:space="0" w:color="auto"/>
        <w:bottom w:val="none" w:sz="0" w:space="0" w:color="auto"/>
        <w:right w:val="none" w:sz="0" w:space="0" w:color="auto"/>
      </w:divBdr>
    </w:div>
    <w:div w:id="1449466280">
      <w:bodyDiv w:val="1"/>
      <w:marLeft w:val="0"/>
      <w:marRight w:val="0"/>
      <w:marTop w:val="0"/>
      <w:marBottom w:val="0"/>
      <w:divBdr>
        <w:top w:val="none" w:sz="0" w:space="0" w:color="auto"/>
        <w:left w:val="none" w:sz="0" w:space="0" w:color="auto"/>
        <w:bottom w:val="none" w:sz="0" w:space="0" w:color="auto"/>
        <w:right w:val="none" w:sz="0" w:space="0" w:color="auto"/>
      </w:divBdr>
    </w:div>
    <w:div w:id="1453934813">
      <w:bodyDiv w:val="1"/>
      <w:marLeft w:val="0"/>
      <w:marRight w:val="0"/>
      <w:marTop w:val="0"/>
      <w:marBottom w:val="0"/>
      <w:divBdr>
        <w:top w:val="none" w:sz="0" w:space="0" w:color="auto"/>
        <w:left w:val="none" w:sz="0" w:space="0" w:color="auto"/>
        <w:bottom w:val="none" w:sz="0" w:space="0" w:color="auto"/>
        <w:right w:val="none" w:sz="0" w:space="0" w:color="auto"/>
      </w:divBdr>
    </w:div>
    <w:div w:id="1455441454">
      <w:bodyDiv w:val="1"/>
      <w:marLeft w:val="0"/>
      <w:marRight w:val="0"/>
      <w:marTop w:val="0"/>
      <w:marBottom w:val="0"/>
      <w:divBdr>
        <w:top w:val="none" w:sz="0" w:space="0" w:color="auto"/>
        <w:left w:val="none" w:sz="0" w:space="0" w:color="auto"/>
        <w:bottom w:val="none" w:sz="0" w:space="0" w:color="auto"/>
        <w:right w:val="none" w:sz="0" w:space="0" w:color="auto"/>
      </w:divBdr>
    </w:div>
    <w:div w:id="1458181377">
      <w:bodyDiv w:val="1"/>
      <w:marLeft w:val="0"/>
      <w:marRight w:val="0"/>
      <w:marTop w:val="0"/>
      <w:marBottom w:val="0"/>
      <w:divBdr>
        <w:top w:val="none" w:sz="0" w:space="0" w:color="auto"/>
        <w:left w:val="none" w:sz="0" w:space="0" w:color="auto"/>
        <w:bottom w:val="none" w:sz="0" w:space="0" w:color="auto"/>
        <w:right w:val="none" w:sz="0" w:space="0" w:color="auto"/>
      </w:divBdr>
    </w:div>
    <w:div w:id="1465348823">
      <w:bodyDiv w:val="1"/>
      <w:marLeft w:val="0"/>
      <w:marRight w:val="0"/>
      <w:marTop w:val="0"/>
      <w:marBottom w:val="0"/>
      <w:divBdr>
        <w:top w:val="none" w:sz="0" w:space="0" w:color="auto"/>
        <w:left w:val="none" w:sz="0" w:space="0" w:color="auto"/>
        <w:bottom w:val="none" w:sz="0" w:space="0" w:color="auto"/>
        <w:right w:val="none" w:sz="0" w:space="0" w:color="auto"/>
      </w:divBdr>
    </w:div>
    <w:div w:id="1465545077">
      <w:bodyDiv w:val="1"/>
      <w:marLeft w:val="0"/>
      <w:marRight w:val="0"/>
      <w:marTop w:val="0"/>
      <w:marBottom w:val="0"/>
      <w:divBdr>
        <w:top w:val="none" w:sz="0" w:space="0" w:color="auto"/>
        <w:left w:val="none" w:sz="0" w:space="0" w:color="auto"/>
        <w:bottom w:val="none" w:sz="0" w:space="0" w:color="auto"/>
        <w:right w:val="none" w:sz="0" w:space="0" w:color="auto"/>
      </w:divBdr>
    </w:div>
    <w:div w:id="1465735262">
      <w:bodyDiv w:val="1"/>
      <w:marLeft w:val="0"/>
      <w:marRight w:val="0"/>
      <w:marTop w:val="0"/>
      <w:marBottom w:val="0"/>
      <w:divBdr>
        <w:top w:val="none" w:sz="0" w:space="0" w:color="auto"/>
        <w:left w:val="none" w:sz="0" w:space="0" w:color="auto"/>
        <w:bottom w:val="none" w:sz="0" w:space="0" w:color="auto"/>
        <w:right w:val="none" w:sz="0" w:space="0" w:color="auto"/>
      </w:divBdr>
    </w:div>
    <w:div w:id="1469589137">
      <w:bodyDiv w:val="1"/>
      <w:marLeft w:val="0"/>
      <w:marRight w:val="0"/>
      <w:marTop w:val="0"/>
      <w:marBottom w:val="0"/>
      <w:divBdr>
        <w:top w:val="none" w:sz="0" w:space="0" w:color="auto"/>
        <w:left w:val="none" w:sz="0" w:space="0" w:color="auto"/>
        <w:bottom w:val="none" w:sz="0" w:space="0" w:color="auto"/>
        <w:right w:val="none" w:sz="0" w:space="0" w:color="auto"/>
      </w:divBdr>
    </w:div>
    <w:div w:id="1469979062">
      <w:bodyDiv w:val="1"/>
      <w:marLeft w:val="0"/>
      <w:marRight w:val="0"/>
      <w:marTop w:val="0"/>
      <w:marBottom w:val="0"/>
      <w:divBdr>
        <w:top w:val="none" w:sz="0" w:space="0" w:color="auto"/>
        <w:left w:val="none" w:sz="0" w:space="0" w:color="auto"/>
        <w:bottom w:val="none" w:sz="0" w:space="0" w:color="auto"/>
        <w:right w:val="none" w:sz="0" w:space="0" w:color="auto"/>
      </w:divBdr>
    </w:div>
    <w:div w:id="1471165798">
      <w:bodyDiv w:val="1"/>
      <w:marLeft w:val="0"/>
      <w:marRight w:val="0"/>
      <w:marTop w:val="0"/>
      <w:marBottom w:val="0"/>
      <w:divBdr>
        <w:top w:val="none" w:sz="0" w:space="0" w:color="auto"/>
        <w:left w:val="none" w:sz="0" w:space="0" w:color="auto"/>
        <w:bottom w:val="none" w:sz="0" w:space="0" w:color="auto"/>
        <w:right w:val="none" w:sz="0" w:space="0" w:color="auto"/>
      </w:divBdr>
    </w:div>
    <w:div w:id="1472558156">
      <w:bodyDiv w:val="1"/>
      <w:marLeft w:val="0"/>
      <w:marRight w:val="0"/>
      <w:marTop w:val="0"/>
      <w:marBottom w:val="0"/>
      <w:divBdr>
        <w:top w:val="none" w:sz="0" w:space="0" w:color="auto"/>
        <w:left w:val="none" w:sz="0" w:space="0" w:color="auto"/>
        <w:bottom w:val="none" w:sz="0" w:space="0" w:color="auto"/>
        <w:right w:val="none" w:sz="0" w:space="0" w:color="auto"/>
      </w:divBdr>
    </w:div>
    <w:div w:id="1473904871">
      <w:bodyDiv w:val="1"/>
      <w:marLeft w:val="0"/>
      <w:marRight w:val="0"/>
      <w:marTop w:val="0"/>
      <w:marBottom w:val="0"/>
      <w:divBdr>
        <w:top w:val="none" w:sz="0" w:space="0" w:color="auto"/>
        <w:left w:val="none" w:sz="0" w:space="0" w:color="auto"/>
        <w:bottom w:val="none" w:sz="0" w:space="0" w:color="auto"/>
        <w:right w:val="none" w:sz="0" w:space="0" w:color="auto"/>
      </w:divBdr>
    </w:div>
    <w:div w:id="1474832352">
      <w:bodyDiv w:val="1"/>
      <w:marLeft w:val="0"/>
      <w:marRight w:val="0"/>
      <w:marTop w:val="0"/>
      <w:marBottom w:val="0"/>
      <w:divBdr>
        <w:top w:val="none" w:sz="0" w:space="0" w:color="auto"/>
        <w:left w:val="none" w:sz="0" w:space="0" w:color="auto"/>
        <w:bottom w:val="none" w:sz="0" w:space="0" w:color="auto"/>
        <w:right w:val="none" w:sz="0" w:space="0" w:color="auto"/>
      </w:divBdr>
    </w:div>
    <w:div w:id="1474903567">
      <w:bodyDiv w:val="1"/>
      <w:marLeft w:val="0"/>
      <w:marRight w:val="0"/>
      <w:marTop w:val="0"/>
      <w:marBottom w:val="0"/>
      <w:divBdr>
        <w:top w:val="none" w:sz="0" w:space="0" w:color="auto"/>
        <w:left w:val="none" w:sz="0" w:space="0" w:color="auto"/>
        <w:bottom w:val="none" w:sz="0" w:space="0" w:color="auto"/>
        <w:right w:val="none" w:sz="0" w:space="0" w:color="auto"/>
      </w:divBdr>
    </w:div>
    <w:div w:id="1478231075">
      <w:bodyDiv w:val="1"/>
      <w:marLeft w:val="0"/>
      <w:marRight w:val="0"/>
      <w:marTop w:val="0"/>
      <w:marBottom w:val="0"/>
      <w:divBdr>
        <w:top w:val="none" w:sz="0" w:space="0" w:color="auto"/>
        <w:left w:val="none" w:sz="0" w:space="0" w:color="auto"/>
        <w:bottom w:val="none" w:sz="0" w:space="0" w:color="auto"/>
        <w:right w:val="none" w:sz="0" w:space="0" w:color="auto"/>
      </w:divBdr>
    </w:div>
    <w:div w:id="1480919661">
      <w:bodyDiv w:val="1"/>
      <w:marLeft w:val="0"/>
      <w:marRight w:val="0"/>
      <w:marTop w:val="0"/>
      <w:marBottom w:val="0"/>
      <w:divBdr>
        <w:top w:val="none" w:sz="0" w:space="0" w:color="auto"/>
        <w:left w:val="none" w:sz="0" w:space="0" w:color="auto"/>
        <w:bottom w:val="none" w:sz="0" w:space="0" w:color="auto"/>
        <w:right w:val="none" w:sz="0" w:space="0" w:color="auto"/>
      </w:divBdr>
    </w:div>
    <w:div w:id="1482312801">
      <w:bodyDiv w:val="1"/>
      <w:marLeft w:val="0"/>
      <w:marRight w:val="0"/>
      <w:marTop w:val="0"/>
      <w:marBottom w:val="0"/>
      <w:divBdr>
        <w:top w:val="none" w:sz="0" w:space="0" w:color="auto"/>
        <w:left w:val="none" w:sz="0" w:space="0" w:color="auto"/>
        <w:bottom w:val="none" w:sz="0" w:space="0" w:color="auto"/>
        <w:right w:val="none" w:sz="0" w:space="0" w:color="auto"/>
      </w:divBdr>
    </w:div>
    <w:div w:id="1482842960">
      <w:bodyDiv w:val="1"/>
      <w:marLeft w:val="0"/>
      <w:marRight w:val="0"/>
      <w:marTop w:val="0"/>
      <w:marBottom w:val="0"/>
      <w:divBdr>
        <w:top w:val="none" w:sz="0" w:space="0" w:color="auto"/>
        <w:left w:val="none" w:sz="0" w:space="0" w:color="auto"/>
        <w:bottom w:val="none" w:sz="0" w:space="0" w:color="auto"/>
        <w:right w:val="none" w:sz="0" w:space="0" w:color="auto"/>
      </w:divBdr>
    </w:div>
    <w:div w:id="1483161039">
      <w:bodyDiv w:val="1"/>
      <w:marLeft w:val="0"/>
      <w:marRight w:val="0"/>
      <w:marTop w:val="0"/>
      <w:marBottom w:val="0"/>
      <w:divBdr>
        <w:top w:val="none" w:sz="0" w:space="0" w:color="auto"/>
        <w:left w:val="none" w:sz="0" w:space="0" w:color="auto"/>
        <w:bottom w:val="none" w:sz="0" w:space="0" w:color="auto"/>
        <w:right w:val="none" w:sz="0" w:space="0" w:color="auto"/>
      </w:divBdr>
    </w:div>
    <w:div w:id="1485273158">
      <w:bodyDiv w:val="1"/>
      <w:marLeft w:val="0"/>
      <w:marRight w:val="0"/>
      <w:marTop w:val="0"/>
      <w:marBottom w:val="0"/>
      <w:divBdr>
        <w:top w:val="none" w:sz="0" w:space="0" w:color="auto"/>
        <w:left w:val="none" w:sz="0" w:space="0" w:color="auto"/>
        <w:bottom w:val="none" w:sz="0" w:space="0" w:color="auto"/>
        <w:right w:val="none" w:sz="0" w:space="0" w:color="auto"/>
      </w:divBdr>
    </w:div>
    <w:div w:id="1485656894">
      <w:bodyDiv w:val="1"/>
      <w:marLeft w:val="0"/>
      <w:marRight w:val="0"/>
      <w:marTop w:val="0"/>
      <w:marBottom w:val="0"/>
      <w:divBdr>
        <w:top w:val="none" w:sz="0" w:space="0" w:color="auto"/>
        <w:left w:val="none" w:sz="0" w:space="0" w:color="auto"/>
        <w:bottom w:val="none" w:sz="0" w:space="0" w:color="auto"/>
        <w:right w:val="none" w:sz="0" w:space="0" w:color="auto"/>
      </w:divBdr>
    </w:div>
    <w:div w:id="1488551184">
      <w:bodyDiv w:val="1"/>
      <w:marLeft w:val="0"/>
      <w:marRight w:val="0"/>
      <w:marTop w:val="0"/>
      <w:marBottom w:val="0"/>
      <w:divBdr>
        <w:top w:val="none" w:sz="0" w:space="0" w:color="auto"/>
        <w:left w:val="none" w:sz="0" w:space="0" w:color="auto"/>
        <w:bottom w:val="none" w:sz="0" w:space="0" w:color="auto"/>
        <w:right w:val="none" w:sz="0" w:space="0" w:color="auto"/>
      </w:divBdr>
    </w:div>
    <w:div w:id="1490319454">
      <w:bodyDiv w:val="1"/>
      <w:marLeft w:val="0"/>
      <w:marRight w:val="0"/>
      <w:marTop w:val="0"/>
      <w:marBottom w:val="0"/>
      <w:divBdr>
        <w:top w:val="none" w:sz="0" w:space="0" w:color="auto"/>
        <w:left w:val="none" w:sz="0" w:space="0" w:color="auto"/>
        <w:bottom w:val="none" w:sz="0" w:space="0" w:color="auto"/>
        <w:right w:val="none" w:sz="0" w:space="0" w:color="auto"/>
      </w:divBdr>
    </w:div>
    <w:div w:id="1493251767">
      <w:bodyDiv w:val="1"/>
      <w:marLeft w:val="0"/>
      <w:marRight w:val="0"/>
      <w:marTop w:val="0"/>
      <w:marBottom w:val="0"/>
      <w:divBdr>
        <w:top w:val="none" w:sz="0" w:space="0" w:color="auto"/>
        <w:left w:val="none" w:sz="0" w:space="0" w:color="auto"/>
        <w:bottom w:val="none" w:sz="0" w:space="0" w:color="auto"/>
        <w:right w:val="none" w:sz="0" w:space="0" w:color="auto"/>
      </w:divBdr>
    </w:div>
    <w:div w:id="1493527577">
      <w:bodyDiv w:val="1"/>
      <w:marLeft w:val="0"/>
      <w:marRight w:val="0"/>
      <w:marTop w:val="0"/>
      <w:marBottom w:val="0"/>
      <w:divBdr>
        <w:top w:val="none" w:sz="0" w:space="0" w:color="auto"/>
        <w:left w:val="none" w:sz="0" w:space="0" w:color="auto"/>
        <w:bottom w:val="none" w:sz="0" w:space="0" w:color="auto"/>
        <w:right w:val="none" w:sz="0" w:space="0" w:color="auto"/>
      </w:divBdr>
    </w:div>
    <w:div w:id="1495805700">
      <w:bodyDiv w:val="1"/>
      <w:marLeft w:val="0"/>
      <w:marRight w:val="0"/>
      <w:marTop w:val="0"/>
      <w:marBottom w:val="0"/>
      <w:divBdr>
        <w:top w:val="none" w:sz="0" w:space="0" w:color="auto"/>
        <w:left w:val="none" w:sz="0" w:space="0" w:color="auto"/>
        <w:bottom w:val="none" w:sz="0" w:space="0" w:color="auto"/>
        <w:right w:val="none" w:sz="0" w:space="0" w:color="auto"/>
      </w:divBdr>
    </w:div>
    <w:div w:id="1496452341">
      <w:bodyDiv w:val="1"/>
      <w:marLeft w:val="0"/>
      <w:marRight w:val="0"/>
      <w:marTop w:val="0"/>
      <w:marBottom w:val="0"/>
      <w:divBdr>
        <w:top w:val="none" w:sz="0" w:space="0" w:color="auto"/>
        <w:left w:val="none" w:sz="0" w:space="0" w:color="auto"/>
        <w:bottom w:val="none" w:sz="0" w:space="0" w:color="auto"/>
        <w:right w:val="none" w:sz="0" w:space="0" w:color="auto"/>
      </w:divBdr>
    </w:div>
    <w:div w:id="1497766695">
      <w:bodyDiv w:val="1"/>
      <w:marLeft w:val="0"/>
      <w:marRight w:val="0"/>
      <w:marTop w:val="0"/>
      <w:marBottom w:val="0"/>
      <w:divBdr>
        <w:top w:val="none" w:sz="0" w:space="0" w:color="auto"/>
        <w:left w:val="none" w:sz="0" w:space="0" w:color="auto"/>
        <w:bottom w:val="none" w:sz="0" w:space="0" w:color="auto"/>
        <w:right w:val="none" w:sz="0" w:space="0" w:color="auto"/>
      </w:divBdr>
    </w:div>
    <w:div w:id="1501774701">
      <w:bodyDiv w:val="1"/>
      <w:marLeft w:val="0"/>
      <w:marRight w:val="0"/>
      <w:marTop w:val="0"/>
      <w:marBottom w:val="0"/>
      <w:divBdr>
        <w:top w:val="none" w:sz="0" w:space="0" w:color="auto"/>
        <w:left w:val="none" w:sz="0" w:space="0" w:color="auto"/>
        <w:bottom w:val="none" w:sz="0" w:space="0" w:color="auto"/>
        <w:right w:val="none" w:sz="0" w:space="0" w:color="auto"/>
      </w:divBdr>
    </w:div>
    <w:div w:id="1502117098">
      <w:bodyDiv w:val="1"/>
      <w:marLeft w:val="0"/>
      <w:marRight w:val="0"/>
      <w:marTop w:val="0"/>
      <w:marBottom w:val="0"/>
      <w:divBdr>
        <w:top w:val="none" w:sz="0" w:space="0" w:color="auto"/>
        <w:left w:val="none" w:sz="0" w:space="0" w:color="auto"/>
        <w:bottom w:val="none" w:sz="0" w:space="0" w:color="auto"/>
        <w:right w:val="none" w:sz="0" w:space="0" w:color="auto"/>
      </w:divBdr>
    </w:div>
    <w:div w:id="1503548284">
      <w:bodyDiv w:val="1"/>
      <w:marLeft w:val="0"/>
      <w:marRight w:val="0"/>
      <w:marTop w:val="0"/>
      <w:marBottom w:val="0"/>
      <w:divBdr>
        <w:top w:val="none" w:sz="0" w:space="0" w:color="auto"/>
        <w:left w:val="none" w:sz="0" w:space="0" w:color="auto"/>
        <w:bottom w:val="none" w:sz="0" w:space="0" w:color="auto"/>
        <w:right w:val="none" w:sz="0" w:space="0" w:color="auto"/>
      </w:divBdr>
    </w:div>
    <w:div w:id="1503617217">
      <w:bodyDiv w:val="1"/>
      <w:marLeft w:val="0"/>
      <w:marRight w:val="0"/>
      <w:marTop w:val="0"/>
      <w:marBottom w:val="0"/>
      <w:divBdr>
        <w:top w:val="none" w:sz="0" w:space="0" w:color="auto"/>
        <w:left w:val="none" w:sz="0" w:space="0" w:color="auto"/>
        <w:bottom w:val="none" w:sz="0" w:space="0" w:color="auto"/>
        <w:right w:val="none" w:sz="0" w:space="0" w:color="auto"/>
      </w:divBdr>
    </w:div>
    <w:div w:id="1506359458">
      <w:bodyDiv w:val="1"/>
      <w:marLeft w:val="0"/>
      <w:marRight w:val="0"/>
      <w:marTop w:val="0"/>
      <w:marBottom w:val="0"/>
      <w:divBdr>
        <w:top w:val="none" w:sz="0" w:space="0" w:color="auto"/>
        <w:left w:val="none" w:sz="0" w:space="0" w:color="auto"/>
        <w:bottom w:val="none" w:sz="0" w:space="0" w:color="auto"/>
        <w:right w:val="none" w:sz="0" w:space="0" w:color="auto"/>
      </w:divBdr>
    </w:div>
    <w:div w:id="1506826202">
      <w:bodyDiv w:val="1"/>
      <w:marLeft w:val="0"/>
      <w:marRight w:val="0"/>
      <w:marTop w:val="0"/>
      <w:marBottom w:val="0"/>
      <w:divBdr>
        <w:top w:val="none" w:sz="0" w:space="0" w:color="auto"/>
        <w:left w:val="none" w:sz="0" w:space="0" w:color="auto"/>
        <w:bottom w:val="none" w:sz="0" w:space="0" w:color="auto"/>
        <w:right w:val="none" w:sz="0" w:space="0" w:color="auto"/>
      </w:divBdr>
    </w:div>
    <w:div w:id="1507357152">
      <w:bodyDiv w:val="1"/>
      <w:marLeft w:val="0"/>
      <w:marRight w:val="0"/>
      <w:marTop w:val="0"/>
      <w:marBottom w:val="0"/>
      <w:divBdr>
        <w:top w:val="none" w:sz="0" w:space="0" w:color="auto"/>
        <w:left w:val="none" w:sz="0" w:space="0" w:color="auto"/>
        <w:bottom w:val="none" w:sz="0" w:space="0" w:color="auto"/>
        <w:right w:val="none" w:sz="0" w:space="0" w:color="auto"/>
      </w:divBdr>
    </w:div>
    <w:div w:id="1507670255">
      <w:bodyDiv w:val="1"/>
      <w:marLeft w:val="0"/>
      <w:marRight w:val="0"/>
      <w:marTop w:val="0"/>
      <w:marBottom w:val="0"/>
      <w:divBdr>
        <w:top w:val="none" w:sz="0" w:space="0" w:color="auto"/>
        <w:left w:val="none" w:sz="0" w:space="0" w:color="auto"/>
        <w:bottom w:val="none" w:sz="0" w:space="0" w:color="auto"/>
        <w:right w:val="none" w:sz="0" w:space="0" w:color="auto"/>
      </w:divBdr>
    </w:div>
    <w:div w:id="1510679617">
      <w:bodyDiv w:val="1"/>
      <w:marLeft w:val="0"/>
      <w:marRight w:val="0"/>
      <w:marTop w:val="0"/>
      <w:marBottom w:val="0"/>
      <w:divBdr>
        <w:top w:val="none" w:sz="0" w:space="0" w:color="auto"/>
        <w:left w:val="none" w:sz="0" w:space="0" w:color="auto"/>
        <w:bottom w:val="none" w:sz="0" w:space="0" w:color="auto"/>
        <w:right w:val="none" w:sz="0" w:space="0" w:color="auto"/>
      </w:divBdr>
    </w:div>
    <w:div w:id="1512066271">
      <w:bodyDiv w:val="1"/>
      <w:marLeft w:val="0"/>
      <w:marRight w:val="0"/>
      <w:marTop w:val="0"/>
      <w:marBottom w:val="0"/>
      <w:divBdr>
        <w:top w:val="none" w:sz="0" w:space="0" w:color="auto"/>
        <w:left w:val="none" w:sz="0" w:space="0" w:color="auto"/>
        <w:bottom w:val="none" w:sz="0" w:space="0" w:color="auto"/>
        <w:right w:val="none" w:sz="0" w:space="0" w:color="auto"/>
      </w:divBdr>
    </w:div>
    <w:div w:id="1515413636">
      <w:bodyDiv w:val="1"/>
      <w:marLeft w:val="0"/>
      <w:marRight w:val="0"/>
      <w:marTop w:val="0"/>
      <w:marBottom w:val="0"/>
      <w:divBdr>
        <w:top w:val="none" w:sz="0" w:space="0" w:color="auto"/>
        <w:left w:val="none" w:sz="0" w:space="0" w:color="auto"/>
        <w:bottom w:val="none" w:sz="0" w:space="0" w:color="auto"/>
        <w:right w:val="none" w:sz="0" w:space="0" w:color="auto"/>
      </w:divBdr>
    </w:div>
    <w:div w:id="1515806609">
      <w:bodyDiv w:val="1"/>
      <w:marLeft w:val="0"/>
      <w:marRight w:val="0"/>
      <w:marTop w:val="0"/>
      <w:marBottom w:val="0"/>
      <w:divBdr>
        <w:top w:val="none" w:sz="0" w:space="0" w:color="auto"/>
        <w:left w:val="none" w:sz="0" w:space="0" w:color="auto"/>
        <w:bottom w:val="none" w:sz="0" w:space="0" w:color="auto"/>
        <w:right w:val="none" w:sz="0" w:space="0" w:color="auto"/>
      </w:divBdr>
    </w:div>
    <w:div w:id="1517040907">
      <w:bodyDiv w:val="1"/>
      <w:marLeft w:val="0"/>
      <w:marRight w:val="0"/>
      <w:marTop w:val="0"/>
      <w:marBottom w:val="0"/>
      <w:divBdr>
        <w:top w:val="none" w:sz="0" w:space="0" w:color="auto"/>
        <w:left w:val="none" w:sz="0" w:space="0" w:color="auto"/>
        <w:bottom w:val="none" w:sz="0" w:space="0" w:color="auto"/>
        <w:right w:val="none" w:sz="0" w:space="0" w:color="auto"/>
      </w:divBdr>
    </w:div>
    <w:div w:id="1522428600">
      <w:bodyDiv w:val="1"/>
      <w:marLeft w:val="0"/>
      <w:marRight w:val="0"/>
      <w:marTop w:val="0"/>
      <w:marBottom w:val="0"/>
      <w:divBdr>
        <w:top w:val="none" w:sz="0" w:space="0" w:color="auto"/>
        <w:left w:val="none" w:sz="0" w:space="0" w:color="auto"/>
        <w:bottom w:val="none" w:sz="0" w:space="0" w:color="auto"/>
        <w:right w:val="none" w:sz="0" w:space="0" w:color="auto"/>
      </w:divBdr>
    </w:div>
    <w:div w:id="1526212510">
      <w:bodyDiv w:val="1"/>
      <w:marLeft w:val="0"/>
      <w:marRight w:val="0"/>
      <w:marTop w:val="0"/>
      <w:marBottom w:val="0"/>
      <w:divBdr>
        <w:top w:val="none" w:sz="0" w:space="0" w:color="auto"/>
        <w:left w:val="none" w:sz="0" w:space="0" w:color="auto"/>
        <w:bottom w:val="none" w:sz="0" w:space="0" w:color="auto"/>
        <w:right w:val="none" w:sz="0" w:space="0" w:color="auto"/>
      </w:divBdr>
    </w:div>
    <w:div w:id="1528978912">
      <w:bodyDiv w:val="1"/>
      <w:marLeft w:val="0"/>
      <w:marRight w:val="0"/>
      <w:marTop w:val="0"/>
      <w:marBottom w:val="0"/>
      <w:divBdr>
        <w:top w:val="none" w:sz="0" w:space="0" w:color="auto"/>
        <w:left w:val="none" w:sz="0" w:space="0" w:color="auto"/>
        <w:bottom w:val="none" w:sz="0" w:space="0" w:color="auto"/>
        <w:right w:val="none" w:sz="0" w:space="0" w:color="auto"/>
      </w:divBdr>
    </w:div>
    <w:div w:id="1530727991">
      <w:bodyDiv w:val="1"/>
      <w:marLeft w:val="0"/>
      <w:marRight w:val="0"/>
      <w:marTop w:val="0"/>
      <w:marBottom w:val="0"/>
      <w:divBdr>
        <w:top w:val="none" w:sz="0" w:space="0" w:color="auto"/>
        <w:left w:val="none" w:sz="0" w:space="0" w:color="auto"/>
        <w:bottom w:val="none" w:sz="0" w:space="0" w:color="auto"/>
        <w:right w:val="none" w:sz="0" w:space="0" w:color="auto"/>
      </w:divBdr>
    </w:div>
    <w:div w:id="1531185948">
      <w:bodyDiv w:val="1"/>
      <w:marLeft w:val="0"/>
      <w:marRight w:val="0"/>
      <w:marTop w:val="0"/>
      <w:marBottom w:val="0"/>
      <w:divBdr>
        <w:top w:val="none" w:sz="0" w:space="0" w:color="auto"/>
        <w:left w:val="none" w:sz="0" w:space="0" w:color="auto"/>
        <w:bottom w:val="none" w:sz="0" w:space="0" w:color="auto"/>
        <w:right w:val="none" w:sz="0" w:space="0" w:color="auto"/>
      </w:divBdr>
    </w:div>
    <w:div w:id="1532231938">
      <w:bodyDiv w:val="1"/>
      <w:marLeft w:val="0"/>
      <w:marRight w:val="0"/>
      <w:marTop w:val="0"/>
      <w:marBottom w:val="0"/>
      <w:divBdr>
        <w:top w:val="none" w:sz="0" w:space="0" w:color="auto"/>
        <w:left w:val="none" w:sz="0" w:space="0" w:color="auto"/>
        <w:bottom w:val="none" w:sz="0" w:space="0" w:color="auto"/>
        <w:right w:val="none" w:sz="0" w:space="0" w:color="auto"/>
      </w:divBdr>
    </w:div>
    <w:div w:id="1532378917">
      <w:bodyDiv w:val="1"/>
      <w:marLeft w:val="0"/>
      <w:marRight w:val="0"/>
      <w:marTop w:val="0"/>
      <w:marBottom w:val="0"/>
      <w:divBdr>
        <w:top w:val="none" w:sz="0" w:space="0" w:color="auto"/>
        <w:left w:val="none" w:sz="0" w:space="0" w:color="auto"/>
        <w:bottom w:val="none" w:sz="0" w:space="0" w:color="auto"/>
        <w:right w:val="none" w:sz="0" w:space="0" w:color="auto"/>
      </w:divBdr>
    </w:div>
    <w:div w:id="1534928242">
      <w:bodyDiv w:val="1"/>
      <w:marLeft w:val="0"/>
      <w:marRight w:val="0"/>
      <w:marTop w:val="0"/>
      <w:marBottom w:val="0"/>
      <w:divBdr>
        <w:top w:val="none" w:sz="0" w:space="0" w:color="auto"/>
        <w:left w:val="none" w:sz="0" w:space="0" w:color="auto"/>
        <w:bottom w:val="none" w:sz="0" w:space="0" w:color="auto"/>
        <w:right w:val="none" w:sz="0" w:space="0" w:color="auto"/>
      </w:divBdr>
    </w:div>
    <w:div w:id="1535771315">
      <w:bodyDiv w:val="1"/>
      <w:marLeft w:val="0"/>
      <w:marRight w:val="0"/>
      <w:marTop w:val="0"/>
      <w:marBottom w:val="0"/>
      <w:divBdr>
        <w:top w:val="none" w:sz="0" w:space="0" w:color="auto"/>
        <w:left w:val="none" w:sz="0" w:space="0" w:color="auto"/>
        <w:bottom w:val="none" w:sz="0" w:space="0" w:color="auto"/>
        <w:right w:val="none" w:sz="0" w:space="0" w:color="auto"/>
      </w:divBdr>
    </w:div>
    <w:div w:id="1536697099">
      <w:bodyDiv w:val="1"/>
      <w:marLeft w:val="0"/>
      <w:marRight w:val="0"/>
      <w:marTop w:val="0"/>
      <w:marBottom w:val="0"/>
      <w:divBdr>
        <w:top w:val="none" w:sz="0" w:space="0" w:color="auto"/>
        <w:left w:val="none" w:sz="0" w:space="0" w:color="auto"/>
        <w:bottom w:val="none" w:sz="0" w:space="0" w:color="auto"/>
        <w:right w:val="none" w:sz="0" w:space="0" w:color="auto"/>
      </w:divBdr>
    </w:div>
    <w:div w:id="1538466716">
      <w:bodyDiv w:val="1"/>
      <w:marLeft w:val="0"/>
      <w:marRight w:val="0"/>
      <w:marTop w:val="0"/>
      <w:marBottom w:val="0"/>
      <w:divBdr>
        <w:top w:val="none" w:sz="0" w:space="0" w:color="auto"/>
        <w:left w:val="none" w:sz="0" w:space="0" w:color="auto"/>
        <w:bottom w:val="none" w:sz="0" w:space="0" w:color="auto"/>
        <w:right w:val="none" w:sz="0" w:space="0" w:color="auto"/>
      </w:divBdr>
    </w:div>
    <w:div w:id="1539781136">
      <w:bodyDiv w:val="1"/>
      <w:marLeft w:val="0"/>
      <w:marRight w:val="0"/>
      <w:marTop w:val="0"/>
      <w:marBottom w:val="0"/>
      <w:divBdr>
        <w:top w:val="none" w:sz="0" w:space="0" w:color="auto"/>
        <w:left w:val="none" w:sz="0" w:space="0" w:color="auto"/>
        <w:bottom w:val="none" w:sz="0" w:space="0" w:color="auto"/>
        <w:right w:val="none" w:sz="0" w:space="0" w:color="auto"/>
      </w:divBdr>
    </w:div>
    <w:div w:id="1539930818">
      <w:bodyDiv w:val="1"/>
      <w:marLeft w:val="0"/>
      <w:marRight w:val="0"/>
      <w:marTop w:val="0"/>
      <w:marBottom w:val="0"/>
      <w:divBdr>
        <w:top w:val="none" w:sz="0" w:space="0" w:color="auto"/>
        <w:left w:val="none" w:sz="0" w:space="0" w:color="auto"/>
        <w:bottom w:val="none" w:sz="0" w:space="0" w:color="auto"/>
        <w:right w:val="none" w:sz="0" w:space="0" w:color="auto"/>
      </w:divBdr>
    </w:div>
    <w:div w:id="1540194223">
      <w:bodyDiv w:val="1"/>
      <w:marLeft w:val="0"/>
      <w:marRight w:val="0"/>
      <w:marTop w:val="0"/>
      <w:marBottom w:val="0"/>
      <w:divBdr>
        <w:top w:val="none" w:sz="0" w:space="0" w:color="auto"/>
        <w:left w:val="none" w:sz="0" w:space="0" w:color="auto"/>
        <w:bottom w:val="none" w:sz="0" w:space="0" w:color="auto"/>
        <w:right w:val="none" w:sz="0" w:space="0" w:color="auto"/>
      </w:divBdr>
    </w:div>
    <w:div w:id="1541701146">
      <w:bodyDiv w:val="1"/>
      <w:marLeft w:val="0"/>
      <w:marRight w:val="0"/>
      <w:marTop w:val="0"/>
      <w:marBottom w:val="0"/>
      <w:divBdr>
        <w:top w:val="none" w:sz="0" w:space="0" w:color="auto"/>
        <w:left w:val="none" w:sz="0" w:space="0" w:color="auto"/>
        <w:bottom w:val="none" w:sz="0" w:space="0" w:color="auto"/>
        <w:right w:val="none" w:sz="0" w:space="0" w:color="auto"/>
      </w:divBdr>
    </w:div>
    <w:div w:id="1543902428">
      <w:bodyDiv w:val="1"/>
      <w:marLeft w:val="0"/>
      <w:marRight w:val="0"/>
      <w:marTop w:val="0"/>
      <w:marBottom w:val="0"/>
      <w:divBdr>
        <w:top w:val="none" w:sz="0" w:space="0" w:color="auto"/>
        <w:left w:val="none" w:sz="0" w:space="0" w:color="auto"/>
        <w:bottom w:val="none" w:sz="0" w:space="0" w:color="auto"/>
        <w:right w:val="none" w:sz="0" w:space="0" w:color="auto"/>
      </w:divBdr>
    </w:div>
    <w:div w:id="1543980653">
      <w:bodyDiv w:val="1"/>
      <w:marLeft w:val="0"/>
      <w:marRight w:val="0"/>
      <w:marTop w:val="0"/>
      <w:marBottom w:val="0"/>
      <w:divBdr>
        <w:top w:val="none" w:sz="0" w:space="0" w:color="auto"/>
        <w:left w:val="none" w:sz="0" w:space="0" w:color="auto"/>
        <w:bottom w:val="none" w:sz="0" w:space="0" w:color="auto"/>
        <w:right w:val="none" w:sz="0" w:space="0" w:color="auto"/>
      </w:divBdr>
    </w:div>
    <w:div w:id="1544176008">
      <w:bodyDiv w:val="1"/>
      <w:marLeft w:val="0"/>
      <w:marRight w:val="0"/>
      <w:marTop w:val="0"/>
      <w:marBottom w:val="0"/>
      <w:divBdr>
        <w:top w:val="none" w:sz="0" w:space="0" w:color="auto"/>
        <w:left w:val="none" w:sz="0" w:space="0" w:color="auto"/>
        <w:bottom w:val="none" w:sz="0" w:space="0" w:color="auto"/>
        <w:right w:val="none" w:sz="0" w:space="0" w:color="auto"/>
      </w:divBdr>
    </w:div>
    <w:div w:id="1544515695">
      <w:bodyDiv w:val="1"/>
      <w:marLeft w:val="0"/>
      <w:marRight w:val="0"/>
      <w:marTop w:val="0"/>
      <w:marBottom w:val="0"/>
      <w:divBdr>
        <w:top w:val="none" w:sz="0" w:space="0" w:color="auto"/>
        <w:left w:val="none" w:sz="0" w:space="0" w:color="auto"/>
        <w:bottom w:val="none" w:sz="0" w:space="0" w:color="auto"/>
        <w:right w:val="none" w:sz="0" w:space="0" w:color="auto"/>
      </w:divBdr>
    </w:div>
    <w:div w:id="1545289943">
      <w:bodyDiv w:val="1"/>
      <w:marLeft w:val="0"/>
      <w:marRight w:val="0"/>
      <w:marTop w:val="0"/>
      <w:marBottom w:val="0"/>
      <w:divBdr>
        <w:top w:val="none" w:sz="0" w:space="0" w:color="auto"/>
        <w:left w:val="none" w:sz="0" w:space="0" w:color="auto"/>
        <w:bottom w:val="none" w:sz="0" w:space="0" w:color="auto"/>
        <w:right w:val="none" w:sz="0" w:space="0" w:color="auto"/>
      </w:divBdr>
    </w:div>
    <w:div w:id="1545409719">
      <w:bodyDiv w:val="1"/>
      <w:marLeft w:val="0"/>
      <w:marRight w:val="0"/>
      <w:marTop w:val="0"/>
      <w:marBottom w:val="0"/>
      <w:divBdr>
        <w:top w:val="none" w:sz="0" w:space="0" w:color="auto"/>
        <w:left w:val="none" w:sz="0" w:space="0" w:color="auto"/>
        <w:bottom w:val="none" w:sz="0" w:space="0" w:color="auto"/>
        <w:right w:val="none" w:sz="0" w:space="0" w:color="auto"/>
      </w:divBdr>
    </w:div>
    <w:div w:id="1545562013">
      <w:bodyDiv w:val="1"/>
      <w:marLeft w:val="0"/>
      <w:marRight w:val="0"/>
      <w:marTop w:val="0"/>
      <w:marBottom w:val="0"/>
      <w:divBdr>
        <w:top w:val="none" w:sz="0" w:space="0" w:color="auto"/>
        <w:left w:val="none" w:sz="0" w:space="0" w:color="auto"/>
        <w:bottom w:val="none" w:sz="0" w:space="0" w:color="auto"/>
        <w:right w:val="none" w:sz="0" w:space="0" w:color="auto"/>
      </w:divBdr>
    </w:div>
    <w:div w:id="1547061133">
      <w:bodyDiv w:val="1"/>
      <w:marLeft w:val="0"/>
      <w:marRight w:val="0"/>
      <w:marTop w:val="0"/>
      <w:marBottom w:val="0"/>
      <w:divBdr>
        <w:top w:val="none" w:sz="0" w:space="0" w:color="auto"/>
        <w:left w:val="none" w:sz="0" w:space="0" w:color="auto"/>
        <w:bottom w:val="none" w:sz="0" w:space="0" w:color="auto"/>
        <w:right w:val="none" w:sz="0" w:space="0" w:color="auto"/>
      </w:divBdr>
    </w:div>
    <w:div w:id="1547061544">
      <w:bodyDiv w:val="1"/>
      <w:marLeft w:val="0"/>
      <w:marRight w:val="0"/>
      <w:marTop w:val="0"/>
      <w:marBottom w:val="0"/>
      <w:divBdr>
        <w:top w:val="none" w:sz="0" w:space="0" w:color="auto"/>
        <w:left w:val="none" w:sz="0" w:space="0" w:color="auto"/>
        <w:bottom w:val="none" w:sz="0" w:space="0" w:color="auto"/>
        <w:right w:val="none" w:sz="0" w:space="0" w:color="auto"/>
      </w:divBdr>
    </w:div>
    <w:div w:id="1547839725">
      <w:bodyDiv w:val="1"/>
      <w:marLeft w:val="0"/>
      <w:marRight w:val="0"/>
      <w:marTop w:val="0"/>
      <w:marBottom w:val="0"/>
      <w:divBdr>
        <w:top w:val="none" w:sz="0" w:space="0" w:color="auto"/>
        <w:left w:val="none" w:sz="0" w:space="0" w:color="auto"/>
        <w:bottom w:val="none" w:sz="0" w:space="0" w:color="auto"/>
        <w:right w:val="none" w:sz="0" w:space="0" w:color="auto"/>
      </w:divBdr>
    </w:div>
    <w:div w:id="1548757490">
      <w:bodyDiv w:val="1"/>
      <w:marLeft w:val="0"/>
      <w:marRight w:val="0"/>
      <w:marTop w:val="0"/>
      <w:marBottom w:val="0"/>
      <w:divBdr>
        <w:top w:val="none" w:sz="0" w:space="0" w:color="auto"/>
        <w:left w:val="none" w:sz="0" w:space="0" w:color="auto"/>
        <w:bottom w:val="none" w:sz="0" w:space="0" w:color="auto"/>
        <w:right w:val="none" w:sz="0" w:space="0" w:color="auto"/>
      </w:divBdr>
    </w:div>
    <w:div w:id="1548954609">
      <w:bodyDiv w:val="1"/>
      <w:marLeft w:val="0"/>
      <w:marRight w:val="0"/>
      <w:marTop w:val="0"/>
      <w:marBottom w:val="0"/>
      <w:divBdr>
        <w:top w:val="none" w:sz="0" w:space="0" w:color="auto"/>
        <w:left w:val="none" w:sz="0" w:space="0" w:color="auto"/>
        <w:bottom w:val="none" w:sz="0" w:space="0" w:color="auto"/>
        <w:right w:val="none" w:sz="0" w:space="0" w:color="auto"/>
      </w:divBdr>
    </w:div>
    <w:div w:id="1549685781">
      <w:bodyDiv w:val="1"/>
      <w:marLeft w:val="0"/>
      <w:marRight w:val="0"/>
      <w:marTop w:val="0"/>
      <w:marBottom w:val="0"/>
      <w:divBdr>
        <w:top w:val="none" w:sz="0" w:space="0" w:color="auto"/>
        <w:left w:val="none" w:sz="0" w:space="0" w:color="auto"/>
        <w:bottom w:val="none" w:sz="0" w:space="0" w:color="auto"/>
        <w:right w:val="none" w:sz="0" w:space="0" w:color="auto"/>
      </w:divBdr>
    </w:div>
    <w:div w:id="1552377628">
      <w:bodyDiv w:val="1"/>
      <w:marLeft w:val="0"/>
      <w:marRight w:val="0"/>
      <w:marTop w:val="0"/>
      <w:marBottom w:val="0"/>
      <w:divBdr>
        <w:top w:val="none" w:sz="0" w:space="0" w:color="auto"/>
        <w:left w:val="none" w:sz="0" w:space="0" w:color="auto"/>
        <w:bottom w:val="none" w:sz="0" w:space="0" w:color="auto"/>
        <w:right w:val="none" w:sz="0" w:space="0" w:color="auto"/>
      </w:divBdr>
    </w:div>
    <w:div w:id="1557744675">
      <w:bodyDiv w:val="1"/>
      <w:marLeft w:val="0"/>
      <w:marRight w:val="0"/>
      <w:marTop w:val="0"/>
      <w:marBottom w:val="0"/>
      <w:divBdr>
        <w:top w:val="none" w:sz="0" w:space="0" w:color="auto"/>
        <w:left w:val="none" w:sz="0" w:space="0" w:color="auto"/>
        <w:bottom w:val="none" w:sz="0" w:space="0" w:color="auto"/>
        <w:right w:val="none" w:sz="0" w:space="0" w:color="auto"/>
      </w:divBdr>
    </w:div>
    <w:div w:id="1559172496">
      <w:bodyDiv w:val="1"/>
      <w:marLeft w:val="0"/>
      <w:marRight w:val="0"/>
      <w:marTop w:val="0"/>
      <w:marBottom w:val="0"/>
      <w:divBdr>
        <w:top w:val="none" w:sz="0" w:space="0" w:color="auto"/>
        <w:left w:val="none" w:sz="0" w:space="0" w:color="auto"/>
        <w:bottom w:val="none" w:sz="0" w:space="0" w:color="auto"/>
        <w:right w:val="none" w:sz="0" w:space="0" w:color="auto"/>
      </w:divBdr>
    </w:div>
    <w:div w:id="1560703916">
      <w:bodyDiv w:val="1"/>
      <w:marLeft w:val="0"/>
      <w:marRight w:val="0"/>
      <w:marTop w:val="0"/>
      <w:marBottom w:val="0"/>
      <w:divBdr>
        <w:top w:val="none" w:sz="0" w:space="0" w:color="auto"/>
        <w:left w:val="none" w:sz="0" w:space="0" w:color="auto"/>
        <w:bottom w:val="none" w:sz="0" w:space="0" w:color="auto"/>
        <w:right w:val="none" w:sz="0" w:space="0" w:color="auto"/>
      </w:divBdr>
    </w:div>
    <w:div w:id="1561790575">
      <w:bodyDiv w:val="1"/>
      <w:marLeft w:val="0"/>
      <w:marRight w:val="0"/>
      <w:marTop w:val="0"/>
      <w:marBottom w:val="0"/>
      <w:divBdr>
        <w:top w:val="none" w:sz="0" w:space="0" w:color="auto"/>
        <w:left w:val="none" w:sz="0" w:space="0" w:color="auto"/>
        <w:bottom w:val="none" w:sz="0" w:space="0" w:color="auto"/>
        <w:right w:val="none" w:sz="0" w:space="0" w:color="auto"/>
      </w:divBdr>
    </w:div>
    <w:div w:id="1565944439">
      <w:bodyDiv w:val="1"/>
      <w:marLeft w:val="0"/>
      <w:marRight w:val="0"/>
      <w:marTop w:val="0"/>
      <w:marBottom w:val="0"/>
      <w:divBdr>
        <w:top w:val="none" w:sz="0" w:space="0" w:color="auto"/>
        <w:left w:val="none" w:sz="0" w:space="0" w:color="auto"/>
        <w:bottom w:val="none" w:sz="0" w:space="0" w:color="auto"/>
        <w:right w:val="none" w:sz="0" w:space="0" w:color="auto"/>
      </w:divBdr>
    </w:div>
    <w:div w:id="1566064081">
      <w:bodyDiv w:val="1"/>
      <w:marLeft w:val="0"/>
      <w:marRight w:val="0"/>
      <w:marTop w:val="0"/>
      <w:marBottom w:val="0"/>
      <w:divBdr>
        <w:top w:val="none" w:sz="0" w:space="0" w:color="auto"/>
        <w:left w:val="none" w:sz="0" w:space="0" w:color="auto"/>
        <w:bottom w:val="none" w:sz="0" w:space="0" w:color="auto"/>
        <w:right w:val="none" w:sz="0" w:space="0" w:color="auto"/>
      </w:divBdr>
    </w:div>
    <w:div w:id="1567061331">
      <w:bodyDiv w:val="1"/>
      <w:marLeft w:val="0"/>
      <w:marRight w:val="0"/>
      <w:marTop w:val="0"/>
      <w:marBottom w:val="0"/>
      <w:divBdr>
        <w:top w:val="none" w:sz="0" w:space="0" w:color="auto"/>
        <w:left w:val="none" w:sz="0" w:space="0" w:color="auto"/>
        <w:bottom w:val="none" w:sz="0" w:space="0" w:color="auto"/>
        <w:right w:val="none" w:sz="0" w:space="0" w:color="auto"/>
      </w:divBdr>
    </w:div>
    <w:div w:id="1567717220">
      <w:bodyDiv w:val="1"/>
      <w:marLeft w:val="0"/>
      <w:marRight w:val="0"/>
      <w:marTop w:val="0"/>
      <w:marBottom w:val="0"/>
      <w:divBdr>
        <w:top w:val="none" w:sz="0" w:space="0" w:color="auto"/>
        <w:left w:val="none" w:sz="0" w:space="0" w:color="auto"/>
        <w:bottom w:val="none" w:sz="0" w:space="0" w:color="auto"/>
        <w:right w:val="none" w:sz="0" w:space="0" w:color="auto"/>
      </w:divBdr>
    </w:div>
    <w:div w:id="1569460589">
      <w:bodyDiv w:val="1"/>
      <w:marLeft w:val="0"/>
      <w:marRight w:val="0"/>
      <w:marTop w:val="0"/>
      <w:marBottom w:val="0"/>
      <w:divBdr>
        <w:top w:val="none" w:sz="0" w:space="0" w:color="auto"/>
        <w:left w:val="none" w:sz="0" w:space="0" w:color="auto"/>
        <w:bottom w:val="none" w:sz="0" w:space="0" w:color="auto"/>
        <w:right w:val="none" w:sz="0" w:space="0" w:color="auto"/>
      </w:divBdr>
    </w:div>
    <w:div w:id="1570536976">
      <w:bodyDiv w:val="1"/>
      <w:marLeft w:val="0"/>
      <w:marRight w:val="0"/>
      <w:marTop w:val="0"/>
      <w:marBottom w:val="0"/>
      <w:divBdr>
        <w:top w:val="none" w:sz="0" w:space="0" w:color="auto"/>
        <w:left w:val="none" w:sz="0" w:space="0" w:color="auto"/>
        <w:bottom w:val="none" w:sz="0" w:space="0" w:color="auto"/>
        <w:right w:val="none" w:sz="0" w:space="0" w:color="auto"/>
      </w:divBdr>
    </w:div>
    <w:div w:id="1574200348">
      <w:bodyDiv w:val="1"/>
      <w:marLeft w:val="0"/>
      <w:marRight w:val="0"/>
      <w:marTop w:val="0"/>
      <w:marBottom w:val="0"/>
      <w:divBdr>
        <w:top w:val="none" w:sz="0" w:space="0" w:color="auto"/>
        <w:left w:val="none" w:sz="0" w:space="0" w:color="auto"/>
        <w:bottom w:val="none" w:sz="0" w:space="0" w:color="auto"/>
        <w:right w:val="none" w:sz="0" w:space="0" w:color="auto"/>
      </w:divBdr>
    </w:div>
    <w:div w:id="1575630305">
      <w:bodyDiv w:val="1"/>
      <w:marLeft w:val="0"/>
      <w:marRight w:val="0"/>
      <w:marTop w:val="0"/>
      <w:marBottom w:val="0"/>
      <w:divBdr>
        <w:top w:val="none" w:sz="0" w:space="0" w:color="auto"/>
        <w:left w:val="none" w:sz="0" w:space="0" w:color="auto"/>
        <w:bottom w:val="none" w:sz="0" w:space="0" w:color="auto"/>
        <w:right w:val="none" w:sz="0" w:space="0" w:color="auto"/>
      </w:divBdr>
    </w:div>
    <w:div w:id="1576545191">
      <w:bodyDiv w:val="1"/>
      <w:marLeft w:val="0"/>
      <w:marRight w:val="0"/>
      <w:marTop w:val="0"/>
      <w:marBottom w:val="0"/>
      <w:divBdr>
        <w:top w:val="none" w:sz="0" w:space="0" w:color="auto"/>
        <w:left w:val="none" w:sz="0" w:space="0" w:color="auto"/>
        <w:bottom w:val="none" w:sz="0" w:space="0" w:color="auto"/>
        <w:right w:val="none" w:sz="0" w:space="0" w:color="auto"/>
      </w:divBdr>
    </w:div>
    <w:div w:id="1577858260">
      <w:bodyDiv w:val="1"/>
      <w:marLeft w:val="0"/>
      <w:marRight w:val="0"/>
      <w:marTop w:val="0"/>
      <w:marBottom w:val="0"/>
      <w:divBdr>
        <w:top w:val="none" w:sz="0" w:space="0" w:color="auto"/>
        <w:left w:val="none" w:sz="0" w:space="0" w:color="auto"/>
        <w:bottom w:val="none" w:sz="0" w:space="0" w:color="auto"/>
        <w:right w:val="none" w:sz="0" w:space="0" w:color="auto"/>
      </w:divBdr>
    </w:div>
    <w:div w:id="1578592891">
      <w:bodyDiv w:val="1"/>
      <w:marLeft w:val="0"/>
      <w:marRight w:val="0"/>
      <w:marTop w:val="0"/>
      <w:marBottom w:val="0"/>
      <w:divBdr>
        <w:top w:val="none" w:sz="0" w:space="0" w:color="auto"/>
        <w:left w:val="none" w:sz="0" w:space="0" w:color="auto"/>
        <w:bottom w:val="none" w:sz="0" w:space="0" w:color="auto"/>
        <w:right w:val="none" w:sz="0" w:space="0" w:color="auto"/>
      </w:divBdr>
    </w:div>
    <w:div w:id="1579092528">
      <w:bodyDiv w:val="1"/>
      <w:marLeft w:val="0"/>
      <w:marRight w:val="0"/>
      <w:marTop w:val="0"/>
      <w:marBottom w:val="0"/>
      <w:divBdr>
        <w:top w:val="none" w:sz="0" w:space="0" w:color="auto"/>
        <w:left w:val="none" w:sz="0" w:space="0" w:color="auto"/>
        <w:bottom w:val="none" w:sz="0" w:space="0" w:color="auto"/>
        <w:right w:val="none" w:sz="0" w:space="0" w:color="auto"/>
      </w:divBdr>
    </w:div>
    <w:div w:id="1580794554">
      <w:bodyDiv w:val="1"/>
      <w:marLeft w:val="0"/>
      <w:marRight w:val="0"/>
      <w:marTop w:val="0"/>
      <w:marBottom w:val="0"/>
      <w:divBdr>
        <w:top w:val="none" w:sz="0" w:space="0" w:color="auto"/>
        <w:left w:val="none" w:sz="0" w:space="0" w:color="auto"/>
        <w:bottom w:val="none" w:sz="0" w:space="0" w:color="auto"/>
        <w:right w:val="none" w:sz="0" w:space="0" w:color="auto"/>
      </w:divBdr>
    </w:div>
    <w:div w:id="1582368772">
      <w:bodyDiv w:val="1"/>
      <w:marLeft w:val="0"/>
      <w:marRight w:val="0"/>
      <w:marTop w:val="0"/>
      <w:marBottom w:val="0"/>
      <w:divBdr>
        <w:top w:val="none" w:sz="0" w:space="0" w:color="auto"/>
        <w:left w:val="none" w:sz="0" w:space="0" w:color="auto"/>
        <w:bottom w:val="none" w:sz="0" w:space="0" w:color="auto"/>
        <w:right w:val="none" w:sz="0" w:space="0" w:color="auto"/>
      </w:divBdr>
    </w:div>
    <w:div w:id="1582526705">
      <w:bodyDiv w:val="1"/>
      <w:marLeft w:val="0"/>
      <w:marRight w:val="0"/>
      <w:marTop w:val="0"/>
      <w:marBottom w:val="0"/>
      <w:divBdr>
        <w:top w:val="none" w:sz="0" w:space="0" w:color="auto"/>
        <w:left w:val="none" w:sz="0" w:space="0" w:color="auto"/>
        <w:bottom w:val="none" w:sz="0" w:space="0" w:color="auto"/>
        <w:right w:val="none" w:sz="0" w:space="0" w:color="auto"/>
      </w:divBdr>
    </w:div>
    <w:div w:id="1585340055">
      <w:bodyDiv w:val="1"/>
      <w:marLeft w:val="0"/>
      <w:marRight w:val="0"/>
      <w:marTop w:val="0"/>
      <w:marBottom w:val="0"/>
      <w:divBdr>
        <w:top w:val="none" w:sz="0" w:space="0" w:color="auto"/>
        <w:left w:val="none" w:sz="0" w:space="0" w:color="auto"/>
        <w:bottom w:val="none" w:sz="0" w:space="0" w:color="auto"/>
        <w:right w:val="none" w:sz="0" w:space="0" w:color="auto"/>
      </w:divBdr>
    </w:div>
    <w:div w:id="1591739537">
      <w:bodyDiv w:val="1"/>
      <w:marLeft w:val="0"/>
      <w:marRight w:val="0"/>
      <w:marTop w:val="0"/>
      <w:marBottom w:val="0"/>
      <w:divBdr>
        <w:top w:val="none" w:sz="0" w:space="0" w:color="auto"/>
        <w:left w:val="none" w:sz="0" w:space="0" w:color="auto"/>
        <w:bottom w:val="none" w:sz="0" w:space="0" w:color="auto"/>
        <w:right w:val="none" w:sz="0" w:space="0" w:color="auto"/>
      </w:divBdr>
    </w:div>
    <w:div w:id="1597863521">
      <w:bodyDiv w:val="1"/>
      <w:marLeft w:val="0"/>
      <w:marRight w:val="0"/>
      <w:marTop w:val="0"/>
      <w:marBottom w:val="0"/>
      <w:divBdr>
        <w:top w:val="none" w:sz="0" w:space="0" w:color="auto"/>
        <w:left w:val="none" w:sz="0" w:space="0" w:color="auto"/>
        <w:bottom w:val="none" w:sz="0" w:space="0" w:color="auto"/>
        <w:right w:val="none" w:sz="0" w:space="0" w:color="auto"/>
      </w:divBdr>
    </w:div>
    <w:div w:id="1600215314">
      <w:bodyDiv w:val="1"/>
      <w:marLeft w:val="0"/>
      <w:marRight w:val="0"/>
      <w:marTop w:val="0"/>
      <w:marBottom w:val="0"/>
      <w:divBdr>
        <w:top w:val="none" w:sz="0" w:space="0" w:color="auto"/>
        <w:left w:val="none" w:sz="0" w:space="0" w:color="auto"/>
        <w:bottom w:val="none" w:sz="0" w:space="0" w:color="auto"/>
        <w:right w:val="none" w:sz="0" w:space="0" w:color="auto"/>
      </w:divBdr>
    </w:div>
    <w:div w:id="1602033456">
      <w:bodyDiv w:val="1"/>
      <w:marLeft w:val="0"/>
      <w:marRight w:val="0"/>
      <w:marTop w:val="0"/>
      <w:marBottom w:val="0"/>
      <w:divBdr>
        <w:top w:val="none" w:sz="0" w:space="0" w:color="auto"/>
        <w:left w:val="none" w:sz="0" w:space="0" w:color="auto"/>
        <w:bottom w:val="none" w:sz="0" w:space="0" w:color="auto"/>
        <w:right w:val="none" w:sz="0" w:space="0" w:color="auto"/>
      </w:divBdr>
    </w:div>
    <w:div w:id="1602757381">
      <w:bodyDiv w:val="1"/>
      <w:marLeft w:val="0"/>
      <w:marRight w:val="0"/>
      <w:marTop w:val="0"/>
      <w:marBottom w:val="0"/>
      <w:divBdr>
        <w:top w:val="none" w:sz="0" w:space="0" w:color="auto"/>
        <w:left w:val="none" w:sz="0" w:space="0" w:color="auto"/>
        <w:bottom w:val="none" w:sz="0" w:space="0" w:color="auto"/>
        <w:right w:val="none" w:sz="0" w:space="0" w:color="auto"/>
      </w:divBdr>
    </w:div>
    <w:div w:id="1603489035">
      <w:bodyDiv w:val="1"/>
      <w:marLeft w:val="0"/>
      <w:marRight w:val="0"/>
      <w:marTop w:val="0"/>
      <w:marBottom w:val="0"/>
      <w:divBdr>
        <w:top w:val="none" w:sz="0" w:space="0" w:color="auto"/>
        <w:left w:val="none" w:sz="0" w:space="0" w:color="auto"/>
        <w:bottom w:val="none" w:sz="0" w:space="0" w:color="auto"/>
        <w:right w:val="none" w:sz="0" w:space="0" w:color="auto"/>
      </w:divBdr>
    </w:div>
    <w:div w:id="1603994879">
      <w:bodyDiv w:val="1"/>
      <w:marLeft w:val="0"/>
      <w:marRight w:val="0"/>
      <w:marTop w:val="0"/>
      <w:marBottom w:val="0"/>
      <w:divBdr>
        <w:top w:val="none" w:sz="0" w:space="0" w:color="auto"/>
        <w:left w:val="none" w:sz="0" w:space="0" w:color="auto"/>
        <w:bottom w:val="none" w:sz="0" w:space="0" w:color="auto"/>
        <w:right w:val="none" w:sz="0" w:space="0" w:color="auto"/>
      </w:divBdr>
    </w:div>
    <w:div w:id="1605069408">
      <w:bodyDiv w:val="1"/>
      <w:marLeft w:val="0"/>
      <w:marRight w:val="0"/>
      <w:marTop w:val="0"/>
      <w:marBottom w:val="0"/>
      <w:divBdr>
        <w:top w:val="none" w:sz="0" w:space="0" w:color="auto"/>
        <w:left w:val="none" w:sz="0" w:space="0" w:color="auto"/>
        <w:bottom w:val="none" w:sz="0" w:space="0" w:color="auto"/>
        <w:right w:val="none" w:sz="0" w:space="0" w:color="auto"/>
      </w:divBdr>
    </w:div>
    <w:div w:id="1605306956">
      <w:bodyDiv w:val="1"/>
      <w:marLeft w:val="0"/>
      <w:marRight w:val="0"/>
      <w:marTop w:val="0"/>
      <w:marBottom w:val="0"/>
      <w:divBdr>
        <w:top w:val="none" w:sz="0" w:space="0" w:color="auto"/>
        <w:left w:val="none" w:sz="0" w:space="0" w:color="auto"/>
        <w:bottom w:val="none" w:sz="0" w:space="0" w:color="auto"/>
        <w:right w:val="none" w:sz="0" w:space="0" w:color="auto"/>
      </w:divBdr>
    </w:div>
    <w:div w:id="1606227865">
      <w:bodyDiv w:val="1"/>
      <w:marLeft w:val="0"/>
      <w:marRight w:val="0"/>
      <w:marTop w:val="0"/>
      <w:marBottom w:val="0"/>
      <w:divBdr>
        <w:top w:val="none" w:sz="0" w:space="0" w:color="auto"/>
        <w:left w:val="none" w:sz="0" w:space="0" w:color="auto"/>
        <w:bottom w:val="none" w:sz="0" w:space="0" w:color="auto"/>
        <w:right w:val="none" w:sz="0" w:space="0" w:color="auto"/>
      </w:divBdr>
    </w:div>
    <w:div w:id="1607039995">
      <w:bodyDiv w:val="1"/>
      <w:marLeft w:val="0"/>
      <w:marRight w:val="0"/>
      <w:marTop w:val="0"/>
      <w:marBottom w:val="0"/>
      <w:divBdr>
        <w:top w:val="none" w:sz="0" w:space="0" w:color="auto"/>
        <w:left w:val="none" w:sz="0" w:space="0" w:color="auto"/>
        <w:bottom w:val="none" w:sz="0" w:space="0" w:color="auto"/>
        <w:right w:val="none" w:sz="0" w:space="0" w:color="auto"/>
      </w:divBdr>
    </w:div>
    <w:div w:id="1607538029">
      <w:bodyDiv w:val="1"/>
      <w:marLeft w:val="0"/>
      <w:marRight w:val="0"/>
      <w:marTop w:val="0"/>
      <w:marBottom w:val="0"/>
      <w:divBdr>
        <w:top w:val="none" w:sz="0" w:space="0" w:color="auto"/>
        <w:left w:val="none" w:sz="0" w:space="0" w:color="auto"/>
        <w:bottom w:val="none" w:sz="0" w:space="0" w:color="auto"/>
        <w:right w:val="none" w:sz="0" w:space="0" w:color="auto"/>
      </w:divBdr>
    </w:div>
    <w:div w:id="1609316350">
      <w:bodyDiv w:val="1"/>
      <w:marLeft w:val="0"/>
      <w:marRight w:val="0"/>
      <w:marTop w:val="0"/>
      <w:marBottom w:val="0"/>
      <w:divBdr>
        <w:top w:val="none" w:sz="0" w:space="0" w:color="auto"/>
        <w:left w:val="none" w:sz="0" w:space="0" w:color="auto"/>
        <w:bottom w:val="none" w:sz="0" w:space="0" w:color="auto"/>
        <w:right w:val="none" w:sz="0" w:space="0" w:color="auto"/>
      </w:divBdr>
    </w:div>
    <w:div w:id="1611162452">
      <w:bodyDiv w:val="1"/>
      <w:marLeft w:val="0"/>
      <w:marRight w:val="0"/>
      <w:marTop w:val="0"/>
      <w:marBottom w:val="0"/>
      <w:divBdr>
        <w:top w:val="none" w:sz="0" w:space="0" w:color="auto"/>
        <w:left w:val="none" w:sz="0" w:space="0" w:color="auto"/>
        <w:bottom w:val="none" w:sz="0" w:space="0" w:color="auto"/>
        <w:right w:val="none" w:sz="0" w:space="0" w:color="auto"/>
      </w:divBdr>
    </w:div>
    <w:div w:id="1614094252">
      <w:bodyDiv w:val="1"/>
      <w:marLeft w:val="0"/>
      <w:marRight w:val="0"/>
      <w:marTop w:val="0"/>
      <w:marBottom w:val="0"/>
      <w:divBdr>
        <w:top w:val="none" w:sz="0" w:space="0" w:color="auto"/>
        <w:left w:val="none" w:sz="0" w:space="0" w:color="auto"/>
        <w:bottom w:val="none" w:sz="0" w:space="0" w:color="auto"/>
        <w:right w:val="none" w:sz="0" w:space="0" w:color="auto"/>
      </w:divBdr>
    </w:div>
    <w:div w:id="1619020178">
      <w:bodyDiv w:val="1"/>
      <w:marLeft w:val="0"/>
      <w:marRight w:val="0"/>
      <w:marTop w:val="0"/>
      <w:marBottom w:val="0"/>
      <w:divBdr>
        <w:top w:val="none" w:sz="0" w:space="0" w:color="auto"/>
        <w:left w:val="none" w:sz="0" w:space="0" w:color="auto"/>
        <w:bottom w:val="none" w:sz="0" w:space="0" w:color="auto"/>
        <w:right w:val="none" w:sz="0" w:space="0" w:color="auto"/>
      </w:divBdr>
    </w:div>
    <w:div w:id="1620068593">
      <w:bodyDiv w:val="1"/>
      <w:marLeft w:val="0"/>
      <w:marRight w:val="0"/>
      <w:marTop w:val="0"/>
      <w:marBottom w:val="0"/>
      <w:divBdr>
        <w:top w:val="none" w:sz="0" w:space="0" w:color="auto"/>
        <w:left w:val="none" w:sz="0" w:space="0" w:color="auto"/>
        <w:bottom w:val="none" w:sz="0" w:space="0" w:color="auto"/>
        <w:right w:val="none" w:sz="0" w:space="0" w:color="auto"/>
      </w:divBdr>
    </w:div>
    <w:div w:id="1621690252">
      <w:bodyDiv w:val="1"/>
      <w:marLeft w:val="0"/>
      <w:marRight w:val="0"/>
      <w:marTop w:val="0"/>
      <w:marBottom w:val="0"/>
      <w:divBdr>
        <w:top w:val="none" w:sz="0" w:space="0" w:color="auto"/>
        <w:left w:val="none" w:sz="0" w:space="0" w:color="auto"/>
        <w:bottom w:val="none" w:sz="0" w:space="0" w:color="auto"/>
        <w:right w:val="none" w:sz="0" w:space="0" w:color="auto"/>
      </w:divBdr>
    </w:div>
    <w:div w:id="1627471140">
      <w:bodyDiv w:val="1"/>
      <w:marLeft w:val="0"/>
      <w:marRight w:val="0"/>
      <w:marTop w:val="0"/>
      <w:marBottom w:val="0"/>
      <w:divBdr>
        <w:top w:val="none" w:sz="0" w:space="0" w:color="auto"/>
        <w:left w:val="none" w:sz="0" w:space="0" w:color="auto"/>
        <w:bottom w:val="none" w:sz="0" w:space="0" w:color="auto"/>
        <w:right w:val="none" w:sz="0" w:space="0" w:color="auto"/>
      </w:divBdr>
    </w:div>
    <w:div w:id="1630669419">
      <w:bodyDiv w:val="1"/>
      <w:marLeft w:val="0"/>
      <w:marRight w:val="0"/>
      <w:marTop w:val="0"/>
      <w:marBottom w:val="0"/>
      <w:divBdr>
        <w:top w:val="none" w:sz="0" w:space="0" w:color="auto"/>
        <w:left w:val="none" w:sz="0" w:space="0" w:color="auto"/>
        <w:bottom w:val="none" w:sz="0" w:space="0" w:color="auto"/>
        <w:right w:val="none" w:sz="0" w:space="0" w:color="auto"/>
      </w:divBdr>
    </w:div>
    <w:div w:id="1633435437">
      <w:bodyDiv w:val="1"/>
      <w:marLeft w:val="0"/>
      <w:marRight w:val="0"/>
      <w:marTop w:val="0"/>
      <w:marBottom w:val="0"/>
      <w:divBdr>
        <w:top w:val="none" w:sz="0" w:space="0" w:color="auto"/>
        <w:left w:val="none" w:sz="0" w:space="0" w:color="auto"/>
        <w:bottom w:val="none" w:sz="0" w:space="0" w:color="auto"/>
        <w:right w:val="none" w:sz="0" w:space="0" w:color="auto"/>
      </w:divBdr>
    </w:div>
    <w:div w:id="1633513994">
      <w:bodyDiv w:val="1"/>
      <w:marLeft w:val="0"/>
      <w:marRight w:val="0"/>
      <w:marTop w:val="0"/>
      <w:marBottom w:val="0"/>
      <w:divBdr>
        <w:top w:val="none" w:sz="0" w:space="0" w:color="auto"/>
        <w:left w:val="none" w:sz="0" w:space="0" w:color="auto"/>
        <w:bottom w:val="none" w:sz="0" w:space="0" w:color="auto"/>
        <w:right w:val="none" w:sz="0" w:space="0" w:color="auto"/>
      </w:divBdr>
    </w:div>
    <w:div w:id="1633946487">
      <w:bodyDiv w:val="1"/>
      <w:marLeft w:val="0"/>
      <w:marRight w:val="0"/>
      <w:marTop w:val="0"/>
      <w:marBottom w:val="0"/>
      <w:divBdr>
        <w:top w:val="none" w:sz="0" w:space="0" w:color="auto"/>
        <w:left w:val="none" w:sz="0" w:space="0" w:color="auto"/>
        <w:bottom w:val="none" w:sz="0" w:space="0" w:color="auto"/>
        <w:right w:val="none" w:sz="0" w:space="0" w:color="auto"/>
      </w:divBdr>
    </w:div>
    <w:div w:id="1634486342">
      <w:bodyDiv w:val="1"/>
      <w:marLeft w:val="0"/>
      <w:marRight w:val="0"/>
      <w:marTop w:val="0"/>
      <w:marBottom w:val="0"/>
      <w:divBdr>
        <w:top w:val="none" w:sz="0" w:space="0" w:color="auto"/>
        <w:left w:val="none" w:sz="0" w:space="0" w:color="auto"/>
        <w:bottom w:val="none" w:sz="0" w:space="0" w:color="auto"/>
        <w:right w:val="none" w:sz="0" w:space="0" w:color="auto"/>
      </w:divBdr>
    </w:div>
    <w:div w:id="1634751004">
      <w:bodyDiv w:val="1"/>
      <w:marLeft w:val="0"/>
      <w:marRight w:val="0"/>
      <w:marTop w:val="0"/>
      <w:marBottom w:val="0"/>
      <w:divBdr>
        <w:top w:val="none" w:sz="0" w:space="0" w:color="auto"/>
        <w:left w:val="none" w:sz="0" w:space="0" w:color="auto"/>
        <w:bottom w:val="none" w:sz="0" w:space="0" w:color="auto"/>
        <w:right w:val="none" w:sz="0" w:space="0" w:color="auto"/>
      </w:divBdr>
    </w:div>
    <w:div w:id="1636715672">
      <w:bodyDiv w:val="1"/>
      <w:marLeft w:val="0"/>
      <w:marRight w:val="0"/>
      <w:marTop w:val="0"/>
      <w:marBottom w:val="0"/>
      <w:divBdr>
        <w:top w:val="none" w:sz="0" w:space="0" w:color="auto"/>
        <w:left w:val="none" w:sz="0" w:space="0" w:color="auto"/>
        <w:bottom w:val="none" w:sz="0" w:space="0" w:color="auto"/>
        <w:right w:val="none" w:sz="0" w:space="0" w:color="auto"/>
      </w:divBdr>
    </w:div>
    <w:div w:id="1638684583">
      <w:bodyDiv w:val="1"/>
      <w:marLeft w:val="0"/>
      <w:marRight w:val="0"/>
      <w:marTop w:val="0"/>
      <w:marBottom w:val="0"/>
      <w:divBdr>
        <w:top w:val="none" w:sz="0" w:space="0" w:color="auto"/>
        <w:left w:val="none" w:sz="0" w:space="0" w:color="auto"/>
        <w:bottom w:val="none" w:sz="0" w:space="0" w:color="auto"/>
        <w:right w:val="none" w:sz="0" w:space="0" w:color="auto"/>
      </w:divBdr>
    </w:div>
    <w:div w:id="1639801336">
      <w:bodyDiv w:val="1"/>
      <w:marLeft w:val="0"/>
      <w:marRight w:val="0"/>
      <w:marTop w:val="0"/>
      <w:marBottom w:val="0"/>
      <w:divBdr>
        <w:top w:val="none" w:sz="0" w:space="0" w:color="auto"/>
        <w:left w:val="none" w:sz="0" w:space="0" w:color="auto"/>
        <w:bottom w:val="none" w:sz="0" w:space="0" w:color="auto"/>
        <w:right w:val="none" w:sz="0" w:space="0" w:color="auto"/>
      </w:divBdr>
    </w:div>
    <w:div w:id="1640763772">
      <w:bodyDiv w:val="1"/>
      <w:marLeft w:val="0"/>
      <w:marRight w:val="0"/>
      <w:marTop w:val="0"/>
      <w:marBottom w:val="0"/>
      <w:divBdr>
        <w:top w:val="none" w:sz="0" w:space="0" w:color="auto"/>
        <w:left w:val="none" w:sz="0" w:space="0" w:color="auto"/>
        <w:bottom w:val="none" w:sz="0" w:space="0" w:color="auto"/>
        <w:right w:val="none" w:sz="0" w:space="0" w:color="auto"/>
      </w:divBdr>
    </w:div>
    <w:div w:id="1641494186">
      <w:bodyDiv w:val="1"/>
      <w:marLeft w:val="0"/>
      <w:marRight w:val="0"/>
      <w:marTop w:val="0"/>
      <w:marBottom w:val="0"/>
      <w:divBdr>
        <w:top w:val="none" w:sz="0" w:space="0" w:color="auto"/>
        <w:left w:val="none" w:sz="0" w:space="0" w:color="auto"/>
        <w:bottom w:val="none" w:sz="0" w:space="0" w:color="auto"/>
        <w:right w:val="none" w:sz="0" w:space="0" w:color="auto"/>
      </w:divBdr>
    </w:div>
    <w:div w:id="1642274601">
      <w:bodyDiv w:val="1"/>
      <w:marLeft w:val="0"/>
      <w:marRight w:val="0"/>
      <w:marTop w:val="0"/>
      <w:marBottom w:val="0"/>
      <w:divBdr>
        <w:top w:val="none" w:sz="0" w:space="0" w:color="auto"/>
        <w:left w:val="none" w:sz="0" w:space="0" w:color="auto"/>
        <w:bottom w:val="none" w:sz="0" w:space="0" w:color="auto"/>
        <w:right w:val="none" w:sz="0" w:space="0" w:color="auto"/>
      </w:divBdr>
    </w:div>
    <w:div w:id="1643775987">
      <w:bodyDiv w:val="1"/>
      <w:marLeft w:val="0"/>
      <w:marRight w:val="0"/>
      <w:marTop w:val="0"/>
      <w:marBottom w:val="0"/>
      <w:divBdr>
        <w:top w:val="none" w:sz="0" w:space="0" w:color="auto"/>
        <w:left w:val="none" w:sz="0" w:space="0" w:color="auto"/>
        <w:bottom w:val="none" w:sz="0" w:space="0" w:color="auto"/>
        <w:right w:val="none" w:sz="0" w:space="0" w:color="auto"/>
      </w:divBdr>
    </w:div>
    <w:div w:id="1645574860">
      <w:bodyDiv w:val="1"/>
      <w:marLeft w:val="0"/>
      <w:marRight w:val="0"/>
      <w:marTop w:val="0"/>
      <w:marBottom w:val="0"/>
      <w:divBdr>
        <w:top w:val="none" w:sz="0" w:space="0" w:color="auto"/>
        <w:left w:val="none" w:sz="0" w:space="0" w:color="auto"/>
        <w:bottom w:val="none" w:sz="0" w:space="0" w:color="auto"/>
        <w:right w:val="none" w:sz="0" w:space="0" w:color="auto"/>
      </w:divBdr>
    </w:div>
    <w:div w:id="1645741746">
      <w:bodyDiv w:val="1"/>
      <w:marLeft w:val="0"/>
      <w:marRight w:val="0"/>
      <w:marTop w:val="0"/>
      <w:marBottom w:val="0"/>
      <w:divBdr>
        <w:top w:val="none" w:sz="0" w:space="0" w:color="auto"/>
        <w:left w:val="none" w:sz="0" w:space="0" w:color="auto"/>
        <w:bottom w:val="none" w:sz="0" w:space="0" w:color="auto"/>
        <w:right w:val="none" w:sz="0" w:space="0" w:color="auto"/>
      </w:divBdr>
    </w:div>
    <w:div w:id="1647202244">
      <w:bodyDiv w:val="1"/>
      <w:marLeft w:val="0"/>
      <w:marRight w:val="0"/>
      <w:marTop w:val="0"/>
      <w:marBottom w:val="0"/>
      <w:divBdr>
        <w:top w:val="none" w:sz="0" w:space="0" w:color="auto"/>
        <w:left w:val="none" w:sz="0" w:space="0" w:color="auto"/>
        <w:bottom w:val="none" w:sz="0" w:space="0" w:color="auto"/>
        <w:right w:val="none" w:sz="0" w:space="0" w:color="auto"/>
      </w:divBdr>
    </w:div>
    <w:div w:id="1649045680">
      <w:bodyDiv w:val="1"/>
      <w:marLeft w:val="0"/>
      <w:marRight w:val="0"/>
      <w:marTop w:val="0"/>
      <w:marBottom w:val="0"/>
      <w:divBdr>
        <w:top w:val="none" w:sz="0" w:space="0" w:color="auto"/>
        <w:left w:val="none" w:sz="0" w:space="0" w:color="auto"/>
        <w:bottom w:val="none" w:sz="0" w:space="0" w:color="auto"/>
        <w:right w:val="none" w:sz="0" w:space="0" w:color="auto"/>
      </w:divBdr>
    </w:div>
    <w:div w:id="1649237877">
      <w:bodyDiv w:val="1"/>
      <w:marLeft w:val="0"/>
      <w:marRight w:val="0"/>
      <w:marTop w:val="0"/>
      <w:marBottom w:val="0"/>
      <w:divBdr>
        <w:top w:val="none" w:sz="0" w:space="0" w:color="auto"/>
        <w:left w:val="none" w:sz="0" w:space="0" w:color="auto"/>
        <w:bottom w:val="none" w:sz="0" w:space="0" w:color="auto"/>
        <w:right w:val="none" w:sz="0" w:space="0" w:color="auto"/>
      </w:divBdr>
    </w:div>
    <w:div w:id="1649549177">
      <w:bodyDiv w:val="1"/>
      <w:marLeft w:val="0"/>
      <w:marRight w:val="0"/>
      <w:marTop w:val="0"/>
      <w:marBottom w:val="0"/>
      <w:divBdr>
        <w:top w:val="none" w:sz="0" w:space="0" w:color="auto"/>
        <w:left w:val="none" w:sz="0" w:space="0" w:color="auto"/>
        <w:bottom w:val="none" w:sz="0" w:space="0" w:color="auto"/>
        <w:right w:val="none" w:sz="0" w:space="0" w:color="auto"/>
      </w:divBdr>
    </w:div>
    <w:div w:id="1649896079">
      <w:bodyDiv w:val="1"/>
      <w:marLeft w:val="0"/>
      <w:marRight w:val="0"/>
      <w:marTop w:val="0"/>
      <w:marBottom w:val="0"/>
      <w:divBdr>
        <w:top w:val="none" w:sz="0" w:space="0" w:color="auto"/>
        <w:left w:val="none" w:sz="0" w:space="0" w:color="auto"/>
        <w:bottom w:val="none" w:sz="0" w:space="0" w:color="auto"/>
        <w:right w:val="none" w:sz="0" w:space="0" w:color="auto"/>
      </w:divBdr>
    </w:div>
    <w:div w:id="1650556302">
      <w:bodyDiv w:val="1"/>
      <w:marLeft w:val="0"/>
      <w:marRight w:val="0"/>
      <w:marTop w:val="0"/>
      <w:marBottom w:val="0"/>
      <w:divBdr>
        <w:top w:val="none" w:sz="0" w:space="0" w:color="auto"/>
        <w:left w:val="none" w:sz="0" w:space="0" w:color="auto"/>
        <w:bottom w:val="none" w:sz="0" w:space="0" w:color="auto"/>
        <w:right w:val="none" w:sz="0" w:space="0" w:color="auto"/>
      </w:divBdr>
    </w:div>
    <w:div w:id="1651179655">
      <w:bodyDiv w:val="1"/>
      <w:marLeft w:val="0"/>
      <w:marRight w:val="0"/>
      <w:marTop w:val="0"/>
      <w:marBottom w:val="0"/>
      <w:divBdr>
        <w:top w:val="none" w:sz="0" w:space="0" w:color="auto"/>
        <w:left w:val="none" w:sz="0" w:space="0" w:color="auto"/>
        <w:bottom w:val="none" w:sz="0" w:space="0" w:color="auto"/>
        <w:right w:val="none" w:sz="0" w:space="0" w:color="auto"/>
      </w:divBdr>
    </w:div>
    <w:div w:id="1653677456">
      <w:bodyDiv w:val="1"/>
      <w:marLeft w:val="0"/>
      <w:marRight w:val="0"/>
      <w:marTop w:val="0"/>
      <w:marBottom w:val="0"/>
      <w:divBdr>
        <w:top w:val="none" w:sz="0" w:space="0" w:color="auto"/>
        <w:left w:val="none" w:sz="0" w:space="0" w:color="auto"/>
        <w:bottom w:val="none" w:sz="0" w:space="0" w:color="auto"/>
        <w:right w:val="none" w:sz="0" w:space="0" w:color="auto"/>
      </w:divBdr>
    </w:div>
    <w:div w:id="1654067896">
      <w:bodyDiv w:val="1"/>
      <w:marLeft w:val="0"/>
      <w:marRight w:val="0"/>
      <w:marTop w:val="0"/>
      <w:marBottom w:val="0"/>
      <w:divBdr>
        <w:top w:val="none" w:sz="0" w:space="0" w:color="auto"/>
        <w:left w:val="none" w:sz="0" w:space="0" w:color="auto"/>
        <w:bottom w:val="none" w:sz="0" w:space="0" w:color="auto"/>
        <w:right w:val="none" w:sz="0" w:space="0" w:color="auto"/>
      </w:divBdr>
    </w:div>
    <w:div w:id="1654606441">
      <w:bodyDiv w:val="1"/>
      <w:marLeft w:val="0"/>
      <w:marRight w:val="0"/>
      <w:marTop w:val="0"/>
      <w:marBottom w:val="0"/>
      <w:divBdr>
        <w:top w:val="none" w:sz="0" w:space="0" w:color="auto"/>
        <w:left w:val="none" w:sz="0" w:space="0" w:color="auto"/>
        <w:bottom w:val="none" w:sz="0" w:space="0" w:color="auto"/>
        <w:right w:val="none" w:sz="0" w:space="0" w:color="auto"/>
      </w:divBdr>
      <w:divsChild>
        <w:div w:id="456722378">
          <w:marLeft w:val="0"/>
          <w:marRight w:val="0"/>
          <w:marTop w:val="0"/>
          <w:marBottom w:val="0"/>
          <w:divBdr>
            <w:top w:val="none" w:sz="0" w:space="0" w:color="auto"/>
            <w:left w:val="none" w:sz="0" w:space="0" w:color="auto"/>
            <w:bottom w:val="none" w:sz="0" w:space="0" w:color="auto"/>
            <w:right w:val="none" w:sz="0" w:space="0" w:color="auto"/>
          </w:divBdr>
        </w:div>
        <w:div w:id="1726297763">
          <w:marLeft w:val="0"/>
          <w:marRight w:val="0"/>
          <w:marTop w:val="0"/>
          <w:marBottom w:val="0"/>
          <w:divBdr>
            <w:top w:val="none" w:sz="0" w:space="0" w:color="auto"/>
            <w:left w:val="none" w:sz="0" w:space="0" w:color="auto"/>
            <w:bottom w:val="none" w:sz="0" w:space="0" w:color="auto"/>
            <w:right w:val="none" w:sz="0" w:space="0" w:color="auto"/>
          </w:divBdr>
        </w:div>
      </w:divsChild>
    </w:div>
    <w:div w:id="1654944091">
      <w:bodyDiv w:val="1"/>
      <w:marLeft w:val="0"/>
      <w:marRight w:val="0"/>
      <w:marTop w:val="0"/>
      <w:marBottom w:val="0"/>
      <w:divBdr>
        <w:top w:val="none" w:sz="0" w:space="0" w:color="auto"/>
        <w:left w:val="none" w:sz="0" w:space="0" w:color="auto"/>
        <w:bottom w:val="none" w:sz="0" w:space="0" w:color="auto"/>
        <w:right w:val="none" w:sz="0" w:space="0" w:color="auto"/>
      </w:divBdr>
    </w:div>
    <w:div w:id="1655603093">
      <w:bodyDiv w:val="1"/>
      <w:marLeft w:val="0"/>
      <w:marRight w:val="0"/>
      <w:marTop w:val="0"/>
      <w:marBottom w:val="0"/>
      <w:divBdr>
        <w:top w:val="none" w:sz="0" w:space="0" w:color="auto"/>
        <w:left w:val="none" w:sz="0" w:space="0" w:color="auto"/>
        <w:bottom w:val="none" w:sz="0" w:space="0" w:color="auto"/>
        <w:right w:val="none" w:sz="0" w:space="0" w:color="auto"/>
      </w:divBdr>
    </w:div>
    <w:div w:id="1655724195">
      <w:bodyDiv w:val="1"/>
      <w:marLeft w:val="0"/>
      <w:marRight w:val="0"/>
      <w:marTop w:val="0"/>
      <w:marBottom w:val="0"/>
      <w:divBdr>
        <w:top w:val="none" w:sz="0" w:space="0" w:color="auto"/>
        <w:left w:val="none" w:sz="0" w:space="0" w:color="auto"/>
        <w:bottom w:val="none" w:sz="0" w:space="0" w:color="auto"/>
        <w:right w:val="none" w:sz="0" w:space="0" w:color="auto"/>
      </w:divBdr>
    </w:div>
    <w:div w:id="1655792540">
      <w:bodyDiv w:val="1"/>
      <w:marLeft w:val="0"/>
      <w:marRight w:val="0"/>
      <w:marTop w:val="0"/>
      <w:marBottom w:val="0"/>
      <w:divBdr>
        <w:top w:val="none" w:sz="0" w:space="0" w:color="auto"/>
        <w:left w:val="none" w:sz="0" w:space="0" w:color="auto"/>
        <w:bottom w:val="none" w:sz="0" w:space="0" w:color="auto"/>
        <w:right w:val="none" w:sz="0" w:space="0" w:color="auto"/>
      </w:divBdr>
    </w:div>
    <w:div w:id="1656958248">
      <w:bodyDiv w:val="1"/>
      <w:marLeft w:val="0"/>
      <w:marRight w:val="0"/>
      <w:marTop w:val="0"/>
      <w:marBottom w:val="0"/>
      <w:divBdr>
        <w:top w:val="none" w:sz="0" w:space="0" w:color="auto"/>
        <w:left w:val="none" w:sz="0" w:space="0" w:color="auto"/>
        <w:bottom w:val="none" w:sz="0" w:space="0" w:color="auto"/>
        <w:right w:val="none" w:sz="0" w:space="0" w:color="auto"/>
      </w:divBdr>
    </w:div>
    <w:div w:id="1657951099">
      <w:bodyDiv w:val="1"/>
      <w:marLeft w:val="0"/>
      <w:marRight w:val="0"/>
      <w:marTop w:val="0"/>
      <w:marBottom w:val="0"/>
      <w:divBdr>
        <w:top w:val="none" w:sz="0" w:space="0" w:color="auto"/>
        <w:left w:val="none" w:sz="0" w:space="0" w:color="auto"/>
        <w:bottom w:val="none" w:sz="0" w:space="0" w:color="auto"/>
        <w:right w:val="none" w:sz="0" w:space="0" w:color="auto"/>
      </w:divBdr>
    </w:div>
    <w:div w:id="1659111308">
      <w:bodyDiv w:val="1"/>
      <w:marLeft w:val="0"/>
      <w:marRight w:val="0"/>
      <w:marTop w:val="0"/>
      <w:marBottom w:val="0"/>
      <w:divBdr>
        <w:top w:val="none" w:sz="0" w:space="0" w:color="auto"/>
        <w:left w:val="none" w:sz="0" w:space="0" w:color="auto"/>
        <w:bottom w:val="none" w:sz="0" w:space="0" w:color="auto"/>
        <w:right w:val="none" w:sz="0" w:space="0" w:color="auto"/>
      </w:divBdr>
    </w:div>
    <w:div w:id="1660575672">
      <w:bodyDiv w:val="1"/>
      <w:marLeft w:val="0"/>
      <w:marRight w:val="0"/>
      <w:marTop w:val="0"/>
      <w:marBottom w:val="0"/>
      <w:divBdr>
        <w:top w:val="none" w:sz="0" w:space="0" w:color="auto"/>
        <w:left w:val="none" w:sz="0" w:space="0" w:color="auto"/>
        <w:bottom w:val="none" w:sz="0" w:space="0" w:color="auto"/>
        <w:right w:val="none" w:sz="0" w:space="0" w:color="auto"/>
      </w:divBdr>
    </w:div>
    <w:div w:id="1661153952">
      <w:bodyDiv w:val="1"/>
      <w:marLeft w:val="0"/>
      <w:marRight w:val="0"/>
      <w:marTop w:val="0"/>
      <w:marBottom w:val="0"/>
      <w:divBdr>
        <w:top w:val="none" w:sz="0" w:space="0" w:color="auto"/>
        <w:left w:val="none" w:sz="0" w:space="0" w:color="auto"/>
        <w:bottom w:val="none" w:sz="0" w:space="0" w:color="auto"/>
        <w:right w:val="none" w:sz="0" w:space="0" w:color="auto"/>
      </w:divBdr>
    </w:div>
    <w:div w:id="1662124709">
      <w:bodyDiv w:val="1"/>
      <w:marLeft w:val="0"/>
      <w:marRight w:val="0"/>
      <w:marTop w:val="0"/>
      <w:marBottom w:val="0"/>
      <w:divBdr>
        <w:top w:val="none" w:sz="0" w:space="0" w:color="auto"/>
        <w:left w:val="none" w:sz="0" w:space="0" w:color="auto"/>
        <w:bottom w:val="none" w:sz="0" w:space="0" w:color="auto"/>
        <w:right w:val="none" w:sz="0" w:space="0" w:color="auto"/>
      </w:divBdr>
    </w:div>
    <w:div w:id="1662926913">
      <w:bodyDiv w:val="1"/>
      <w:marLeft w:val="0"/>
      <w:marRight w:val="0"/>
      <w:marTop w:val="0"/>
      <w:marBottom w:val="0"/>
      <w:divBdr>
        <w:top w:val="none" w:sz="0" w:space="0" w:color="auto"/>
        <w:left w:val="none" w:sz="0" w:space="0" w:color="auto"/>
        <w:bottom w:val="none" w:sz="0" w:space="0" w:color="auto"/>
        <w:right w:val="none" w:sz="0" w:space="0" w:color="auto"/>
      </w:divBdr>
    </w:div>
    <w:div w:id="1664091370">
      <w:bodyDiv w:val="1"/>
      <w:marLeft w:val="0"/>
      <w:marRight w:val="0"/>
      <w:marTop w:val="0"/>
      <w:marBottom w:val="0"/>
      <w:divBdr>
        <w:top w:val="none" w:sz="0" w:space="0" w:color="auto"/>
        <w:left w:val="none" w:sz="0" w:space="0" w:color="auto"/>
        <w:bottom w:val="none" w:sz="0" w:space="0" w:color="auto"/>
        <w:right w:val="none" w:sz="0" w:space="0" w:color="auto"/>
      </w:divBdr>
      <w:divsChild>
        <w:div w:id="709231342">
          <w:marLeft w:val="0"/>
          <w:marRight w:val="0"/>
          <w:marTop w:val="0"/>
          <w:marBottom w:val="0"/>
          <w:divBdr>
            <w:top w:val="none" w:sz="0" w:space="0" w:color="auto"/>
            <w:left w:val="none" w:sz="0" w:space="0" w:color="auto"/>
            <w:bottom w:val="none" w:sz="0" w:space="0" w:color="auto"/>
            <w:right w:val="none" w:sz="0" w:space="0" w:color="auto"/>
          </w:divBdr>
          <w:divsChild>
            <w:div w:id="146233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34161">
      <w:bodyDiv w:val="1"/>
      <w:marLeft w:val="0"/>
      <w:marRight w:val="0"/>
      <w:marTop w:val="0"/>
      <w:marBottom w:val="0"/>
      <w:divBdr>
        <w:top w:val="none" w:sz="0" w:space="0" w:color="auto"/>
        <w:left w:val="none" w:sz="0" w:space="0" w:color="auto"/>
        <w:bottom w:val="none" w:sz="0" w:space="0" w:color="auto"/>
        <w:right w:val="none" w:sz="0" w:space="0" w:color="auto"/>
      </w:divBdr>
    </w:div>
    <w:div w:id="1667246284">
      <w:bodyDiv w:val="1"/>
      <w:marLeft w:val="0"/>
      <w:marRight w:val="0"/>
      <w:marTop w:val="0"/>
      <w:marBottom w:val="0"/>
      <w:divBdr>
        <w:top w:val="none" w:sz="0" w:space="0" w:color="auto"/>
        <w:left w:val="none" w:sz="0" w:space="0" w:color="auto"/>
        <w:bottom w:val="none" w:sz="0" w:space="0" w:color="auto"/>
        <w:right w:val="none" w:sz="0" w:space="0" w:color="auto"/>
      </w:divBdr>
    </w:div>
    <w:div w:id="1670644179">
      <w:bodyDiv w:val="1"/>
      <w:marLeft w:val="0"/>
      <w:marRight w:val="0"/>
      <w:marTop w:val="0"/>
      <w:marBottom w:val="0"/>
      <w:divBdr>
        <w:top w:val="none" w:sz="0" w:space="0" w:color="auto"/>
        <w:left w:val="none" w:sz="0" w:space="0" w:color="auto"/>
        <w:bottom w:val="none" w:sz="0" w:space="0" w:color="auto"/>
        <w:right w:val="none" w:sz="0" w:space="0" w:color="auto"/>
      </w:divBdr>
    </w:div>
    <w:div w:id="1672441763">
      <w:bodyDiv w:val="1"/>
      <w:marLeft w:val="0"/>
      <w:marRight w:val="0"/>
      <w:marTop w:val="0"/>
      <w:marBottom w:val="0"/>
      <w:divBdr>
        <w:top w:val="none" w:sz="0" w:space="0" w:color="auto"/>
        <w:left w:val="none" w:sz="0" w:space="0" w:color="auto"/>
        <w:bottom w:val="none" w:sz="0" w:space="0" w:color="auto"/>
        <w:right w:val="none" w:sz="0" w:space="0" w:color="auto"/>
      </w:divBdr>
    </w:div>
    <w:div w:id="1673609674">
      <w:bodyDiv w:val="1"/>
      <w:marLeft w:val="0"/>
      <w:marRight w:val="0"/>
      <w:marTop w:val="0"/>
      <w:marBottom w:val="0"/>
      <w:divBdr>
        <w:top w:val="none" w:sz="0" w:space="0" w:color="auto"/>
        <w:left w:val="none" w:sz="0" w:space="0" w:color="auto"/>
        <w:bottom w:val="none" w:sz="0" w:space="0" w:color="auto"/>
        <w:right w:val="none" w:sz="0" w:space="0" w:color="auto"/>
      </w:divBdr>
    </w:div>
    <w:div w:id="1674187856">
      <w:bodyDiv w:val="1"/>
      <w:marLeft w:val="0"/>
      <w:marRight w:val="0"/>
      <w:marTop w:val="0"/>
      <w:marBottom w:val="0"/>
      <w:divBdr>
        <w:top w:val="none" w:sz="0" w:space="0" w:color="auto"/>
        <w:left w:val="none" w:sz="0" w:space="0" w:color="auto"/>
        <w:bottom w:val="none" w:sz="0" w:space="0" w:color="auto"/>
        <w:right w:val="none" w:sz="0" w:space="0" w:color="auto"/>
      </w:divBdr>
    </w:div>
    <w:div w:id="1674915980">
      <w:bodyDiv w:val="1"/>
      <w:marLeft w:val="0"/>
      <w:marRight w:val="0"/>
      <w:marTop w:val="0"/>
      <w:marBottom w:val="0"/>
      <w:divBdr>
        <w:top w:val="none" w:sz="0" w:space="0" w:color="auto"/>
        <w:left w:val="none" w:sz="0" w:space="0" w:color="auto"/>
        <w:bottom w:val="none" w:sz="0" w:space="0" w:color="auto"/>
        <w:right w:val="none" w:sz="0" w:space="0" w:color="auto"/>
      </w:divBdr>
    </w:div>
    <w:div w:id="1676221099">
      <w:bodyDiv w:val="1"/>
      <w:marLeft w:val="0"/>
      <w:marRight w:val="0"/>
      <w:marTop w:val="0"/>
      <w:marBottom w:val="0"/>
      <w:divBdr>
        <w:top w:val="none" w:sz="0" w:space="0" w:color="auto"/>
        <w:left w:val="none" w:sz="0" w:space="0" w:color="auto"/>
        <w:bottom w:val="none" w:sz="0" w:space="0" w:color="auto"/>
        <w:right w:val="none" w:sz="0" w:space="0" w:color="auto"/>
      </w:divBdr>
    </w:div>
    <w:div w:id="1677076924">
      <w:bodyDiv w:val="1"/>
      <w:marLeft w:val="0"/>
      <w:marRight w:val="0"/>
      <w:marTop w:val="0"/>
      <w:marBottom w:val="0"/>
      <w:divBdr>
        <w:top w:val="none" w:sz="0" w:space="0" w:color="auto"/>
        <w:left w:val="none" w:sz="0" w:space="0" w:color="auto"/>
        <w:bottom w:val="none" w:sz="0" w:space="0" w:color="auto"/>
        <w:right w:val="none" w:sz="0" w:space="0" w:color="auto"/>
      </w:divBdr>
    </w:div>
    <w:div w:id="1677686479">
      <w:bodyDiv w:val="1"/>
      <w:marLeft w:val="0"/>
      <w:marRight w:val="0"/>
      <w:marTop w:val="0"/>
      <w:marBottom w:val="0"/>
      <w:divBdr>
        <w:top w:val="none" w:sz="0" w:space="0" w:color="auto"/>
        <w:left w:val="none" w:sz="0" w:space="0" w:color="auto"/>
        <w:bottom w:val="none" w:sz="0" w:space="0" w:color="auto"/>
        <w:right w:val="none" w:sz="0" w:space="0" w:color="auto"/>
      </w:divBdr>
    </w:div>
    <w:div w:id="1679305670">
      <w:bodyDiv w:val="1"/>
      <w:marLeft w:val="0"/>
      <w:marRight w:val="0"/>
      <w:marTop w:val="0"/>
      <w:marBottom w:val="0"/>
      <w:divBdr>
        <w:top w:val="none" w:sz="0" w:space="0" w:color="auto"/>
        <w:left w:val="none" w:sz="0" w:space="0" w:color="auto"/>
        <w:bottom w:val="none" w:sz="0" w:space="0" w:color="auto"/>
        <w:right w:val="none" w:sz="0" w:space="0" w:color="auto"/>
      </w:divBdr>
      <w:divsChild>
        <w:div w:id="593784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5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11396">
      <w:bodyDiv w:val="1"/>
      <w:marLeft w:val="0"/>
      <w:marRight w:val="0"/>
      <w:marTop w:val="0"/>
      <w:marBottom w:val="0"/>
      <w:divBdr>
        <w:top w:val="none" w:sz="0" w:space="0" w:color="auto"/>
        <w:left w:val="none" w:sz="0" w:space="0" w:color="auto"/>
        <w:bottom w:val="none" w:sz="0" w:space="0" w:color="auto"/>
        <w:right w:val="none" w:sz="0" w:space="0" w:color="auto"/>
      </w:divBdr>
    </w:div>
    <w:div w:id="1682319477">
      <w:bodyDiv w:val="1"/>
      <w:marLeft w:val="0"/>
      <w:marRight w:val="0"/>
      <w:marTop w:val="0"/>
      <w:marBottom w:val="0"/>
      <w:divBdr>
        <w:top w:val="none" w:sz="0" w:space="0" w:color="auto"/>
        <w:left w:val="none" w:sz="0" w:space="0" w:color="auto"/>
        <w:bottom w:val="none" w:sz="0" w:space="0" w:color="auto"/>
        <w:right w:val="none" w:sz="0" w:space="0" w:color="auto"/>
      </w:divBdr>
    </w:div>
    <w:div w:id="1683434523">
      <w:bodyDiv w:val="1"/>
      <w:marLeft w:val="0"/>
      <w:marRight w:val="0"/>
      <w:marTop w:val="0"/>
      <w:marBottom w:val="0"/>
      <w:divBdr>
        <w:top w:val="none" w:sz="0" w:space="0" w:color="auto"/>
        <w:left w:val="none" w:sz="0" w:space="0" w:color="auto"/>
        <w:bottom w:val="none" w:sz="0" w:space="0" w:color="auto"/>
        <w:right w:val="none" w:sz="0" w:space="0" w:color="auto"/>
      </w:divBdr>
    </w:div>
    <w:div w:id="1684624927">
      <w:bodyDiv w:val="1"/>
      <w:marLeft w:val="0"/>
      <w:marRight w:val="0"/>
      <w:marTop w:val="0"/>
      <w:marBottom w:val="0"/>
      <w:divBdr>
        <w:top w:val="none" w:sz="0" w:space="0" w:color="auto"/>
        <w:left w:val="none" w:sz="0" w:space="0" w:color="auto"/>
        <w:bottom w:val="none" w:sz="0" w:space="0" w:color="auto"/>
        <w:right w:val="none" w:sz="0" w:space="0" w:color="auto"/>
      </w:divBdr>
    </w:div>
    <w:div w:id="1685858380">
      <w:bodyDiv w:val="1"/>
      <w:marLeft w:val="0"/>
      <w:marRight w:val="0"/>
      <w:marTop w:val="0"/>
      <w:marBottom w:val="0"/>
      <w:divBdr>
        <w:top w:val="none" w:sz="0" w:space="0" w:color="auto"/>
        <w:left w:val="none" w:sz="0" w:space="0" w:color="auto"/>
        <w:bottom w:val="none" w:sz="0" w:space="0" w:color="auto"/>
        <w:right w:val="none" w:sz="0" w:space="0" w:color="auto"/>
      </w:divBdr>
      <w:divsChild>
        <w:div w:id="699624435">
          <w:marLeft w:val="0"/>
          <w:marRight w:val="0"/>
          <w:marTop w:val="0"/>
          <w:marBottom w:val="0"/>
          <w:divBdr>
            <w:top w:val="none" w:sz="0" w:space="0" w:color="auto"/>
            <w:left w:val="none" w:sz="0" w:space="0" w:color="auto"/>
            <w:bottom w:val="none" w:sz="0" w:space="0" w:color="auto"/>
            <w:right w:val="none" w:sz="0" w:space="0" w:color="auto"/>
          </w:divBdr>
          <w:divsChild>
            <w:div w:id="927619393">
              <w:marLeft w:val="0"/>
              <w:marRight w:val="0"/>
              <w:marTop w:val="0"/>
              <w:marBottom w:val="0"/>
              <w:divBdr>
                <w:top w:val="none" w:sz="0" w:space="0" w:color="auto"/>
                <w:left w:val="none" w:sz="0" w:space="0" w:color="auto"/>
                <w:bottom w:val="none" w:sz="0" w:space="0" w:color="auto"/>
                <w:right w:val="none" w:sz="0" w:space="0" w:color="auto"/>
              </w:divBdr>
              <w:divsChild>
                <w:div w:id="5717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25778">
      <w:bodyDiv w:val="1"/>
      <w:marLeft w:val="0"/>
      <w:marRight w:val="0"/>
      <w:marTop w:val="0"/>
      <w:marBottom w:val="0"/>
      <w:divBdr>
        <w:top w:val="none" w:sz="0" w:space="0" w:color="auto"/>
        <w:left w:val="none" w:sz="0" w:space="0" w:color="auto"/>
        <w:bottom w:val="none" w:sz="0" w:space="0" w:color="auto"/>
        <w:right w:val="none" w:sz="0" w:space="0" w:color="auto"/>
      </w:divBdr>
    </w:div>
    <w:div w:id="1687246463">
      <w:bodyDiv w:val="1"/>
      <w:marLeft w:val="0"/>
      <w:marRight w:val="0"/>
      <w:marTop w:val="0"/>
      <w:marBottom w:val="0"/>
      <w:divBdr>
        <w:top w:val="none" w:sz="0" w:space="0" w:color="auto"/>
        <w:left w:val="none" w:sz="0" w:space="0" w:color="auto"/>
        <w:bottom w:val="none" w:sz="0" w:space="0" w:color="auto"/>
        <w:right w:val="none" w:sz="0" w:space="0" w:color="auto"/>
      </w:divBdr>
    </w:div>
    <w:div w:id="1688292311">
      <w:bodyDiv w:val="1"/>
      <w:marLeft w:val="0"/>
      <w:marRight w:val="0"/>
      <w:marTop w:val="0"/>
      <w:marBottom w:val="0"/>
      <w:divBdr>
        <w:top w:val="none" w:sz="0" w:space="0" w:color="auto"/>
        <w:left w:val="none" w:sz="0" w:space="0" w:color="auto"/>
        <w:bottom w:val="none" w:sz="0" w:space="0" w:color="auto"/>
        <w:right w:val="none" w:sz="0" w:space="0" w:color="auto"/>
      </w:divBdr>
    </w:div>
    <w:div w:id="1688558675">
      <w:bodyDiv w:val="1"/>
      <w:marLeft w:val="0"/>
      <w:marRight w:val="0"/>
      <w:marTop w:val="0"/>
      <w:marBottom w:val="0"/>
      <w:divBdr>
        <w:top w:val="none" w:sz="0" w:space="0" w:color="auto"/>
        <w:left w:val="none" w:sz="0" w:space="0" w:color="auto"/>
        <w:bottom w:val="none" w:sz="0" w:space="0" w:color="auto"/>
        <w:right w:val="none" w:sz="0" w:space="0" w:color="auto"/>
      </w:divBdr>
    </w:div>
    <w:div w:id="1689679792">
      <w:bodyDiv w:val="1"/>
      <w:marLeft w:val="0"/>
      <w:marRight w:val="0"/>
      <w:marTop w:val="0"/>
      <w:marBottom w:val="0"/>
      <w:divBdr>
        <w:top w:val="none" w:sz="0" w:space="0" w:color="auto"/>
        <w:left w:val="none" w:sz="0" w:space="0" w:color="auto"/>
        <w:bottom w:val="none" w:sz="0" w:space="0" w:color="auto"/>
        <w:right w:val="none" w:sz="0" w:space="0" w:color="auto"/>
      </w:divBdr>
    </w:div>
    <w:div w:id="1691688444">
      <w:bodyDiv w:val="1"/>
      <w:marLeft w:val="0"/>
      <w:marRight w:val="0"/>
      <w:marTop w:val="0"/>
      <w:marBottom w:val="0"/>
      <w:divBdr>
        <w:top w:val="none" w:sz="0" w:space="0" w:color="auto"/>
        <w:left w:val="none" w:sz="0" w:space="0" w:color="auto"/>
        <w:bottom w:val="none" w:sz="0" w:space="0" w:color="auto"/>
        <w:right w:val="none" w:sz="0" w:space="0" w:color="auto"/>
      </w:divBdr>
    </w:div>
    <w:div w:id="1696808931">
      <w:bodyDiv w:val="1"/>
      <w:marLeft w:val="0"/>
      <w:marRight w:val="0"/>
      <w:marTop w:val="0"/>
      <w:marBottom w:val="0"/>
      <w:divBdr>
        <w:top w:val="none" w:sz="0" w:space="0" w:color="auto"/>
        <w:left w:val="none" w:sz="0" w:space="0" w:color="auto"/>
        <w:bottom w:val="none" w:sz="0" w:space="0" w:color="auto"/>
        <w:right w:val="none" w:sz="0" w:space="0" w:color="auto"/>
      </w:divBdr>
    </w:div>
    <w:div w:id="1697074803">
      <w:bodyDiv w:val="1"/>
      <w:marLeft w:val="0"/>
      <w:marRight w:val="0"/>
      <w:marTop w:val="0"/>
      <w:marBottom w:val="0"/>
      <w:divBdr>
        <w:top w:val="none" w:sz="0" w:space="0" w:color="auto"/>
        <w:left w:val="none" w:sz="0" w:space="0" w:color="auto"/>
        <w:bottom w:val="none" w:sz="0" w:space="0" w:color="auto"/>
        <w:right w:val="none" w:sz="0" w:space="0" w:color="auto"/>
      </w:divBdr>
    </w:div>
    <w:div w:id="1700859160">
      <w:bodyDiv w:val="1"/>
      <w:marLeft w:val="0"/>
      <w:marRight w:val="0"/>
      <w:marTop w:val="0"/>
      <w:marBottom w:val="0"/>
      <w:divBdr>
        <w:top w:val="none" w:sz="0" w:space="0" w:color="auto"/>
        <w:left w:val="none" w:sz="0" w:space="0" w:color="auto"/>
        <w:bottom w:val="none" w:sz="0" w:space="0" w:color="auto"/>
        <w:right w:val="none" w:sz="0" w:space="0" w:color="auto"/>
      </w:divBdr>
    </w:div>
    <w:div w:id="1702708196">
      <w:bodyDiv w:val="1"/>
      <w:marLeft w:val="0"/>
      <w:marRight w:val="0"/>
      <w:marTop w:val="0"/>
      <w:marBottom w:val="0"/>
      <w:divBdr>
        <w:top w:val="none" w:sz="0" w:space="0" w:color="auto"/>
        <w:left w:val="none" w:sz="0" w:space="0" w:color="auto"/>
        <w:bottom w:val="none" w:sz="0" w:space="0" w:color="auto"/>
        <w:right w:val="none" w:sz="0" w:space="0" w:color="auto"/>
      </w:divBdr>
    </w:div>
    <w:div w:id="1704401970">
      <w:bodyDiv w:val="1"/>
      <w:marLeft w:val="0"/>
      <w:marRight w:val="0"/>
      <w:marTop w:val="0"/>
      <w:marBottom w:val="0"/>
      <w:divBdr>
        <w:top w:val="none" w:sz="0" w:space="0" w:color="auto"/>
        <w:left w:val="none" w:sz="0" w:space="0" w:color="auto"/>
        <w:bottom w:val="none" w:sz="0" w:space="0" w:color="auto"/>
        <w:right w:val="none" w:sz="0" w:space="0" w:color="auto"/>
      </w:divBdr>
    </w:div>
    <w:div w:id="1705977740">
      <w:bodyDiv w:val="1"/>
      <w:marLeft w:val="0"/>
      <w:marRight w:val="0"/>
      <w:marTop w:val="0"/>
      <w:marBottom w:val="0"/>
      <w:divBdr>
        <w:top w:val="none" w:sz="0" w:space="0" w:color="auto"/>
        <w:left w:val="none" w:sz="0" w:space="0" w:color="auto"/>
        <w:bottom w:val="none" w:sz="0" w:space="0" w:color="auto"/>
        <w:right w:val="none" w:sz="0" w:space="0" w:color="auto"/>
      </w:divBdr>
    </w:div>
    <w:div w:id="1706247692">
      <w:bodyDiv w:val="1"/>
      <w:marLeft w:val="0"/>
      <w:marRight w:val="0"/>
      <w:marTop w:val="0"/>
      <w:marBottom w:val="0"/>
      <w:divBdr>
        <w:top w:val="none" w:sz="0" w:space="0" w:color="auto"/>
        <w:left w:val="none" w:sz="0" w:space="0" w:color="auto"/>
        <w:bottom w:val="none" w:sz="0" w:space="0" w:color="auto"/>
        <w:right w:val="none" w:sz="0" w:space="0" w:color="auto"/>
      </w:divBdr>
    </w:div>
    <w:div w:id="1708682337">
      <w:bodyDiv w:val="1"/>
      <w:marLeft w:val="0"/>
      <w:marRight w:val="0"/>
      <w:marTop w:val="0"/>
      <w:marBottom w:val="0"/>
      <w:divBdr>
        <w:top w:val="none" w:sz="0" w:space="0" w:color="auto"/>
        <w:left w:val="none" w:sz="0" w:space="0" w:color="auto"/>
        <w:bottom w:val="none" w:sz="0" w:space="0" w:color="auto"/>
        <w:right w:val="none" w:sz="0" w:space="0" w:color="auto"/>
      </w:divBdr>
    </w:div>
    <w:div w:id="1714309916">
      <w:bodyDiv w:val="1"/>
      <w:marLeft w:val="0"/>
      <w:marRight w:val="0"/>
      <w:marTop w:val="0"/>
      <w:marBottom w:val="0"/>
      <w:divBdr>
        <w:top w:val="none" w:sz="0" w:space="0" w:color="auto"/>
        <w:left w:val="none" w:sz="0" w:space="0" w:color="auto"/>
        <w:bottom w:val="none" w:sz="0" w:space="0" w:color="auto"/>
        <w:right w:val="none" w:sz="0" w:space="0" w:color="auto"/>
      </w:divBdr>
    </w:div>
    <w:div w:id="1714816146">
      <w:bodyDiv w:val="1"/>
      <w:marLeft w:val="0"/>
      <w:marRight w:val="0"/>
      <w:marTop w:val="0"/>
      <w:marBottom w:val="0"/>
      <w:divBdr>
        <w:top w:val="none" w:sz="0" w:space="0" w:color="auto"/>
        <w:left w:val="none" w:sz="0" w:space="0" w:color="auto"/>
        <w:bottom w:val="none" w:sz="0" w:space="0" w:color="auto"/>
        <w:right w:val="none" w:sz="0" w:space="0" w:color="auto"/>
      </w:divBdr>
    </w:div>
    <w:div w:id="1716075570">
      <w:bodyDiv w:val="1"/>
      <w:marLeft w:val="0"/>
      <w:marRight w:val="0"/>
      <w:marTop w:val="0"/>
      <w:marBottom w:val="0"/>
      <w:divBdr>
        <w:top w:val="none" w:sz="0" w:space="0" w:color="auto"/>
        <w:left w:val="none" w:sz="0" w:space="0" w:color="auto"/>
        <w:bottom w:val="none" w:sz="0" w:space="0" w:color="auto"/>
        <w:right w:val="none" w:sz="0" w:space="0" w:color="auto"/>
      </w:divBdr>
      <w:divsChild>
        <w:div w:id="340202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57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45199">
      <w:bodyDiv w:val="1"/>
      <w:marLeft w:val="0"/>
      <w:marRight w:val="0"/>
      <w:marTop w:val="0"/>
      <w:marBottom w:val="0"/>
      <w:divBdr>
        <w:top w:val="none" w:sz="0" w:space="0" w:color="auto"/>
        <w:left w:val="none" w:sz="0" w:space="0" w:color="auto"/>
        <w:bottom w:val="none" w:sz="0" w:space="0" w:color="auto"/>
        <w:right w:val="none" w:sz="0" w:space="0" w:color="auto"/>
      </w:divBdr>
    </w:div>
    <w:div w:id="1719084699">
      <w:bodyDiv w:val="1"/>
      <w:marLeft w:val="0"/>
      <w:marRight w:val="0"/>
      <w:marTop w:val="0"/>
      <w:marBottom w:val="0"/>
      <w:divBdr>
        <w:top w:val="none" w:sz="0" w:space="0" w:color="auto"/>
        <w:left w:val="none" w:sz="0" w:space="0" w:color="auto"/>
        <w:bottom w:val="none" w:sz="0" w:space="0" w:color="auto"/>
        <w:right w:val="none" w:sz="0" w:space="0" w:color="auto"/>
      </w:divBdr>
    </w:div>
    <w:div w:id="1722902464">
      <w:bodyDiv w:val="1"/>
      <w:marLeft w:val="0"/>
      <w:marRight w:val="0"/>
      <w:marTop w:val="0"/>
      <w:marBottom w:val="0"/>
      <w:divBdr>
        <w:top w:val="none" w:sz="0" w:space="0" w:color="auto"/>
        <w:left w:val="none" w:sz="0" w:space="0" w:color="auto"/>
        <w:bottom w:val="none" w:sz="0" w:space="0" w:color="auto"/>
        <w:right w:val="none" w:sz="0" w:space="0" w:color="auto"/>
      </w:divBdr>
    </w:div>
    <w:div w:id="1724331676">
      <w:bodyDiv w:val="1"/>
      <w:marLeft w:val="0"/>
      <w:marRight w:val="0"/>
      <w:marTop w:val="0"/>
      <w:marBottom w:val="0"/>
      <w:divBdr>
        <w:top w:val="none" w:sz="0" w:space="0" w:color="auto"/>
        <w:left w:val="none" w:sz="0" w:space="0" w:color="auto"/>
        <w:bottom w:val="none" w:sz="0" w:space="0" w:color="auto"/>
        <w:right w:val="none" w:sz="0" w:space="0" w:color="auto"/>
      </w:divBdr>
    </w:div>
    <w:div w:id="1726175292">
      <w:bodyDiv w:val="1"/>
      <w:marLeft w:val="0"/>
      <w:marRight w:val="0"/>
      <w:marTop w:val="0"/>
      <w:marBottom w:val="0"/>
      <w:divBdr>
        <w:top w:val="none" w:sz="0" w:space="0" w:color="auto"/>
        <w:left w:val="none" w:sz="0" w:space="0" w:color="auto"/>
        <w:bottom w:val="none" w:sz="0" w:space="0" w:color="auto"/>
        <w:right w:val="none" w:sz="0" w:space="0" w:color="auto"/>
      </w:divBdr>
    </w:div>
    <w:div w:id="1728339078">
      <w:bodyDiv w:val="1"/>
      <w:marLeft w:val="0"/>
      <w:marRight w:val="0"/>
      <w:marTop w:val="0"/>
      <w:marBottom w:val="0"/>
      <w:divBdr>
        <w:top w:val="none" w:sz="0" w:space="0" w:color="auto"/>
        <w:left w:val="none" w:sz="0" w:space="0" w:color="auto"/>
        <w:bottom w:val="none" w:sz="0" w:space="0" w:color="auto"/>
        <w:right w:val="none" w:sz="0" w:space="0" w:color="auto"/>
      </w:divBdr>
    </w:div>
    <w:div w:id="1729068787">
      <w:bodyDiv w:val="1"/>
      <w:marLeft w:val="0"/>
      <w:marRight w:val="0"/>
      <w:marTop w:val="0"/>
      <w:marBottom w:val="0"/>
      <w:divBdr>
        <w:top w:val="none" w:sz="0" w:space="0" w:color="auto"/>
        <w:left w:val="none" w:sz="0" w:space="0" w:color="auto"/>
        <w:bottom w:val="none" w:sz="0" w:space="0" w:color="auto"/>
        <w:right w:val="none" w:sz="0" w:space="0" w:color="auto"/>
      </w:divBdr>
    </w:div>
    <w:div w:id="1731462463">
      <w:bodyDiv w:val="1"/>
      <w:marLeft w:val="0"/>
      <w:marRight w:val="0"/>
      <w:marTop w:val="0"/>
      <w:marBottom w:val="0"/>
      <w:divBdr>
        <w:top w:val="none" w:sz="0" w:space="0" w:color="auto"/>
        <w:left w:val="none" w:sz="0" w:space="0" w:color="auto"/>
        <w:bottom w:val="none" w:sz="0" w:space="0" w:color="auto"/>
        <w:right w:val="none" w:sz="0" w:space="0" w:color="auto"/>
      </w:divBdr>
    </w:div>
    <w:div w:id="1733311163">
      <w:bodyDiv w:val="1"/>
      <w:marLeft w:val="0"/>
      <w:marRight w:val="0"/>
      <w:marTop w:val="0"/>
      <w:marBottom w:val="0"/>
      <w:divBdr>
        <w:top w:val="none" w:sz="0" w:space="0" w:color="auto"/>
        <w:left w:val="none" w:sz="0" w:space="0" w:color="auto"/>
        <w:bottom w:val="none" w:sz="0" w:space="0" w:color="auto"/>
        <w:right w:val="none" w:sz="0" w:space="0" w:color="auto"/>
      </w:divBdr>
    </w:div>
    <w:div w:id="1733583221">
      <w:bodyDiv w:val="1"/>
      <w:marLeft w:val="0"/>
      <w:marRight w:val="0"/>
      <w:marTop w:val="0"/>
      <w:marBottom w:val="0"/>
      <w:divBdr>
        <w:top w:val="none" w:sz="0" w:space="0" w:color="auto"/>
        <w:left w:val="none" w:sz="0" w:space="0" w:color="auto"/>
        <w:bottom w:val="none" w:sz="0" w:space="0" w:color="auto"/>
        <w:right w:val="none" w:sz="0" w:space="0" w:color="auto"/>
      </w:divBdr>
    </w:div>
    <w:div w:id="1734113640">
      <w:bodyDiv w:val="1"/>
      <w:marLeft w:val="0"/>
      <w:marRight w:val="0"/>
      <w:marTop w:val="0"/>
      <w:marBottom w:val="0"/>
      <w:divBdr>
        <w:top w:val="none" w:sz="0" w:space="0" w:color="auto"/>
        <w:left w:val="none" w:sz="0" w:space="0" w:color="auto"/>
        <w:bottom w:val="none" w:sz="0" w:space="0" w:color="auto"/>
        <w:right w:val="none" w:sz="0" w:space="0" w:color="auto"/>
      </w:divBdr>
    </w:div>
    <w:div w:id="1734155864">
      <w:bodyDiv w:val="1"/>
      <w:marLeft w:val="0"/>
      <w:marRight w:val="0"/>
      <w:marTop w:val="0"/>
      <w:marBottom w:val="0"/>
      <w:divBdr>
        <w:top w:val="none" w:sz="0" w:space="0" w:color="auto"/>
        <w:left w:val="none" w:sz="0" w:space="0" w:color="auto"/>
        <w:bottom w:val="none" w:sz="0" w:space="0" w:color="auto"/>
        <w:right w:val="none" w:sz="0" w:space="0" w:color="auto"/>
      </w:divBdr>
    </w:div>
    <w:div w:id="1736203051">
      <w:bodyDiv w:val="1"/>
      <w:marLeft w:val="0"/>
      <w:marRight w:val="0"/>
      <w:marTop w:val="0"/>
      <w:marBottom w:val="0"/>
      <w:divBdr>
        <w:top w:val="none" w:sz="0" w:space="0" w:color="auto"/>
        <w:left w:val="none" w:sz="0" w:space="0" w:color="auto"/>
        <w:bottom w:val="none" w:sz="0" w:space="0" w:color="auto"/>
        <w:right w:val="none" w:sz="0" w:space="0" w:color="auto"/>
      </w:divBdr>
    </w:div>
    <w:div w:id="1737167932">
      <w:bodyDiv w:val="1"/>
      <w:marLeft w:val="0"/>
      <w:marRight w:val="0"/>
      <w:marTop w:val="0"/>
      <w:marBottom w:val="0"/>
      <w:divBdr>
        <w:top w:val="none" w:sz="0" w:space="0" w:color="auto"/>
        <w:left w:val="none" w:sz="0" w:space="0" w:color="auto"/>
        <w:bottom w:val="none" w:sz="0" w:space="0" w:color="auto"/>
        <w:right w:val="none" w:sz="0" w:space="0" w:color="auto"/>
      </w:divBdr>
    </w:div>
    <w:div w:id="1737438822">
      <w:bodyDiv w:val="1"/>
      <w:marLeft w:val="0"/>
      <w:marRight w:val="0"/>
      <w:marTop w:val="0"/>
      <w:marBottom w:val="0"/>
      <w:divBdr>
        <w:top w:val="none" w:sz="0" w:space="0" w:color="auto"/>
        <w:left w:val="none" w:sz="0" w:space="0" w:color="auto"/>
        <w:bottom w:val="none" w:sz="0" w:space="0" w:color="auto"/>
        <w:right w:val="none" w:sz="0" w:space="0" w:color="auto"/>
      </w:divBdr>
    </w:div>
    <w:div w:id="1738474621">
      <w:bodyDiv w:val="1"/>
      <w:marLeft w:val="0"/>
      <w:marRight w:val="0"/>
      <w:marTop w:val="0"/>
      <w:marBottom w:val="0"/>
      <w:divBdr>
        <w:top w:val="none" w:sz="0" w:space="0" w:color="auto"/>
        <w:left w:val="none" w:sz="0" w:space="0" w:color="auto"/>
        <w:bottom w:val="none" w:sz="0" w:space="0" w:color="auto"/>
        <w:right w:val="none" w:sz="0" w:space="0" w:color="auto"/>
      </w:divBdr>
    </w:div>
    <w:div w:id="1741518145">
      <w:bodyDiv w:val="1"/>
      <w:marLeft w:val="0"/>
      <w:marRight w:val="0"/>
      <w:marTop w:val="0"/>
      <w:marBottom w:val="0"/>
      <w:divBdr>
        <w:top w:val="none" w:sz="0" w:space="0" w:color="auto"/>
        <w:left w:val="none" w:sz="0" w:space="0" w:color="auto"/>
        <w:bottom w:val="none" w:sz="0" w:space="0" w:color="auto"/>
        <w:right w:val="none" w:sz="0" w:space="0" w:color="auto"/>
      </w:divBdr>
    </w:div>
    <w:div w:id="1742213006">
      <w:bodyDiv w:val="1"/>
      <w:marLeft w:val="0"/>
      <w:marRight w:val="0"/>
      <w:marTop w:val="0"/>
      <w:marBottom w:val="0"/>
      <w:divBdr>
        <w:top w:val="none" w:sz="0" w:space="0" w:color="auto"/>
        <w:left w:val="none" w:sz="0" w:space="0" w:color="auto"/>
        <w:bottom w:val="none" w:sz="0" w:space="0" w:color="auto"/>
        <w:right w:val="none" w:sz="0" w:space="0" w:color="auto"/>
      </w:divBdr>
    </w:div>
    <w:div w:id="1742555311">
      <w:bodyDiv w:val="1"/>
      <w:marLeft w:val="0"/>
      <w:marRight w:val="0"/>
      <w:marTop w:val="0"/>
      <w:marBottom w:val="0"/>
      <w:divBdr>
        <w:top w:val="none" w:sz="0" w:space="0" w:color="auto"/>
        <w:left w:val="none" w:sz="0" w:space="0" w:color="auto"/>
        <w:bottom w:val="none" w:sz="0" w:space="0" w:color="auto"/>
        <w:right w:val="none" w:sz="0" w:space="0" w:color="auto"/>
      </w:divBdr>
    </w:div>
    <w:div w:id="1743067127">
      <w:bodyDiv w:val="1"/>
      <w:marLeft w:val="0"/>
      <w:marRight w:val="0"/>
      <w:marTop w:val="0"/>
      <w:marBottom w:val="0"/>
      <w:divBdr>
        <w:top w:val="none" w:sz="0" w:space="0" w:color="auto"/>
        <w:left w:val="none" w:sz="0" w:space="0" w:color="auto"/>
        <w:bottom w:val="none" w:sz="0" w:space="0" w:color="auto"/>
        <w:right w:val="none" w:sz="0" w:space="0" w:color="auto"/>
      </w:divBdr>
    </w:div>
    <w:div w:id="1743789839">
      <w:bodyDiv w:val="1"/>
      <w:marLeft w:val="0"/>
      <w:marRight w:val="0"/>
      <w:marTop w:val="0"/>
      <w:marBottom w:val="0"/>
      <w:divBdr>
        <w:top w:val="none" w:sz="0" w:space="0" w:color="auto"/>
        <w:left w:val="none" w:sz="0" w:space="0" w:color="auto"/>
        <w:bottom w:val="none" w:sz="0" w:space="0" w:color="auto"/>
        <w:right w:val="none" w:sz="0" w:space="0" w:color="auto"/>
      </w:divBdr>
    </w:div>
    <w:div w:id="1745253383">
      <w:bodyDiv w:val="1"/>
      <w:marLeft w:val="0"/>
      <w:marRight w:val="0"/>
      <w:marTop w:val="0"/>
      <w:marBottom w:val="0"/>
      <w:divBdr>
        <w:top w:val="none" w:sz="0" w:space="0" w:color="auto"/>
        <w:left w:val="none" w:sz="0" w:space="0" w:color="auto"/>
        <w:bottom w:val="none" w:sz="0" w:space="0" w:color="auto"/>
        <w:right w:val="none" w:sz="0" w:space="0" w:color="auto"/>
      </w:divBdr>
    </w:div>
    <w:div w:id="1748460960">
      <w:bodyDiv w:val="1"/>
      <w:marLeft w:val="0"/>
      <w:marRight w:val="0"/>
      <w:marTop w:val="0"/>
      <w:marBottom w:val="0"/>
      <w:divBdr>
        <w:top w:val="none" w:sz="0" w:space="0" w:color="auto"/>
        <w:left w:val="none" w:sz="0" w:space="0" w:color="auto"/>
        <w:bottom w:val="none" w:sz="0" w:space="0" w:color="auto"/>
        <w:right w:val="none" w:sz="0" w:space="0" w:color="auto"/>
      </w:divBdr>
    </w:div>
    <w:div w:id="1750153401">
      <w:bodyDiv w:val="1"/>
      <w:marLeft w:val="0"/>
      <w:marRight w:val="0"/>
      <w:marTop w:val="0"/>
      <w:marBottom w:val="0"/>
      <w:divBdr>
        <w:top w:val="none" w:sz="0" w:space="0" w:color="auto"/>
        <w:left w:val="none" w:sz="0" w:space="0" w:color="auto"/>
        <w:bottom w:val="none" w:sz="0" w:space="0" w:color="auto"/>
        <w:right w:val="none" w:sz="0" w:space="0" w:color="auto"/>
      </w:divBdr>
    </w:div>
    <w:div w:id="1752044922">
      <w:bodyDiv w:val="1"/>
      <w:marLeft w:val="0"/>
      <w:marRight w:val="0"/>
      <w:marTop w:val="0"/>
      <w:marBottom w:val="0"/>
      <w:divBdr>
        <w:top w:val="none" w:sz="0" w:space="0" w:color="auto"/>
        <w:left w:val="none" w:sz="0" w:space="0" w:color="auto"/>
        <w:bottom w:val="none" w:sz="0" w:space="0" w:color="auto"/>
        <w:right w:val="none" w:sz="0" w:space="0" w:color="auto"/>
      </w:divBdr>
    </w:div>
    <w:div w:id="1752510255">
      <w:bodyDiv w:val="1"/>
      <w:marLeft w:val="0"/>
      <w:marRight w:val="0"/>
      <w:marTop w:val="0"/>
      <w:marBottom w:val="0"/>
      <w:divBdr>
        <w:top w:val="none" w:sz="0" w:space="0" w:color="auto"/>
        <w:left w:val="none" w:sz="0" w:space="0" w:color="auto"/>
        <w:bottom w:val="none" w:sz="0" w:space="0" w:color="auto"/>
        <w:right w:val="none" w:sz="0" w:space="0" w:color="auto"/>
      </w:divBdr>
    </w:div>
    <w:div w:id="1756659529">
      <w:bodyDiv w:val="1"/>
      <w:marLeft w:val="0"/>
      <w:marRight w:val="0"/>
      <w:marTop w:val="0"/>
      <w:marBottom w:val="0"/>
      <w:divBdr>
        <w:top w:val="none" w:sz="0" w:space="0" w:color="auto"/>
        <w:left w:val="none" w:sz="0" w:space="0" w:color="auto"/>
        <w:bottom w:val="none" w:sz="0" w:space="0" w:color="auto"/>
        <w:right w:val="none" w:sz="0" w:space="0" w:color="auto"/>
      </w:divBdr>
    </w:div>
    <w:div w:id="1757750956">
      <w:bodyDiv w:val="1"/>
      <w:marLeft w:val="0"/>
      <w:marRight w:val="0"/>
      <w:marTop w:val="0"/>
      <w:marBottom w:val="0"/>
      <w:divBdr>
        <w:top w:val="none" w:sz="0" w:space="0" w:color="auto"/>
        <w:left w:val="none" w:sz="0" w:space="0" w:color="auto"/>
        <w:bottom w:val="none" w:sz="0" w:space="0" w:color="auto"/>
        <w:right w:val="none" w:sz="0" w:space="0" w:color="auto"/>
      </w:divBdr>
    </w:div>
    <w:div w:id="1759401090">
      <w:bodyDiv w:val="1"/>
      <w:marLeft w:val="0"/>
      <w:marRight w:val="0"/>
      <w:marTop w:val="0"/>
      <w:marBottom w:val="0"/>
      <w:divBdr>
        <w:top w:val="none" w:sz="0" w:space="0" w:color="auto"/>
        <w:left w:val="none" w:sz="0" w:space="0" w:color="auto"/>
        <w:bottom w:val="none" w:sz="0" w:space="0" w:color="auto"/>
        <w:right w:val="none" w:sz="0" w:space="0" w:color="auto"/>
      </w:divBdr>
    </w:div>
    <w:div w:id="1762067787">
      <w:bodyDiv w:val="1"/>
      <w:marLeft w:val="0"/>
      <w:marRight w:val="0"/>
      <w:marTop w:val="0"/>
      <w:marBottom w:val="0"/>
      <w:divBdr>
        <w:top w:val="none" w:sz="0" w:space="0" w:color="auto"/>
        <w:left w:val="none" w:sz="0" w:space="0" w:color="auto"/>
        <w:bottom w:val="none" w:sz="0" w:space="0" w:color="auto"/>
        <w:right w:val="none" w:sz="0" w:space="0" w:color="auto"/>
      </w:divBdr>
    </w:div>
    <w:div w:id="1762795004">
      <w:bodyDiv w:val="1"/>
      <w:marLeft w:val="0"/>
      <w:marRight w:val="0"/>
      <w:marTop w:val="0"/>
      <w:marBottom w:val="0"/>
      <w:divBdr>
        <w:top w:val="none" w:sz="0" w:space="0" w:color="auto"/>
        <w:left w:val="none" w:sz="0" w:space="0" w:color="auto"/>
        <w:bottom w:val="none" w:sz="0" w:space="0" w:color="auto"/>
        <w:right w:val="none" w:sz="0" w:space="0" w:color="auto"/>
      </w:divBdr>
    </w:div>
    <w:div w:id="1762991145">
      <w:bodyDiv w:val="1"/>
      <w:marLeft w:val="0"/>
      <w:marRight w:val="0"/>
      <w:marTop w:val="0"/>
      <w:marBottom w:val="0"/>
      <w:divBdr>
        <w:top w:val="none" w:sz="0" w:space="0" w:color="auto"/>
        <w:left w:val="none" w:sz="0" w:space="0" w:color="auto"/>
        <w:bottom w:val="none" w:sz="0" w:space="0" w:color="auto"/>
        <w:right w:val="none" w:sz="0" w:space="0" w:color="auto"/>
      </w:divBdr>
    </w:div>
    <w:div w:id="1764299307">
      <w:bodyDiv w:val="1"/>
      <w:marLeft w:val="0"/>
      <w:marRight w:val="0"/>
      <w:marTop w:val="0"/>
      <w:marBottom w:val="0"/>
      <w:divBdr>
        <w:top w:val="none" w:sz="0" w:space="0" w:color="auto"/>
        <w:left w:val="none" w:sz="0" w:space="0" w:color="auto"/>
        <w:bottom w:val="none" w:sz="0" w:space="0" w:color="auto"/>
        <w:right w:val="none" w:sz="0" w:space="0" w:color="auto"/>
      </w:divBdr>
    </w:div>
    <w:div w:id="1764454274">
      <w:bodyDiv w:val="1"/>
      <w:marLeft w:val="0"/>
      <w:marRight w:val="0"/>
      <w:marTop w:val="0"/>
      <w:marBottom w:val="0"/>
      <w:divBdr>
        <w:top w:val="none" w:sz="0" w:space="0" w:color="auto"/>
        <w:left w:val="none" w:sz="0" w:space="0" w:color="auto"/>
        <w:bottom w:val="none" w:sz="0" w:space="0" w:color="auto"/>
        <w:right w:val="none" w:sz="0" w:space="0" w:color="auto"/>
      </w:divBdr>
    </w:div>
    <w:div w:id="1764645939">
      <w:bodyDiv w:val="1"/>
      <w:marLeft w:val="0"/>
      <w:marRight w:val="0"/>
      <w:marTop w:val="0"/>
      <w:marBottom w:val="0"/>
      <w:divBdr>
        <w:top w:val="none" w:sz="0" w:space="0" w:color="auto"/>
        <w:left w:val="none" w:sz="0" w:space="0" w:color="auto"/>
        <w:bottom w:val="none" w:sz="0" w:space="0" w:color="auto"/>
        <w:right w:val="none" w:sz="0" w:space="0" w:color="auto"/>
      </w:divBdr>
    </w:div>
    <w:div w:id="1770195723">
      <w:bodyDiv w:val="1"/>
      <w:marLeft w:val="0"/>
      <w:marRight w:val="0"/>
      <w:marTop w:val="0"/>
      <w:marBottom w:val="0"/>
      <w:divBdr>
        <w:top w:val="none" w:sz="0" w:space="0" w:color="auto"/>
        <w:left w:val="none" w:sz="0" w:space="0" w:color="auto"/>
        <w:bottom w:val="none" w:sz="0" w:space="0" w:color="auto"/>
        <w:right w:val="none" w:sz="0" w:space="0" w:color="auto"/>
      </w:divBdr>
    </w:div>
    <w:div w:id="1770353533">
      <w:bodyDiv w:val="1"/>
      <w:marLeft w:val="0"/>
      <w:marRight w:val="0"/>
      <w:marTop w:val="0"/>
      <w:marBottom w:val="0"/>
      <w:divBdr>
        <w:top w:val="none" w:sz="0" w:space="0" w:color="auto"/>
        <w:left w:val="none" w:sz="0" w:space="0" w:color="auto"/>
        <w:bottom w:val="none" w:sz="0" w:space="0" w:color="auto"/>
        <w:right w:val="none" w:sz="0" w:space="0" w:color="auto"/>
      </w:divBdr>
    </w:div>
    <w:div w:id="1771126959">
      <w:bodyDiv w:val="1"/>
      <w:marLeft w:val="0"/>
      <w:marRight w:val="0"/>
      <w:marTop w:val="0"/>
      <w:marBottom w:val="0"/>
      <w:divBdr>
        <w:top w:val="none" w:sz="0" w:space="0" w:color="auto"/>
        <w:left w:val="none" w:sz="0" w:space="0" w:color="auto"/>
        <w:bottom w:val="none" w:sz="0" w:space="0" w:color="auto"/>
        <w:right w:val="none" w:sz="0" w:space="0" w:color="auto"/>
      </w:divBdr>
    </w:div>
    <w:div w:id="1774129412">
      <w:bodyDiv w:val="1"/>
      <w:marLeft w:val="0"/>
      <w:marRight w:val="0"/>
      <w:marTop w:val="0"/>
      <w:marBottom w:val="0"/>
      <w:divBdr>
        <w:top w:val="none" w:sz="0" w:space="0" w:color="auto"/>
        <w:left w:val="none" w:sz="0" w:space="0" w:color="auto"/>
        <w:bottom w:val="none" w:sz="0" w:space="0" w:color="auto"/>
        <w:right w:val="none" w:sz="0" w:space="0" w:color="auto"/>
      </w:divBdr>
    </w:div>
    <w:div w:id="1775788689">
      <w:bodyDiv w:val="1"/>
      <w:marLeft w:val="0"/>
      <w:marRight w:val="0"/>
      <w:marTop w:val="0"/>
      <w:marBottom w:val="0"/>
      <w:divBdr>
        <w:top w:val="none" w:sz="0" w:space="0" w:color="auto"/>
        <w:left w:val="none" w:sz="0" w:space="0" w:color="auto"/>
        <w:bottom w:val="none" w:sz="0" w:space="0" w:color="auto"/>
        <w:right w:val="none" w:sz="0" w:space="0" w:color="auto"/>
      </w:divBdr>
    </w:div>
    <w:div w:id="1777827783">
      <w:bodyDiv w:val="1"/>
      <w:marLeft w:val="0"/>
      <w:marRight w:val="0"/>
      <w:marTop w:val="0"/>
      <w:marBottom w:val="0"/>
      <w:divBdr>
        <w:top w:val="none" w:sz="0" w:space="0" w:color="auto"/>
        <w:left w:val="none" w:sz="0" w:space="0" w:color="auto"/>
        <w:bottom w:val="none" w:sz="0" w:space="0" w:color="auto"/>
        <w:right w:val="none" w:sz="0" w:space="0" w:color="auto"/>
      </w:divBdr>
    </w:div>
    <w:div w:id="1780292037">
      <w:bodyDiv w:val="1"/>
      <w:marLeft w:val="0"/>
      <w:marRight w:val="0"/>
      <w:marTop w:val="0"/>
      <w:marBottom w:val="0"/>
      <w:divBdr>
        <w:top w:val="none" w:sz="0" w:space="0" w:color="auto"/>
        <w:left w:val="none" w:sz="0" w:space="0" w:color="auto"/>
        <w:bottom w:val="none" w:sz="0" w:space="0" w:color="auto"/>
        <w:right w:val="none" w:sz="0" w:space="0" w:color="auto"/>
      </w:divBdr>
    </w:div>
    <w:div w:id="1781685917">
      <w:bodyDiv w:val="1"/>
      <w:marLeft w:val="0"/>
      <w:marRight w:val="0"/>
      <w:marTop w:val="0"/>
      <w:marBottom w:val="0"/>
      <w:divBdr>
        <w:top w:val="none" w:sz="0" w:space="0" w:color="auto"/>
        <w:left w:val="none" w:sz="0" w:space="0" w:color="auto"/>
        <w:bottom w:val="none" w:sz="0" w:space="0" w:color="auto"/>
        <w:right w:val="none" w:sz="0" w:space="0" w:color="auto"/>
      </w:divBdr>
    </w:div>
    <w:div w:id="1782069026">
      <w:bodyDiv w:val="1"/>
      <w:marLeft w:val="0"/>
      <w:marRight w:val="0"/>
      <w:marTop w:val="0"/>
      <w:marBottom w:val="0"/>
      <w:divBdr>
        <w:top w:val="none" w:sz="0" w:space="0" w:color="auto"/>
        <w:left w:val="none" w:sz="0" w:space="0" w:color="auto"/>
        <w:bottom w:val="none" w:sz="0" w:space="0" w:color="auto"/>
        <w:right w:val="none" w:sz="0" w:space="0" w:color="auto"/>
      </w:divBdr>
    </w:div>
    <w:div w:id="1784613758">
      <w:bodyDiv w:val="1"/>
      <w:marLeft w:val="0"/>
      <w:marRight w:val="0"/>
      <w:marTop w:val="0"/>
      <w:marBottom w:val="0"/>
      <w:divBdr>
        <w:top w:val="none" w:sz="0" w:space="0" w:color="auto"/>
        <w:left w:val="none" w:sz="0" w:space="0" w:color="auto"/>
        <w:bottom w:val="none" w:sz="0" w:space="0" w:color="auto"/>
        <w:right w:val="none" w:sz="0" w:space="0" w:color="auto"/>
      </w:divBdr>
    </w:div>
    <w:div w:id="1785148445">
      <w:bodyDiv w:val="1"/>
      <w:marLeft w:val="0"/>
      <w:marRight w:val="0"/>
      <w:marTop w:val="0"/>
      <w:marBottom w:val="0"/>
      <w:divBdr>
        <w:top w:val="none" w:sz="0" w:space="0" w:color="auto"/>
        <w:left w:val="none" w:sz="0" w:space="0" w:color="auto"/>
        <w:bottom w:val="none" w:sz="0" w:space="0" w:color="auto"/>
        <w:right w:val="none" w:sz="0" w:space="0" w:color="auto"/>
      </w:divBdr>
    </w:div>
    <w:div w:id="1786804348">
      <w:bodyDiv w:val="1"/>
      <w:marLeft w:val="0"/>
      <w:marRight w:val="0"/>
      <w:marTop w:val="0"/>
      <w:marBottom w:val="0"/>
      <w:divBdr>
        <w:top w:val="none" w:sz="0" w:space="0" w:color="auto"/>
        <w:left w:val="none" w:sz="0" w:space="0" w:color="auto"/>
        <w:bottom w:val="none" w:sz="0" w:space="0" w:color="auto"/>
        <w:right w:val="none" w:sz="0" w:space="0" w:color="auto"/>
      </w:divBdr>
      <w:divsChild>
        <w:div w:id="1318918856">
          <w:marLeft w:val="0"/>
          <w:marRight w:val="0"/>
          <w:marTop w:val="0"/>
          <w:marBottom w:val="0"/>
          <w:divBdr>
            <w:top w:val="none" w:sz="0" w:space="0" w:color="auto"/>
            <w:left w:val="none" w:sz="0" w:space="0" w:color="auto"/>
            <w:bottom w:val="none" w:sz="0" w:space="0" w:color="auto"/>
            <w:right w:val="none" w:sz="0" w:space="0" w:color="auto"/>
          </w:divBdr>
          <w:divsChild>
            <w:div w:id="1535121291">
              <w:marLeft w:val="0"/>
              <w:marRight w:val="0"/>
              <w:marTop w:val="0"/>
              <w:marBottom w:val="0"/>
              <w:divBdr>
                <w:top w:val="none" w:sz="0" w:space="0" w:color="auto"/>
                <w:left w:val="none" w:sz="0" w:space="0" w:color="auto"/>
                <w:bottom w:val="none" w:sz="0" w:space="0" w:color="auto"/>
                <w:right w:val="none" w:sz="0" w:space="0" w:color="auto"/>
              </w:divBdr>
              <w:divsChild>
                <w:div w:id="29360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49771">
      <w:bodyDiv w:val="1"/>
      <w:marLeft w:val="0"/>
      <w:marRight w:val="0"/>
      <w:marTop w:val="0"/>
      <w:marBottom w:val="0"/>
      <w:divBdr>
        <w:top w:val="none" w:sz="0" w:space="0" w:color="auto"/>
        <w:left w:val="none" w:sz="0" w:space="0" w:color="auto"/>
        <w:bottom w:val="none" w:sz="0" w:space="0" w:color="auto"/>
        <w:right w:val="none" w:sz="0" w:space="0" w:color="auto"/>
      </w:divBdr>
    </w:div>
    <w:div w:id="1788818203">
      <w:bodyDiv w:val="1"/>
      <w:marLeft w:val="0"/>
      <w:marRight w:val="0"/>
      <w:marTop w:val="0"/>
      <w:marBottom w:val="0"/>
      <w:divBdr>
        <w:top w:val="none" w:sz="0" w:space="0" w:color="auto"/>
        <w:left w:val="none" w:sz="0" w:space="0" w:color="auto"/>
        <w:bottom w:val="none" w:sz="0" w:space="0" w:color="auto"/>
        <w:right w:val="none" w:sz="0" w:space="0" w:color="auto"/>
      </w:divBdr>
    </w:div>
    <w:div w:id="1788963792">
      <w:bodyDiv w:val="1"/>
      <w:marLeft w:val="0"/>
      <w:marRight w:val="0"/>
      <w:marTop w:val="0"/>
      <w:marBottom w:val="0"/>
      <w:divBdr>
        <w:top w:val="none" w:sz="0" w:space="0" w:color="auto"/>
        <w:left w:val="none" w:sz="0" w:space="0" w:color="auto"/>
        <w:bottom w:val="none" w:sz="0" w:space="0" w:color="auto"/>
        <w:right w:val="none" w:sz="0" w:space="0" w:color="auto"/>
      </w:divBdr>
    </w:div>
    <w:div w:id="1790002990">
      <w:bodyDiv w:val="1"/>
      <w:marLeft w:val="0"/>
      <w:marRight w:val="0"/>
      <w:marTop w:val="0"/>
      <w:marBottom w:val="0"/>
      <w:divBdr>
        <w:top w:val="none" w:sz="0" w:space="0" w:color="auto"/>
        <w:left w:val="none" w:sz="0" w:space="0" w:color="auto"/>
        <w:bottom w:val="none" w:sz="0" w:space="0" w:color="auto"/>
        <w:right w:val="none" w:sz="0" w:space="0" w:color="auto"/>
      </w:divBdr>
    </w:div>
    <w:div w:id="1790394399">
      <w:bodyDiv w:val="1"/>
      <w:marLeft w:val="0"/>
      <w:marRight w:val="0"/>
      <w:marTop w:val="0"/>
      <w:marBottom w:val="0"/>
      <w:divBdr>
        <w:top w:val="none" w:sz="0" w:space="0" w:color="auto"/>
        <w:left w:val="none" w:sz="0" w:space="0" w:color="auto"/>
        <w:bottom w:val="none" w:sz="0" w:space="0" w:color="auto"/>
        <w:right w:val="none" w:sz="0" w:space="0" w:color="auto"/>
      </w:divBdr>
    </w:div>
    <w:div w:id="1791704989">
      <w:bodyDiv w:val="1"/>
      <w:marLeft w:val="0"/>
      <w:marRight w:val="0"/>
      <w:marTop w:val="0"/>
      <w:marBottom w:val="0"/>
      <w:divBdr>
        <w:top w:val="none" w:sz="0" w:space="0" w:color="auto"/>
        <w:left w:val="none" w:sz="0" w:space="0" w:color="auto"/>
        <w:bottom w:val="none" w:sz="0" w:space="0" w:color="auto"/>
        <w:right w:val="none" w:sz="0" w:space="0" w:color="auto"/>
      </w:divBdr>
    </w:div>
    <w:div w:id="1793400826">
      <w:bodyDiv w:val="1"/>
      <w:marLeft w:val="0"/>
      <w:marRight w:val="0"/>
      <w:marTop w:val="0"/>
      <w:marBottom w:val="0"/>
      <w:divBdr>
        <w:top w:val="none" w:sz="0" w:space="0" w:color="auto"/>
        <w:left w:val="none" w:sz="0" w:space="0" w:color="auto"/>
        <w:bottom w:val="none" w:sz="0" w:space="0" w:color="auto"/>
        <w:right w:val="none" w:sz="0" w:space="0" w:color="auto"/>
      </w:divBdr>
    </w:div>
    <w:div w:id="1795899818">
      <w:bodyDiv w:val="1"/>
      <w:marLeft w:val="0"/>
      <w:marRight w:val="0"/>
      <w:marTop w:val="0"/>
      <w:marBottom w:val="0"/>
      <w:divBdr>
        <w:top w:val="none" w:sz="0" w:space="0" w:color="auto"/>
        <w:left w:val="none" w:sz="0" w:space="0" w:color="auto"/>
        <w:bottom w:val="none" w:sz="0" w:space="0" w:color="auto"/>
        <w:right w:val="none" w:sz="0" w:space="0" w:color="auto"/>
      </w:divBdr>
    </w:div>
    <w:div w:id="1798717241">
      <w:bodyDiv w:val="1"/>
      <w:marLeft w:val="0"/>
      <w:marRight w:val="0"/>
      <w:marTop w:val="0"/>
      <w:marBottom w:val="0"/>
      <w:divBdr>
        <w:top w:val="none" w:sz="0" w:space="0" w:color="auto"/>
        <w:left w:val="none" w:sz="0" w:space="0" w:color="auto"/>
        <w:bottom w:val="none" w:sz="0" w:space="0" w:color="auto"/>
        <w:right w:val="none" w:sz="0" w:space="0" w:color="auto"/>
      </w:divBdr>
    </w:div>
    <w:div w:id="1799956156">
      <w:bodyDiv w:val="1"/>
      <w:marLeft w:val="0"/>
      <w:marRight w:val="0"/>
      <w:marTop w:val="0"/>
      <w:marBottom w:val="0"/>
      <w:divBdr>
        <w:top w:val="none" w:sz="0" w:space="0" w:color="auto"/>
        <w:left w:val="none" w:sz="0" w:space="0" w:color="auto"/>
        <w:bottom w:val="none" w:sz="0" w:space="0" w:color="auto"/>
        <w:right w:val="none" w:sz="0" w:space="0" w:color="auto"/>
      </w:divBdr>
    </w:div>
    <w:div w:id="1800032221">
      <w:bodyDiv w:val="1"/>
      <w:marLeft w:val="0"/>
      <w:marRight w:val="0"/>
      <w:marTop w:val="0"/>
      <w:marBottom w:val="0"/>
      <w:divBdr>
        <w:top w:val="none" w:sz="0" w:space="0" w:color="auto"/>
        <w:left w:val="none" w:sz="0" w:space="0" w:color="auto"/>
        <w:bottom w:val="none" w:sz="0" w:space="0" w:color="auto"/>
        <w:right w:val="none" w:sz="0" w:space="0" w:color="auto"/>
      </w:divBdr>
    </w:div>
    <w:div w:id="1800610094">
      <w:bodyDiv w:val="1"/>
      <w:marLeft w:val="0"/>
      <w:marRight w:val="0"/>
      <w:marTop w:val="0"/>
      <w:marBottom w:val="0"/>
      <w:divBdr>
        <w:top w:val="none" w:sz="0" w:space="0" w:color="auto"/>
        <w:left w:val="none" w:sz="0" w:space="0" w:color="auto"/>
        <w:bottom w:val="none" w:sz="0" w:space="0" w:color="auto"/>
        <w:right w:val="none" w:sz="0" w:space="0" w:color="auto"/>
      </w:divBdr>
      <w:divsChild>
        <w:div w:id="1120032423">
          <w:marLeft w:val="0"/>
          <w:marRight w:val="0"/>
          <w:marTop w:val="0"/>
          <w:marBottom w:val="0"/>
          <w:divBdr>
            <w:top w:val="none" w:sz="0" w:space="0" w:color="auto"/>
            <w:left w:val="none" w:sz="0" w:space="0" w:color="auto"/>
            <w:bottom w:val="none" w:sz="0" w:space="0" w:color="auto"/>
            <w:right w:val="none" w:sz="0" w:space="0" w:color="auto"/>
          </w:divBdr>
          <w:divsChild>
            <w:div w:id="1003585099">
              <w:marLeft w:val="0"/>
              <w:marRight w:val="0"/>
              <w:marTop w:val="0"/>
              <w:marBottom w:val="0"/>
              <w:divBdr>
                <w:top w:val="none" w:sz="0" w:space="0" w:color="auto"/>
                <w:left w:val="none" w:sz="0" w:space="0" w:color="auto"/>
                <w:bottom w:val="none" w:sz="0" w:space="0" w:color="auto"/>
                <w:right w:val="none" w:sz="0" w:space="0" w:color="auto"/>
              </w:divBdr>
              <w:divsChild>
                <w:div w:id="2016494458">
                  <w:marLeft w:val="4245"/>
                  <w:marRight w:val="0"/>
                  <w:marTop w:val="0"/>
                  <w:marBottom w:val="0"/>
                  <w:divBdr>
                    <w:top w:val="none" w:sz="0" w:space="0" w:color="auto"/>
                    <w:left w:val="none" w:sz="0" w:space="0" w:color="auto"/>
                    <w:bottom w:val="none" w:sz="0" w:space="0" w:color="auto"/>
                    <w:right w:val="none" w:sz="0" w:space="0" w:color="auto"/>
                  </w:divBdr>
                  <w:divsChild>
                    <w:div w:id="2127889845">
                      <w:marLeft w:val="4200"/>
                      <w:marRight w:val="0"/>
                      <w:marTop w:val="2175"/>
                      <w:marBottom w:val="0"/>
                      <w:divBdr>
                        <w:top w:val="none" w:sz="0" w:space="0" w:color="auto"/>
                        <w:left w:val="none" w:sz="0" w:space="0" w:color="auto"/>
                        <w:bottom w:val="none" w:sz="0" w:space="0" w:color="auto"/>
                        <w:right w:val="none" w:sz="0" w:space="0" w:color="auto"/>
                      </w:divBdr>
                      <w:divsChild>
                        <w:div w:id="78619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5553">
      <w:bodyDiv w:val="1"/>
      <w:marLeft w:val="0"/>
      <w:marRight w:val="0"/>
      <w:marTop w:val="0"/>
      <w:marBottom w:val="0"/>
      <w:divBdr>
        <w:top w:val="none" w:sz="0" w:space="0" w:color="auto"/>
        <w:left w:val="none" w:sz="0" w:space="0" w:color="auto"/>
        <w:bottom w:val="none" w:sz="0" w:space="0" w:color="auto"/>
        <w:right w:val="none" w:sz="0" w:space="0" w:color="auto"/>
      </w:divBdr>
    </w:div>
    <w:div w:id="1806006589">
      <w:bodyDiv w:val="1"/>
      <w:marLeft w:val="0"/>
      <w:marRight w:val="0"/>
      <w:marTop w:val="0"/>
      <w:marBottom w:val="0"/>
      <w:divBdr>
        <w:top w:val="none" w:sz="0" w:space="0" w:color="auto"/>
        <w:left w:val="none" w:sz="0" w:space="0" w:color="auto"/>
        <w:bottom w:val="none" w:sz="0" w:space="0" w:color="auto"/>
        <w:right w:val="none" w:sz="0" w:space="0" w:color="auto"/>
      </w:divBdr>
    </w:div>
    <w:div w:id="1806190963">
      <w:bodyDiv w:val="1"/>
      <w:marLeft w:val="0"/>
      <w:marRight w:val="0"/>
      <w:marTop w:val="0"/>
      <w:marBottom w:val="0"/>
      <w:divBdr>
        <w:top w:val="none" w:sz="0" w:space="0" w:color="auto"/>
        <w:left w:val="none" w:sz="0" w:space="0" w:color="auto"/>
        <w:bottom w:val="none" w:sz="0" w:space="0" w:color="auto"/>
        <w:right w:val="none" w:sz="0" w:space="0" w:color="auto"/>
      </w:divBdr>
    </w:div>
    <w:div w:id="1808160295">
      <w:bodyDiv w:val="1"/>
      <w:marLeft w:val="0"/>
      <w:marRight w:val="0"/>
      <w:marTop w:val="0"/>
      <w:marBottom w:val="0"/>
      <w:divBdr>
        <w:top w:val="none" w:sz="0" w:space="0" w:color="auto"/>
        <w:left w:val="none" w:sz="0" w:space="0" w:color="auto"/>
        <w:bottom w:val="none" w:sz="0" w:space="0" w:color="auto"/>
        <w:right w:val="none" w:sz="0" w:space="0" w:color="auto"/>
      </w:divBdr>
    </w:div>
    <w:div w:id="1810584911">
      <w:bodyDiv w:val="1"/>
      <w:marLeft w:val="0"/>
      <w:marRight w:val="0"/>
      <w:marTop w:val="0"/>
      <w:marBottom w:val="0"/>
      <w:divBdr>
        <w:top w:val="none" w:sz="0" w:space="0" w:color="auto"/>
        <w:left w:val="none" w:sz="0" w:space="0" w:color="auto"/>
        <w:bottom w:val="none" w:sz="0" w:space="0" w:color="auto"/>
        <w:right w:val="none" w:sz="0" w:space="0" w:color="auto"/>
      </w:divBdr>
    </w:div>
    <w:div w:id="1810977240">
      <w:bodyDiv w:val="1"/>
      <w:marLeft w:val="0"/>
      <w:marRight w:val="0"/>
      <w:marTop w:val="0"/>
      <w:marBottom w:val="0"/>
      <w:divBdr>
        <w:top w:val="none" w:sz="0" w:space="0" w:color="auto"/>
        <w:left w:val="none" w:sz="0" w:space="0" w:color="auto"/>
        <w:bottom w:val="none" w:sz="0" w:space="0" w:color="auto"/>
        <w:right w:val="none" w:sz="0" w:space="0" w:color="auto"/>
      </w:divBdr>
      <w:divsChild>
        <w:div w:id="149098049">
          <w:marLeft w:val="0"/>
          <w:marRight w:val="0"/>
          <w:marTop w:val="0"/>
          <w:marBottom w:val="0"/>
          <w:divBdr>
            <w:top w:val="none" w:sz="0" w:space="0" w:color="auto"/>
            <w:left w:val="none" w:sz="0" w:space="0" w:color="auto"/>
            <w:bottom w:val="none" w:sz="0" w:space="0" w:color="auto"/>
            <w:right w:val="none" w:sz="0" w:space="0" w:color="auto"/>
          </w:divBdr>
        </w:div>
      </w:divsChild>
    </w:div>
    <w:div w:id="1811167094">
      <w:bodyDiv w:val="1"/>
      <w:marLeft w:val="0"/>
      <w:marRight w:val="0"/>
      <w:marTop w:val="0"/>
      <w:marBottom w:val="0"/>
      <w:divBdr>
        <w:top w:val="none" w:sz="0" w:space="0" w:color="auto"/>
        <w:left w:val="none" w:sz="0" w:space="0" w:color="auto"/>
        <w:bottom w:val="none" w:sz="0" w:space="0" w:color="auto"/>
        <w:right w:val="none" w:sz="0" w:space="0" w:color="auto"/>
      </w:divBdr>
    </w:div>
    <w:div w:id="1811508596">
      <w:bodyDiv w:val="1"/>
      <w:marLeft w:val="0"/>
      <w:marRight w:val="0"/>
      <w:marTop w:val="0"/>
      <w:marBottom w:val="0"/>
      <w:divBdr>
        <w:top w:val="none" w:sz="0" w:space="0" w:color="auto"/>
        <w:left w:val="none" w:sz="0" w:space="0" w:color="auto"/>
        <w:bottom w:val="none" w:sz="0" w:space="0" w:color="auto"/>
        <w:right w:val="none" w:sz="0" w:space="0" w:color="auto"/>
      </w:divBdr>
      <w:divsChild>
        <w:div w:id="1058015395">
          <w:marLeft w:val="300"/>
          <w:marRight w:val="300"/>
          <w:marTop w:val="0"/>
          <w:marBottom w:val="0"/>
          <w:divBdr>
            <w:top w:val="none" w:sz="0" w:space="0" w:color="auto"/>
            <w:left w:val="none" w:sz="0" w:space="0" w:color="auto"/>
            <w:bottom w:val="none" w:sz="0" w:space="0" w:color="auto"/>
            <w:right w:val="none" w:sz="0" w:space="0" w:color="auto"/>
          </w:divBdr>
          <w:divsChild>
            <w:div w:id="1928810036">
              <w:marLeft w:val="0"/>
              <w:marRight w:val="0"/>
              <w:marTop w:val="0"/>
              <w:marBottom w:val="0"/>
              <w:divBdr>
                <w:top w:val="none" w:sz="0" w:space="0" w:color="auto"/>
                <w:left w:val="none" w:sz="0" w:space="0" w:color="auto"/>
                <w:bottom w:val="none" w:sz="0" w:space="0" w:color="auto"/>
                <w:right w:val="none" w:sz="0" w:space="0" w:color="auto"/>
              </w:divBdr>
              <w:divsChild>
                <w:div w:id="916211299">
                  <w:marLeft w:val="0"/>
                  <w:marRight w:val="0"/>
                  <w:marTop w:val="0"/>
                  <w:marBottom w:val="0"/>
                  <w:divBdr>
                    <w:top w:val="none" w:sz="0" w:space="0" w:color="auto"/>
                    <w:left w:val="none" w:sz="0" w:space="0" w:color="auto"/>
                    <w:bottom w:val="none" w:sz="0" w:space="0" w:color="auto"/>
                    <w:right w:val="none" w:sz="0" w:space="0" w:color="auto"/>
                  </w:divBdr>
                  <w:divsChild>
                    <w:div w:id="1859346694">
                      <w:marLeft w:val="21"/>
                      <w:marRight w:val="2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508768">
      <w:bodyDiv w:val="1"/>
      <w:marLeft w:val="0"/>
      <w:marRight w:val="0"/>
      <w:marTop w:val="0"/>
      <w:marBottom w:val="0"/>
      <w:divBdr>
        <w:top w:val="none" w:sz="0" w:space="0" w:color="auto"/>
        <w:left w:val="none" w:sz="0" w:space="0" w:color="auto"/>
        <w:bottom w:val="none" w:sz="0" w:space="0" w:color="auto"/>
        <w:right w:val="none" w:sz="0" w:space="0" w:color="auto"/>
      </w:divBdr>
    </w:div>
    <w:div w:id="1811708758">
      <w:bodyDiv w:val="1"/>
      <w:marLeft w:val="0"/>
      <w:marRight w:val="0"/>
      <w:marTop w:val="0"/>
      <w:marBottom w:val="0"/>
      <w:divBdr>
        <w:top w:val="none" w:sz="0" w:space="0" w:color="auto"/>
        <w:left w:val="none" w:sz="0" w:space="0" w:color="auto"/>
        <w:bottom w:val="none" w:sz="0" w:space="0" w:color="auto"/>
        <w:right w:val="none" w:sz="0" w:space="0" w:color="auto"/>
      </w:divBdr>
    </w:div>
    <w:div w:id="1816409938">
      <w:bodyDiv w:val="1"/>
      <w:marLeft w:val="0"/>
      <w:marRight w:val="0"/>
      <w:marTop w:val="0"/>
      <w:marBottom w:val="0"/>
      <w:divBdr>
        <w:top w:val="none" w:sz="0" w:space="0" w:color="auto"/>
        <w:left w:val="none" w:sz="0" w:space="0" w:color="auto"/>
        <w:bottom w:val="none" w:sz="0" w:space="0" w:color="auto"/>
        <w:right w:val="none" w:sz="0" w:space="0" w:color="auto"/>
      </w:divBdr>
    </w:div>
    <w:div w:id="1817645088">
      <w:bodyDiv w:val="1"/>
      <w:marLeft w:val="0"/>
      <w:marRight w:val="0"/>
      <w:marTop w:val="0"/>
      <w:marBottom w:val="0"/>
      <w:divBdr>
        <w:top w:val="none" w:sz="0" w:space="0" w:color="auto"/>
        <w:left w:val="none" w:sz="0" w:space="0" w:color="auto"/>
        <w:bottom w:val="none" w:sz="0" w:space="0" w:color="auto"/>
        <w:right w:val="none" w:sz="0" w:space="0" w:color="auto"/>
      </w:divBdr>
    </w:div>
    <w:div w:id="1818105482">
      <w:bodyDiv w:val="1"/>
      <w:marLeft w:val="0"/>
      <w:marRight w:val="0"/>
      <w:marTop w:val="0"/>
      <w:marBottom w:val="0"/>
      <w:divBdr>
        <w:top w:val="none" w:sz="0" w:space="0" w:color="auto"/>
        <w:left w:val="none" w:sz="0" w:space="0" w:color="auto"/>
        <w:bottom w:val="none" w:sz="0" w:space="0" w:color="auto"/>
        <w:right w:val="none" w:sz="0" w:space="0" w:color="auto"/>
      </w:divBdr>
    </w:div>
    <w:div w:id="1819227880">
      <w:bodyDiv w:val="1"/>
      <w:marLeft w:val="0"/>
      <w:marRight w:val="0"/>
      <w:marTop w:val="0"/>
      <w:marBottom w:val="0"/>
      <w:divBdr>
        <w:top w:val="none" w:sz="0" w:space="0" w:color="auto"/>
        <w:left w:val="none" w:sz="0" w:space="0" w:color="auto"/>
        <w:bottom w:val="none" w:sz="0" w:space="0" w:color="auto"/>
        <w:right w:val="none" w:sz="0" w:space="0" w:color="auto"/>
      </w:divBdr>
    </w:div>
    <w:div w:id="1819416581">
      <w:bodyDiv w:val="1"/>
      <w:marLeft w:val="0"/>
      <w:marRight w:val="0"/>
      <w:marTop w:val="0"/>
      <w:marBottom w:val="0"/>
      <w:divBdr>
        <w:top w:val="none" w:sz="0" w:space="0" w:color="auto"/>
        <w:left w:val="none" w:sz="0" w:space="0" w:color="auto"/>
        <w:bottom w:val="none" w:sz="0" w:space="0" w:color="auto"/>
        <w:right w:val="none" w:sz="0" w:space="0" w:color="auto"/>
      </w:divBdr>
    </w:div>
    <w:div w:id="1822698771">
      <w:bodyDiv w:val="1"/>
      <w:marLeft w:val="0"/>
      <w:marRight w:val="0"/>
      <w:marTop w:val="0"/>
      <w:marBottom w:val="0"/>
      <w:divBdr>
        <w:top w:val="none" w:sz="0" w:space="0" w:color="auto"/>
        <w:left w:val="none" w:sz="0" w:space="0" w:color="auto"/>
        <w:bottom w:val="none" w:sz="0" w:space="0" w:color="auto"/>
        <w:right w:val="none" w:sz="0" w:space="0" w:color="auto"/>
      </w:divBdr>
    </w:div>
    <w:div w:id="1824731985">
      <w:bodyDiv w:val="1"/>
      <w:marLeft w:val="0"/>
      <w:marRight w:val="0"/>
      <w:marTop w:val="0"/>
      <w:marBottom w:val="0"/>
      <w:divBdr>
        <w:top w:val="none" w:sz="0" w:space="0" w:color="auto"/>
        <w:left w:val="none" w:sz="0" w:space="0" w:color="auto"/>
        <w:bottom w:val="none" w:sz="0" w:space="0" w:color="auto"/>
        <w:right w:val="none" w:sz="0" w:space="0" w:color="auto"/>
      </w:divBdr>
    </w:div>
    <w:div w:id="1824853292">
      <w:bodyDiv w:val="1"/>
      <w:marLeft w:val="0"/>
      <w:marRight w:val="0"/>
      <w:marTop w:val="0"/>
      <w:marBottom w:val="0"/>
      <w:divBdr>
        <w:top w:val="none" w:sz="0" w:space="0" w:color="auto"/>
        <w:left w:val="none" w:sz="0" w:space="0" w:color="auto"/>
        <w:bottom w:val="none" w:sz="0" w:space="0" w:color="auto"/>
        <w:right w:val="none" w:sz="0" w:space="0" w:color="auto"/>
      </w:divBdr>
      <w:divsChild>
        <w:div w:id="1357386776">
          <w:marLeft w:val="0"/>
          <w:marRight w:val="0"/>
          <w:marTop w:val="0"/>
          <w:marBottom w:val="0"/>
          <w:divBdr>
            <w:top w:val="none" w:sz="0" w:space="0" w:color="auto"/>
            <w:left w:val="none" w:sz="0" w:space="0" w:color="auto"/>
            <w:bottom w:val="none" w:sz="0" w:space="0" w:color="auto"/>
            <w:right w:val="none" w:sz="0" w:space="0" w:color="auto"/>
          </w:divBdr>
          <w:divsChild>
            <w:div w:id="535391188">
              <w:marLeft w:val="0"/>
              <w:marRight w:val="0"/>
              <w:marTop w:val="0"/>
              <w:marBottom w:val="0"/>
              <w:divBdr>
                <w:top w:val="none" w:sz="0" w:space="0" w:color="auto"/>
                <w:left w:val="none" w:sz="0" w:space="0" w:color="auto"/>
                <w:bottom w:val="none" w:sz="0" w:space="0" w:color="auto"/>
                <w:right w:val="none" w:sz="0" w:space="0" w:color="auto"/>
              </w:divBdr>
              <w:divsChild>
                <w:div w:id="536814488">
                  <w:marLeft w:val="0"/>
                  <w:marRight w:val="0"/>
                  <w:marTop w:val="0"/>
                  <w:marBottom w:val="0"/>
                  <w:divBdr>
                    <w:top w:val="none" w:sz="0" w:space="0" w:color="auto"/>
                    <w:left w:val="none" w:sz="0" w:space="0" w:color="auto"/>
                    <w:bottom w:val="none" w:sz="0" w:space="0" w:color="auto"/>
                    <w:right w:val="none" w:sz="0" w:space="0" w:color="auto"/>
                  </w:divBdr>
                  <w:divsChild>
                    <w:div w:id="489254357">
                      <w:marLeft w:val="0"/>
                      <w:marRight w:val="0"/>
                      <w:marTop w:val="0"/>
                      <w:marBottom w:val="0"/>
                      <w:divBdr>
                        <w:top w:val="none" w:sz="0" w:space="0" w:color="auto"/>
                        <w:left w:val="none" w:sz="0" w:space="0" w:color="auto"/>
                        <w:bottom w:val="none" w:sz="0" w:space="0" w:color="auto"/>
                        <w:right w:val="none" w:sz="0" w:space="0" w:color="auto"/>
                      </w:divBdr>
                      <w:divsChild>
                        <w:div w:id="1884950213">
                          <w:marLeft w:val="0"/>
                          <w:marRight w:val="0"/>
                          <w:marTop w:val="0"/>
                          <w:marBottom w:val="0"/>
                          <w:divBdr>
                            <w:top w:val="none" w:sz="0" w:space="0" w:color="auto"/>
                            <w:left w:val="none" w:sz="0" w:space="0" w:color="auto"/>
                            <w:bottom w:val="none" w:sz="0" w:space="0" w:color="auto"/>
                            <w:right w:val="none" w:sz="0" w:space="0" w:color="auto"/>
                          </w:divBdr>
                          <w:divsChild>
                            <w:div w:id="636842422">
                              <w:marLeft w:val="0"/>
                              <w:marRight w:val="0"/>
                              <w:marTop w:val="0"/>
                              <w:marBottom w:val="0"/>
                              <w:divBdr>
                                <w:top w:val="none" w:sz="0" w:space="0" w:color="auto"/>
                                <w:left w:val="none" w:sz="0" w:space="0" w:color="auto"/>
                                <w:bottom w:val="none" w:sz="0" w:space="0" w:color="auto"/>
                                <w:right w:val="none" w:sz="0" w:space="0" w:color="auto"/>
                              </w:divBdr>
                              <w:divsChild>
                                <w:div w:id="1081565121">
                                  <w:marLeft w:val="0"/>
                                  <w:marRight w:val="0"/>
                                  <w:marTop w:val="0"/>
                                  <w:marBottom w:val="0"/>
                                  <w:divBdr>
                                    <w:top w:val="none" w:sz="0" w:space="0" w:color="auto"/>
                                    <w:left w:val="none" w:sz="0" w:space="0" w:color="auto"/>
                                    <w:bottom w:val="none" w:sz="0" w:space="0" w:color="auto"/>
                                    <w:right w:val="none" w:sz="0" w:space="0" w:color="auto"/>
                                  </w:divBdr>
                                  <w:divsChild>
                                    <w:div w:id="47240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823711">
      <w:bodyDiv w:val="1"/>
      <w:marLeft w:val="0"/>
      <w:marRight w:val="0"/>
      <w:marTop w:val="0"/>
      <w:marBottom w:val="0"/>
      <w:divBdr>
        <w:top w:val="none" w:sz="0" w:space="0" w:color="auto"/>
        <w:left w:val="none" w:sz="0" w:space="0" w:color="auto"/>
        <w:bottom w:val="none" w:sz="0" w:space="0" w:color="auto"/>
        <w:right w:val="none" w:sz="0" w:space="0" w:color="auto"/>
      </w:divBdr>
    </w:div>
    <w:div w:id="1827745213">
      <w:bodyDiv w:val="1"/>
      <w:marLeft w:val="0"/>
      <w:marRight w:val="0"/>
      <w:marTop w:val="0"/>
      <w:marBottom w:val="0"/>
      <w:divBdr>
        <w:top w:val="none" w:sz="0" w:space="0" w:color="auto"/>
        <w:left w:val="none" w:sz="0" w:space="0" w:color="auto"/>
        <w:bottom w:val="none" w:sz="0" w:space="0" w:color="auto"/>
        <w:right w:val="none" w:sz="0" w:space="0" w:color="auto"/>
      </w:divBdr>
    </w:div>
    <w:div w:id="1830751851">
      <w:bodyDiv w:val="1"/>
      <w:marLeft w:val="0"/>
      <w:marRight w:val="0"/>
      <w:marTop w:val="0"/>
      <w:marBottom w:val="0"/>
      <w:divBdr>
        <w:top w:val="none" w:sz="0" w:space="0" w:color="auto"/>
        <w:left w:val="none" w:sz="0" w:space="0" w:color="auto"/>
        <w:bottom w:val="none" w:sz="0" w:space="0" w:color="auto"/>
        <w:right w:val="none" w:sz="0" w:space="0" w:color="auto"/>
      </w:divBdr>
    </w:div>
    <w:div w:id="1831824100">
      <w:bodyDiv w:val="1"/>
      <w:marLeft w:val="0"/>
      <w:marRight w:val="0"/>
      <w:marTop w:val="0"/>
      <w:marBottom w:val="0"/>
      <w:divBdr>
        <w:top w:val="none" w:sz="0" w:space="0" w:color="auto"/>
        <w:left w:val="none" w:sz="0" w:space="0" w:color="auto"/>
        <w:bottom w:val="none" w:sz="0" w:space="0" w:color="auto"/>
        <w:right w:val="none" w:sz="0" w:space="0" w:color="auto"/>
      </w:divBdr>
    </w:div>
    <w:div w:id="1834103207">
      <w:bodyDiv w:val="1"/>
      <w:marLeft w:val="0"/>
      <w:marRight w:val="0"/>
      <w:marTop w:val="0"/>
      <w:marBottom w:val="0"/>
      <w:divBdr>
        <w:top w:val="none" w:sz="0" w:space="0" w:color="auto"/>
        <w:left w:val="none" w:sz="0" w:space="0" w:color="auto"/>
        <w:bottom w:val="none" w:sz="0" w:space="0" w:color="auto"/>
        <w:right w:val="none" w:sz="0" w:space="0" w:color="auto"/>
      </w:divBdr>
    </w:div>
    <w:div w:id="1837573380">
      <w:bodyDiv w:val="1"/>
      <w:marLeft w:val="0"/>
      <w:marRight w:val="0"/>
      <w:marTop w:val="0"/>
      <w:marBottom w:val="0"/>
      <w:divBdr>
        <w:top w:val="none" w:sz="0" w:space="0" w:color="auto"/>
        <w:left w:val="none" w:sz="0" w:space="0" w:color="auto"/>
        <w:bottom w:val="none" w:sz="0" w:space="0" w:color="auto"/>
        <w:right w:val="none" w:sz="0" w:space="0" w:color="auto"/>
      </w:divBdr>
    </w:div>
    <w:div w:id="1839466627">
      <w:bodyDiv w:val="1"/>
      <w:marLeft w:val="0"/>
      <w:marRight w:val="0"/>
      <w:marTop w:val="0"/>
      <w:marBottom w:val="0"/>
      <w:divBdr>
        <w:top w:val="none" w:sz="0" w:space="0" w:color="auto"/>
        <w:left w:val="none" w:sz="0" w:space="0" w:color="auto"/>
        <w:bottom w:val="none" w:sz="0" w:space="0" w:color="auto"/>
        <w:right w:val="none" w:sz="0" w:space="0" w:color="auto"/>
      </w:divBdr>
    </w:div>
    <w:div w:id="1841193147">
      <w:bodyDiv w:val="1"/>
      <w:marLeft w:val="0"/>
      <w:marRight w:val="0"/>
      <w:marTop w:val="0"/>
      <w:marBottom w:val="0"/>
      <w:divBdr>
        <w:top w:val="none" w:sz="0" w:space="0" w:color="auto"/>
        <w:left w:val="none" w:sz="0" w:space="0" w:color="auto"/>
        <w:bottom w:val="none" w:sz="0" w:space="0" w:color="auto"/>
        <w:right w:val="none" w:sz="0" w:space="0" w:color="auto"/>
      </w:divBdr>
    </w:div>
    <w:div w:id="1841580762">
      <w:bodyDiv w:val="1"/>
      <w:marLeft w:val="0"/>
      <w:marRight w:val="0"/>
      <w:marTop w:val="0"/>
      <w:marBottom w:val="0"/>
      <w:divBdr>
        <w:top w:val="none" w:sz="0" w:space="0" w:color="auto"/>
        <w:left w:val="none" w:sz="0" w:space="0" w:color="auto"/>
        <w:bottom w:val="none" w:sz="0" w:space="0" w:color="auto"/>
        <w:right w:val="none" w:sz="0" w:space="0" w:color="auto"/>
      </w:divBdr>
    </w:div>
    <w:div w:id="1841769146">
      <w:bodyDiv w:val="1"/>
      <w:marLeft w:val="0"/>
      <w:marRight w:val="0"/>
      <w:marTop w:val="0"/>
      <w:marBottom w:val="0"/>
      <w:divBdr>
        <w:top w:val="none" w:sz="0" w:space="0" w:color="auto"/>
        <w:left w:val="none" w:sz="0" w:space="0" w:color="auto"/>
        <w:bottom w:val="none" w:sz="0" w:space="0" w:color="auto"/>
        <w:right w:val="none" w:sz="0" w:space="0" w:color="auto"/>
      </w:divBdr>
      <w:divsChild>
        <w:div w:id="953561288">
          <w:marLeft w:val="0"/>
          <w:marRight w:val="0"/>
          <w:marTop w:val="0"/>
          <w:marBottom w:val="0"/>
          <w:divBdr>
            <w:top w:val="none" w:sz="0" w:space="0" w:color="auto"/>
            <w:left w:val="none" w:sz="0" w:space="0" w:color="auto"/>
            <w:bottom w:val="none" w:sz="0" w:space="0" w:color="auto"/>
            <w:right w:val="none" w:sz="0" w:space="0" w:color="auto"/>
          </w:divBdr>
          <w:divsChild>
            <w:div w:id="540093531">
              <w:marLeft w:val="0"/>
              <w:marRight w:val="0"/>
              <w:marTop w:val="0"/>
              <w:marBottom w:val="0"/>
              <w:divBdr>
                <w:top w:val="none" w:sz="0" w:space="0" w:color="auto"/>
                <w:left w:val="none" w:sz="0" w:space="0" w:color="auto"/>
                <w:bottom w:val="none" w:sz="0" w:space="0" w:color="auto"/>
                <w:right w:val="none" w:sz="0" w:space="0" w:color="auto"/>
              </w:divBdr>
              <w:divsChild>
                <w:div w:id="644160597">
                  <w:marLeft w:val="0"/>
                  <w:marRight w:val="0"/>
                  <w:marTop w:val="0"/>
                  <w:marBottom w:val="0"/>
                  <w:divBdr>
                    <w:top w:val="none" w:sz="0" w:space="0" w:color="auto"/>
                    <w:left w:val="none" w:sz="0" w:space="0" w:color="auto"/>
                    <w:bottom w:val="none" w:sz="0" w:space="0" w:color="auto"/>
                    <w:right w:val="none" w:sz="0" w:space="0" w:color="auto"/>
                  </w:divBdr>
                </w:div>
                <w:div w:id="1798601577">
                  <w:marLeft w:val="0"/>
                  <w:marRight w:val="0"/>
                  <w:marTop w:val="72"/>
                  <w:marBottom w:val="72"/>
                  <w:divBdr>
                    <w:top w:val="none" w:sz="0" w:space="0" w:color="auto"/>
                    <w:left w:val="none" w:sz="0" w:space="0" w:color="auto"/>
                    <w:bottom w:val="none" w:sz="0" w:space="0" w:color="auto"/>
                    <w:right w:val="none" w:sz="0" w:space="0" w:color="auto"/>
                  </w:divBdr>
                </w:div>
              </w:divsChild>
            </w:div>
          </w:divsChild>
        </w:div>
      </w:divsChild>
    </w:div>
    <w:div w:id="1843624026">
      <w:bodyDiv w:val="1"/>
      <w:marLeft w:val="0"/>
      <w:marRight w:val="0"/>
      <w:marTop w:val="0"/>
      <w:marBottom w:val="0"/>
      <w:divBdr>
        <w:top w:val="none" w:sz="0" w:space="0" w:color="auto"/>
        <w:left w:val="none" w:sz="0" w:space="0" w:color="auto"/>
        <w:bottom w:val="none" w:sz="0" w:space="0" w:color="auto"/>
        <w:right w:val="none" w:sz="0" w:space="0" w:color="auto"/>
      </w:divBdr>
    </w:div>
    <w:div w:id="1844661009">
      <w:bodyDiv w:val="1"/>
      <w:marLeft w:val="0"/>
      <w:marRight w:val="0"/>
      <w:marTop w:val="0"/>
      <w:marBottom w:val="0"/>
      <w:divBdr>
        <w:top w:val="none" w:sz="0" w:space="0" w:color="auto"/>
        <w:left w:val="none" w:sz="0" w:space="0" w:color="auto"/>
        <w:bottom w:val="none" w:sz="0" w:space="0" w:color="auto"/>
        <w:right w:val="none" w:sz="0" w:space="0" w:color="auto"/>
      </w:divBdr>
    </w:div>
    <w:div w:id="1846244992">
      <w:bodyDiv w:val="1"/>
      <w:marLeft w:val="0"/>
      <w:marRight w:val="0"/>
      <w:marTop w:val="0"/>
      <w:marBottom w:val="0"/>
      <w:divBdr>
        <w:top w:val="none" w:sz="0" w:space="0" w:color="auto"/>
        <w:left w:val="none" w:sz="0" w:space="0" w:color="auto"/>
        <w:bottom w:val="none" w:sz="0" w:space="0" w:color="auto"/>
        <w:right w:val="none" w:sz="0" w:space="0" w:color="auto"/>
      </w:divBdr>
    </w:div>
    <w:div w:id="1847867827">
      <w:bodyDiv w:val="1"/>
      <w:marLeft w:val="0"/>
      <w:marRight w:val="0"/>
      <w:marTop w:val="0"/>
      <w:marBottom w:val="0"/>
      <w:divBdr>
        <w:top w:val="none" w:sz="0" w:space="0" w:color="auto"/>
        <w:left w:val="none" w:sz="0" w:space="0" w:color="auto"/>
        <w:bottom w:val="none" w:sz="0" w:space="0" w:color="auto"/>
        <w:right w:val="none" w:sz="0" w:space="0" w:color="auto"/>
      </w:divBdr>
    </w:div>
    <w:div w:id="1850681379">
      <w:bodyDiv w:val="1"/>
      <w:marLeft w:val="0"/>
      <w:marRight w:val="0"/>
      <w:marTop w:val="0"/>
      <w:marBottom w:val="0"/>
      <w:divBdr>
        <w:top w:val="none" w:sz="0" w:space="0" w:color="auto"/>
        <w:left w:val="none" w:sz="0" w:space="0" w:color="auto"/>
        <w:bottom w:val="none" w:sz="0" w:space="0" w:color="auto"/>
        <w:right w:val="none" w:sz="0" w:space="0" w:color="auto"/>
      </w:divBdr>
    </w:div>
    <w:div w:id="1852716369">
      <w:bodyDiv w:val="1"/>
      <w:marLeft w:val="0"/>
      <w:marRight w:val="0"/>
      <w:marTop w:val="0"/>
      <w:marBottom w:val="0"/>
      <w:divBdr>
        <w:top w:val="none" w:sz="0" w:space="0" w:color="auto"/>
        <w:left w:val="none" w:sz="0" w:space="0" w:color="auto"/>
        <w:bottom w:val="none" w:sz="0" w:space="0" w:color="auto"/>
        <w:right w:val="none" w:sz="0" w:space="0" w:color="auto"/>
      </w:divBdr>
    </w:div>
    <w:div w:id="1854341895">
      <w:bodyDiv w:val="1"/>
      <w:marLeft w:val="0"/>
      <w:marRight w:val="0"/>
      <w:marTop w:val="0"/>
      <w:marBottom w:val="0"/>
      <w:divBdr>
        <w:top w:val="none" w:sz="0" w:space="0" w:color="auto"/>
        <w:left w:val="none" w:sz="0" w:space="0" w:color="auto"/>
        <w:bottom w:val="none" w:sz="0" w:space="0" w:color="auto"/>
        <w:right w:val="none" w:sz="0" w:space="0" w:color="auto"/>
      </w:divBdr>
    </w:div>
    <w:div w:id="1855146311">
      <w:bodyDiv w:val="1"/>
      <w:marLeft w:val="0"/>
      <w:marRight w:val="0"/>
      <w:marTop w:val="0"/>
      <w:marBottom w:val="0"/>
      <w:divBdr>
        <w:top w:val="none" w:sz="0" w:space="0" w:color="auto"/>
        <w:left w:val="none" w:sz="0" w:space="0" w:color="auto"/>
        <w:bottom w:val="none" w:sz="0" w:space="0" w:color="auto"/>
        <w:right w:val="none" w:sz="0" w:space="0" w:color="auto"/>
      </w:divBdr>
    </w:div>
    <w:div w:id="1857306518">
      <w:bodyDiv w:val="1"/>
      <w:marLeft w:val="0"/>
      <w:marRight w:val="0"/>
      <w:marTop w:val="0"/>
      <w:marBottom w:val="0"/>
      <w:divBdr>
        <w:top w:val="none" w:sz="0" w:space="0" w:color="auto"/>
        <w:left w:val="none" w:sz="0" w:space="0" w:color="auto"/>
        <w:bottom w:val="none" w:sz="0" w:space="0" w:color="auto"/>
        <w:right w:val="none" w:sz="0" w:space="0" w:color="auto"/>
      </w:divBdr>
    </w:div>
    <w:div w:id="1858882890">
      <w:bodyDiv w:val="1"/>
      <w:marLeft w:val="0"/>
      <w:marRight w:val="0"/>
      <w:marTop w:val="0"/>
      <w:marBottom w:val="0"/>
      <w:divBdr>
        <w:top w:val="none" w:sz="0" w:space="0" w:color="auto"/>
        <w:left w:val="none" w:sz="0" w:space="0" w:color="auto"/>
        <w:bottom w:val="none" w:sz="0" w:space="0" w:color="auto"/>
        <w:right w:val="none" w:sz="0" w:space="0" w:color="auto"/>
      </w:divBdr>
    </w:div>
    <w:div w:id="1859466318">
      <w:bodyDiv w:val="1"/>
      <w:marLeft w:val="0"/>
      <w:marRight w:val="0"/>
      <w:marTop w:val="0"/>
      <w:marBottom w:val="0"/>
      <w:divBdr>
        <w:top w:val="none" w:sz="0" w:space="0" w:color="auto"/>
        <w:left w:val="none" w:sz="0" w:space="0" w:color="auto"/>
        <w:bottom w:val="none" w:sz="0" w:space="0" w:color="auto"/>
        <w:right w:val="none" w:sz="0" w:space="0" w:color="auto"/>
      </w:divBdr>
    </w:div>
    <w:div w:id="1862628378">
      <w:bodyDiv w:val="1"/>
      <w:marLeft w:val="0"/>
      <w:marRight w:val="0"/>
      <w:marTop w:val="0"/>
      <w:marBottom w:val="0"/>
      <w:divBdr>
        <w:top w:val="none" w:sz="0" w:space="0" w:color="auto"/>
        <w:left w:val="none" w:sz="0" w:space="0" w:color="auto"/>
        <w:bottom w:val="none" w:sz="0" w:space="0" w:color="auto"/>
        <w:right w:val="none" w:sz="0" w:space="0" w:color="auto"/>
      </w:divBdr>
    </w:div>
    <w:div w:id="1863006175">
      <w:bodyDiv w:val="1"/>
      <w:marLeft w:val="0"/>
      <w:marRight w:val="0"/>
      <w:marTop w:val="0"/>
      <w:marBottom w:val="0"/>
      <w:divBdr>
        <w:top w:val="none" w:sz="0" w:space="0" w:color="auto"/>
        <w:left w:val="none" w:sz="0" w:space="0" w:color="auto"/>
        <w:bottom w:val="none" w:sz="0" w:space="0" w:color="auto"/>
        <w:right w:val="none" w:sz="0" w:space="0" w:color="auto"/>
      </w:divBdr>
    </w:div>
    <w:div w:id="1863467742">
      <w:bodyDiv w:val="1"/>
      <w:marLeft w:val="0"/>
      <w:marRight w:val="0"/>
      <w:marTop w:val="0"/>
      <w:marBottom w:val="0"/>
      <w:divBdr>
        <w:top w:val="none" w:sz="0" w:space="0" w:color="auto"/>
        <w:left w:val="none" w:sz="0" w:space="0" w:color="auto"/>
        <w:bottom w:val="none" w:sz="0" w:space="0" w:color="auto"/>
        <w:right w:val="none" w:sz="0" w:space="0" w:color="auto"/>
      </w:divBdr>
    </w:div>
    <w:div w:id="1866020914">
      <w:bodyDiv w:val="1"/>
      <w:marLeft w:val="0"/>
      <w:marRight w:val="0"/>
      <w:marTop w:val="0"/>
      <w:marBottom w:val="0"/>
      <w:divBdr>
        <w:top w:val="none" w:sz="0" w:space="0" w:color="auto"/>
        <w:left w:val="none" w:sz="0" w:space="0" w:color="auto"/>
        <w:bottom w:val="none" w:sz="0" w:space="0" w:color="auto"/>
        <w:right w:val="none" w:sz="0" w:space="0" w:color="auto"/>
      </w:divBdr>
    </w:div>
    <w:div w:id="1866670972">
      <w:bodyDiv w:val="1"/>
      <w:marLeft w:val="0"/>
      <w:marRight w:val="0"/>
      <w:marTop w:val="0"/>
      <w:marBottom w:val="0"/>
      <w:divBdr>
        <w:top w:val="none" w:sz="0" w:space="0" w:color="auto"/>
        <w:left w:val="none" w:sz="0" w:space="0" w:color="auto"/>
        <w:bottom w:val="none" w:sz="0" w:space="0" w:color="auto"/>
        <w:right w:val="none" w:sz="0" w:space="0" w:color="auto"/>
      </w:divBdr>
    </w:div>
    <w:div w:id="1867013659">
      <w:bodyDiv w:val="1"/>
      <w:marLeft w:val="0"/>
      <w:marRight w:val="0"/>
      <w:marTop w:val="0"/>
      <w:marBottom w:val="0"/>
      <w:divBdr>
        <w:top w:val="none" w:sz="0" w:space="0" w:color="auto"/>
        <w:left w:val="none" w:sz="0" w:space="0" w:color="auto"/>
        <w:bottom w:val="none" w:sz="0" w:space="0" w:color="auto"/>
        <w:right w:val="none" w:sz="0" w:space="0" w:color="auto"/>
      </w:divBdr>
    </w:div>
    <w:div w:id="1867017057">
      <w:bodyDiv w:val="1"/>
      <w:marLeft w:val="0"/>
      <w:marRight w:val="0"/>
      <w:marTop w:val="0"/>
      <w:marBottom w:val="0"/>
      <w:divBdr>
        <w:top w:val="none" w:sz="0" w:space="0" w:color="auto"/>
        <w:left w:val="none" w:sz="0" w:space="0" w:color="auto"/>
        <w:bottom w:val="none" w:sz="0" w:space="0" w:color="auto"/>
        <w:right w:val="none" w:sz="0" w:space="0" w:color="auto"/>
      </w:divBdr>
    </w:div>
    <w:div w:id="1867908165">
      <w:bodyDiv w:val="1"/>
      <w:marLeft w:val="0"/>
      <w:marRight w:val="0"/>
      <w:marTop w:val="0"/>
      <w:marBottom w:val="0"/>
      <w:divBdr>
        <w:top w:val="none" w:sz="0" w:space="0" w:color="auto"/>
        <w:left w:val="none" w:sz="0" w:space="0" w:color="auto"/>
        <w:bottom w:val="none" w:sz="0" w:space="0" w:color="auto"/>
        <w:right w:val="none" w:sz="0" w:space="0" w:color="auto"/>
      </w:divBdr>
    </w:div>
    <w:div w:id="1868176864">
      <w:bodyDiv w:val="1"/>
      <w:marLeft w:val="0"/>
      <w:marRight w:val="0"/>
      <w:marTop w:val="0"/>
      <w:marBottom w:val="0"/>
      <w:divBdr>
        <w:top w:val="none" w:sz="0" w:space="0" w:color="auto"/>
        <w:left w:val="none" w:sz="0" w:space="0" w:color="auto"/>
        <w:bottom w:val="none" w:sz="0" w:space="0" w:color="auto"/>
        <w:right w:val="none" w:sz="0" w:space="0" w:color="auto"/>
      </w:divBdr>
    </w:div>
    <w:div w:id="1872260306">
      <w:bodyDiv w:val="1"/>
      <w:marLeft w:val="0"/>
      <w:marRight w:val="0"/>
      <w:marTop w:val="0"/>
      <w:marBottom w:val="0"/>
      <w:divBdr>
        <w:top w:val="none" w:sz="0" w:space="0" w:color="auto"/>
        <w:left w:val="none" w:sz="0" w:space="0" w:color="auto"/>
        <w:bottom w:val="none" w:sz="0" w:space="0" w:color="auto"/>
        <w:right w:val="none" w:sz="0" w:space="0" w:color="auto"/>
      </w:divBdr>
    </w:div>
    <w:div w:id="1873497999">
      <w:bodyDiv w:val="1"/>
      <w:marLeft w:val="0"/>
      <w:marRight w:val="0"/>
      <w:marTop w:val="0"/>
      <w:marBottom w:val="0"/>
      <w:divBdr>
        <w:top w:val="none" w:sz="0" w:space="0" w:color="auto"/>
        <w:left w:val="none" w:sz="0" w:space="0" w:color="auto"/>
        <w:bottom w:val="none" w:sz="0" w:space="0" w:color="auto"/>
        <w:right w:val="none" w:sz="0" w:space="0" w:color="auto"/>
      </w:divBdr>
    </w:div>
    <w:div w:id="1874030761">
      <w:bodyDiv w:val="1"/>
      <w:marLeft w:val="0"/>
      <w:marRight w:val="0"/>
      <w:marTop w:val="0"/>
      <w:marBottom w:val="0"/>
      <w:divBdr>
        <w:top w:val="none" w:sz="0" w:space="0" w:color="auto"/>
        <w:left w:val="none" w:sz="0" w:space="0" w:color="auto"/>
        <w:bottom w:val="none" w:sz="0" w:space="0" w:color="auto"/>
        <w:right w:val="none" w:sz="0" w:space="0" w:color="auto"/>
      </w:divBdr>
    </w:div>
    <w:div w:id="1874922077">
      <w:bodyDiv w:val="1"/>
      <w:marLeft w:val="0"/>
      <w:marRight w:val="0"/>
      <w:marTop w:val="0"/>
      <w:marBottom w:val="0"/>
      <w:divBdr>
        <w:top w:val="none" w:sz="0" w:space="0" w:color="auto"/>
        <w:left w:val="none" w:sz="0" w:space="0" w:color="auto"/>
        <w:bottom w:val="none" w:sz="0" w:space="0" w:color="auto"/>
        <w:right w:val="none" w:sz="0" w:space="0" w:color="auto"/>
      </w:divBdr>
    </w:div>
    <w:div w:id="1876035762">
      <w:bodyDiv w:val="1"/>
      <w:marLeft w:val="0"/>
      <w:marRight w:val="0"/>
      <w:marTop w:val="0"/>
      <w:marBottom w:val="0"/>
      <w:divBdr>
        <w:top w:val="none" w:sz="0" w:space="0" w:color="auto"/>
        <w:left w:val="none" w:sz="0" w:space="0" w:color="auto"/>
        <w:bottom w:val="none" w:sz="0" w:space="0" w:color="auto"/>
        <w:right w:val="none" w:sz="0" w:space="0" w:color="auto"/>
      </w:divBdr>
    </w:div>
    <w:div w:id="1876503471">
      <w:bodyDiv w:val="1"/>
      <w:marLeft w:val="0"/>
      <w:marRight w:val="0"/>
      <w:marTop w:val="0"/>
      <w:marBottom w:val="0"/>
      <w:divBdr>
        <w:top w:val="none" w:sz="0" w:space="0" w:color="auto"/>
        <w:left w:val="none" w:sz="0" w:space="0" w:color="auto"/>
        <w:bottom w:val="none" w:sz="0" w:space="0" w:color="auto"/>
        <w:right w:val="none" w:sz="0" w:space="0" w:color="auto"/>
      </w:divBdr>
    </w:div>
    <w:div w:id="1878160175">
      <w:bodyDiv w:val="1"/>
      <w:marLeft w:val="0"/>
      <w:marRight w:val="0"/>
      <w:marTop w:val="0"/>
      <w:marBottom w:val="0"/>
      <w:divBdr>
        <w:top w:val="none" w:sz="0" w:space="0" w:color="auto"/>
        <w:left w:val="none" w:sz="0" w:space="0" w:color="auto"/>
        <w:bottom w:val="none" w:sz="0" w:space="0" w:color="auto"/>
        <w:right w:val="none" w:sz="0" w:space="0" w:color="auto"/>
      </w:divBdr>
    </w:div>
    <w:div w:id="1879051492">
      <w:bodyDiv w:val="1"/>
      <w:marLeft w:val="0"/>
      <w:marRight w:val="0"/>
      <w:marTop w:val="0"/>
      <w:marBottom w:val="0"/>
      <w:divBdr>
        <w:top w:val="none" w:sz="0" w:space="0" w:color="auto"/>
        <w:left w:val="none" w:sz="0" w:space="0" w:color="auto"/>
        <w:bottom w:val="none" w:sz="0" w:space="0" w:color="auto"/>
        <w:right w:val="none" w:sz="0" w:space="0" w:color="auto"/>
      </w:divBdr>
    </w:div>
    <w:div w:id="1879079563">
      <w:bodyDiv w:val="1"/>
      <w:marLeft w:val="0"/>
      <w:marRight w:val="0"/>
      <w:marTop w:val="0"/>
      <w:marBottom w:val="0"/>
      <w:divBdr>
        <w:top w:val="none" w:sz="0" w:space="0" w:color="auto"/>
        <w:left w:val="none" w:sz="0" w:space="0" w:color="auto"/>
        <w:bottom w:val="none" w:sz="0" w:space="0" w:color="auto"/>
        <w:right w:val="none" w:sz="0" w:space="0" w:color="auto"/>
      </w:divBdr>
    </w:div>
    <w:div w:id="1882132094">
      <w:bodyDiv w:val="1"/>
      <w:marLeft w:val="0"/>
      <w:marRight w:val="0"/>
      <w:marTop w:val="0"/>
      <w:marBottom w:val="0"/>
      <w:divBdr>
        <w:top w:val="none" w:sz="0" w:space="0" w:color="auto"/>
        <w:left w:val="none" w:sz="0" w:space="0" w:color="auto"/>
        <w:bottom w:val="none" w:sz="0" w:space="0" w:color="auto"/>
        <w:right w:val="none" w:sz="0" w:space="0" w:color="auto"/>
      </w:divBdr>
    </w:div>
    <w:div w:id="1883252974">
      <w:bodyDiv w:val="1"/>
      <w:marLeft w:val="0"/>
      <w:marRight w:val="0"/>
      <w:marTop w:val="0"/>
      <w:marBottom w:val="0"/>
      <w:divBdr>
        <w:top w:val="none" w:sz="0" w:space="0" w:color="auto"/>
        <w:left w:val="none" w:sz="0" w:space="0" w:color="auto"/>
        <w:bottom w:val="none" w:sz="0" w:space="0" w:color="auto"/>
        <w:right w:val="none" w:sz="0" w:space="0" w:color="auto"/>
      </w:divBdr>
    </w:div>
    <w:div w:id="1884125063">
      <w:bodyDiv w:val="1"/>
      <w:marLeft w:val="0"/>
      <w:marRight w:val="0"/>
      <w:marTop w:val="0"/>
      <w:marBottom w:val="0"/>
      <w:divBdr>
        <w:top w:val="none" w:sz="0" w:space="0" w:color="auto"/>
        <w:left w:val="none" w:sz="0" w:space="0" w:color="auto"/>
        <w:bottom w:val="none" w:sz="0" w:space="0" w:color="auto"/>
        <w:right w:val="none" w:sz="0" w:space="0" w:color="auto"/>
      </w:divBdr>
    </w:div>
    <w:div w:id="1884974815">
      <w:bodyDiv w:val="1"/>
      <w:marLeft w:val="0"/>
      <w:marRight w:val="0"/>
      <w:marTop w:val="0"/>
      <w:marBottom w:val="0"/>
      <w:divBdr>
        <w:top w:val="none" w:sz="0" w:space="0" w:color="auto"/>
        <w:left w:val="none" w:sz="0" w:space="0" w:color="auto"/>
        <w:bottom w:val="none" w:sz="0" w:space="0" w:color="auto"/>
        <w:right w:val="none" w:sz="0" w:space="0" w:color="auto"/>
      </w:divBdr>
    </w:div>
    <w:div w:id="1885628945">
      <w:bodyDiv w:val="1"/>
      <w:marLeft w:val="0"/>
      <w:marRight w:val="0"/>
      <w:marTop w:val="0"/>
      <w:marBottom w:val="0"/>
      <w:divBdr>
        <w:top w:val="none" w:sz="0" w:space="0" w:color="auto"/>
        <w:left w:val="none" w:sz="0" w:space="0" w:color="auto"/>
        <w:bottom w:val="none" w:sz="0" w:space="0" w:color="auto"/>
        <w:right w:val="none" w:sz="0" w:space="0" w:color="auto"/>
      </w:divBdr>
    </w:div>
    <w:div w:id="1887259718">
      <w:bodyDiv w:val="1"/>
      <w:marLeft w:val="0"/>
      <w:marRight w:val="0"/>
      <w:marTop w:val="0"/>
      <w:marBottom w:val="0"/>
      <w:divBdr>
        <w:top w:val="none" w:sz="0" w:space="0" w:color="auto"/>
        <w:left w:val="none" w:sz="0" w:space="0" w:color="auto"/>
        <w:bottom w:val="none" w:sz="0" w:space="0" w:color="auto"/>
        <w:right w:val="none" w:sz="0" w:space="0" w:color="auto"/>
      </w:divBdr>
    </w:div>
    <w:div w:id="1887451849">
      <w:bodyDiv w:val="1"/>
      <w:marLeft w:val="0"/>
      <w:marRight w:val="0"/>
      <w:marTop w:val="0"/>
      <w:marBottom w:val="0"/>
      <w:divBdr>
        <w:top w:val="none" w:sz="0" w:space="0" w:color="auto"/>
        <w:left w:val="none" w:sz="0" w:space="0" w:color="auto"/>
        <w:bottom w:val="none" w:sz="0" w:space="0" w:color="auto"/>
        <w:right w:val="none" w:sz="0" w:space="0" w:color="auto"/>
      </w:divBdr>
    </w:div>
    <w:div w:id="1887599667">
      <w:bodyDiv w:val="1"/>
      <w:marLeft w:val="0"/>
      <w:marRight w:val="0"/>
      <w:marTop w:val="0"/>
      <w:marBottom w:val="0"/>
      <w:divBdr>
        <w:top w:val="none" w:sz="0" w:space="0" w:color="auto"/>
        <w:left w:val="none" w:sz="0" w:space="0" w:color="auto"/>
        <w:bottom w:val="none" w:sz="0" w:space="0" w:color="auto"/>
        <w:right w:val="none" w:sz="0" w:space="0" w:color="auto"/>
      </w:divBdr>
    </w:div>
    <w:div w:id="1888487072">
      <w:bodyDiv w:val="1"/>
      <w:marLeft w:val="0"/>
      <w:marRight w:val="0"/>
      <w:marTop w:val="0"/>
      <w:marBottom w:val="0"/>
      <w:divBdr>
        <w:top w:val="none" w:sz="0" w:space="0" w:color="auto"/>
        <w:left w:val="none" w:sz="0" w:space="0" w:color="auto"/>
        <w:bottom w:val="none" w:sz="0" w:space="0" w:color="auto"/>
        <w:right w:val="none" w:sz="0" w:space="0" w:color="auto"/>
      </w:divBdr>
    </w:div>
    <w:div w:id="1891532100">
      <w:bodyDiv w:val="1"/>
      <w:marLeft w:val="0"/>
      <w:marRight w:val="0"/>
      <w:marTop w:val="0"/>
      <w:marBottom w:val="0"/>
      <w:divBdr>
        <w:top w:val="none" w:sz="0" w:space="0" w:color="auto"/>
        <w:left w:val="none" w:sz="0" w:space="0" w:color="auto"/>
        <w:bottom w:val="none" w:sz="0" w:space="0" w:color="auto"/>
        <w:right w:val="none" w:sz="0" w:space="0" w:color="auto"/>
      </w:divBdr>
    </w:div>
    <w:div w:id="1893299530">
      <w:bodyDiv w:val="1"/>
      <w:marLeft w:val="0"/>
      <w:marRight w:val="0"/>
      <w:marTop w:val="0"/>
      <w:marBottom w:val="0"/>
      <w:divBdr>
        <w:top w:val="none" w:sz="0" w:space="0" w:color="auto"/>
        <w:left w:val="none" w:sz="0" w:space="0" w:color="auto"/>
        <w:bottom w:val="none" w:sz="0" w:space="0" w:color="auto"/>
        <w:right w:val="none" w:sz="0" w:space="0" w:color="auto"/>
      </w:divBdr>
    </w:div>
    <w:div w:id="1894920953">
      <w:bodyDiv w:val="1"/>
      <w:marLeft w:val="0"/>
      <w:marRight w:val="0"/>
      <w:marTop w:val="0"/>
      <w:marBottom w:val="0"/>
      <w:divBdr>
        <w:top w:val="none" w:sz="0" w:space="0" w:color="auto"/>
        <w:left w:val="none" w:sz="0" w:space="0" w:color="auto"/>
        <w:bottom w:val="none" w:sz="0" w:space="0" w:color="auto"/>
        <w:right w:val="none" w:sz="0" w:space="0" w:color="auto"/>
      </w:divBdr>
    </w:div>
    <w:div w:id="1895042960">
      <w:bodyDiv w:val="1"/>
      <w:marLeft w:val="0"/>
      <w:marRight w:val="0"/>
      <w:marTop w:val="0"/>
      <w:marBottom w:val="0"/>
      <w:divBdr>
        <w:top w:val="none" w:sz="0" w:space="0" w:color="auto"/>
        <w:left w:val="none" w:sz="0" w:space="0" w:color="auto"/>
        <w:bottom w:val="none" w:sz="0" w:space="0" w:color="auto"/>
        <w:right w:val="none" w:sz="0" w:space="0" w:color="auto"/>
      </w:divBdr>
      <w:divsChild>
        <w:div w:id="333581434">
          <w:marLeft w:val="0"/>
          <w:marRight w:val="0"/>
          <w:marTop w:val="0"/>
          <w:marBottom w:val="0"/>
          <w:divBdr>
            <w:top w:val="none" w:sz="0" w:space="0" w:color="auto"/>
            <w:left w:val="none" w:sz="0" w:space="0" w:color="auto"/>
            <w:bottom w:val="none" w:sz="0" w:space="0" w:color="auto"/>
            <w:right w:val="none" w:sz="0" w:space="0" w:color="auto"/>
          </w:divBdr>
          <w:divsChild>
            <w:div w:id="694501121">
              <w:marLeft w:val="0"/>
              <w:marRight w:val="0"/>
              <w:marTop w:val="0"/>
              <w:marBottom w:val="0"/>
              <w:divBdr>
                <w:top w:val="none" w:sz="0" w:space="0" w:color="auto"/>
                <w:left w:val="none" w:sz="0" w:space="0" w:color="auto"/>
                <w:bottom w:val="none" w:sz="0" w:space="0" w:color="auto"/>
                <w:right w:val="none" w:sz="0" w:space="0" w:color="auto"/>
              </w:divBdr>
              <w:divsChild>
                <w:div w:id="151888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699663">
      <w:bodyDiv w:val="1"/>
      <w:marLeft w:val="0"/>
      <w:marRight w:val="0"/>
      <w:marTop w:val="0"/>
      <w:marBottom w:val="0"/>
      <w:divBdr>
        <w:top w:val="none" w:sz="0" w:space="0" w:color="auto"/>
        <w:left w:val="none" w:sz="0" w:space="0" w:color="auto"/>
        <w:bottom w:val="none" w:sz="0" w:space="0" w:color="auto"/>
        <w:right w:val="none" w:sz="0" w:space="0" w:color="auto"/>
      </w:divBdr>
    </w:div>
    <w:div w:id="1897888933">
      <w:bodyDiv w:val="1"/>
      <w:marLeft w:val="0"/>
      <w:marRight w:val="0"/>
      <w:marTop w:val="0"/>
      <w:marBottom w:val="0"/>
      <w:divBdr>
        <w:top w:val="none" w:sz="0" w:space="0" w:color="auto"/>
        <w:left w:val="none" w:sz="0" w:space="0" w:color="auto"/>
        <w:bottom w:val="none" w:sz="0" w:space="0" w:color="auto"/>
        <w:right w:val="none" w:sz="0" w:space="0" w:color="auto"/>
      </w:divBdr>
    </w:div>
    <w:div w:id="1899591929">
      <w:bodyDiv w:val="1"/>
      <w:marLeft w:val="0"/>
      <w:marRight w:val="0"/>
      <w:marTop w:val="0"/>
      <w:marBottom w:val="0"/>
      <w:divBdr>
        <w:top w:val="none" w:sz="0" w:space="0" w:color="auto"/>
        <w:left w:val="none" w:sz="0" w:space="0" w:color="auto"/>
        <w:bottom w:val="none" w:sz="0" w:space="0" w:color="auto"/>
        <w:right w:val="none" w:sz="0" w:space="0" w:color="auto"/>
      </w:divBdr>
    </w:div>
    <w:div w:id="1901668885">
      <w:bodyDiv w:val="1"/>
      <w:marLeft w:val="0"/>
      <w:marRight w:val="0"/>
      <w:marTop w:val="0"/>
      <w:marBottom w:val="0"/>
      <w:divBdr>
        <w:top w:val="none" w:sz="0" w:space="0" w:color="auto"/>
        <w:left w:val="none" w:sz="0" w:space="0" w:color="auto"/>
        <w:bottom w:val="none" w:sz="0" w:space="0" w:color="auto"/>
        <w:right w:val="none" w:sz="0" w:space="0" w:color="auto"/>
      </w:divBdr>
    </w:div>
    <w:div w:id="1902207891">
      <w:bodyDiv w:val="1"/>
      <w:marLeft w:val="0"/>
      <w:marRight w:val="0"/>
      <w:marTop w:val="0"/>
      <w:marBottom w:val="0"/>
      <w:divBdr>
        <w:top w:val="none" w:sz="0" w:space="0" w:color="auto"/>
        <w:left w:val="none" w:sz="0" w:space="0" w:color="auto"/>
        <w:bottom w:val="none" w:sz="0" w:space="0" w:color="auto"/>
        <w:right w:val="none" w:sz="0" w:space="0" w:color="auto"/>
      </w:divBdr>
    </w:div>
    <w:div w:id="1903827308">
      <w:bodyDiv w:val="1"/>
      <w:marLeft w:val="0"/>
      <w:marRight w:val="0"/>
      <w:marTop w:val="0"/>
      <w:marBottom w:val="0"/>
      <w:divBdr>
        <w:top w:val="none" w:sz="0" w:space="0" w:color="auto"/>
        <w:left w:val="none" w:sz="0" w:space="0" w:color="auto"/>
        <w:bottom w:val="none" w:sz="0" w:space="0" w:color="auto"/>
        <w:right w:val="none" w:sz="0" w:space="0" w:color="auto"/>
      </w:divBdr>
    </w:div>
    <w:div w:id="1905406156">
      <w:bodyDiv w:val="1"/>
      <w:marLeft w:val="0"/>
      <w:marRight w:val="0"/>
      <w:marTop w:val="0"/>
      <w:marBottom w:val="0"/>
      <w:divBdr>
        <w:top w:val="none" w:sz="0" w:space="0" w:color="auto"/>
        <w:left w:val="none" w:sz="0" w:space="0" w:color="auto"/>
        <w:bottom w:val="none" w:sz="0" w:space="0" w:color="auto"/>
        <w:right w:val="none" w:sz="0" w:space="0" w:color="auto"/>
      </w:divBdr>
    </w:div>
    <w:div w:id="1905749940">
      <w:bodyDiv w:val="1"/>
      <w:marLeft w:val="0"/>
      <w:marRight w:val="0"/>
      <w:marTop w:val="0"/>
      <w:marBottom w:val="0"/>
      <w:divBdr>
        <w:top w:val="none" w:sz="0" w:space="0" w:color="auto"/>
        <w:left w:val="none" w:sz="0" w:space="0" w:color="auto"/>
        <w:bottom w:val="none" w:sz="0" w:space="0" w:color="auto"/>
        <w:right w:val="none" w:sz="0" w:space="0" w:color="auto"/>
      </w:divBdr>
    </w:div>
    <w:div w:id="1906835911">
      <w:bodyDiv w:val="1"/>
      <w:marLeft w:val="0"/>
      <w:marRight w:val="0"/>
      <w:marTop w:val="0"/>
      <w:marBottom w:val="0"/>
      <w:divBdr>
        <w:top w:val="none" w:sz="0" w:space="0" w:color="auto"/>
        <w:left w:val="none" w:sz="0" w:space="0" w:color="auto"/>
        <w:bottom w:val="none" w:sz="0" w:space="0" w:color="auto"/>
        <w:right w:val="none" w:sz="0" w:space="0" w:color="auto"/>
      </w:divBdr>
    </w:div>
    <w:div w:id="1907714792">
      <w:bodyDiv w:val="1"/>
      <w:marLeft w:val="0"/>
      <w:marRight w:val="0"/>
      <w:marTop w:val="0"/>
      <w:marBottom w:val="0"/>
      <w:divBdr>
        <w:top w:val="none" w:sz="0" w:space="0" w:color="auto"/>
        <w:left w:val="none" w:sz="0" w:space="0" w:color="auto"/>
        <w:bottom w:val="none" w:sz="0" w:space="0" w:color="auto"/>
        <w:right w:val="none" w:sz="0" w:space="0" w:color="auto"/>
      </w:divBdr>
      <w:divsChild>
        <w:div w:id="1195774606">
          <w:marLeft w:val="0"/>
          <w:marRight w:val="0"/>
          <w:marTop w:val="100"/>
          <w:marBottom w:val="100"/>
          <w:divBdr>
            <w:top w:val="none" w:sz="0" w:space="0" w:color="auto"/>
            <w:left w:val="none" w:sz="0" w:space="0" w:color="auto"/>
            <w:bottom w:val="none" w:sz="0" w:space="0" w:color="auto"/>
            <w:right w:val="none" w:sz="0" w:space="0" w:color="auto"/>
          </w:divBdr>
          <w:divsChild>
            <w:div w:id="1004865959">
              <w:marLeft w:val="0"/>
              <w:marRight w:val="0"/>
              <w:marTop w:val="0"/>
              <w:marBottom w:val="0"/>
              <w:divBdr>
                <w:top w:val="none" w:sz="0" w:space="0" w:color="auto"/>
                <w:left w:val="none" w:sz="0" w:space="0" w:color="auto"/>
                <w:bottom w:val="none" w:sz="0" w:space="0" w:color="auto"/>
                <w:right w:val="none" w:sz="0" w:space="0" w:color="auto"/>
              </w:divBdr>
              <w:divsChild>
                <w:div w:id="42800424">
                  <w:marLeft w:val="0"/>
                  <w:marRight w:val="90"/>
                  <w:marTop w:val="0"/>
                  <w:marBottom w:val="0"/>
                  <w:divBdr>
                    <w:top w:val="none" w:sz="0" w:space="0" w:color="auto"/>
                    <w:left w:val="none" w:sz="0" w:space="0" w:color="auto"/>
                    <w:bottom w:val="none" w:sz="0" w:space="0" w:color="auto"/>
                    <w:right w:val="none" w:sz="0" w:space="0" w:color="auto"/>
                  </w:divBdr>
                  <w:divsChild>
                    <w:div w:id="1152792023">
                      <w:marLeft w:val="0"/>
                      <w:marRight w:val="0"/>
                      <w:marTop w:val="0"/>
                      <w:marBottom w:val="0"/>
                      <w:divBdr>
                        <w:top w:val="none" w:sz="0" w:space="0" w:color="auto"/>
                        <w:left w:val="none" w:sz="0" w:space="0" w:color="auto"/>
                        <w:bottom w:val="none" w:sz="0" w:space="0" w:color="auto"/>
                        <w:right w:val="none" w:sz="0" w:space="0" w:color="auto"/>
                      </w:divBdr>
                      <w:divsChild>
                        <w:div w:id="20134829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908031100">
      <w:bodyDiv w:val="1"/>
      <w:marLeft w:val="0"/>
      <w:marRight w:val="0"/>
      <w:marTop w:val="0"/>
      <w:marBottom w:val="0"/>
      <w:divBdr>
        <w:top w:val="none" w:sz="0" w:space="0" w:color="auto"/>
        <w:left w:val="none" w:sz="0" w:space="0" w:color="auto"/>
        <w:bottom w:val="none" w:sz="0" w:space="0" w:color="auto"/>
        <w:right w:val="none" w:sz="0" w:space="0" w:color="auto"/>
      </w:divBdr>
    </w:div>
    <w:div w:id="1910185249">
      <w:bodyDiv w:val="1"/>
      <w:marLeft w:val="0"/>
      <w:marRight w:val="0"/>
      <w:marTop w:val="0"/>
      <w:marBottom w:val="0"/>
      <w:divBdr>
        <w:top w:val="none" w:sz="0" w:space="0" w:color="auto"/>
        <w:left w:val="none" w:sz="0" w:space="0" w:color="auto"/>
        <w:bottom w:val="none" w:sz="0" w:space="0" w:color="auto"/>
        <w:right w:val="none" w:sz="0" w:space="0" w:color="auto"/>
      </w:divBdr>
    </w:div>
    <w:div w:id="1910578092">
      <w:bodyDiv w:val="1"/>
      <w:marLeft w:val="0"/>
      <w:marRight w:val="0"/>
      <w:marTop w:val="0"/>
      <w:marBottom w:val="0"/>
      <w:divBdr>
        <w:top w:val="none" w:sz="0" w:space="0" w:color="auto"/>
        <w:left w:val="none" w:sz="0" w:space="0" w:color="auto"/>
        <w:bottom w:val="none" w:sz="0" w:space="0" w:color="auto"/>
        <w:right w:val="none" w:sz="0" w:space="0" w:color="auto"/>
      </w:divBdr>
    </w:div>
    <w:div w:id="1911847842">
      <w:bodyDiv w:val="1"/>
      <w:marLeft w:val="0"/>
      <w:marRight w:val="0"/>
      <w:marTop w:val="0"/>
      <w:marBottom w:val="0"/>
      <w:divBdr>
        <w:top w:val="none" w:sz="0" w:space="0" w:color="auto"/>
        <w:left w:val="none" w:sz="0" w:space="0" w:color="auto"/>
        <w:bottom w:val="none" w:sz="0" w:space="0" w:color="auto"/>
        <w:right w:val="none" w:sz="0" w:space="0" w:color="auto"/>
      </w:divBdr>
    </w:div>
    <w:div w:id="1916625041">
      <w:bodyDiv w:val="1"/>
      <w:marLeft w:val="0"/>
      <w:marRight w:val="0"/>
      <w:marTop w:val="0"/>
      <w:marBottom w:val="0"/>
      <w:divBdr>
        <w:top w:val="none" w:sz="0" w:space="0" w:color="auto"/>
        <w:left w:val="none" w:sz="0" w:space="0" w:color="auto"/>
        <w:bottom w:val="none" w:sz="0" w:space="0" w:color="auto"/>
        <w:right w:val="none" w:sz="0" w:space="0" w:color="auto"/>
      </w:divBdr>
    </w:div>
    <w:div w:id="1920164833">
      <w:bodyDiv w:val="1"/>
      <w:marLeft w:val="0"/>
      <w:marRight w:val="0"/>
      <w:marTop w:val="0"/>
      <w:marBottom w:val="0"/>
      <w:divBdr>
        <w:top w:val="none" w:sz="0" w:space="0" w:color="auto"/>
        <w:left w:val="none" w:sz="0" w:space="0" w:color="auto"/>
        <w:bottom w:val="none" w:sz="0" w:space="0" w:color="auto"/>
        <w:right w:val="none" w:sz="0" w:space="0" w:color="auto"/>
      </w:divBdr>
    </w:div>
    <w:div w:id="1920825621">
      <w:bodyDiv w:val="1"/>
      <w:marLeft w:val="0"/>
      <w:marRight w:val="0"/>
      <w:marTop w:val="0"/>
      <w:marBottom w:val="0"/>
      <w:divBdr>
        <w:top w:val="none" w:sz="0" w:space="0" w:color="auto"/>
        <w:left w:val="none" w:sz="0" w:space="0" w:color="auto"/>
        <w:bottom w:val="none" w:sz="0" w:space="0" w:color="auto"/>
        <w:right w:val="none" w:sz="0" w:space="0" w:color="auto"/>
      </w:divBdr>
    </w:div>
    <w:div w:id="1922257360">
      <w:bodyDiv w:val="1"/>
      <w:marLeft w:val="0"/>
      <w:marRight w:val="0"/>
      <w:marTop w:val="0"/>
      <w:marBottom w:val="0"/>
      <w:divBdr>
        <w:top w:val="none" w:sz="0" w:space="0" w:color="auto"/>
        <w:left w:val="none" w:sz="0" w:space="0" w:color="auto"/>
        <w:bottom w:val="none" w:sz="0" w:space="0" w:color="auto"/>
        <w:right w:val="none" w:sz="0" w:space="0" w:color="auto"/>
      </w:divBdr>
    </w:div>
    <w:div w:id="1924290208">
      <w:bodyDiv w:val="1"/>
      <w:marLeft w:val="0"/>
      <w:marRight w:val="0"/>
      <w:marTop w:val="0"/>
      <w:marBottom w:val="0"/>
      <w:divBdr>
        <w:top w:val="none" w:sz="0" w:space="0" w:color="auto"/>
        <w:left w:val="none" w:sz="0" w:space="0" w:color="auto"/>
        <w:bottom w:val="none" w:sz="0" w:space="0" w:color="auto"/>
        <w:right w:val="none" w:sz="0" w:space="0" w:color="auto"/>
      </w:divBdr>
    </w:div>
    <w:div w:id="1925457861">
      <w:bodyDiv w:val="1"/>
      <w:marLeft w:val="0"/>
      <w:marRight w:val="0"/>
      <w:marTop w:val="0"/>
      <w:marBottom w:val="0"/>
      <w:divBdr>
        <w:top w:val="none" w:sz="0" w:space="0" w:color="auto"/>
        <w:left w:val="none" w:sz="0" w:space="0" w:color="auto"/>
        <w:bottom w:val="none" w:sz="0" w:space="0" w:color="auto"/>
        <w:right w:val="none" w:sz="0" w:space="0" w:color="auto"/>
      </w:divBdr>
    </w:div>
    <w:div w:id="1927375829">
      <w:bodyDiv w:val="1"/>
      <w:marLeft w:val="0"/>
      <w:marRight w:val="0"/>
      <w:marTop w:val="0"/>
      <w:marBottom w:val="0"/>
      <w:divBdr>
        <w:top w:val="none" w:sz="0" w:space="0" w:color="auto"/>
        <w:left w:val="none" w:sz="0" w:space="0" w:color="auto"/>
        <w:bottom w:val="none" w:sz="0" w:space="0" w:color="auto"/>
        <w:right w:val="none" w:sz="0" w:space="0" w:color="auto"/>
      </w:divBdr>
    </w:div>
    <w:div w:id="1927689185">
      <w:bodyDiv w:val="1"/>
      <w:marLeft w:val="0"/>
      <w:marRight w:val="0"/>
      <w:marTop w:val="0"/>
      <w:marBottom w:val="0"/>
      <w:divBdr>
        <w:top w:val="none" w:sz="0" w:space="0" w:color="auto"/>
        <w:left w:val="none" w:sz="0" w:space="0" w:color="auto"/>
        <w:bottom w:val="none" w:sz="0" w:space="0" w:color="auto"/>
        <w:right w:val="none" w:sz="0" w:space="0" w:color="auto"/>
      </w:divBdr>
    </w:div>
    <w:div w:id="1931500261">
      <w:bodyDiv w:val="1"/>
      <w:marLeft w:val="0"/>
      <w:marRight w:val="0"/>
      <w:marTop w:val="0"/>
      <w:marBottom w:val="0"/>
      <w:divBdr>
        <w:top w:val="none" w:sz="0" w:space="0" w:color="auto"/>
        <w:left w:val="none" w:sz="0" w:space="0" w:color="auto"/>
        <w:bottom w:val="none" w:sz="0" w:space="0" w:color="auto"/>
        <w:right w:val="none" w:sz="0" w:space="0" w:color="auto"/>
      </w:divBdr>
    </w:div>
    <w:div w:id="1932160624">
      <w:bodyDiv w:val="1"/>
      <w:marLeft w:val="0"/>
      <w:marRight w:val="0"/>
      <w:marTop w:val="0"/>
      <w:marBottom w:val="0"/>
      <w:divBdr>
        <w:top w:val="none" w:sz="0" w:space="0" w:color="auto"/>
        <w:left w:val="none" w:sz="0" w:space="0" w:color="auto"/>
        <w:bottom w:val="none" w:sz="0" w:space="0" w:color="auto"/>
        <w:right w:val="none" w:sz="0" w:space="0" w:color="auto"/>
      </w:divBdr>
    </w:div>
    <w:div w:id="1932926009">
      <w:bodyDiv w:val="1"/>
      <w:marLeft w:val="0"/>
      <w:marRight w:val="0"/>
      <w:marTop w:val="0"/>
      <w:marBottom w:val="0"/>
      <w:divBdr>
        <w:top w:val="none" w:sz="0" w:space="0" w:color="auto"/>
        <w:left w:val="none" w:sz="0" w:space="0" w:color="auto"/>
        <w:bottom w:val="none" w:sz="0" w:space="0" w:color="auto"/>
        <w:right w:val="none" w:sz="0" w:space="0" w:color="auto"/>
      </w:divBdr>
    </w:div>
    <w:div w:id="1933393721">
      <w:bodyDiv w:val="1"/>
      <w:marLeft w:val="0"/>
      <w:marRight w:val="0"/>
      <w:marTop w:val="0"/>
      <w:marBottom w:val="0"/>
      <w:divBdr>
        <w:top w:val="none" w:sz="0" w:space="0" w:color="auto"/>
        <w:left w:val="none" w:sz="0" w:space="0" w:color="auto"/>
        <w:bottom w:val="none" w:sz="0" w:space="0" w:color="auto"/>
        <w:right w:val="none" w:sz="0" w:space="0" w:color="auto"/>
      </w:divBdr>
    </w:div>
    <w:div w:id="1933736663">
      <w:bodyDiv w:val="1"/>
      <w:marLeft w:val="0"/>
      <w:marRight w:val="0"/>
      <w:marTop w:val="0"/>
      <w:marBottom w:val="0"/>
      <w:divBdr>
        <w:top w:val="none" w:sz="0" w:space="0" w:color="auto"/>
        <w:left w:val="none" w:sz="0" w:space="0" w:color="auto"/>
        <w:bottom w:val="none" w:sz="0" w:space="0" w:color="auto"/>
        <w:right w:val="none" w:sz="0" w:space="0" w:color="auto"/>
      </w:divBdr>
    </w:div>
    <w:div w:id="1936015667">
      <w:bodyDiv w:val="1"/>
      <w:marLeft w:val="0"/>
      <w:marRight w:val="0"/>
      <w:marTop w:val="0"/>
      <w:marBottom w:val="0"/>
      <w:divBdr>
        <w:top w:val="none" w:sz="0" w:space="0" w:color="auto"/>
        <w:left w:val="none" w:sz="0" w:space="0" w:color="auto"/>
        <w:bottom w:val="none" w:sz="0" w:space="0" w:color="auto"/>
        <w:right w:val="none" w:sz="0" w:space="0" w:color="auto"/>
      </w:divBdr>
    </w:div>
    <w:div w:id="1937324856">
      <w:bodyDiv w:val="1"/>
      <w:marLeft w:val="0"/>
      <w:marRight w:val="0"/>
      <w:marTop w:val="0"/>
      <w:marBottom w:val="0"/>
      <w:divBdr>
        <w:top w:val="none" w:sz="0" w:space="0" w:color="auto"/>
        <w:left w:val="none" w:sz="0" w:space="0" w:color="auto"/>
        <w:bottom w:val="none" w:sz="0" w:space="0" w:color="auto"/>
        <w:right w:val="none" w:sz="0" w:space="0" w:color="auto"/>
      </w:divBdr>
    </w:div>
    <w:div w:id="1937597605">
      <w:bodyDiv w:val="1"/>
      <w:marLeft w:val="0"/>
      <w:marRight w:val="0"/>
      <w:marTop w:val="0"/>
      <w:marBottom w:val="0"/>
      <w:divBdr>
        <w:top w:val="none" w:sz="0" w:space="0" w:color="auto"/>
        <w:left w:val="none" w:sz="0" w:space="0" w:color="auto"/>
        <w:bottom w:val="none" w:sz="0" w:space="0" w:color="auto"/>
        <w:right w:val="none" w:sz="0" w:space="0" w:color="auto"/>
      </w:divBdr>
    </w:div>
    <w:div w:id="1941183578">
      <w:bodyDiv w:val="1"/>
      <w:marLeft w:val="0"/>
      <w:marRight w:val="0"/>
      <w:marTop w:val="0"/>
      <w:marBottom w:val="0"/>
      <w:divBdr>
        <w:top w:val="none" w:sz="0" w:space="0" w:color="auto"/>
        <w:left w:val="none" w:sz="0" w:space="0" w:color="auto"/>
        <w:bottom w:val="none" w:sz="0" w:space="0" w:color="auto"/>
        <w:right w:val="none" w:sz="0" w:space="0" w:color="auto"/>
      </w:divBdr>
    </w:div>
    <w:div w:id="1941259567">
      <w:bodyDiv w:val="1"/>
      <w:marLeft w:val="0"/>
      <w:marRight w:val="0"/>
      <w:marTop w:val="0"/>
      <w:marBottom w:val="0"/>
      <w:divBdr>
        <w:top w:val="none" w:sz="0" w:space="0" w:color="auto"/>
        <w:left w:val="none" w:sz="0" w:space="0" w:color="auto"/>
        <w:bottom w:val="none" w:sz="0" w:space="0" w:color="auto"/>
        <w:right w:val="none" w:sz="0" w:space="0" w:color="auto"/>
      </w:divBdr>
    </w:div>
    <w:div w:id="1942301656">
      <w:bodyDiv w:val="1"/>
      <w:marLeft w:val="0"/>
      <w:marRight w:val="0"/>
      <w:marTop w:val="0"/>
      <w:marBottom w:val="0"/>
      <w:divBdr>
        <w:top w:val="none" w:sz="0" w:space="0" w:color="auto"/>
        <w:left w:val="none" w:sz="0" w:space="0" w:color="auto"/>
        <w:bottom w:val="none" w:sz="0" w:space="0" w:color="auto"/>
        <w:right w:val="none" w:sz="0" w:space="0" w:color="auto"/>
      </w:divBdr>
    </w:div>
    <w:div w:id="1943030788">
      <w:bodyDiv w:val="1"/>
      <w:marLeft w:val="0"/>
      <w:marRight w:val="0"/>
      <w:marTop w:val="0"/>
      <w:marBottom w:val="0"/>
      <w:divBdr>
        <w:top w:val="none" w:sz="0" w:space="0" w:color="auto"/>
        <w:left w:val="none" w:sz="0" w:space="0" w:color="auto"/>
        <w:bottom w:val="none" w:sz="0" w:space="0" w:color="auto"/>
        <w:right w:val="none" w:sz="0" w:space="0" w:color="auto"/>
      </w:divBdr>
    </w:div>
    <w:div w:id="1945573352">
      <w:bodyDiv w:val="1"/>
      <w:marLeft w:val="0"/>
      <w:marRight w:val="0"/>
      <w:marTop w:val="0"/>
      <w:marBottom w:val="0"/>
      <w:divBdr>
        <w:top w:val="none" w:sz="0" w:space="0" w:color="auto"/>
        <w:left w:val="none" w:sz="0" w:space="0" w:color="auto"/>
        <w:bottom w:val="none" w:sz="0" w:space="0" w:color="auto"/>
        <w:right w:val="none" w:sz="0" w:space="0" w:color="auto"/>
      </w:divBdr>
    </w:div>
    <w:div w:id="1945915624">
      <w:bodyDiv w:val="1"/>
      <w:marLeft w:val="0"/>
      <w:marRight w:val="0"/>
      <w:marTop w:val="0"/>
      <w:marBottom w:val="0"/>
      <w:divBdr>
        <w:top w:val="none" w:sz="0" w:space="0" w:color="auto"/>
        <w:left w:val="none" w:sz="0" w:space="0" w:color="auto"/>
        <w:bottom w:val="none" w:sz="0" w:space="0" w:color="auto"/>
        <w:right w:val="none" w:sz="0" w:space="0" w:color="auto"/>
      </w:divBdr>
    </w:div>
    <w:div w:id="1949778285">
      <w:bodyDiv w:val="1"/>
      <w:marLeft w:val="0"/>
      <w:marRight w:val="0"/>
      <w:marTop w:val="0"/>
      <w:marBottom w:val="0"/>
      <w:divBdr>
        <w:top w:val="none" w:sz="0" w:space="0" w:color="auto"/>
        <w:left w:val="none" w:sz="0" w:space="0" w:color="auto"/>
        <w:bottom w:val="none" w:sz="0" w:space="0" w:color="auto"/>
        <w:right w:val="none" w:sz="0" w:space="0" w:color="auto"/>
      </w:divBdr>
    </w:div>
    <w:div w:id="1950119603">
      <w:bodyDiv w:val="1"/>
      <w:marLeft w:val="0"/>
      <w:marRight w:val="0"/>
      <w:marTop w:val="0"/>
      <w:marBottom w:val="0"/>
      <w:divBdr>
        <w:top w:val="none" w:sz="0" w:space="0" w:color="auto"/>
        <w:left w:val="none" w:sz="0" w:space="0" w:color="auto"/>
        <w:bottom w:val="none" w:sz="0" w:space="0" w:color="auto"/>
        <w:right w:val="none" w:sz="0" w:space="0" w:color="auto"/>
      </w:divBdr>
    </w:div>
    <w:div w:id="1952667152">
      <w:bodyDiv w:val="1"/>
      <w:marLeft w:val="0"/>
      <w:marRight w:val="0"/>
      <w:marTop w:val="0"/>
      <w:marBottom w:val="0"/>
      <w:divBdr>
        <w:top w:val="none" w:sz="0" w:space="0" w:color="auto"/>
        <w:left w:val="none" w:sz="0" w:space="0" w:color="auto"/>
        <w:bottom w:val="none" w:sz="0" w:space="0" w:color="auto"/>
        <w:right w:val="none" w:sz="0" w:space="0" w:color="auto"/>
      </w:divBdr>
    </w:div>
    <w:div w:id="1954165026">
      <w:bodyDiv w:val="1"/>
      <w:marLeft w:val="0"/>
      <w:marRight w:val="0"/>
      <w:marTop w:val="0"/>
      <w:marBottom w:val="0"/>
      <w:divBdr>
        <w:top w:val="none" w:sz="0" w:space="0" w:color="auto"/>
        <w:left w:val="none" w:sz="0" w:space="0" w:color="auto"/>
        <w:bottom w:val="none" w:sz="0" w:space="0" w:color="auto"/>
        <w:right w:val="none" w:sz="0" w:space="0" w:color="auto"/>
      </w:divBdr>
    </w:div>
    <w:div w:id="1954944335">
      <w:bodyDiv w:val="1"/>
      <w:marLeft w:val="0"/>
      <w:marRight w:val="0"/>
      <w:marTop w:val="0"/>
      <w:marBottom w:val="0"/>
      <w:divBdr>
        <w:top w:val="none" w:sz="0" w:space="0" w:color="auto"/>
        <w:left w:val="none" w:sz="0" w:space="0" w:color="auto"/>
        <w:bottom w:val="none" w:sz="0" w:space="0" w:color="auto"/>
        <w:right w:val="none" w:sz="0" w:space="0" w:color="auto"/>
      </w:divBdr>
    </w:div>
    <w:div w:id="1955749192">
      <w:bodyDiv w:val="1"/>
      <w:marLeft w:val="0"/>
      <w:marRight w:val="0"/>
      <w:marTop w:val="0"/>
      <w:marBottom w:val="0"/>
      <w:divBdr>
        <w:top w:val="none" w:sz="0" w:space="0" w:color="auto"/>
        <w:left w:val="none" w:sz="0" w:space="0" w:color="auto"/>
        <w:bottom w:val="none" w:sz="0" w:space="0" w:color="auto"/>
        <w:right w:val="none" w:sz="0" w:space="0" w:color="auto"/>
      </w:divBdr>
    </w:div>
    <w:div w:id="1957059403">
      <w:bodyDiv w:val="1"/>
      <w:marLeft w:val="0"/>
      <w:marRight w:val="0"/>
      <w:marTop w:val="0"/>
      <w:marBottom w:val="0"/>
      <w:divBdr>
        <w:top w:val="none" w:sz="0" w:space="0" w:color="auto"/>
        <w:left w:val="none" w:sz="0" w:space="0" w:color="auto"/>
        <w:bottom w:val="none" w:sz="0" w:space="0" w:color="auto"/>
        <w:right w:val="none" w:sz="0" w:space="0" w:color="auto"/>
      </w:divBdr>
    </w:div>
    <w:div w:id="1957758967">
      <w:bodyDiv w:val="1"/>
      <w:marLeft w:val="0"/>
      <w:marRight w:val="0"/>
      <w:marTop w:val="0"/>
      <w:marBottom w:val="0"/>
      <w:divBdr>
        <w:top w:val="none" w:sz="0" w:space="0" w:color="auto"/>
        <w:left w:val="none" w:sz="0" w:space="0" w:color="auto"/>
        <w:bottom w:val="none" w:sz="0" w:space="0" w:color="auto"/>
        <w:right w:val="none" w:sz="0" w:space="0" w:color="auto"/>
      </w:divBdr>
    </w:div>
    <w:div w:id="1959212201">
      <w:bodyDiv w:val="1"/>
      <w:marLeft w:val="0"/>
      <w:marRight w:val="0"/>
      <w:marTop w:val="0"/>
      <w:marBottom w:val="0"/>
      <w:divBdr>
        <w:top w:val="none" w:sz="0" w:space="0" w:color="auto"/>
        <w:left w:val="none" w:sz="0" w:space="0" w:color="auto"/>
        <w:bottom w:val="none" w:sz="0" w:space="0" w:color="auto"/>
        <w:right w:val="none" w:sz="0" w:space="0" w:color="auto"/>
      </w:divBdr>
      <w:divsChild>
        <w:div w:id="617368824">
          <w:marLeft w:val="0"/>
          <w:marRight w:val="0"/>
          <w:marTop w:val="0"/>
          <w:marBottom w:val="0"/>
          <w:divBdr>
            <w:top w:val="none" w:sz="0" w:space="0" w:color="auto"/>
            <w:left w:val="none" w:sz="0" w:space="0" w:color="auto"/>
            <w:bottom w:val="none" w:sz="0" w:space="0" w:color="auto"/>
            <w:right w:val="none" w:sz="0" w:space="0" w:color="auto"/>
          </w:divBdr>
          <w:divsChild>
            <w:div w:id="641812629">
              <w:marLeft w:val="0"/>
              <w:marRight w:val="0"/>
              <w:marTop w:val="0"/>
              <w:marBottom w:val="0"/>
              <w:divBdr>
                <w:top w:val="none" w:sz="0" w:space="0" w:color="auto"/>
                <w:left w:val="none" w:sz="0" w:space="0" w:color="auto"/>
                <w:bottom w:val="none" w:sz="0" w:space="0" w:color="auto"/>
                <w:right w:val="none" w:sz="0" w:space="0" w:color="auto"/>
              </w:divBdr>
              <w:divsChild>
                <w:div w:id="4027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49538">
      <w:bodyDiv w:val="1"/>
      <w:marLeft w:val="0"/>
      <w:marRight w:val="0"/>
      <w:marTop w:val="0"/>
      <w:marBottom w:val="0"/>
      <w:divBdr>
        <w:top w:val="none" w:sz="0" w:space="0" w:color="auto"/>
        <w:left w:val="none" w:sz="0" w:space="0" w:color="auto"/>
        <w:bottom w:val="none" w:sz="0" w:space="0" w:color="auto"/>
        <w:right w:val="none" w:sz="0" w:space="0" w:color="auto"/>
      </w:divBdr>
    </w:div>
    <w:div w:id="1963340617">
      <w:bodyDiv w:val="1"/>
      <w:marLeft w:val="0"/>
      <w:marRight w:val="0"/>
      <w:marTop w:val="0"/>
      <w:marBottom w:val="0"/>
      <w:divBdr>
        <w:top w:val="none" w:sz="0" w:space="0" w:color="auto"/>
        <w:left w:val="none" w:sz="0" w:space="0" w:color="auto"/>
        <w:bottom w:val="none" w:sz="0" w:space="0" w:color="auto"/>
        <w:right w:val="none" w:sz="0" w:space="0" w:color="auto"/>
      </w:divBdr>
    </w:div>
    <w:div w:id="1963808772">
      <w:bodyDiv w:val="1"/>
      <w:marLeft w:val="0"/>
      <w:marRight w:val="0"/>
      <w:marTop w:val="0"/>
      <w:marBottom w:val="0"/>
      <w:divBdr>
        <w:top w:val="none" w:sz="0" w:space="0" w:color="auto"/>
        <w:left w:val="none" w:sz="0" w:space="0" w:color="auto"/>
        <w:bottom w:val="none" w:sz="0" w:space="0" w:color="auto"/>
        <w:right w:val="none" w:sz="0" w:space="0" w:color="auto"/>
      </w:divBdr>
    </w:div>
    <w:div w:id="1965115129">
      <w:bodyDiv w:val="1"/>
      <w:marLeft w:val="0"/>
      <w:marRight w:val="0"/>
      <w:marTop w:val="0"/>
      <w:marBottom w:val="0"/>
      <w:divBdr>
        <w:top w:val="none" w:sz="0" w:space="0" w:color="auto"/>
        <w:left w:val="none" w:sz="0" w:space="0" w:color="auto"/>
        <w:bottom w:val="none" w:sz="0" w:space="0" w:color="auto"/>
        <w:right w:val="none" w:sz="0" w:space="0" w:color="auto"/>
      </w:divBdr>
    </w:div>
    <w:div w:id="1965303169">
      <w:bodyDiv w:val="1"/>
      <w:marLeft w:val="0"/>
      <w:marRight w:val="0"/>
      <w:marTop w:val="0"/>
      <w:marBottom w:val="0"/>
      <w:divBdr>
        <w:top w:val="none" w:sz="0" w:space="0" w:color="auto"/>
        <w:left w:val="none" w:sz="0" w:space="0" w:color="auto"/>
        <w:bottom w:val="none" w:sz="0" w:space="0" w:color="auto"/>
        <w:right w:val="none" w:sz="0" w:space="0" w:color="auto"/>
      </w:divBdr>
    </w:div>
    <w:div w:id="1970624802">
      <w:bodyDiv w:val="1"/>
      <w:marLeft w:val="0"/>
      <w:marRight w:val="0"/>
      <w:marTop w:val="0"/>
      <w:marBottom w:val="0"/>
      <w:divBdr>
        <w:top w:val="none" w:sz="0" w:space="0" w:color="auto"/>
        <w:left w:val="none" w:sz="0" w:space="0" w:color="auto"/>
        <w:bottom w:val="none" w:sz="0" w:space="0" w:color="auto"/>
        <w:right w:val="none" w:sz="0" w:space="0" w:color="auto"/>
      </w:divBdr>
    </w:div>
    <w:div w:id="1972129481">
      <w:bodyDiv w:val="1"/>
      <w:marLeft w:val="0"/>
      <w:marRight w:val="0"/>
      <w:marTop w:val="0"/>
      <w:marBottom w:val="0"/>
      <w:divBdr>
        <w:top w:val="none" w:sz="0" w:space="0" w:color="auto"/>
        <w:left w:val="none" w:sz="0" w:space="0" w:color="auto"/>
        <w:bottom w:val="none" w:sz="0" w:space="0" w:color="auto"/>
        <w:right w:val="none" w:sz="0" w:space="0" w:color="auto"/>
      </w:divBdr>
    </w:div>
    <w:div w:id="1974751418">
      <w:bodyDiv w:val="1"/>
      <w:marLeft w:val="0"/>
      <w:marRight w:val="0"/>
      <w:marTop w:val="0"/>
      <w:marBottom w:val="0"/>
      <w:divBdr>
        <w:top w:val="none" w:sz="0" w:space="0" w:color="auto"/>
        <w:left w:val="none" w:sz="0" w:space="0" w:color="auto"/>
        <w:bottom w:val="none" w:sz="0" w:space="0" w:color="auto"/>
        <w:right w:val="none" w:sz="0" w:space="0" w:color="auto"/>
      </w:divBdr>
    </w:div>
    <w:div w:id="1975793208">
      <w:bodyDiv w:val="1"/>
      <w:marLeft w:val="0"/>
      <w:marRight w:val="0"/>
      <w:marTop w:val="0"/>
      <w:marBottom w:val="0"/>
      <w:divBdr>
        <w:top w:val="none" w:sz="0" w:space="0" w:color="auto"/>
        <w:left w:val="none" w:sz="0" w:space="0" w:color="auto"/>
        <w:bottom w:val="none" w:sz="0" w:space="0" w:color="auto"/>
        <w:right w:val="none" w:sz="0" w:space="0" w:color="auto"/>
      </w:divBdr>
    </w:div>
    <w:div w:id="1977640204">
      <w:bodyDiv w:val="1"/>
      <w:marLeft w:val="0"/>
      <w:marRight w:val="0"/>
      <w:marTop w:val="0"/>
      <w:marBottom w:val="0"/>
      <w:divBdr>
        <w:top w:val="none" w:sz="0" w:space="0" w:color="auto"/>
        <w:left w:val="none" w:sz="0" w:space="0" w:color="auto"/>
        <w:bottom w:val="none" w:sz="0" w:space="0" w:color="auto"/>
        <w:right w:val="none" w:sz="0" w:space="0" w:color="auto"/>
      </w:divBdr>
    </w:div>
    <w:div w:id="1978804227">
      <w:bodyDiv w:val="1"/>
      <w:marLeft w:val="0"/>
      <w:marRight w:val="0"/>
      <w:marTop w:val="0"/>
      <w:marBottom w:val="0"/>
      <w:divBdr>
        <w:top w:val="none" w:sz="0" w:space="0" w:color="auto"/>
        <w:left w:val="none" w:sz="0" w:space="0" w:color="auto"/>
        <w:bottom w:val="none" w:sz="0" w:space="0" w:color="auto"/>
        <w:right w:val="none" w:sz="0" w:space="0" w:color="auto"/>
      </w:divBdr>
    </w:div>
    <w:div w:id="1981183717">
      <w:bodyDiv w:val="1"/>
      <w:marLeft w:val="0"/>
      <w:marRight w:val="0"/>
      <w:marTop w:val="0"/>
      <w:marBottom w:val="0"/>
      <w:divBdr>
        <w:top w:val="none" w:sz="0" w:space="0" w:color="auto"/>
        <w:left w:val="none" w:sz="0" w:space="0" w:color="auto"/>
        <w:bottom w:val="none" w:sz="0" w:space="0" w:color="auto"/>
        <w:right w:val="none" w:sz="0" w:space="0" w:color="auto"/>
      </w:divBdr>
    </w:div>
    <w:div w:id="1983151315">
      <w:bodyDiv w:val="1"/>
      <w:marLeft w:val="0"/>
      <w:marRight w:val="0"/>
      <w:marTop w:val="0"/>
      <w:marBottom w:val="0"/>
      <w:divBdr>
        <w:top w:val="none" w:sz="0" w:space="0" w:color="auto"/>
        <w:left w:val="none" w:sz="0" w:space="0" w:color="auto"/>
        <w:bottom w:val="none" w:sz="0" w:space="0" w:color="auto"/>
        <w:right w:val="none" w:sz="0" w:space="0" w:color="auto"/>
      </w:divBdr>
    </w:div>
    <w:div w:id="1985156986">
      <w:bodyDiv w:val="1"/>
      <w:marLeft w:val="0"/>
      <w:marRight w:val="0"/>
      <w:marTop w:val="0"/>
      <w:marBottom w:val="0"/>
      <w:divBdr>
        <w:top w:val="none" w:sz="0" w:space="0" w:color="auto"/>
        <w:left w:val="none" w:sz="0" w:space="0" w:color="auto"/>
        <w:bottom w:val="none" w:sz="0" w:space="0" w:color="auto"/>
        <w:right w:val="none" w:sz="0" w:space="0" w:color="auto"/>
      </w:divBdr>
    </w:div>
    <w:div w:id="1985351941">
      <w:bodyDiv w:val="1"/>
      <w:marLeft w:val="0"/>
      <w:marRight w:val="0"/>
      <w:marTop w:val="0"/>
      <w:marBottom w:val="0"/>
      <w:divBdr>
        <w:top w:val="none" w:sz="0" w:space="0" w:color="auto"/>
        <w:left w:val="none" w:sz="0" w:space="0" w:color="auto"/>
        <w:bottom w:val="none" w:sz="0" w:space="0" w:color="auto"/>
        <w:right w:val="none" w:sz="0" w:space="0" w:color="auto"/>
      </w:divBdr>
    </w:div>
    <w:div w:id="1987346364">
      <w:bodyDiv w:val="1"/>
      <w:marLeft w:val="0"/>
      <w:marRight w:val="0"/>
      <w:marTop w:val="0"/>
      <w:marBottom w:val="0"/>
      <w:divBdr>
        <w:top w:val="none" w:sz="0" w:space="0" w:color="auto"/>
        <w:left w:val="none" w:sz="0" w:space="0" w:color="auto"/>
        <w:bottom w:val="none" w:sz="0" w:space="0" w:color="auto"/>
        <w:right w:val="none" w:sz="0" w:space="0" w:color="auto"/>
      </w:divBdr>
    </w:div>
    <w:div w:id="1991519736">
      <w:bodyDiv w:val="1"/>
      <w:marLeft w:val="0"/>
      <w:marRight w:val="0"/>
      <w:marTop w:val="0"/>
      <w:marBottom w:val="0"/>
      <w:divBdr>
        <w:top w:val="none" w:sz="0" w:space="0" w:color="auto"/>
        <w:left w:val="none" w:sz="0" w:space="0" w:color="auto"/>
        <w:bottom w:val="none" w:sz="0" w:space="0" w:color="auto"/>
        <w:right w:val="none" w:sz="0" w:space="0" w:color="auto"/>
      </w:divBdr>
    </w:div>
    <w:div w:id="1994212445">
      <w:bodyDiv w:val="1"/>
      <w:marLeft w:val="0"/>
      <w:marRight w:val="0"/>
      <w:marTop w:val="0"/>
      <w:marBottom w:val="0"/>
      <w:divBdr>
        <w:top w:val="none" w:sz="0" w:space="0" w:color="auto"/>
        <w:left w:val="none" w:sz="0" w:space="0" w:color="auto"/>
        <w:bottom w:val="none" w:sz="0" w:space="0" w:color="auto"/>
        <w:right w:val="none" w:sz="0" w:space="0" w:color="auto"/>
      </w:divBdr>
    </w:div>
    <w:div w:id="1995795793">
      <w:bodyDiv w:val="1"/>
      <w:marLeft w:val="0"/>
      <w:marRight w:val="0"/>
      <w:marTop w:val="0"/>
      <w:marBottom w:val="0"/>
      <w:divBdr>
        <w:top w:val="none" w:sz="0" w:space="0" w:color="auto"/>
        <w:left w:val="none" w:sz="0" w:space="0" w:color="auto"/>
        <w:bottom w:val="none" w:sz="0" w:space="0" w:color="auto"/>
        <w:right w:val="none" w:sz="0" w:space="0" w:color="auto"/>
      </w:divBdr>
    </w:div>
    <w:div w:id="1995909606">
      <w:bodyDiv w:val="1"/>
      <w:marLeft w:val="0"/>
      <w:marRight w:val="0"/>
      <w:marTop w:val="0"/>
      <w:marBottom w:val="0"/>
      <w:divBdr>
        <w:top w:val="none" w:sz="0" w:space="0" w:color="auto"/>
        <w:left w:val="none" w:sz="0" w:space="0" w:color="auto"/>
        <w:bottom w:val="none" w:sz="0" w:space="0" w:color="auto"/>
        <w:right w:val="none" w:sz="0" w:space="0" w:color="auto"/>
      </w:divBdr>
    </w:div>
    <w:div w:id="1999308166">
      <w:bodyDiv w:val="1"/>
      <w:marLeft w:val="0"/>
      <w:marRight w:val="0"/>
      <w:marTop w:val="0"/>
      <w:marBottom w:val="0"/>
      <w:divBdr>
        <w:top w:val="none" w:sz="0" w:space="0" w:color="auto"/>
        <w:left w:val="none" w:sz="0" w:space="0" w:color="auto"/>
        <w:bottom w:val="none" w:sz="0" w:space="0" w:color="auto"/>
        <w:right w:val="none" w:sz="0" w:space="0" w:color="auto"/>
      </w:divBdr>
    </w:div>
    <w:div w:id="2000768930">
      <w:bodyDiv w:val="1"/>
      <w:marLeft w:val="0"/>
      <w:marRight w:val="0"/>
      <w:marTop w:val="0"/>
      <w:marBottom w:val="0"/>
      <w:divBdr>
        <w:top w:val="none" w:sz="0" w:space="0" w:color="auto"/>
        <w:left w:val="none" w:sz="0" w:space="0" w:color="auto"/>
        <w:bottom w:val="none" w:sz="0" w:space="0" w:color="auto"/>
        <w:right w:val="none" w:sz="0" w:space="0" w:color="auto"/>
      </w:divBdr>
    </w:div>
    <w:div w:id="2002738091">
      <w:bodyDiv w:val="1"/>
      <w:marLeft w:val="0"/>
      <w:marRight w:val="0"/>
      <w:marTop w:val="0"/>
      <w:marBottom w:val="0"/>
      <w:divBdr>
        <w:top w:val="none" w:sz="0" w:space="0" w:color="auto"/>
        <w:left w:val="none" w:sz="0" w:space="0" w:color="auto"/>
        <w:bottom w:val="none" w:sz="0" w:space="0" w:color="auto"/>
        <w:right w:val="none" w:sz="0" w:space="0" w:color="auto"/>
      </w:divBdr>
    </w:div>
    <w:div w:id="2003196800">
      <w:bodyDiv w:val="1"/>
      <w:marLeft w:val="0"/>
      <w:marRight w:val="0"/>
      <w:marTop w:val="0"/>
      <w:marBottom w:val="0"/>
      <w:divBdr>
        <w:top w:val="none" w:sz="0" w:space="0" w:color="auto"/>
        <w:left w:val="none" w:sz="0" w:space="0" w:color="auto"/>
        <w:bottom w:val="none" w:sz="0" w:space="0" w:color="auto"/>
        <w:right w:val="none" w:sz="0" w:space="0" w:color="auto"/>
      </w:divBdr>
    </w:div>
    <w:div w:id="2003971431">
      <w:bodyDiv w:val="1"/>
      <w:marLeft w:val="0"/>
      <w:marRight w:val="0"/>
      <w:marTop w:val="0"/>
      <w:marBottom w:val="0"/>
      <w:divBdr>
        <w:top w:val="none" w:sz="0" w:space="0" w:color="auto"/>
        <w:left w:val="none" w:sz="0" w:space="0" w:color="auto"/>
        <w:bottom w:val="none" w:sz="0" w:space="0" w:color="auto"/>
        <w:right w:val="none" w:sz="0" w:space="0" w:color="auto"/>
      </w:divBdr>
    </w:div>
    <w:div w:id="2005008969">
      <w:bodyDiv w:val="1"/>
      <w:marLeft w:val="0"/>
      <w:marRight w:val="0"/>
      <w:marTop w:val="0"/>
      <w:marBottom w:val="0"/>
      <w:divBdr>
        <w:top w:val="none" w:sz="0" w:space="0" w:color="auto"/>
        <w:left w:val="none" w:sz="0" w:space="0" w:color="auto"/>
        <w:bottom w:val="none" w:sz="0" w:space="0" w:color="auto"/>
        <w:right w:val="none" w:sz="0" w:space="0" w:color="auto"/>
      </w:divBdr>
    </w:div>
    <w:div w:id="2005277601">
      <w:bodyDiv w:val="1"/>
      <w:marLeft w:val="0"/>
      <w:marRight w:val="0"/>
      <w:marTop w:val="0"/>
      <w:marBottom w:val="0"/>
      <w:divBdr>
        <w:top w:val="none" w:sz="0" w:space="0" w:color="auto"/>
        <w:left w:val="none" w:sz="0" w:space="0" w:color="auto"/>
        <w:bottom w:val="none" w:sz="0" w:space="0" w:color="auto"/>
        <w:right w:val="none" w:sz="0" w:space="0" w:color="auto"/>
      </w:divBdr>
    </w:div>
    <w:div w:id="2007047433">
      <w:bodyDiv w:val="1"/>
      <w:marLeft w:val="0"/>
      <w:marRight w:val="0"/>
      <w:marTop w:val="0"/>
      <w:marBottom w:val="0"/>
      <w:divBdr>
        <w:top w:val="none" w:sz="0" w:space="0" w:color="auto"/>
        <w:left w:val="none" w:sz="0" w:space="0" w:color="auto"/>
        <w:bottom w:val="none" w:sz="0" w:space="0" w:color="auto"/>
        <w:right w:val="none" w:sz="0" w:space="0" w:color="auto"/>
      </w:divBdr>
    </w:div>
    <w:div w:id="2008365069">
      <w:bodyDiv w:val="1"/>
      <w:marLeft w:val="0"/>
      <w:marRight w:val="0"/>
      <w:marTop w:val="0"/>
      <w:marBottom w:val="0"/>
      <w:divBdr>
        <w:top w:val="none" w:sz="0" w:space="0" w:color="auto"/>
        <w:left w:val="none" w:sz="0" w:space="0" w:color="auto"/>
        <w:bottom w:val="none" w:sz="0" w:space="0" w:color="auto"/>
        <w:right w:val="none" w:sz="0" w:space="0" w:color="auto"/>
      </w:divBdr>
    </w:div>
    <w:div w:id="2019696758">
      <w:bodyDiv w:val="1"/>
      <w:marLeft w:val="0"/>
      <w:marRight w:val="0"/>
      <w:marTop w:val="0"/>
      <w:marBottom w:val="0"/>
      <w:divBdr>
        <w:top w:val="none" w:sz="0" w:space="0" w:color="auto"/>
        <w:left w:val="none" w:sz="0" w:space="0" w:color="auto"/>
        <w:bottom w:val="none" w:sz="0" w:space="0" w:color="auto"/>
        <w:right w:val="none" w:sz="0" w:space="0" w:color="auto"/>
      </w:divBdr>
    </w:div>
    <w:div w:id="2020500577">
      <w:bodyDiv w:val="1"/>
      <w:marLeft w:val="0"/>
      <w:marRight w:val="0"/>
      <w:marTop w:val="0"/>
      <w:marBottom w:val="0"/>
      <w:divBdr>
        <w:top w:val="none" w:sz="0" w:space="0" w:color="auto"/>
        <w:left w:val="none" w:sz="0" w:space="0" w:color="auto"/>
        <w:bottom w:val="none" w:sz="0" w:space="0" w:color="auto"/>
        <w:right w:val="none" w:sz="0" w:space="0" w:color="auto"/>
      </w:divBdr>
    </w:div>
    <w:div w:id="2021353668">
      <w:bodyDiv w:val="1"/>
      <w:marLeft w:val="0"/>
      <w:marRight w:val="0"/>
      <w:marTop w:val="0"/>
      <w:marBottom w:val="0"/>
      <w:divBdr>
        <w:top w:val="none" w:sz="0" w:space="0" w:color="auto"/>
        <w:left w:val="none" w:sz="0" w:space="0" w:color="auto"/>
        <w:bottom w:val="none" w:sz="0" w:space="0" w:color="auto"/>
        <w:right w:val="none" w:sz="0" w:space="0" w:color="auto"/>
      </w:divBdr>
    </w:div>
    <w:div w:id="2024479022">
      <w:bodyDiv w:val="1"/>
      <w:marLeft w:val="0"/>
      <w:marRight w:val="0"/>
      <w:marTop w:val="0"/>
      <w:marBottom w:val="0"/>
      <w:divBdr>
        <w:top w:val="none" w:sz="0" w:space="0" w:color="auto"/>
        <w:left w:val="none" w:sz="0" w:space="0" w:color="auto"/>
        <w:bottom w:val="none" w:sz="0" w:space="0" w:color="auto"/>
        <w:right w:val="none" w:sz="0" w:space="0" w:color="auto"/>
      </w:divBdr>
    </w:div>
    <w:div w:id="2024623644">
      <w:bodyDiv w:val="1"/>
      <w:marLeft w:val="0"/>
      <w:marRight w:val="0"/>
      <w:marTop w:val="0"/>
      <w:marBottom w:val="0"/>
      <w:divBdr>
        <w:top w:val="none" w:sz="0" w:space="0" w:color="auto"/>
        <w:left w:val="none" w:sz="0" w:space="0" w:color="auto"/>
        <w:bottom w:val="none" w:sz="0" w:space="0" w:color="auto"/>
        <w:right w:val="none" w:sz="0" w:space="0" w:color="auto"/>
      </w:divBdr>
    </w:div>
    <w:div w:id="2026011400">
      <w:bodyDiv w:val="1"/>
      <w:marLeft w:val="0"/>
      <w:marRight w:val="0"/>
      <w:marTop w:val="0"/>
      <w:marBottom w:val="0"/>
      <w:divBdr>
        <w:top w:val="none" w:sz="0" w:space="0" w:color="auto"/>
        <w:left w:val="none" w:sz="0" w:space="0" w:color="auto"/>
        <w:bottom w:val="none" w:sz="0" w:space="0" w:color="auto"/>
        <w:right w:val="none" w:sz="0" w:space="0" w:color="auto"/>
      </w:divBdr>
    </w:div>
    <w:div w:id="2026511536">
      <w:bodyDiv w:val="1"/>
      <w:marLeft w:val="0"/>
      <w:marRight w:val="0"/>
      <w:marTop w:val="0"/>
      <w:marBottom w:val="0"/>
      <w:divBdr>
        <w:top w:val="none" w:sz="0" w:space="0" w:color="auto"/>
        <w:left w:val="none" w:sz="0" w:space="0" w:color="auto"/>
        <w:bottom w:val="none" w:sz="0" w:space="0" w:color="auto"/>
        <w:right w:val="none" w:sz="0" w:space="0" w:color="auto"/>
      </w:divBdr>
    </w:div>
    <w:div w:id="2031298658">
      <w:bodyDiv w:val="1"/>
      <w:marLeft w:val="0"/>
      <w:marRight w:val="0"/>
      <w:marTop w:val="0"/>
      <w:marBottom w:val="0"/>
      <w:divBdr>
        <w:top w:val="none" w:sz="0" w:space="0" w:color="auto"/>
        <w:left w:val="none" w:sz="0" w:space="0" w:color="auto"/>
        <w:bottom w:val="none" w:sz="0" w:space="0" w:color="auto"/>
        <w:right w:val="none" w:sz="0" w:space="0" w:color="auto"/>
      </w:divBdr>
    </w:div>
    <w:div w:id="2034303867">
      <w:bodyDiv w:val="1"/>
      <w:marLeft w:val="0"/>
      <w:marRight w:val="0"/>
      <w:marTop w:val="0"/>
      <w:marBottom w:val="0"/>
      <w:divBdr>
        <w:top w:val="none" w:sz="0" w:space="0" w:color="auto"/>
        <w:left w:val="none" w:sz="0" w:space="0" w:color="auto"/>
        <w:bottom w:val="none" w:sz="0" w:space="0" w:color="auto"/>
        <w:right w:val="none" w:sz="0" w:space="0" w:color="auto"/>
      </w:divBdr>
    </w:div>
    <w:div w:id="2035837179">
      <w:bodyDiv w:val="1"/>
      <w:marLeft w:val="0"/>
      <w:marRight w:val="0"/>
      <w:marTop w:val="0"/>
      <w:marBottom w:val="0"/>
      <w:divBdr>
        <w:top w:val="none" w:sz="0" w:space="0" w:color="auto"/>
        <w:left w:val="none" w:sz="0" w:space="0" w:color="auto"/>
        <w:bottom w:val="none" w:sz="0" w:space="0" w:color="auto"/>
        <w:right w:val="none" w:sz="0" w:space="0" w:color="auto"/>
      </w:divBdr>
    </w:div>
    <w:div w:id="2039693606">
      <w:bodyDiv w:val="1"/>
      <w:marLeft w:val="0"/>
      <w:marRight w:val="0"/>
      <w:marTop w:val="0"/>
      <w:marBottom w:val="0"/>
      <w:divBdr>
        <w:top w:val="none" w:sz="0" w:space="0" w:color="auto"/>
        <w:left w:val="none" w:sz="0" w:space="0" w:color="auto"/>
        <w:bottom w:val="none" w:sz="0" w:space="0" w:color="auto"/>
        <w:right w:val="none" w:sz="0" w:space="0" w:color="auto"/>
      </w:divBdr>
    </w:div>
    <w:div w:id="2040005488">
      <w:bodyDiv w:val="1"/>
      <w:marLeft w:val="0"/>
      <w:marRight w:val="0"/>
      <w:marTop w:val="0"/>
      <w:marBottom w:val="0"/>
      <w:divBdr>
        <w:top w:val="none" w:sz="0" w:space="0" w:color="auto"/>
        <w:left w:val="none" w:sz="0" w:space="0" w:color="auto"/>
        <w:bottom w:val="none" w:sz="0" w:space="0" w:color="auto"/>
        <w:right w:val="none" w:sz="0" w:space="0" w:color="auto"/>
      </w:divBdr>
    </w:div>
    <w:div w:id="2041200928">
      <w:bodyDiv w:val="1"/>
      <w:marLeft w:val="0"/>
      <w:marRight w:val="0"/>
      <w:marTop w:val="0"/>
      <w:marBottom w:val="0"/>
      <w:divBdr>
        <w:top w:val="none" w:sz="0" w:space="0" w:color="auto"/>
        <w:left w:val="none" w:sz="0" w:space="0" w:color="auto"/>
        <w:bottom w:val="none" w:sz="0" w:space="0" w:color="auto"/>
        <w:right w:val="none" w:sz="0" w:space="0" w:color="auto"/>
      </w:divBdr>
    </w:div>
    <w:div w:id="2042438094">
      <w:bodyDiv w:val="1"/>
      <w:marLeft w:val="0"/>
      <w:marRight w:val="0"/>
      <w:marTop w:val="0"/>
      <w:marBottom w:val="0"/>
      <w:divBdr>
        <w:top w:val="none" w:sz="0" w:space="0" w:color="auto"/>
        <w:left w:val="none" w:sz="0" w:space="0" w:color="auto"/>
        <w:bottom w:val="none" w:sz="0" w:space="0" w:color="auto"/>
        <w:right w:val="none" w:sz="0" w:space="0" w:color="auto"/>
      </w:divBdr>
    </w:div>
    <w:div w:id="2042584579">
      <w:bodyDiv w:val="1"/>
      <w:marLeft w:val="0"/>
      <w:marRight w:val="0"/>
      <w:marTop w:val="0"/>
      <w:marBottom w:val="0"/>
      <w:divBdr>
        <w:top w:val="none" w:sz="0" w:space="0" w:color="auto"/>
        <w:left w:val="none" w:sz="0" w:space="0" w:color="auto"/>
        <w:bottom w:val="none" w:sz="0" w:space="0" w:color="auto"/>
        <w:right w:val="none" w:sz="0" w:space="0" w:color="auto"/>
      </w:divBdr>
    </w:div>
    <w:div w:id="2043431229">
      <w:bodyDiv w:val="1"/>
      <w:marLeft w:val="0"/>
      <w:marRight w:val="0"/>
      <w:marTop w:val="0"/>
      <w:marBottom w:val="0"/>
      <w:divBdr>
        <w:top w:val="none" w:sz="0" w:space="0" w:color="auto"/>
        <w:left w:val="none" w:sz="0" w:space="0" w:color="auto"/>
        <w:bottom w:val="none" w:sz="0" w:space="0" w:color="auto"/>
        <w:right w:val="none" w:sz="0" w:space="0" w:color="auto"/>
      </w:divBdr>
    </w:div>
    <w:div w:id="2044092641">
      <w:bodyDiv w:val="1"/>
      <w:marLeft w:val="0"/>
      <w:marRight w:val="0"/>
      <w:marTop w:val="0"/>
      <w:marBottom w:val="0"/>
      <w:divBdr>
        <w:top w:val="none" w:sz="0" w:space="0" w:color="auto"/>
        <w:left w:val="none" w:sz="0" w:space="0" w:color="auto"/>
        <w:bottom w:val="none" w:sz="0" w:space="0" w:color="auto"/>
        <w:right w:val="none" w:sz="0" w:space="0" w:color="auto"/>
      </w:divBdr>
    </w:div>
    <w:div w:id="2044985807">
      <w:bodyDiv w:val="1"/>
      <w:marLeft w:val="0"/>
      <w:marRight w:val="0"/>
      <w:marTop w:val="0"/>
      <w:marBottom w:val="0"/>
      <w:divBdr>
        <w:top w:val="none" w:sz="0" w:space="0" w:color="auto"/>
        <w:left w:val="none" w:sz="0" w:space="0" w:color="auto"/>
        <w:bottom w:val="none" w:sz="0" w:space="0" w:color="auto"/>
        <w:right w:val="none" w:sz="0" w:space="0" w:color="auto"/>
      </w:divBdr>
    </w:div>
    <w:div w:id="2045135636">
      <w:bodyDiv w:val="1"/>
      <w:marLeft w:val="0"/>
      <w:marRight w:val="0"/>
      <w:marTop w:val="0"/>
      <w:marBottom w:val="0"/>
      <w:divBdr>
        <w:top w:val="none" w:sz="0" w:space="0" w:color="auto"/>
        <w:left w:val="none" w:sz="0" w:space="0" w:color="auto"/>
        <w:bottom w:val="none" w:sz="0" w:space="0" w:color="auto"/>
        <w:right w:val="none" w:sz="0" w:space="0" w:color="auto"/>
      </w:divBdr>
    </w:div>
    <w:div w:id="2046633358">
      <w:bodyDiv w:val="1"/>
      <w:marLeft w:val="0"/>
      <w:marRight w:val="0"/>
      <w:marTop w:val="0"/>
      <w:marBottom w:val="0"/>
      <w:divBdr>
        <w:top w:val="none" w:sz="0" w:space="0" w:color="auto"/>
        <w:left w:val="none" w:sz="0" w:space="0" w:color="auto"/>
        <w:bottom w:val="none" w:sz="0" w:space="0" w:color="auto"/>
        <w:right w:val="none" w:sz="0" w:space="0" w:color="auto"/>
      </w:divBdr>
    </w:div>
    <w:div w:id="2047286916">
      <w:bodyDiv w:val="1"/>
      <w:marLeft w:val="0"/>
      <w:marRight w:val="0"/>
      <w:marTop w:val="0"/>
      <w:marBottom w:val="0"/>
      <w:divBdr>
        <w:top w:val="none" w:sz="0" w:space="0" w:color="auto"/>
        <w:left w:val="none" w:sz="0" w:space="0" w:color="auto"/>
        <w:bottom w:val="none" w:sz="0" w:space="0" w:color="auto"/>
        <w:right w:val="none" w:sz="0" w:space="0" w:color="auto"/>
      </w:divBdr>
    </w:div>
    <w:div w:id="2047869546">
      <w:bodyDiv w:val="1"/>
      <w:marLeft w:val="0"/>
      <w:marRight w:val="0"/>
      <w:marTop w:val="0"/>
      <w:marBottom w:val="0"/>
      <w:divBdr>
        <w:top w:val="none" w:sz="0" w:space="0" w:color="auto"/>
        <w:left w:val="none" w:sz="0" w:space="0" w:color="auto"/>
        <w:bottom w:val="none" w:sz="0" w:space="0" w:color="auto"/>
        <w:right w:val="none" w:sz="0" w:space="0" w:color="auto"/>
      </w:divBdr>
    </w:div>
    <w:div w:id="2050832710">
      <w:bodyDiv w:val="1"/>
      <w:marLeft w:val="0"/>
      <w:marRight w:val="0"/>
      <w:marTop w:val="0"/>
      <w:marBottom w:val="0"/>
      <w:divBdr>
        <w:top w:val="none" w:sz="0" w:space="0" w:color="auto"/>
        <w:left w:val="none" w:sz="0" w:space="0" w:color="auto"/>
        <w:bottom w:val="none" w:sz="0" w:space="0" w:color="auto"/>
        <w:right w:val="none" w:sz="0" w:space="0" w:color="auto"/>
      </w:divBdr>
    </w:div>
    <w:div w:id="2051108237">
      <w:bodyDiv w:val="1"/>
      <w:marLeft w:val="0"/>
      <w:marRight w:val="0"/>
      <w:marTop w:val="0"/>
      <w:marBottom w:val="0"/>
      <w:divBdr>
        <w:top w:val="none" w:sz="0" w:space="0" w:color="auto"/>
        <w:left w:val="none" w:sz="0" w:space="0" w:color="auto"/>
        <w:bottom w:val="none" w:sz="0" w:space="0" w:color="auto"/>
        <w:right w:val="none" w:sz="0" w:space="0" w:color="auto"/>
      </w:divBdr>
      <w:divsChild>
        <w:div w:id="164590913">
          <w:marLeft w:val="0"/>
          <w:marRight w:val="0"/>
          <w:marTop w:val="900"/>
          <w:marBottom w:val="0"/>
          <w:divBdr>
            <w:top w:val="none" w:sz="0" w:space="0" w:color="auto"/>
            <w:left w:val="none" w:sz="0" w:space="0" w:color="auto"/>
            <w:bottom w:val="none" w:sz="0" w:space="0" w:color="auto"/>
            <w:right w:val="none" w:sz="0" w:space="0" w:color="auto"/>
          </w:divBdr>
          <w:divsChild>
            <w:div w:id="11144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67615">
      <w:bodyDiv w:val="1"/>
      <w:marLeft w:val="0"/>
      <w:marRight w:val="0"/>
      <w:marTop w:val="0"/>
      <w:marBottom w:val="0"/>
      <w:divBdr>
        <w:top w:val="none" w:sz="0" w:space="0" w:color="auto"/>
        <w:left w:val="none" w:sz="0" w:space="0" w:color="auto"/>
        <w:bottom w:val="none" w:sz="0" w:space="0" w:color="auto"/>
        <w:right w:val="none" w:sz="0" w:space="0" w:color="auto"/>
      </w:divBdr>
    </w:div>
    <w:div w:id="2051882827">
      <w:bodyDiv w:val="1"/>
      <w:marLeft w:val="0"/>
      <w:marRight w:val="0"/>
      <w:marTop w:val="0"/>
      <w:marBottom w:val="0"/>
      <w:divBdr>
        <w:top w:val="none" w:sz="0" w:space="0" w:color="auto"/>
        <w:left w:val="none" w:sz="0" w:space="0" w:color="auto"/>
        <w:bottom w:val="none" w:sz="0" w:space="0" w:color="auto"/>
        <w:right w:val="none" w:sz="0" w:space="0" w:color="auto"/>
      </w:divBdr>
    </w:div>
    <w:div w:id="2052147531">
      <w:bodyDiv w:val="1"/>
      <w:marLeft w:val="0"/>
      <w:marRight w:val="0"/>
      <w:marTop w:val="0"/>
      <w:marBottom w:val="0"/>
      <w:divBdr>
        <w:top w:val="none" w:sz="0" w:space="0" w:color="auto"/>
        <w:left w:val="none" w:sz="0" w:space="0" w:color="auto"/>
        <w:bottom w:val="none" w:sz="0" w:space="0" w:color="auto"/>
        <w:right w:val="none" w:sz="0" w:space="0" w:color="auto"/>
      </w:divBdr>
    </w:div>
    <w:div w:id="2052726825">
      <w:bodyDiv w:val="1"/>
      <w:marLeft w:val="0"/>
      <w:marRight w:val="0"/>
      <w:marTop w:val="0"/>
      <w:marBottom w:val="0"/>
      <w:divBdr>
        <w:top w:val="none" w:sz="0" w:space="0" w:color="auto"/>
        <w:left w:val="none" w:sz="0" w:space="0" w:color="auto"/>
        <w:bottom w:val="none" w:sz="0" w:space="0" w:color="auto"/>
        <w:right w:val="none" w:sz="0" w:space="0" w:color="auto"/>
      </w:divBdr>
    </w:div>
    <w:div w:id="2052881981">
      <w:bodyDiv w:val="1"/>
      <w:marLeft w:val="0"/>
      <w:marRight w:val="0"/>
      <w:marTop w:val="0"/>
      <w:marBottom w:val="0"/>
      <w:divBdr>
        <w:top w:val="none" w:sz="0" w:space="0" w:color="auto"/>
        <w:left w:val="none" w:sz="0" w:space="0" w:color="auto"/>
        <w:bottom w:val="none" w:sz="0" w:space="0" w:color="auto"/>
        <w:right w:val="none" w:sz="0" w:space="0" w:color="auto"/>
      </w:divBdr>
    </w:div>
    <w:div w:id="2054498004">
      <w:bodyDiv w:val="1"/>
      <w:marLeft w:val="0"/>
      <w:marRight w:val="0"/>
      <w:marTop w:val="0"/>
      <w:marBottom w:val="0"/>
      <w:divBdr>
        <w:top w:val="none" w:sz="0" w:space="0" w:color="auto"/>
        <w:left w:val="none" w:sz="0" w:space="0" w:color="auto"/>
        <w:bottom w:val="none" w:sz="0" w:space="0" w:color="auto"/>
        <w:right w:val="none" w:sz="0" w:space="0" w:color="auto"/>
      </w:divBdr>
    </w:div>
    <w:div w:id="2055233704">
      <w:bodyDiv w:val="1"/>
      <w:marLeft w:val="0"/>
      <w:marRight w:val="0"/>
      <w:marTop w:val="0"/>
      <w:marBottom w:val="0"/>
      <w:divBdr>
        <w:top w:val="none" w:sz="0" w:space="0" w:color="auto"/>
        <w:left w:val="none" w:sz="0" w:space="0" w:color="auto"/>
        <w:bottom w:val="none" w:sz="0" w:space="0" w:color="auto"/>
        <w:right w:val="none" w:sz="0" w:space="0" w:color="auto"/>
      </w:divBdr>
    </w:div>
    <w:div w:id="2059470677">
      <w:bodyDiv w:val="1"/>
      <w:marLeft w:val="0"/>
      <w:marRight w:val="0"/>
      <w:marTop w:val="0"/>
      <w:marBottom w:val="0"/>
      <w:divBdr>
        <w:top w:val="none" w:sz="0" w:space="0" w:color="auto"/>
        <w:left w:val="none" w:sz="0" w:space="0" w:color="auto"/>
        <w:bottom w:val="none" w:sz="0" w:space="0" w:color="auto"/>
        <w:right w:val="none" w:sz="0" w:space="0" w:color="auto"/>
      </w:divBdr>
    </w:div>
    <w:div w:id="2060280752">
      <w:bodyDiv w:val="1"/>
      <w:marLeft w:val="0"/>
      <w:marRight w:val="0"/>
      <w:marTop w:val="0"/>
      <w:marBottom w:val="0"/>
      <w:divBdr>
        <w:top w:val="none" w:sz="0" w:space="0" w:color="auto"/>
        <w:left w:val="none" w:sz="0" w:space="0" w:color="auto"/>
        <w:bottom w:val="none" w:sz="0" w:space="0" w:color="auto"/>
        <w:right w:val="none" w:sz="0" w:space="0" w:color="auto"/>
      </w:divBdr>
    </w:div>
    <w:div w:id="2060321525">
      <w:bodyDiv w:val="1"/>
      <w:marLeft w:val="0"/>
      <w:marRight w:val="0"/>
      <w:marTop w:val="0"/>
      <w:marBottom w:val="0"/>
      <w:divBdr>
        <w:top w:val="none" w:sz="0" w:space="0" w:color="auto"/>
        <w:left w:val="none" w:sz="0" w:space="0" w:color="auto"/>
        <w:bottom w:val="none" w:sz="0" w:space="0" w:color="auto"/>
        <w:right w:val="none" w:sz="0" w:space="0" w:color="auto"/>
      </w:divBdr>
    </w:div>
    <w:div w:id="2060745541">
      <w:bodyDiv w:val="1"/>
      <w:marLeft w:val="0"/>
      <w:marRight w:val="0"/>
      <w:marTop w:val="0"/>
      <w:marBottom w:val="0"/>
      <w:divBdr>
        <w:top w:val="none" w:sz="0" w:space="0" w:color="auto"/>
        <w:left w:val="none" w:sz="0" w:space="0" w:color="auto"/>
        <w:bottom w:val="none" w:sz="0" w:space="0" w:color="auto"/>
        <w:right w:val="none" w:sz="0" w:space="0" w:color="auto"/>
      </w:divBdr>
    </w:div>
    <w:div w:id="2066567003">
      <w:bodyDiv w:val="1"/>
      <w:marLeft w:val="0"/>
      <w:marRight w:val="0"/>
      <w:marTop w:val="0"/>
      <w:marBottom w:val="0"/>
      <w:divBdr>
        <w:top w:val="none" w:sz="0" w:space="0" w:color="auto"/>
        <w:left w:val="none" w:sz="0" w:space="0" w:color="auto"/>
        <w:bottom w:val="none" w:sz="0" w:space="0" w:color="auto"/>
        <w:right w:val="none" w:sz="0" w:space="0" w:color="auto"/>
      </w:divBdr>
    </w:div>
    <w:div w:id="2069304861">
      <w:bodyDiv w:val="1"/>
      <w:marLeft w:val="0"/>
      <w:marRight w:val="0"/>
      <w:marTop w:val="0"/>
      <w:marBottom w:val="0"/>
      <w:divBdr>
        <w:top w:val="none" w:sz="0" w:space="0" w:color="auto"/>
        <w:left w:val="none" w:sz="0" w:space="0" w:color="auto"/>
        <w:bottom w:val="none" w:sz="0" w:space="0" w:color="auto"/>
        <w:right w:val="none" w:sz="0" w:space="0" w:color="auto"/>
      </w:divBdr>
    </w:div>
    <w:div w:id="2069372805">
      <w:bodyDiv w:val="1"/>
      <w:marLeft w:val="0"/>
      <w:marRight w:val="0"/>
      <w:marTop w:val="0"/>
      <w:marBottom w:val="0"/>
      <w:divBdr>
        <w:top w:val="none" w:sz="0" w:space="0" w:color="auto"/>
        <w:left w:val="none" w:sz="0" w:space="0" w:color="auto"/>
        <w:bottom w:val="none" w:sz="0" w:space="0" w:color="auto"/>
        <w:right w:val="none" w:sz="0" w:space="0" w:color="auto"/>
      </w:divBdr>
    </w:div>
    <w:div w:id="2071032698">
      <w:bodyDiv w:val="1"/>
      <w:marLeft w:val="0"/>
      <w:marRight w:val="0"/>
      <w:marTop w:val="0"/>
      <w:marBottom w:val="0"/>
      <w:divBdr>
        <w:top w:val="none" w:sz="0" w:space="0" w:color="auto"/>
        <w:left w:val="none" w:sz="0" w:space="0" w:color="auto"/>
        <w:bottom w:val="none" w:sz="0" w:space="0" w:color="auto"/>
        <w:right w:val="none" w:sz="0" w:space="0" w:color="auto"/>
      </w:divBdr>
    </w:div>
    <w:div w:id="2071225007">
      <w:bodyDiv w:val="1"/>
      <w:marLeft w:val="0"/>
      <w:marRight w:val="0"/>
      <w:marTop w:val="0"/>
      <w:marBottom w:val="0"/>
      <w:divBdr>
        <w:top w:val="none" w:sz="0" w:space="0" w:color="auto"/>
        <w:left w:val="none" w:sz="0" w:space="0" w:color="auto"/>
        <w:bottom w:val="none" w:sz="0" w:space="0" w:color="auto"/>
        <w:right w:val="none" w:sz="0" w:space="0" w:color="auto"/>
      </w:divBdr>
      <w:divsChild>
        <w:div w:id="1859192022">
          <w:marLeft w:val="0"/>
          <w:marRight w:val="0"/>
          <w:marTop w:val="0"/>
          <w:marBottom w:val="0"/>
          <w:divBdr>
            <w:top w:val="none" w:sz="0" w:space="0" w:color="auto"/>
            <w:left w:val="none" w:sz="0" w:space="0" w:color="auto"/>
            <w:bottom w:val="none" w:sz="0" w:space="0" w:color="auto"/>
            <w:right w:val="none" w:sz="0" w:space="0" w:color="auto"/>
          </w:divBdr>
          <w:divsChild>
            <w:div w:id="1163470136">
              <w:marLeft w:val="0"/>
              <w:marRight w:val="0"/>
              <w:marTop w:val="0"/>
              <w:marBottom w:val="0"/>
              <w:divBdr>
                <w:top w:val="none" w:sz="0" w:space="0" w:color="auto"/>
                <w:left w:val="none" w:sz="0" w:space="0" w:color="auto"/>
                <w:bottom w:val="none" w:sz="0" w:space="0" w:color="auto"/>
                <w:right w:val="none" w:sz="0" w:space="0" w:color="auto"/>
              </w:divBdr>
              <w:divsChild>
                <w:div w:id="4179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40040">
      <w:bodyDiv w:val="1"/>
      <w:marLeft w:val="0"/>
      <w:marRight w:val="0"/>
      <w:marTop w:val="0"/>
      <w:marBottom w:val="0"/>
      <w:divBdr>
        <w:top w:val="none" w:sz="0" w:space="0" w:color="auto"/>
        <w:left w:val="none" w:sz="0" w:space="0" w:color="auto"/>
        <w:bottom w:val="none" w:sz="0" w:space="0" w:color="auto"/>
        <w:right w:val="none" w:sz="0" w:space="0" w:color="auto"/>
      </w:divBdr>
    </w:div>
    <w:div w:id="2073580555">
      <w:bodyDiv w:val="1"/>
      <w:marLeft w:val="0"/>
      <w:marRight w:val="0"/>
      <w:marTop w:val="0"/>
      <w:marBottom w:val="0"/>
      <w:divBdr>
        <w:top w:val="none" w:sz="0" w:space="0" w:color="auto"/>
        <w:left w:val="none" w:sz="0" w:space="0" w:color="auto"/>
        <w:bottom w:val="none" w:sz="0" w:space="0" w:color="auto"/>
        <w:right w:val="none" w:sz="0" w:space="0" w:color="auto"/>
      </w:divBdr>
    </w:div>
    <w:div w:id="2073773424">
      <w:bodyDiv w:val="1"/>
      <w:marLeft w:val="0"/>
      <w:marRight w:val="0"/>
      <w:marTop w:val="0"/>
      <w:marBottom w:val="0"/>
      <w:divBdr>
        <w:top w:val="none" w:sz="0" w:space="0" w:color="auto"/>
        <w:left w:val="none" w:sz="0" w:space="0" w:color="auto"/>
        <w:bottom w:val="none" w:sz="0" w:space="0" w:color="auto"/>
        <w:right w:val="none" w:sz="0" w:space="0" w:color="auto"/>
      </w:divBdr>
    </w:div>
    <w:div w:id="2075617038">
      <w:bodyDiv w:val="1"/>
      <w:marLeft w:val="0"/>
      <w:marRight w:val="0"/>
      <w:marTop w:val="0"/>
      <w:marBottom w:val="0"/>
      <w:divBdr>
        <w:top w:val="none" w:sz="0" w:space="0" w:color="auto"/>
        <w:left w:val="none" w:sz="0" w:space="0" w:color="auto"/>
        <w:bottom w:val="none" w:sz="0" w:space="0" w:color="auto"/>
        <w:right w:val="none" w:sz="0" w:space="0" w:color="auto"/>
      </w:divBdr>
    </w:div>
    <w:div w:id="2077164478">
      <w:bodyDiv w:val="1"/>
      <w:marLeft w:val="0"/>
      <w:marRight w:val="0"/>
      <w:marTop w:val="0"/>
      <w:marBottom w:val="0"/>
      <w:divBdr>
        <w:top w:val="none" w:sz="0" w:space="0" w:color="auto"/>
        <w:left w:val="none" w:sz="0" w:space="0" w:color="auto"/>
        <w:bottom w:val="none" w:sz="0" w:space="0" w:color="auto"/>
        <w:right w:val="none" w:sz="0" w:space="0" w:color="auto"/>
      </w:divBdr>
    </w:div>
    <w:div w:id="2079280326">
      <w:bodyDiv w:val="1"/>
      <w:marLeft w:val="0"/>
      <w:marRight w:val="0"/>
      <w:marTop w:val="0"/>
      <w:marBottom w:val="0"/>
      <w:divBdr>
        <w:top w:val="none" w:sz="0" w:space="0" w:color="auto"/>
        <w:left w:val="none" w:sz="0" w:space="0" w:color="auto"/>
        <w:bottom w:val="none" w:sz="0" w:space="0" w:color="auto"/>
        <w:right w:val="none" w:sz="0" w:space="0" w:color="auto"/>
      </w:divBdr>
    </w:div>
    <w:div w:id="2080328723">
      <w:bodyDiv w:val="1"/>
      <w:marLeft w:val="0"/>
      <w:marRight w:val="0"/>
      <w:marTop w:val="0"/>
      <w:marBottom w:val="0"/>
      <w:divBdr>
        <w:top w:val="none" w:sz="0" w:space="0" w:color="auto"/>
        <w:left w:val="none" w:sz="0" w:space="0" w:color="auto"/>
        <w:bottom w:val="none" w:sz="0" w:space="0" w:color="auto"/>
        <w:right w:val="none" w:sz="0" w:space="0" w:color="auto"/>
      </w:divBdr>
    </w:div>
    <w:div w:id="2080472463">
      <w:bodyDiv w:val="1"/>
      <w:marLeft w:val="0"/>
      <w:marRight w:val="0"/>
      <w:marTop w:val="0"/>
      <w:marBottom w:val="0"/>
      <w:divBdr>
        <w:top w:val="none" w:sz="0" w:space="0" w:color="auto"/>
        <w:left w:val="none" w:sz="0" w:space="0" w:color="auto"/>
        <w:bottom w:val="none" w:sz="0" w:space="0" w:color="auto"/>
        <w:right w:val="none" w:sz="0" w:space="0" w:color="auto"/>
      </w:divBdr>
    </w:div>
    <w:div w:id="2080786237">
      <w:bodyDiv w:val="1"/>
      <w:marLeft w:val="0"/>
      <w:marRight w:val="0"/>
      <w:marTop w:val="0"/>
      <w:marBottom w:val="0"/>
      <w:divBdr>
        <w:top w:val="none" w:sz="0" w:space="0" w:color="auto"/>
        <w:left w:val="none" w:sz="0" w:space="0" w:color="auto"/>
        <w:bottom w:val="none" w:sz="0" w:space="0" w:color="auto"/>
        <w:right w:val="none" w:sz="0" w:space="0" w:color="auto"/>
      </w:divBdr>
    </w:div>
    <w:div w:id="2083915488">
      <w:bodyDiv w:val="1"/>
      <w:marLeft w:val="0"/>
      <w:marRight w:val="0"/>
      <w:marTop w:val="0"/>
      <w:marBottom w:val="0"/>
      <w:divBdr>
        <w:top w:val="none" w:sz="0" w:space="0" w:color="auto"/>
        <w:left w:val="none" w:sz="0" w:space="0" w:color="auto"/>
        <w:bottom w:val="none" w:sz="0" w:space="0" w:color="auto"/>
        <w:right w:val="none" w:sz="0" w:space="0" w:color="auto"/>
      </w:divBdr>
    </w:div>
    <w:div w:id="2085761723">
      <w:bodyDiv w:val="1"/>
      <w:marLeft w:val="0"/>
      <w:marRight w:val="0"/>
      <w:marTop w:val="0"/>
      <w:marBottom w:val="0"/>
      <w:divBdr>
        <w:top w:val="none" w:sz="0" w:space="0" w:color="auto"/>
        <w:left w:val="none" w:sz="0" w:space="0" w:color="auto"/>
        <w:bottom w:val="none" w:sz="0" w:space="0" w:color="auto"/>
        <w:right w:val="none" w:sz="0" w:space="0" w:color="auto"/>
      </w:divBdr>
    </w:div>
    <w:div w:id="2088453808">
      <w:bodyDiv w:val="1"/>
      <w:marLeft w:val="0"/>
      <w:marRight w:val="0"/>
      <w:marTop w:val="0"/>
      <w:marBottom w:val="0"/>
      <w:divBdr>
        <w:top w:val="none" w:sz="0" w:space="0" w:color="auto"/>
        <w:left w:val="none" w:sz="0" w:space="0" w:color="auto"/>
        <w:bottom w:val="none" w:sz="0" w:space="0" w:color="auto"/>
        <w:right w:val="none" w:sz="0" w:space="0" w:color="auto"/>
      </w:divBdr>
    </w:div>
    <w:div w:id="2088766103">
      <w:bodyDiv w:val="1"/>
      <w:marLeft w:val="0"/>
      <w:marRight w:val="0"/>
      <w:marTop w:val="0"/>
      <w:marBottom w:val="0"/>
      <w:divBdr>
        <w:top w:val="none" w:sz="0" w:space="0" w:color="auto"/>
        <w:left w:val="none" w:sz="0" w:space="0" w:color="auto"/>
        <w:bottom w:val="none" w:sz="0" w:space="0" w:color="auto"/>
        <w:right w:val="none" w:sz="0" w:space="0" w:color="auto"/>
      </w:divBdr>
    </w:div>
    <w:div w:id="2088767985">
      <w:bodyDiv w:val="1"/>
      <w:marLeft w:val="0"/>
      <w:marRight w:val="0"/>
      <w:marTop w:val="0"/>
      <w:marBottom w:val="0"/>
      <w:divBdr>
        <w:top w:val="none" w:sz="0" w:space="0" w:color="auto"/>
        <w:left w:val="none" w:sz="0" w:space="0" w:color="auto"/>
        <w:bottom w:val="none" w:sz="0" w:space="0" w:color="auto"/>
        <w:right w:val="none" w:sz="0" w:space="0" w:color="auto"/>
      </w:divBdr>
    </w:div>
    <w:div w:id="2089688412">
      <w:bodyDiv w:val="1"/>
      <w:marLeft w:val="0"/>
      <w:marRight w:val="0"/>
      <w:marTop w:val="0"/>
      <w:marBottom w:val="0"/>
      <w:divBdr>
        <w:top w:val="none" w:sz="0" w:space="0" w:color="auto"/>
        <w:left w:val="none" w:sz="0" w:space="0" w:color="auto"/>
        <w:bottom w:val="none" w:sz="0" w:space="0" w:color="auto"/>
        <w:right w:val="none" w:sz="0" w:space="0" w:color="auto"/>
      </w:divBdr>
    </w:div>
    <w:div w:id="2089881363">
      <w:bodyDiv w:val="1"/>
      <w:marLeft w:val="0"/>
      <w:marRight w:val="0"/>
      <w:marTop w:val="0"/>
      <w:marBottom w:val="0"/>
      <w:divBdr>
        <w:top w:val="none" w:sz="0" w:space="0" w:color="auto"/>
        <w:left w:val="none" w:sz="0" w:space="0" w:color="auto"/>
        <w:bottom w:val="none" w:sz="0" w:space="0" w:color="auto"/>
        <w:right w:val="none" w:sz="0" w:space="0" w:color="auto"/>
      </w:divBdr>
    </w:div>
    <w:div w:id="2093811553">
      <w:bodyDiv w:val="1"/>
      <w:marLeft w:val="0"/>
      <w:marRight w:val="0"/>
      <w:marTop w:val="0"/>
      <w:marBottom w:val="0"/>
      <w:divBdr>
        <w:top w:val="none" w:sz="0" w:space="0" w:color="auto"/>
        <w:left w:val="none" w:sz="0" w:space="0" w:color="auto"/>
        <w:bottom w:val="none" w:sz="0" w:space="0" w:color="auto"/>
        <w:right w:val="none" w:sz="0" w:space="0" w:color="auto"/>
      </w:divBdr>
    </w:div>
    <w:div w:id="2095123764">
      <w:bodyDiv w:val="1"/>
      <w:marLeft w:val="0"/>
      <w:marRight w:val="0"/>
      <w:marTop w:val="0"/>
      <w:marBottom w:val="0"/>
      <w:divBdr>
        <w:top w:val="none" w:sz="0" w:space="0" w:color="auto"/>
        <w:left w:val="none" w:sz="0" w:space="0" w:color="auto"/>
        <w:bottom w:val="none" w:sz="0" w:space="0" w:color="auto"/>
        <w:right w:val="none" w:sz="0" w:space="0" w:color="auto"/>
      </w:divBdr>
    </w:div>
    <w:div w:id="2097557505">
      <w:bodyDiv w:val="1"/>
      <w:marLeft w:val="0"/>
      <w:marRight w:val="0"/>
      <w:marTop w:val="0"/>
      <w:marBottom w:val="0"/>
      <w:divBdr>
        <w:top w:val="none" w:sz="0" w:space="0" w:color="auto"/>
        <w:left w:val="none" w:sz="0" w:space="0" w:color="auto"/>
        <w:bottom w:val="none" w:sz="0" w:space="0" w:color="auto"/>
        <w:right w:val="none" w:sz="0" w:space="0" w:color="auto"/>
      </w:divBdr>
    </w:div>
    <w:div w:id="2098476748">
      <w:bodyDiv w:val="1"/>
      <w:marLeft w:val="0"/>
      <w:marRight w:val="0"/>
      <w:marTop w:val="0"/>
      <w:marBottom w:val="0"/>
      <w:divBdr>
        <w:top w:val="none" w:sz="0" w:space="0" w:color="auto"/>
        <w:left w:val="none" w:sz="0" w:space="0" w:color="auto"/>
        <w:bottom w:val="none" w:sz="0" w:space="0" w:color="auto"/>
        <w:right w:val="none" w:sz="0" w:space="0" w:color="auto"/>
      </w:divBdr>
    </w:div>
    <w:div w:id="2104378835">
      <w:bodyDiv w:val="1"/>
      <w:marLeft w:val="0"/>
      <w:marRight w:val="0"/>
      <w:marTop w:val="0"/>
      <w:marBottom w:val="0"/>
      <w:divBdr>
        <w:top w:val="none" w:sz="0" w:space="0" w:color="auto"/>
        <w:left w:val="none" w:sz="0" w:space="0" w:color="auto"/>
        <w:bottom w:val="none" w:sz="0" w:space="0" w:color="auto"/>
        <w:right w:val="none" w:sz="0" w:space="0" w:color="auto"/>
      </w:divBdr>
      <w:divsChild>
        <w:div w:id="908151830">
          <w:marLeft w:val="0"/>
          <w:marRight w:val="0"/>
          <w:marTop w:val="100"/>
          <w:marBottom w:val="100"/>
          <w:divBdr>
            <w:top w:val="none" w:sz="0" w:space="0" w:color="auto"/>
            <w:left w:val="none" w:sz="0" w:space="0" w:color="auto"/>
            <w:bottom w:val="none" w:sz="0" w:space="0" w:color="auto"/>
            <w:right w:val="none" w:sz="0" w:space="0" w:color="auto"/>
          </w:divBdr>
          <w:divsChild>
            <w:div w:id="1199391553">
              <w:marLeft w:val="0"/>
              <w:marRight w:val="0"/>
              <w:marTop w:val="0"/>
              <w:marBottom w:val="0"/>
              <w:divBdr>
                <w:top w:val="none" w:sz="0" w:space="0" w:color="auto"/>
                <w:left w:val="none" w:sz="0" w:space="0" w:color="auto"/>
                <w:bottom w:val="none" w:sz="0" w:space="0" w:color="auto"/>
                <w:right w:val="none" w:sz="0" w:space="0" w:color="auto"/>
              </w:divBdr>
              <w:divsChild>
                <w:div w:id="135218900">
                  <w:marLeft w:val="0"/>
                  <w:marRight w:val="90"/>
                  <w:marTop w:val="0"/>
                  <w:marBottom w:val="0"/>
                  <w:divBdr>
                    <w:top w:val="none" w:sz="0" w:space="0" w:color="auto"/>
                    <w:left w:val="none" w:sz="0" w:space="0" w:color="auto"/>
                    <w:bottom w:val="none" w:sz="0" w:space="0" w:color="auto"/>
                    <w:right w:val="none" w:sz="0" w:space="0" w:color="auto"/>
                  </w:divBdr>
                  <w:divsChild>
                    <w:div w:id="316424704">
                      <w:marLeft w:val="0"/>
                      <w:marRight w:val="0"/>
                      <w:marTop w:val="0"/>
                      <w:marBottom w:val="0"/>
                      <w:divBdr>
                        <w:top w:val="none" w:sz="0" w:space="0" w:color="auto"/>
                        <w:left w:val="none" w:sz="0" w:space="0" w:color="auto"/>
                        <w:bottom w:val="none" w:sz="0" w:space="0" w:color="auto"/>
                        <w:right w:val="none" w:sz="0" w:space="0" w:color="auto"/>
                      </w:divBdr>
                      <w:divsChild>
                        <w:div w:id="17603923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105568168">
      <w:bodyDiv w:val="1"/>
      <w:marLeft w:val="0"/>
      <w:marRight w:val="0"/>
      <w:marTop w:val="0"/>
      <w:marBottom w:val="0"/>
      <w:divBdr>
        <w:top w:val="none" w:sz="0" w:space="0" w:color="auto"/>
        <w:left w:val="none" w:sz="0" w:space="0" w:color="auto"/>
        <w:bottom w:val="none" w:sz="0" w:space="0" w:color="auto"/>
        <w:right w:val="none" w:sz="0" w:space="0" w:color="auto"/>
      </w:divBdr>
    </w:div>
    <w:div w:id="2108034698">
      <w:bodyDiv w:val="1"/>
      <w:marLeft w:val="0"/>
      <w:marRight w:val="0"/>
      <w:marTop w:val="0"/>
      <w:marBottom w:val="0"/>
      <w:divBdr>
        <w:top w:val="none" w:sz="0" w:space="0" w:color="auto"/>
        <w:left w:val="none" w:sz="0" w:space="0" w:color="auto"/>
        <w:bottom w:val="none" w:sz="0" w:space="0" w:color="auto"/>
        <w:right w:val="none" w:sz="0" w:space="0" w:color="auto"/>
      </w:divBdr>
    </w:div>
    <w:div w:id="2108767119">
      <w:bodyDiv w:val="1"/>
      <w:marLeft w:val="0"/>
      <w:marRight w:val="0"/>
      <w:marTop w:val="0"/>
      <w:marBottom w:val="0"/>
      <w:divBdr>
        <w:top w:val="none" w:sz="0" w:space="0" w:color="auto"/>
        <w:left w:val="none" w:sz="0" w:space="0" w:color="auto"/>
        <w:bottom w:val="none" w:sz="0" w:space="0" w:color="auto"/>
        <w:right w:val="none" w:sz="0" w:space="0" w:color="auto"/>
      </w:divBdr>
    </w:div>
    <w:div w:id="2109351185">
      <w:bodyDiv w:val="1"/>
      <w:marLeft w:val="0"/>
      <w:marRight w:val="0"/>
      <w:marTop w:val="0"/>
      <w:marBottom w:val="0"/>
      <w:divBdr>
        <w:top w:val="none" w:sz="0" w:space="0" w:color="auto"/>
        <w:left w:val="none" w:sz="0" w:space="0" w:color="auto"/>
        <w:bottom w:val="none" w:sz="0" w:space="0" w:color="auto"/>
        <w:right w:val="none" w:sz="0" w:space="0" w:color="auto"/>
      </w:divBdr>
    </w:div>
    <w:div w:id="2111663609">
      <w:bodyDiv w:val="1"/>
      <w:marLeft w:val="0"/>
      <w:marRight w:val="0"/>
      <w:marTop w:val="0"/>
      <w:marBottom w:val="0"/>
      <w:divBdr>
        <w:top w:val="none" w:sz="0" w:space="0" w:color="auto"/>
        <w:left w:val="none" w:sz="0" w:space="0" w:color="auto"/>
        <w:bottom w:val="none" w:sz="0" w:space="0" w:color="auto"/>
        <w:right w:val="none" w:sz="0" w:space="0" w:color="auto"/>
      </w:divBdr>
    </w:div>
    <w:div w:id="2113552244">
      <w:bodyDiv w:val="1"/>
      <w:marLeft w:val="0"/>
      <w:marRight w:val="0"/>
      <w:marTop w:val="0"/>
      <w:marBottom w:val="0"/>
      <w:divBdr>
        <w:top w:val="none" w:sz="0" w:space="0" w:color="auto"/>
        <w:left w:val="none" w:sz="0" w:space="0" w:color="auto"/>
        <w:bottom w:val="none" w:sz="0" w:space="0" w:color="auto"/>
        <w:right w:val="none" w:sz="0" w:space="0" w:color="auto"/>
      </w:divBdr>
    </w:div>
    <w:div w:id="2118214642">
      <w:bodyDiv w:val="1"/>
      <w:marLeft w:val="0"/>
      <w:marRight w:val="0"/>
      <w:marTop w:val="0"/>
      <w:marBottom w:val="0"/>
      <w:divBdr>
        <w:top w:val="none" w:sz="0" w:space="0" w:color="auto"/>
        <w:left w:val="none" w:sz="0" w:space="0" w:color="auto"/>
        <w:bottom w:val="none" w:sz="0" w:space="0" w:color="auto"/>
        <w:right w:val="none" w:sz="0" w:space="0" w:color="auto"/>
      </w:divBdr>
    </w:div>
    <w:div w:id="2118256542">
      <w:bodyDiv w:val="1"/>
      <w:marLeft w:val="0"/>
      <w:marRight w:val="0"/>
      <w:marTop w:val="0"/>
      <w:marBottom w:val="0"/>
      <w:divBdr>
        <w:top w:val="none" w:sz="0" w:space="0" w:color="auto"/>
        <w:left w:val="none" w:sz="0" w:space="0" w:color="auto"/>
        <w:bottom w:val="none" w:sz="0" w:space="0" w:color="auto"/>
        <w:right w:val="none" w:sz="0" w:space="0" w:color="auto"/>
      </w:divBdr>
      <w:divsChild>
        <w:div w:id="141967294">
          <w:marLeft w:val="0"/>
          <w:marRight w:val="0"/>
          <w:marTop w:val="0"/>
          <w:marBottom w:val="0"/>
          <w:divBdr>
            <w:top w:val="none" w:sz="0" w:space="0" w:color="auto"/>
            <w:left w:val="none" w:sz="0" w:space="0" w:color="auto"/>
            <w:bottom w:val="none" w:sz="0" w:space="0" w:color="auto"/>
            <w:right w:val="none" w:sz="0" w:space="0" w:color="auto"/>
          </w:divBdr>
        </w:div>
        <w:div w:id="440994768">
          <w:marLeft w:val="0"/>
          <w:marRight w:val="0"/>
          <w:marTop w:val="0"/>
          <w:marBottom w:val="0"/>
          <w:divBdr>
            <w:top w:val="none" w:sz="0" w:space="0" w:color="auto"/>
            <w:left w:val="none" w:sz="0" w:space="0" w:color="auto"/>
            <w:bottom w:val="none" w:sz="0" w:space="0" w:color="auto"/>
            <w:right w:val="none" w:sz="0" w:space="0" w:color="auto"/>
          </w:divBdr>
        </w:div>
        <w:div w:id="474571659">
          <w:marLeft w:val="0"/>
          <w:marRight w:val="0"/>
          <w:marTop w:val="0"/>
          <w:marBottom w:val="0"/>
          <w:divBdr>
            <w:top w:val="none" w:sz="0" w:space="0" w:color="auto"/>
            <w:left w:val="none" w:sz="0" w:space="0" w:color="auto"/>
            <w:bottom w:val="none" w:sz="0" w:space="0" w:color="auto"/>
            <w:right w:val="none" w:sz="0" w:space="0" w:color="auto"/>
          </w:divBdr>
        </w:div>
        <w:div w:id="606281270">
          <w:marLeft w:val="0"/>
          <w:marRight w:val="0"/>
          <w:marTop w:val="0"/>
          <w:marBottom w:val="0"/>
          <w:divBdr>
            <w:top w:val="none" w:sz="0" w:space="0" w:color="auto"/>
            <w:left w:val="none" w:sz="0" w:space="0" w:color="auto"/>
            <w:bottom w:val="none" w:sz="0" w:space="0" w:color="auto"/>
            <w:right w:val="none" w:sz="0" w:space="0" w:color="auto"/>
          </w:divBdr>
        </w:div>
        <w:div w:id="610475861">
          <w:marLeft w:val="0"/>
          <w:marRight w:val="0"/>
          <w:marTop w:val="0"/>
          <w:marBottom w:val="0"/>
          <w:divBdr>
            <w:top w:val="none" w:sz="0" w:space="0" w:color="auto"/>
            <w:left w:val="none" w:sz="0" w:space="0" w:color="auto"/>
            <w:bottom w:val="none" w:sz="0" w:space="0" w:color="auto"/>
            <w:right w:val="none" w:sz="0" w:space="0" w:color="auto"/>
          </w:divBdr>
        </w:div>
        <w:div w:id="627392596">
          <w:marLeft w:val="0"/>
          <w:marRight w:val="0"/>
          <w:marTop w:val="0"/>
          <w:marBottom w:val="0"/>
          <w:divBdr>
            <w:top w:val="none" w:sz="0" w:space="0" w:color="auto"/>
            <w:left w:val="none" w:sz="0" w:space="0" w:color="auto"/>
            <w:bottom w:val="none" w:sz="0" w:space="0" w:color="auto"/>
            <w:right w:val="none" w:sz="0" w:space="0" w:color="auto"/>
          </w:divBdr>
        </w:div>
        <w:div w:id="1018703149">
          <w:marLeft w:val="0"/>
          <w:marRight w:val="0"/>
          <w:marTop w:val="0"/>
          <w:marBottom w:val="0"/>
          <w:divBdr>
            <w:top w:val="none" w:sz="0" w:space="0" w:color="auto"/>
            <w:left w:val="none" w:sz="0" w:space="0" w:color="auto"/>
            <w:bottom w:val="none" w:sz="0" w:space="0" w:color="auto"/>
            <w:right w:val="none" w:sz="0" w:space="0" w:color="auto"/>
          </w:divBdr>
        </w:div>
        <w:div w:id="1110660069">
          <w:marLeft w:val="0"/>
          <w:marRight w:val="0"/>
          <w:marTop w:val="0"/>
          <w:marBottom w:val="0"/>
          <w:divBdr>
            <w:top w:val="none" w:sz="0" w:space="0" w:color="auto"/>
            <w:left w:val="none" w:sz="0" w:space="0" w:color="auto"/>
            <w:bottom w:val="none" w:sz="0" w:space="0" w:color="auto"/>
            <w:right w:val="none" w:sz="0" w:space="0" w:color="auto"/>
          </w:divBdr>
        </w:div>
        <w:div w:id="1354191365">
          <w:marLeft w:val="0"/>
          <w:marRight w:val="0"/>
          <w:marTop w:val="0"/>
          <w:marBottom w:val="0"/>
          <w:divBdr>
            <w:top w:val="none" w:sz="0" w:space="0" w:color="auto"/>
            <w:left w:val="none" w:sz="0" w:space="0" w:color="auto"/>
            <w:bottom w:val="none" w:sz="0" w:space="0" w:color="auto"/>
            <w:right w:val="none" w:sz="0" w:space="0" w:color="auto"/>
          </w:divBdr>
        </w:div>
        <w:div w:id="1507398119">
          <w:marLeft w:val="0"/>
          <w:marRight w:val="0"/>
          <w:marTop w:val="0"/>
          <w:marBottom w:val="0"/>
          <w:divBdr>
            <w:top w:val="none" w:sz="0" w:space="0" w:color="auto"/>
            <w:left w:val="none" w:sz="0" w:space="0" w:color="auto"/>
            <w:bottom w:val="none" w:sz="0" w:space="0" w:color="auto"/>
            <w:right w:val="none" w:sz="0" w:space="0" w:color="auto"/>
          </w:divBdr>
        </w:div>
        <w:div w:id="1772899155">
          <w:marLeft w:val="0"/>
          <w:marRight w:val="0"/>
          <w:marTop w:val="0"/>
          <w:marBottom w:val="0"/>
          <w:divBdr>
            <w:top w:val="none" w:sz="0" w:space="0" w:color="auto"/>
            <w:left w:val="none" w:sz="0" w:space="0" w:color="auto"/>
            <w:bottom w:val="none" w:sz="0" w:space="0" w:color="auto"/>
            <w:right w:val="none" w:sz="0" w:space="0" w:color="auto"/>
          </w:divBdr>
        </w:div>
        <w:div w:id="1835336854">
          <w:marLeft w:val="0"/>
          <w:marRight w:val="0"/>
          <w:marTop w:val="0"/>
          <w:marBottom w:val="0"/>
          <w:divBdr>
            <w:top w:val="none" w:sz="0" w:space="0" w:color="auto"/>
            <w:left w:val="none" w:sz="0" w:space="0" w:color="auto"/>
            <w:bottom w:val="none" w:sz="0" w:space="0" w:color="auto"/>
            <w:right w:val="none" w:sz="0" w:space="0" w:color="auto"/>
          </w:divBdr>
        </w:div>
        <w:div w:id="1836918735">
          <w:marLeft w:val="0"/>
          <w:marRight w:val="0"/>
          <w:marTop w:val="0"/>
          <w:marBottom w:val="0"/>
          <w:divBdr>
            <w:top w:val="none" w:sz="0" w:space="0" w:color="auto"/>
            <w:left w:val="none" w:sz="0" w:space="0" w:color="auto"/>
            <w:bottom w:val="none" w:sz="0" w:space="0" w:color="auto"/>
            <w:right w:val="none" w:sz="0" w:space="0" w:color="auto"/>
          </w:divBdr>
        </w:div>
        <w:div w:id="2019041949">
          <w:marLeft w:val="0"/>
          <w:marRight w:val="0"/>
          <w:marTop w:val="0"/>
          <w:marBottom w:val="0"/>
          <w:divBdr>
            <w:top w:val="none" w:sz="0" w:space="0" w:color="auto"/>
            <w:left w:val="none" w:sz="0" w:space="0" w:color="auto"/>
            <w:bottom w:val="none" w:sz="0" w:space="0" w:color="auto"/>
            <w:right w:val="none" w:sz="0" w:space="0" w:color="auto"/>
          </w:divBdr>
        </w:div>
      </w:divsChild>
    </w:div>
    <w:div w:id="2121336683">
      <w:bodyDiv w:val="1"/>
      <w:marLeft w:val="0"/>
      <w:marRight w:val="0"/>
      <w:marTop w:val="0"/>
      <w:marBottom w:val="0"/>
      <w:divBdr>
        <w:top w:val="none" w:sz="0" w:space="0" w:color="auto"/>
        <w:left w:val="none" w:sz="0" w:space="0" w:color="auto"/>
        <w:bottom w:val="none" w:sz="0" w:space="0" w:color="auto"/>
        <w:right w:val="none" w:sz="0" w:space="0" w:color="auto"/>
      </w:divBdr>
    </w:div>
    <w:div w:id="2121562477">
      <w:bodyDiv w:val="1"/>
      <w:marLeft w:val="0"/>
      <w:marRight w:val="0"/>
      <w:marTop w:val="0"/>
      <w:marBottom w:val="0"/>
      <w:divBdr>
        <w:top w:val="none" w:sz="0" w:space="0" w:color="auto"/>
        <w:left w:val="none" w:sz="0" w:space="0" w:color="auto"/>
        <w:bottom w:val="none" w:sz="0" w:space="0" w:color="auto"/>
        <w:right w:val="none" w:sz="0" w:space="0" w:color="auto"/>
      </w:divBdr>
    </w:div>
    <w:div w:id="2121803115">
      <w:bodyDiv w:val="1"/>
      <w:marLeft w:val="0"/>
      <w:marRight w:val="0"/>
      <w:marTop w:val="0"/>
      <w:marBottom w:val="0"/>
      <w:divBdr>
        <w:top w:val="none" w:sz="0" w:space="0" w:color="auto"/>
        <w:left w:val="none" w:sz="0" w:space="0" w:color="auto"/>
        <w:bottom w:val="none" w:sz="0" w:space="0" w:color="auto"/>
        <w:right w:val="none" w:sz="0" w:space="0" w:color="auto"/>
      </w:divBdr>
    </w:div>
    <w:div w:id="2122066966">
      <w:bodyDiv w:val="1"/>
      <w:marLeft w:val="0"/>
      <w:marRight w:val="0"/>
      <w:marTop w:val="0"/>
      <w:marBottom w:val="0"/>
      <w:divBdr>
        <w:top w:val="none" w:sz="0" w:space="0" w:color="auto"/>
        <w:left w:val="none" w:sz="0" w:space="0" w:color="auto"/>
        <w:bottom w:val="none" w:sz="0" w:space="0" w:color="auto"/>
        <w:right w:val="none" w:sz="0" w:space="0" w:color="auto"/>
      </w:divBdr>
    </w:div>
    <w:div w:id="2122918004">
      <w:bodyDiv w:val="1"/>
      <w:marLeft w:val="0"/>
      <w:marRight w:val="0"/>
      <w:marTop w:val="0"/>
      <w:marBottom w:val="0"/>
      <w:divBdr>
        <w:top w:val="none" w:sz="0" w:space="0" w:color="auto"/>
        <w:left w:val="none" w:sz="0" w:space="0" w:color="auto"/>
        <w:bottom w:val="none" w:sz="0" w:space="0" w:color="auto"/>
        <w:right w:val="none" w:sz="0" w:space="0" w:color="auto"/>
      </w:divBdr>
    </w:div>
    <w:div w:id="2123066019">
      <w:bodyDiv w:val="1"/>
      <w:marLeft w:val="0"/>
      <w:marRight w:val="0"/>
      <w:marTop w:val="0"/>
      <w:marBottom w:val="0"/>
      <w:divBdr>
        <w:top w:val="none" w:sz="0" w:space="0" w:color="auto"/>
        <w:left w:val="none" w:sz="0" w:space="0" w:color="auto"/>
        <w:bottom w:val="none" w:sz="0" w:space="0" w:color="auto"/>
        <w:right w:val="none" w:sz="0" w:space="0" w:color="auto"/>
      </w:divBdr>
    </w:div>
    <w:div w:id="2124037820">
      <w:bodyDiv w:val="1"/>
      <w:marLeft w:val="0"/>
      <w:marRight w:val="0"/>
      <w:marTop w:val="0"/>
      <w:marBottom w:val="0"/>
      <w:divBdr>
        <w:top w:val="none" w:sz="0" w:space="0" w:color="auto"/>
        <w:left w:val="none" w:sz="0" w:space="0" w:color="auto"/>
        <w:bottom w:val="none" w:sz="0" w:space="0" w:color="auto"/>
        <w:right w:val="none" w:sz="0" w:space="0" w:color="auto"/>
      </w:divBdr>
    </w:div>
    <w:div w:id="2124643918">
      <w:bodyDiv w:val="1"/>
      <w:marLeft w:val="0"/>
      <w:marRight w:val="0"/>
      <w:marTop w:val="0"/>
      <w:marBottom w:val="0"/>
      <w:divBdr>
        <w:top w:val="none" w:sz="0" w:space="0" w:color="auto"/>
        <w:left w:val="none" w:sz="0" w:space="0" w:color="auto"/>
        <w:bottom w:val="none" w:sz="0" w:space="0" w:color="auto"/>
        <w:right w:val="none" w:sz="0" w:space="0" w:color="auto"/>
      </w:divBdr>
    </w:div>
    <w:div w:id="2124686666">
      <w:bodyDiv w:val="1"/>
      <w:marLeft w:val="0"/>
      <w:marRight w:val="0"/>
      <w:marTop w:val="0"/>
      <w:marBottom w:val="0"/>
      <w:divBdr>
        <w:top w:val="none" w:sz="0" w:space="0" w:color="auto"/>
        <w:left w:val="none" w:sz="0" w:space="0" w:color="auto"/>
        <w:bottom w:val="none" w:sz="0" w:space="0" w:color="auto"/>
        <w:right w:val="none" w:sz="0" w:space="0" w:color="auto"/>
      </w:divBdr>
    </w:div>
    <w:div w:id="2124840502">
      <w:bodyDiv w:val="1"/>
      <w:marLeft w:val="0"/>
      <w:marRight w:val="0"/>
      <w:marTop w:val="0"/>
      <w:marBottom w:val="0"/>
      <w:divBdr>
        <w:top w:val="none" w:sz="0" w:space="0" w:color="auto"/>
        <w:left w:val="none" w:sz="0" w:space="0" w:color="auto"/>
        <w:bottom w:val="none" w:sz="0" w:space="0" w:color="auto"/>
        <w:right w:val="none" w:sz="0" w:space="0" w:color="auto"/>
      </w:divBdr>
    </w:div>
    <w:div w:id="2129273414">
      <w:bodyDiv w:val="1"/>
      <w:marLeft w:val="0"/>
      <w:marRight w:val="0"/>
      <w:marTop w:val="0"/>
      <w:marBottom w:val="0"/>
      <w:divBdr>
        <w:top w:val="none" w:sz="0" w:space="0" w:color="auto"/>
        <w:left w:val="none" w:sz="0" w:space="0" w:color="auto"/>
        <w:bottom w:val="none" w:sz="0" w:space="0" w:color="auto"/>
        <w:right w:val="none" w:sz="0" w:space="0" w:color="auto"/>
      </w:divBdr>
    </w:div>
    <w:div w:id="2134862248">
      <w:bodyDiv w:val="1"/>
      <w:marLeft w:val="0"/>
      <w:marRight w:val="0"/>
      <w:marTop w:val="0"/>
      <w:marBottom w:val="0"/>
      <w:divBdr>
        <w:top w:val="none" w:sz="0" w:space="0" w:color="auto"/>
        <w:left w:val="none" w:sz="0" w:space="0" w:color="auto"/>
        <w:bottom w:val="none" w:sz="0" w:space="0" w:color="auto"/>
        <w:right w:val="none" w:sz="0" w:space="0" w:color="auto"/>
      </w:divBdr>
    </w:div>
    <w:div w:id="2137290161">
      <w:bodyDiv w:val="1"/>
      <w:marLeft w:val="0"/>
      <w:marRight w:val="0"/>
      <w:marTop w:val="0"/>
      <w:marBottom w:val="0"/>
      <w:divBdr>
        <w:top w:val="none" w:sz="0" w:space="0" w:color="auto"/>
        <w:left w:val="none" w:sz="0" w:space="0" w:color="auto"/>
        <w:bottom w:val="none" w:sz="0" w:space="0" w:color="auto"/>
        <w:right w:val="none" w:sz="0" w:space="0" w:color="auto"/>
      </w:divBdr>
    </w:div>
    <w:div w:id="2140294305">
      <w:bodyDiv w:val="1"/>
      <w:marLeft w:val="0"/>
      <w:marRight w:val="0"/>
      <w:marTop w:val="0"/>
      <w:marBottom w:val="0"/>
      <w:divBdr>
        <w:top w:val="none" w:sz="0" w:space="0" w:color="auto"/>
        <w:left w:val="none" w:sz="0" w:space="0" w:color="auto"/>
        <w:bottom w:val="none" w:sz="0" w:space="0" w:color="auto"/>
        <w:right w:val="none" w:sz="0" w:space="0" w:color="auto"/>
      </w:divBdr>
    </w:div>
    <w:div w:id="2140298858">
      <w:bodyDiv w:val="1"/>
      <w:marLeft w:val="0"/>
      <w:marRight w:val="0"/>
      <w:marTop w:val="0"/>
      <w:marBottom w:val="0"/>
      <w:divBdr>
        <w:top w:val="none" w:sz="0" w:space="0" w:color="auto"/>
        <w:left w:val="none" w:sz="0" w:space="0" w:color="auto"/>
        <w:bottom w:val="none" w:sz="0" w:space="0" w:color="auto"/>
        <w:right w:val="none" w:sz="0" w:space="0" w:color="auto"/>
      </w:divBdr>
    </w:div>
    <w:div w:id="214187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www.krskstate.ru" TargetMode="External"/><Relationship Id="rId26" Type="http://schemas.openxmlformats.org/officeDocument/2006/relationships/hyperlink" Target="https://www.avito.ru/"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finansist-kras.ru/" TargetMode="External"/><Relationship Id="rId34" Type="http://schemas.openxmlformats.org/officeDocument/2006/relationships/image" Target="media/image8.wmf"/><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ksonline.ru" TargetMode="External"/><Relationship Id="rId25" Type="http://schemas.openxmlformats.org/officeDocument/2006/relationships/hyperlink" Target="http://my-new-home.ru/Analitics/Actual/Cena-kvartir.php" TargetMode="External"/><Relationship Id="rId33" Type="http://schemas.openxmlformats.org/officeDocument/2006/relationships/hyperlink" Target="https://www.avito.ru/" TargetMode="External"/><Relationship Id="rId38" Type="http://schemas.openxmlformats.org/officeDocument/2006/relationships/hyperlink" Target="http://kp-chel.ru/" TargetMode="External"/><Relationship Id="rId2" Type="http://schemas.openxmlformats.org/officeDocument/2006/relationships/numbering" Target="numbering.xml"/><Relationship Id="rId16" Type="http://schemas.openxmlformats.org/officeDocument/2006/relationships/hyperlink" Target="http://www.econ.krskstate.ru" TargetMode="External"/><Relationship Id="rId20" Type="http://schemas.openxmlformats.org/officeDocument/2006/relationships/hyperlink" Target="http://smb.gov.ru/" TargetMode="External"/><Relationship Id="rId29" Type="http://schemas.openxmlformats.org/officeDocument/2006/relationships/hyperlink" Target="https://www.avito.ru/"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7.jpeg"/><Relationship Id="rId32" Type="http://schemas.openxmlformats.org/officeDocument/2006/relationships/hyperlink" Target="https://www.avito.ru/" TargetMode="External"/><Relationship Id="rId37" Type="http://schemas.openxmlformats.org/officeDocument/2006/relationships/oleObject" Target="embeddings/oleObject2.bin"/><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economy.gov.ru" TargetMode="External"/><Relationship Id="rId23" Type="http://schemas.openxmlformats.org/officeDocument/2006/relationships/image" Target="media/image6.jpeg"/><Relationship Id="rId28" Type="http://schemas.openxmlformats.org/officeDocument/2006/relationships/hyperlink" Target="https://www.avito.ru/" TargetMode="External"/><Relationship Id="rId36" Type="http://schemas.openxmlformats.org/officeDocument/2006/relationships/image" Target="media/image9.wmf"/><Relationship Id="rId10" Type="http://schemas.openxmlformats.org/officeDocument/2006/relationships/image" Target="media/image2.tmp"/><Relationship Id="rId19" Type="http://schemas.openxmlformats.org/officeDocument/2006/relationships/hyperlink" Target="http://www.izvestia.ru" TargetMode="External"/><Relationship Id="rId31" Type="http://schemas.openxmlformats.org/officeDocument/2006/relationships/hyperlink" Target="https://www.avito.ru/"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politrussia.com" TargetMode="External"/><Relationship Id="rId22" Type="http://schemas.openxmlformats.org/officeDocument/2006/relationships/hyperlink" Target="http://rusrand.ru/" TargetMode="External"/><Relationship Id="rId27" Type="http://schemas.openxmlformats.org/officeDocument/2006/relationships/hyperlink" Target="http://kn.gilcom.ru/" TargetMode="External"/><Relationship Id="rId30" Type="http://schemas.openxmlformats.org/officeDocument/2006/relationships/hyperlink" Target="https://www.avito.ru/" TargetMode="External"/><Relationship Id="rId35" Type="http://schemas.openxmlformats.org/officeDocument/2006/relationships/oleObject" Target="embeddings/oleObject1.bin"/><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valnet.ru/m7-124.phtml" TargetMode="External"/><Relationship Id="rId3" Type="http://schemas.openxmlformats.org/officeDocument/2006/relationships/hyperlink" Target="http://www.admkrsk.ru/" TargetMode="External"/><Relationship Id="rId7" Type="http://schemas.openxmlformats.org/officeDocument/2006/relationships/hyperlink" Target="http://files.stroyinf.ru/Data1/1/1877/" TargetMode="External"/><Relationship Id="rId2" Type="http://schemas.openxmlformats.org/officeDocument/2006/relationships/hyperlink" Target="http://ru.wikipedia.org" TargetMode="External"/><Relationship Id="rId1" Type="http://schemas.openxmlformats.org/officeDocument/2006/relationships/hyperlink" Target="http://maps.google.com" TargetMode="External"/><Relationship Id="rId6" Type="http://schemas.openxmlformats.org/officeDocument/2006/relationships/hyperlink" Target="https://r.mail.yandex.net/url/4VqKIKMs36ueH-8sgECEpw,1364989832/elibrary.ru%2Fauthor%5Fitems%2Easp%3Fauthorid%3D289221" TargetMode="External"/><Relationship Id="rId5" Type="http://schemas.openxmlformats.org/officeDocument/2006/relationships/hyperlink" Target="http://www.ridasib.com/" TargetMode="External"/><Relationship Id="rId4" Type="http://schemas.openxmlformats.org/officeDocument/2006/relationships/hyperlink" Target="http://www.krasstat.gks.ru/default.asp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9456F-7803-4990-863D-C9EA068F1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61</Pages>
  <Words>26286</Words>
  <Characters>149834</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АОС Золотое правило</vt:lpstr>
    </vt:vector>
  </TitlesOfParts>
  <Company/>
  <LinksUpToDate>false</LinksUpToDate>
  <CharactersWithSpaces>175769</CharactersWithSpaces>
  <SharedDoc>false</SharedDoc>
  <HLinks>
    <vt:vector size="246" baseType="variant">
      <vt:variant>
        <vt:i4>1769565</vt:i4>
      </vt:variant>
      <vt:variant>
        <vt:i4>261</vt:i4>
      </vt:variant>
      <vt:variant>
        <vt:i4>0</vt:i4>
      </vt:variant>
      <vt:variant>
        <vt:i4>5</vt:i4>
      </vt:variant>
      <vt:variant>
        <vt:lpwstr>http://www.agrosap.ru/b/?id=2147</vt:lpwstr>
      </vt:variant>
      <vt:variant>
        <vt:lpwstr/>
      </vt:variant>
      <vt:variant>
        <vt:i4>5242895</vt:i4>
      </vt:variant>
      <vt:variant>
        <vt:i4>258</vt:i4>
      </vt:variant>
      <vt:variant>
        <vt:i4>0</vt:i4>
      </vt:variant>
      <vt:variant>
        <vt:i4>5</vt:i4>
      </vt:variant>
      <vt:variant>
        <vt:lpwstr>http://www.irr.ru/cars/passenger/used/showAdvert,68820350,746,1.html</vt:lpwstr>
      </vt:variant>
      <vt:variant>
        <vt:lpwstr/>
      </vt:variant>
      <vt:variant>
        <vt:i4>5439489</vt:i4>
      </vt:variant>
      <vt:variant>
        <vt:i4>255</vt:i4>
      </vt:variant>
      <vt:variant>
        <vt:i4>0</vt:i4>
      </vt:variant>
      <vt:variant>
        <vt:i4>5</vt:i4>
      </vt:variant>
      <vt:variant>
        <vt:lpwstr>http://www.irr.ru/cars/passenger/used/showAdvert,67711889,746,1.html</vt:lpwstr>
      </vt:variant>
      <vt:variant>
        <vt:lpwstr/>
      </vt:variant>
      <vt:variant>
        <vt:i4>524304</vt:i4>
      </vt:variant>
      <vt:variant>
        <vt:i4>201</vt:i4>
      </vt:variant>
      <vt:variant>
        <vt:i4>0</vt:i4>
      </vt:variant>
      <vt:variant>
        <vt:i4>5</vt:i4>
      </vt:variant>
      <vt:variant>
        <vt:lpwstr>http://www.lj.ivanovo.ru/users/melnikov/27437.html</vt:lpwstr>
      </vt:variant>
      <vt:variant>
        <vt:lpwstr>cutid1</vt:lpwstr>
      </vt:variant>
      <vt:variant>
        <vt:i4>917525</vt:i4>
      </vt:variant>
      <vt:variant>
        <vt:i4>198</vt:i4>
      </vt:variant>
      <vt:variant>
        <vt:i4>0</vt:i4>
      </vt:variant>
      <vt:variant>
        <vt:i4>5</vt:i4>
      </vt:variant>
      <vt:variant>
        <vt:lpwstr>http://www.lj.ivanovo.ru/users/melnikov/25771.html</vt:lpwstr>
      </vt:variant>
      <vt:variant>
        <vt:lpwstr>cutid1</vt:lpwstr>
      </vt:variant>
      <vt:variant>
        <vt:i4>2228318</vt:i4>
      </vt:variant>
      <vt:variant>
        <vt:i4>195</vt:i4>
      </vt:variant>
      <vt:variant>
        <vt:i4>0</vt:i4>
      </vt:variant>
      <vt:variant>
        <vt:i4>5</vt:i4>
      </vt:variant>
      <vt:variant>
        <vt:lpwstr>http://ru.wikipedia.org/wiki/%D0%94%D0%B8%D1%84%D1%84%D0%B5%D1%80%D0%B5%D0%BD%D1%86%D0%B8%D0%B0%D0%BB_%28%D0%B0%D0%B2%D1%82%D0%BE%D0%BC%D0%BE%D0%B1%D0%B8%D0%BB%D1%8C%29</vt:lpwstr>
      </vt:variant>
      <vt:variant>
        <vt:lpwstr/>
      </vt:variant>
      <vt:variant>
        <vt:i4>7274569</vt:i4>
      </vt:variant>
      <vt:variant>
        <vt:i4>192</vt:i4>
      </vt:variant>
      <vt:variant>
        <vt:i4>0</vt:i4>
      </vt:variant>
      <vt:variant>
        <vt:i4>5</vt:i4>
      </vt:variant>
      <vt:variant>
        <vt:lpwstr>http://www.labrate.ru/laws/20070724_fz-220_izmenen_fz-135.htm</vt:lpwstr>
      </vt:variant>
      <vt:variant>
        <vt:lpwstr/>
      </vt:variant>
      <vt:variant>
        <vt:i4>6684750</vt:i4>
      </vt:variant>
      <vt:variant>
        <vt:i4>189</vt:i4>
      </vt:variant>
      <vt:variant>
        <vt:i4>0</vt:i4>
      </vt:variant>
      <vt:variant>
        <vt:i4>5</vt:i4>
      </vt:variant>
      <vt:variant>
        <vt:lpwstr>http://www.labrate.ru/laws/20070713_fz-129_izmenen_fz-135.htm</vt:lpwstr>
      </vt:variant>
      <vt:variant>
        <vt:lpwstr/>
      </vt:variant>
      <vt:variant>
        <vt:i4>4456464</vt:i4>
      </vt:variant>
      <vt:variant>
        <vt:i4>186</vt:i4>
      </vt:variant>
      <vt:variant>
        <vt:i4>0</vt:i4>
      </vt:variant>
      <vt:variant>
        <vt:i4>5</vt:i4>
      </vt:variant>
      <vt:variant>
        <vt:lpwstr>http://www.labrate.ru/laws/20070205_fz-13_property_managment_minatom.htm</vt:lpwstr>
      </vt:variant>
      <vt:variant>
        <vt:lpwstr/>
      </vt:variant>
      <vt:variant>
        <vt:i4>7012428</vt:i4>
      </vt:variant>
      <vt:variant>
        <vt:i4>183</vt:i4>
      </vt:variant>
      <vt:variant>
        <vt:i4>0</vt:i4>
      </vt:variant>
      <vt:variant>
        <vt:i4>5</vt:i4>
      </vt:variant>
      <vt:variant>
        <vt:lpwstr>http://www.labrate.ru/laws/20060727_fz-157_izmenen_fz-135.htm</vt:lpwstr>
      </vt:variant>
      <vt:variant>
        <vt:lpwstr/>
      </vt:variant>
      <vt:variant>
        <vt:i4>4915325</vt:i4>
      </vt:variant>
      <vt:variant>
        <vt:i4>180</vt:i4>
      </vt:variant>
      <vt:variant>
        <vt:i4>0</vt:i4>
      </vt:variant>
      <vt:variant>
        <vt:i4>5</vt:i4>
      </vt:variant>
      <vt:variant>
        <vt:lpwstr>http://www.labrate.ru/laws/20060103_fz-007.htm</vt:lpwstr>
      </vt:variant>
      <vt:variant>
        <vt:lpwstr/>
      </vt:variant>
      <vt:variant>
        <vt:i4>7143500</vt:i4>
      </vt:variant>
      <vt:variant>
        <vt:i4>177</vt:i4>
      </vt:variant>
      <vt:variant>
        <vt:i4>0</vt:i4>
      </vt:variant>
      <vt:variant>
        <vt:i4>5</vt:i4>
      </vt:variant>
      <vt:variant>
        <vt:lpwstr>http://www.labrate.ru/laws/20021114_fz-143_izmenen_fz-135.htm</vt:lpwstr>
      </vt:variant>
      <vt:variant>
        <vt:lpwstr/>
      </vt:variant>
      <vt:variant>
        <vt:i4>1769522</vt:i4>
      </vt:variant>
      <vt:variant>
        <vt:i4>170</vt:i4>
      </vt:variant>
      <vt:variant>
        <vt:i4>0</vt:i4>
      </vt:variant>
      <vt:variant>
        <vt:i4>5</vt:i4>
      </vt:variant>
      <vt:variant>
        <vt:lpwstr/>
      </vt:variant>
      <vt:variant>
        <vt:lpwstr>_Toc200194991</vt:lpwstr>
      </vt:variant>
      <vt:variant>
        <vt:i4>1769522</vt:i4>
      </vt:variant>
      <vt:variant>
        <vt:i4>164</vt:i4>
      </vt:variant>
      <vt:variant>
        <vt:i4>0</vt:i4>
      </vt:variant>
      <vt:variant>
        <vt:i4>5</vt:i4>
      </vt:variant>
      <vt:variant>
        <vt:lpwstr/>
      </vt:variant>
      <vt:variant>
        <vt:lpwstr>_Toc200194990</vt:lpwstr>
      </vt:variant>
      <vt:variant>
        <vt:i4>1703986</vt:i4>
      </vt:variant>
      <vt:variant>
        <vt:i4>158</vt:i4>
      </vt:variant>
      <vt:variant>
        <vt:i4>0</vt:i4>
      </vt:variant>
      <vt:variant>
        <vt:i4>5</vt:i4>
      </vt:variant>
      <vt:variant>
        <vt:lpwstr/>
      </vt:variant>
      <vt:variant>
        <vt:lpwstr>_Toc200194987</vt:lpwstr>
      </vt:variant>
      <vt:variant>
        <vt:i4>1703986</vt:i4>
      </vt:variant>
      <vt:variant>
        <vt:i4>152</vt:i4>
      </vt:variant>
      <vt:variant>
        <vt:i4>0</vt:i4>
      </vt:variant>
      <vt:variant>
        <vt:i4>5</vt:i4>
      </vt:variant>
      <vt:variant>
        <vt:lpwstr/>
      </vt:variant>
      <vt:variant>
        <vt:lpwstr>_Toc200194985</vt:lpwstr>
      </vt:variant>
      <vt:variant>
        <vt:i4>1703986</vt:i4>
      </vt:variant>
      <vt:variant>
        <vt:i4>146</vt:i4>
      </vt:variant>
      <vt:variant>
        <vt:i4>0</vt:i4>
      </vt:variant>
      <vt:variant>
        <vt:i4>5</vt:i4>
      </vt:variant>
      <vt:variant>
        <vt:lpwstr/>
      </vt:variant>
      <vt:variant>
        <vt:lpwstr>_Toc200194984</vt:lpwstr>
      </vt:variant>
      <vt:variant>
        <vt:i4>1703986</vt:i4>
      </vt:variant>
      <vt:variant>
        <vt:i4>140</vt:i4>
      </vt:variant>
      <vt:variant>
        <vt:i4>0</vt:i4>
      </vt:variant>
      <vt:variant>
        <vt:i4>5</vt:i4>
      </vt:variant>
      <vt:variant>
        <vt:lpwstr/>
      </vt:variant>
      <vt:variant>
        <vt:lpwstr>_Toc200194983</vt:lpwstr>
      </vt:variant>
      <vt:variant>
        <vt:i4>1703986</vt:i4>
      </vt:variant>
      <vt:variant>
        <vt:i4>134</vt:i4>
      </vt:variant>
      <vt:variant>
        <vt:i4>0</vt:i4>
      </vt:variant>
      <vt:variant>
        <vt:i4>5</vt:i4>
      </vt:variant>
      <vt:variant>
        <vt:lpwstr/>
      </vt:variant>
      <vt:variant>
        <vt:lpwstr>_Toc200194982</vt:lpwstr>
      </vt:variant>
      <vt:variant>
        <vt:i4>1703986</vt:i4>
      </vt:variant>
      <vt:variant>
        <vt:i4>128</vt:i4>
      </vt:variant>
      <vt:variant>
        <vt:i4>0</vt:i4>
      </vt:variant>
      <vt:variant>
        <vt:i4>5</vt:i4>
      </vt:variant>
      <vt:variant>
        <vt:lpwstr/>
      </vt:variant>
      <vt:variant>
        <vt:lpwstr>_Toc200194981</vt:lpwstr>
      </vt:variant>
      <vt:variant>
        <vt:i4>1703986</vt:i4>
      </vt:variant>
      <vt:variant>
        <vt:i4>122</vt:i4>
      </vt:variant>
      <vt:variant>
        <vt:i4>0</vt:i4>
      </vt:variant>
      <vt:variant>
        <vt:i4>5</vt:i4>
      </vt:variant>
      <vt:variant>
        <vt:lpwstr/>
      </vt:variant>
      <vt:variant>
        <vt:lpwstr>_Toc200194980</vt:lpwstr>
      </vt:variant>
      <vt:variant>
        <vt:i4>1376306</vt:i4>
      </vt:variant>
      <vt:variant>
        <vt:i4>116</vt:i4>
      </vt:variant>
      <vt:variant>
        <vt:i4>0</vt:i4>
      </vt:variant>
      <vt:variant>
        <vt:i4>5</vt:i4>
      </vt:variant>
      <vt:variant>
        <vt:lpwstr/>
      </vt:variant>
      <vt:variant>
        <vt:lpwstr>_Toc200194977</vt:lpwstr>
      </vt:variant>
      <vt:variant>
        <vt:i4>1310770</vt:i4>
      </vt:variant>
      <vt:variant>
        <vt:i4>110</vt:i4>
      </vt:variant>
      <vt:variant>
        <vt:i4>0</vt:i4>
      </vt:variant>
      <vt:variant>
        <vt:i4>5</vt:i4>
      </vt:variant>
      <vt:variant>
        <vt:lpwstr/>
      </vt:variant>
      <vt:variant>
        <vt:lpwstr>_Toc200194967</vt:lpwstr>
      </vt:variant>
      <vt:variant>
        <vt:i4>1310770</vt:i4>
      </vt:variant>
      <vt:variant>
        <vt:i4>104</vt:i4>
      </vt:variant>
      <vt:variant>
        <vt:i4>0</vt:i4>
      </vt:variant>
      <vt:variant>
        <vt:i4>5</vt:i4>
      </vt:variant>
      <vt:variant>
        <vt:lpwstr/>
      </vt:variant>
      <vt:variant>
        <vt:lpwstr>_Toc200194966</vt:lpwstr>
      </vt:variant>
      <vt:variant>
        <vt:i4>1310770</vt:i4>
      </vt:variant>
      <vt:variant>
        <vt:i4>98</vt:i4>
      </vt:variant>
      <vt:variant>
        <vt:i4>0</vt:i4>
      </vt:variant>
      <vt:variant>
        <vt:i4>5</vt:i4>
      </vt:variant>
      <vt:variant>
        <vt:lpwstr/>
      </vt:variant>
      <vt:variant>
        <vt:lpwstr>_Toc200194965</vt:lpwstr>
      </vt:variant>
      <vt:variant>
        <vt:i4>1310770</vt:i4>
      </vt:variant>
      <vt:variant>
        <vt:i4>92</vt:i4>
      </vt:variant>
      <vt:variant>
        <vt:i4>0</vt:i4>
      </vt:variant>
      <vt:variant>
        <vt:i4>5</vt:i4>
      </vt:variant>
      <vt:variant>
        <vt:lpwstr/>
      </vt:variant>
      <vt:variant>
        <vt:lpwstr>_Toc200194964</vt:lpwstr>
      </vt:variant>
      <vt:variant>
        <vt:i4>1310770</vt:i4>
      </vt:variant>
      <vt:variant>
        <vt:i4>86</vt:i4>
      </vt:variant>
      <vt:variant>
        <vt:i4>0</vt:i4>
      </vt:variant>
      <vt:variant>
        <vt:i4>5</vt:i4>
      </vt:variant>
      <vt:variant>
        <vt:lpwstr/>
      </vt:variant>
      <vt:variant>
        <vt:lpwstr>_Toc200194961</vt:lpwstr>
      </vt:variant>
      <vt:variant>
        <vt:i4>1507378</vt:i4>
      </vt:variant>
      <vt:variant>
        <vt:i4>80</vt:i4>
      </vt:variant>
      <vt:variant>
        <vt:i4>0</vt:i4>
      </vt:variant>
      <vt:variant>
        <vt:i4>5</vt:i4>
      </vt:variant>
      <vt:variant>
        <vt:lpwstr/>
      </vt:variant>
      <vt:variant>
        <vt:lpwstr>_Toc200194958</vt:lpwstr>
      </vt:variant>
      <vt:variant>
        <vt:i4>1507378</vt:i4>
      </vt:variant>
      <vt:variant>
        <vt:i4>74</vt:i4>
      </vt:variant>
      <vt:variant>
        <vt:i4>0</vt:i4>
      </vt:variant>
      <vt:variant>
        <vt:i4>5</vt:i4>
      </vt:variant>
      <vt:variant>
        <vt:lpwstr/>
      </vt:variant>
      <vt:variant>
        <vt:lpwstr>_Toc200194953</vt:lpwstr>
      </vt:variant>
      <vt:variant>
        <vt:i4>1507378</vt:i4>
      </vt:variant>
      <vt:variant>
        <vt:i4>68</vt:i4>
      </vt:variant>
      <vt:variant>
        <vt:i4>0</vt:i4>
      </vt:variant>
      <vt:variant>
        <vt:i4>5</vt:i4>
      </vt:variant>
      <vt:variant>
        <vt:lpwstr/>
      </vt:variant>
      <vt:variant>
        <vt:lpwstr>_Toc200194952</vt:lpwstr>
      </vt:variant>
      <vt:variant>
        <vt:i4>1507378</vt:i4>
      </vt:variant>
      <vt:variant>
        <vt:i4>62</vt:i4>
      </vt:variant>
      <vt:variant>
        <vt:i4>0</vt:i4>
      </vt:variant>
      <vt:variant>
        <vt:i4>5</vt:i4>
      </vt:variant>
      <vt:variant>
        <vt:lpwstr/>
      </vt:variant>
      <vt:variant>
        <vt:lpwstr>_Toc200194951</vt:lpwstr>
      </vt:variant>
      <vt:variant>
        <vt:i4>1507378</vt:i4>
      </vt:variant>
      <vt:variant>
        <vt:i4>56</vt:i4>
      </vt:variant>
      <vt:variant>
        <vt:i4>0</vt:i4>
      </vt:variant>
      <vt:variant>
        <vt:i4>5</vt:i4>
      </vt:variant>
      <vt:variant>
        <vt:lpwstr/>
      </vt:variant>
      <vt:variant>
        <vt:lpwstr>_Toc200194950</vt:lpwstr>
      </vt:variant>
      <vt:variant>
        <vt:i4>1441842</vt:i4>
      </vt:variant>
      <vt:variant>
        <vt:i4>50</vt:i4>
      </vt:variant>
      <vt:variant>
        <vt:i4>0</vt:i4>
      </vt:variant>
      <vt:variant>
        <vt:i4>5</vt:i4>
      </vt:variant>
      <vt:variant>
        <vt:lpwstr/>
      </vt:variant>
      <vt:variant>
        <vt:lpwstr>_Toc200194949</vt:lpwstr>
      </vt:variant>
      <vt:variant>
        <vt:i4>1441842</vt:i4>
      </vt:variant>
      <vt:variant>
        <vt:i4>44</vt:i4>
      </vt:variant>
      <vt:variant>
        <vt:i4>0</vt:i4>
      </vt:variant>
      <vt:variant>
        <vt:i4>5</vt:i4>
      </vt:variant>
      <vt:variant>
        <vt:lpwstr/>
      </vt:variant>
      <vt:variant>
        <vt:lpwstr>_Toc200194948</vt:lpwstr>
      </vt:variant>
      <vt:variant>
        <vt:i4>1441842</vt:i4>
      </vt:variant>
      <vt:variant>
        <vt:i4>38</vt:i4>
      </vt:variant>
      <vt:variant>
        <vt:i4>0</vt:i4>
      </vt:variant>
      <vt:variant>
        <vt:i4>5</vt:i4>
      </vt:variant>
      <vt:variant>
        <vt:lpwstr/>
      </vt:variant>
      <vt:variant>
        <vt:lpwstr>_Toc200194947</vt:lpwstr>
      </vt:variant>
      <vt:variant>
        <vt:i4>1441842</vt:i4>
      </vt:variant>
      <vt:variant>
        <vt:i4>32</vt:i4>
      </vt:variant>
      <vt:variant>
        <vt:i4>0</vt:i4>
      </vt:variant>
      <vt:variant>
        <vt:i4>5</vt:i4>
      </vt:variant>
      <vt:variant>
        <vt:lpwstr/>
      </vt:variant>
      <vt:variant>
        <vt:lpwstr>_Toc200194946</vt:lpwstr>
      </vt:variant>
      <vt:variant>
        <vt:i4>1441842</vt:i4>
      </vt:variant>
      <vt:variant>
        <vt:i4>26</vt:i4>
      </vt:variant>
      <vt:variant>
        <vt:i4>0</vt:i4>
      </vt:variant>
      <vt:variant>
        <vt:i4>5</vt:i4>
      </vt:variant>
      <vt:variant>
        <vt:lpwstr/>
      </vt:variant>
      <vt:variant>
        <vt:lpwstr>_Toc200194945</vt:lpwstr>
      </vt:variant>
      <vt:variant>
        <vt:i4>1441842</vt:i4>
      </vt:variant>
      <vt:variant>
        <vt:i4>20</vt:i4>
      </vt:variant>
      <vt:variant>
        <vt:i4>0</vt:i4>
      </vt:variant>
      <vt:variant>
        <vt:i4>5</vt:i4>
      </vt:variant>
      <vt:variant>
        <vt:lpwstr/>
      </vt:variant>
      <vt:variant>
        <vt:lpwstr>_Toc200194942</vt:lpwstr>
      </vt:variant>
      <vt:variant>
        <vt:i4>1114162</vt:i4>
      </vt:variant>
      <vt:variant>
        <vt:i4>14</vt:i4>
      </vt:variant>
      <vt:variant>
        <vt:i4>0</vt:i4>
      </vt:variant>
      <vt:variant>
        <vt:i4>5</vt:i4>
      </vt:variant>
      <vt:variant>
        <vt:lpwstr/>
      </vt:variant>
      <vt:variant>
        <vt:lpwstr>_Toc200194939</vt:lpwstr>
      </vt:variant>
      <vt:variant>
        <vt:i4>1114162</vt:i4>
      </vt:variant>
      <vt:variant>
        <vt:i4>8</vt:i4>
      </vt:variant>
      <vt:variant>
        <vt:i4>0</vt:i4>
      </vt:variant>
      <vt:variant>
        <vt:i4>5</vt:i4>
      </vt:variant>
      <vt:variant>
        <vt:lpwstr/>
      </vt:variant>
      <vt:variant>
        <vt:lpwstr>_Toc200194938</vt:lpwstr>
      </vt:variant>
      <vt:variant>
        <vt:i4>1114162</vt:i4>
      </vt:variant>
      <vt:variant>
        <vt:i4>2</vt:i4>
      </vt:variant>
      <vt:variant>
        <vt:i4>0</vt:i4>
      </vt:variant>
      <vt:variant>
        <vt:i4>5</vt:i4>
      </vt:variant>
      <vt:variant>
        <vt:lpwstr/>
      </vt:variant>
      <vt:variant>
        <vt:lpwstr>_Toc200194937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АОС Золотое правило</dc:title>
  <dc:creator>789725</dc:creator>
  <cp:lastModifiedBy>ACER</cp:lastModifiedBy>
  <cp:revision>8</cp:revision>
  <cp:lastPrinted>2016-05-13T04:40:00Z</cp:lastPrinted>
  <dcterms:created xsi:type="dcterms:W3CDTF">2016-09-08T11:00:00Z</dcterms:created>
  <dcterms:modified xsi:type="dcterms:W3CDTF">2016-09-11T09:04:00Z</dcterms:modified>
</cp:coreProperties>
</file>