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007886/1</w:t>
      </w:r>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КОРТ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7709910588</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(495) 720-47-50</w:t>
            </w:r>
          </w:p>
        </w:tc>
      </w:tr>
      <w:tr>
        <w:trPr/>
        <w:tc>
          <w:tcPr>
            <w:tcW w:w="4000" w:type="dxa"/>
            <w:vAlign w:val="center"/>
          </w:tcPr>
          <w:p>
            <w:pPr>
              <w:pStyle w:val=""/>
            </w:pPr>
            <w:r>
              <w:rPr>
                <w:rStyle w:val=""/>
              </w:rPr>
              <w:t xml:space="preserve">Адрес регистрации:</w:t>
            </w:r>
          </w:p>
        </w:tc>
        <w:tc>
          <w:tcPr>
            <w:tcW w:w="6000" w:type="dxa"/>
            <w:vAlign w:val="center"/>
          </w:tcPr>
          <w:p>
            <w:pPr>
              <w:pStyle w:val=""/>
            </w:pPr>
            <w:r>
              <w:rPr>
                <w:rStyle w:val=""/>
              </w:rPr>
              <w:t xml:space="preserve">105120, г. Москва, Нижняя Сыромятническая ул., д.11, корп. Б, этаж 7, пом. 1, офис 13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Штернбек Александр Эрикович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773512731316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123060, г. Москва, ул. Расплетина, д. 14, кв. 56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 А40-123678/19-38-147 «Ф»</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007886</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23.04.2025 00:01:00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14.05.2025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Жилой дом, находящийся по адресу: обл. Московская, р-н Истринский, с/п Обушковское, д. Аносино, аллея Сосновая, д. 97 (включая все магистрали и подведенные коммуникации, встроенная мебель и техника (в том числе: Зеркало с раковиной, Пылесос (общедомовой) Electrolux Beam, Фильтр водяной BWT Infinity A, Фильтр водный BWT (напольный), Лампа ультрафиолетовая BWT Bewades 80W80/11LC, Кран с электроприводом Neptun Bugatti PRO 2206 6 шт., Бак расширительный холодной воды, Бак накопительный, Котел отопительный Buderus D355573W Wetzlar R4211S344Exp, Стабилизатор напряжения сети SVEN AVR2000 LCO, Стабилизатор напряжения сети PROGRESS, Бак расширительный горячей воды, Прибор учета газа Metrix G10, Кухня (шкафы, комоды, тумбы), Зеркало, раковина (комплект), Раковина (камень), Раковина (камень), Раковина (камень), Радиаторы для кондиционера Mitsubishi Electric PMP-40BHM 3 шт., Система кондиционирования Mitsubishi Electric City Multy 1 шт., Плита варочная 2-х конфорочная, Люстра на цепи 2 шт.)), кадастровый номер 50:11:0000000:44909 площадь 652,10 кв.м., принадлежащий Штернбеку Александру Эриковичу, обременение – Коммерческий банк «Русский универсальный банк» (Общество с ограниченной ответственностью).
2. Земельный участок, находящийся по адресу: Московская обл., Истринский р-н, Обушковское с/п, в 250м от д.Аносино по направлению на запад, участок №48, кадастровый номер 50:08:0050329:457, площадь 1 963 кв.м., принадлежащий Штернбеку Александру Эриковичу, обременение – залог в пользу Коммерческий банк «Русский универсальный банк» (Общество с ограниченной ответственностью).
3. Земельный участок, находящийся по адресу: Московская обл., Истринский р-н, Обушковское с/п, в 250м от д.Аносино по направлению на запад, участок №49; кадастровый номер 50:08:050329:458, площадь 2 044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
4. Жилой дом, находящийся по адресу: Московская обл., Истринский р-н, Обушковское с/п, деревня Аносино, улица Сосновая аллея, 97А (включая все магистрали и подведенные коммуникации, встроенная мебель и техника (Зеркало с раковиной 1шт., Кухонный гарнитур 1 шт., Духовой шкаф Siemens 1 шт., Микроволновая печь Siemens 1 шт., Варочная панель Siemens 1 шт., Блок бесперебойного питания ББП-30 1 шт.,Ретранслятор Picocell 900/1800SXA 1, Пылесос центральный Electrolux BEAM 1 шт., Бак расширительный холодной воды 1 шт., Бак накопительный холодной воды 1 шт., Вентиль-автомат 4 шт., Котел отопительный Buderus Logano G334 2 шт., Бак расширительный, (горячая вода) 2 шт., Счетчик газовый Elster BK-G-16 1 шт., Стабилизатор напряжения ЭНЕРГИЯ PROGRESS 3000SL20 1 шт., Раковина (камень) 1 шт., Кухонный гарнитур 1 шт., Шкафы встроенные (дерево) 4 шт., Кран с электроприводом NEPTUN Bugatti PRO 1 шт., Фильтр BWT обратной очистки 1, Фильтр BWT ультрафиолетовый 1 шт., Баллон 1 шт., Вентилятор Fondis S.A. 1 шт., Шкаф,раковина, зеркало (гарнитур) 1 шт., Люстры, Бра, Раковина с зеркалом (гарнитур) 1 шт., Душ с джакузи Teuco 1 шт., Раковина с зеркалом (гарнитур) 1 шт., Электрокамин Dimplex 1 шт., Гарнитур кухонный 1 шт., Микроволновая печь Siemens 1 шт., Варочная панель Siemens 1 шт., Шкафы деревянные 6 шт., Бак накопительный BUDERUS Logalux SU 1 шт., Бак расширительный холодной воды 1шт., Насос FiberPOOL BC550 1 шт.,Насос FiberPOOL KA250 1 шт., Насос HPE4019 1 шт., Цистерна для воды АНИОН Т2000* 2 шт., Насос FiberPOOL BC550 1 шт., Душевая кабина 1 шт., Гарнитур (раковина, зеркало) 1 шт., Гарнитур кухонный 1 шт., Пылесос центральный Electrolux BEAM 1 шт., Кухонный гарнитур 1 шт., Духовой шкаф Siemens 1 шт., Варочная панель Siemens 1 шт., Душевая кабина 1 шт., Гарнитур туалетный (раковина, шкаф, зеркало) 1 шт., Раковина (камень) 1 шт., Шкаф 1 шт., Бойлер Proterm 1 шт., Пенал 1 шт.)), кадастровый номер 50:11:0000000:44935, площадь 655,80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
5. Жилой дом (спа комплекс), находящийся по адресу: Московская обл., городской округ Истра, деревня Аносино (включая все магистрали и подведенные коммуникации), кадастровый номер 50:08:0050329:1733, площадь 629,1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
6. Беседка «Ракушка» площадь 24 кв.м., расположена на участке по адресу: Сосновая аллея, д. 97.; Летняя кухня, площадь 42 кв.м., расположена на территории участков по адресу: Сосновая аллея, д. 97, 97А.; Навес для автомобиля с хоз. блоком (включая установленное оборудование – резервуар для диз. топлива, лебедка, система кондиционирования, в том числе Радиатор кондиционера Haier 1 шт., Питающая линия Digital Energy UPS System 2 шт., Электрощитки 5шт. Аккумуляторные батареи DYNASTY 3 шт., Дизель генератор Perkins 2332/1800 Engine type YD31565 *v944077w* 1 шт., Сплит система Haier 1 шт) расположен на территории участков по адресу: Сосновая аллея, д. 97, 97А.; Постройка для хранения садового инвентаря. Имущество обременено залогом в пользу Коммерческий банк «Русский универсальный банк» (Общество с ограниченной ответственностью).
7. Нежилое сооружение (теплица), находящееся по адресу: обл. Московская, р-н Истринский, с/п Обушковское, д. Аносино, аллея Сосновая, д. 97; кадастровый номер 50:08:0050329:1031, площадью 23 кв.м.; (имущество является совместной собственностью Штернбека А.Э. и Штернбек Т.И., не обременено залогом). Ограничение прав и обременение объекта недвижимости: Постановление суда о принятии обеспечительных мер, выдан 25.05.2023г. в рамках уголовного дела.
</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90 256 500.00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начала</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окончания</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23.04.2025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18 051 300.00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90 256 500.00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28.04.2025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30.04.2025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16 246 170.00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81 230 850.00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05.05.2025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07.05.2025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14 441 040.00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72 205 200.00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12.05.2025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14.05.2025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12 635 910.00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63 179 550.00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007886-1-1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23:17:01.863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Горбунов Геннадий Владимирович
ИНН: 770305551101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007886-1-2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23:54:55.269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МАЛАХОВА  АННА ИВАНОВНА 
ИНН: 290135345130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007886-1-3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23:58:08.768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Тыщенко Анна Валериевна
ИНН: 245713332760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p/>
    <w:p>
      <w:pPr>
        <w:pStyle w:val=""/>
      </w:pPr>
      <w:r>
        <w:rPr>
          <w:rStyle w:val=""/>
        </w:rPr>
        <w:t xml:space="preserve">Протокол подписан организатором торгов 28.04.2025 17:45:36</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2025-04-28T17:45:36+03:00</dcterms:created>
  <dcterms:modified xsi:type="dcterms:W3CDTF">2025-04-28T17:45:36+03:00</dcterms:modified>
</cp:coreProperties>
</file>

<file path=docProps/custom.xml><?xml version="1.0" encoding="utf-8"?>
<Properties xmlns="http://schemas.openxmlformats.org/officeDocument/2006/custom-properties" xmlns:vt="http://schemas.openxmlformats.org/officeDocument/2006/docPropsVTypes"/>
</file>