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ОБ ОПРЕДЕЛЕНИИ УЧАСТНИКОВ ТОРГОВ № 006653/1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КОРТ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7709910588</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 (495) 720-47-50</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105120, г. Москва, Нижняя Сыромятническая ул., д.11, корп. Б, этаж 7, пом. 1, офис 13</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Коммерческий голландский аукцион</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006653</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28.07.2022 12:00:00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23.08.2022 17:00:00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02.09.2022 12:00:00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Принадлежащие ПАО Сбербанк права (требования) в составе: 
1. Права (требования) Цедента к ООО «ТД «Московский-РВ» (Должник-1), вытекающие из:
- Договора № 7M-1-2WTZC7HA об открытии возобновляемой кредитной линии от 08.12.2020г. (далее – Кредитный договор-1);
- Договора № 7M-1-48H02P9M об овердрафтном кредите от 12.08.2021 (далее – Кредитный договор – 2);
- Генерального соглашения об открытии возобновляемого лимита на проведение операций торгового финансирования с использованием непокрытых аккредитивов №ГС 957720280АСРМ от 04.08.2020г. (далее – Кредитный договор – 3).
1.1. Одновременно с уступкой прав (требований) по Кредитному договору-1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 
•	 Договоры поручительства:
-  7M-1-2WTZC7HA-П1 от 08.12.2020г., заключенный с ООО «Продуктовая поляна»;
-  7M-1-2WTZC7HA-П2 от 08.12.2020г., заключенный с ООО «Винегрет плюс»; 
-  7M-1-2WTZC7HA-П3 от 08.12.2020г., заключенный с ООО «Винегрет»; 
-   7M-1-2WTZC7HA-П4 от 08.12.2020г., заключенный с ООО «АгроКомплекс «МЕТАКА»; 
-   7M-1-2WTZC7HA-П5 от 08.12.2020г., заключенный с ООО «Винегрет 2»;
- 7M-1-2WTZC7HA-П6 от 08.12.2020г., заключенный с Будайхановым Михаилом Вазирхановичем;
- 7M-1-2WTZC7HA-П7 от 08.12.2020г., заключенный с Будайхановым Батырханом Вазирхановичем; 
•	 Договоры залога:
- 7M-1-2WTZC7HA/И1 от 23.03.2021г., заключенный с Будайхановым Батырханом Вазирхановичем; 
- 7M-1-2WTZC7HA/И2 от 23.03.2021г., заключенный с Будайхановым Михаилом Вазирхановичем;
- 7M-1-2WTZC7HA/И3 от 23.03.2021г., заключенный с ООО «АгроКомплекс «МЕТАКА»;
- 957720196/З1 от 11.06.2020г., заключенный с ООО «АгроКомплекс «МЕТАКА»;
- 957718592/З1 от 03.10.2018г., заключенный с ООО «АгроКомплекс «МЕТАКА».
1.2. Одновременно с уступкой прав (требований) по Кредитному договору-2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
•	Договоры поручительства:
- 7M-1-48H02P9M-П1 от 02.09.2021г., заключенный с Будайхановым Батырханом Вазирхановичем;
- 7M-1-48H02P9M-П2 от 02.09.2021г., заключенный с Будайхановым Михаилом Вазирхановичем.
1.3. Одновременно с уступкой прав (требований) по Кредитному договору-3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
•	Договоры поручительства:
- ГС 957720280АСРМП1 от 04.08.2020г., заключенный с Будайхановым Батырханом Вазирхановичем;
- ГС957720280АСРМП2 от 04.08.2020г., заключенный с Будайхановым Михаилом Вазирхановичем;
-  ГС957720280АСРМ/П3 от 04.08.2020г., заключенный с ООО «АгроКомплекс «МЕТАКА»;
-  ГС957720280АСРМ/П4 от 04.08.2020г., заключенный с ООО «Винегрет»;
-  ГС957720280АСРМ/П5 от 04.08.2020г., заключенный с ООО «Винегрет 2»;
-  ГС957720280АСРМ/П6 от 04.08.2020г., заключенный с ООО «Винегрет плюс»;
-  ГС957720280АСРМ/П7 от 04.08.2020г., заключенный с ООО «Продуктовая поляна».
2 Права (требования) Цедента к ООО «АгроКомплекс «МЕТАКА» (Должник-2), вытекающие из:
- Договора № 7M-1-3VHYKT3W об открытии возобновляемой кредитной линии от 26.05.2021г.  (далее – Кредитный договор-4);
Договора № 7M-1-44TI3FP5 об открытии возобновляемой кредитной линии от 26.07.2021г. (далее – Кредитный договор-5).
2.1. Одновременно с уступкой прав (требований) по Кредитному договору-4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Должника-2: 
•	Договоры залога:
- 7M-1-3VHYKT3W-И1 от 13.07.2021г., заключенный с ООО «АгроКомплекс «МЕТАКА»;
- 957720196/З1 от 11.06.2020г., заключенный с ООО «АгроКомплекс «МЕТАКА»;
•	Договоры поручительства:
-  7M-1-3VHYKT3W-П1 от 26.05.2021г., заключенный с ООО «Винегрет»;
- 7M-1-3VHYKT3W-П2 от 26.05.2021г., заключенный с ООО «Винегрет 2»;
-  7M-1-3VHYKT3W-П3 от 26.05.2021г., заключенный с ООО «Винегрет плюс»;
- 7M-1-3VHYKT3W-П4 от 26.05.2021г., заключенный с ООО «Продуктовая поляна»;
- 7M-1-3VHYKT3W-П5 от 26.05.2021г., заключенный с ООО «ТД «Московский-РВ»;
- 7M-1-3VHYKT3W-П6 от 26.05.2021г., заключенный с Будайхановым Батырханом Вазирхановичем;
- 7M-1-3VHYKT3W-П7 от 26.05.2021г., заключенный с Будайхановым Михаилом Вазирхановичем.
2.2. Одновременно с уступкой прав (требований) по Кредитному договору-5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Должника-2: 
•	Договоры залога:
- 7M-1-2WTZC7HA/И3 от 23.03.2021г., 7M-1-44TI3FP5/И1 от 07.09.2021г., заключенный с ООО «АгроКомплекс «МЕТАКА»; 
- 957720196/З1 от 11.06.2020г., заключенный с ООО «АгроКомплекс «МЕТАКА».
•	Договоры поручительства:
- 7M-1-44TI3FP5-П1 от 26.07.2021г., заключенный с ООО «Продуктовая поляна»;
-  7M-1-44TI3FP5-П2 от 26.07.2021г., заключенный с ООО «Винегрет плюс»; 
-  7M-1-44TI3FP5-П3 от 26.07.2021г., заключенный с ООО «Винегрет»; 
- 7M-1-44TI3FP5-П4 от 26.07.2021г., заключенный с ООО «ТД «Московский-РВ»; 
- 7M-1-44TI3FP5-П5 от 26.07.2021г., заключенный с ООО «Винегрет 2»;
- 7M-1-44TI3FP5-П6 от 26.07.2021г., заключенный с Будайхановым Батырханом Вазирхановичем; 
- 7M-1-44TI3FP5-П7 от 26.05.2021г., заключенный с Будайхановым Михаилом Вазирхановичем.
3. Права (требования) Цедента к ООО «Продуктовая поляна» (Должник -3), вытекающие из:
- Договора № 957720434 об открытии возобновляемой кредитной линии от 10.11.2020г. (далее – Кредитный договор-6);
- Договора № 957721074/ОД об овердрафтном кредите от 11.03.2021 (далее – Кредитный договор – 7).
3.1. Одновременно с уступкой прав (требований) по Кредитному договору-6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Должника-3: 
•	Договоры залога: 
- 957216083/З1 от 31.03.2016г., заключенный с ООО «АгроКомплекс «МЕТАКА»; 
-   957720434/И1 от 10.11.2020г., заключенный с ООО «Винегрет плюс»;
•	Договоры поручительства:
- 957720434/П1 от 10.11.2020г., заключенный с ООО «Винегрет 2»;
-  957720434/П2 от 10.11.2020г., заключенный с ООО «Винегрет»; 
- 957720434/П3 от 10.11.2020г., заключенный с ООО «АгроКомплекс «МЕТАКА»; 
-  957720434/П4 от 10.11.2020г., заключенный с ООО «Винегрет плюс»; 
-  957720434/П5 от 10.11.2020г., заключенный с ООО «ТД «Московский РВ»;
- 957720434/П6 от 10.11.2020г., заключенный с Будайхановым Батырханом Вазирхановичем; 
- 957720434/П7 от 10.11.2020г., заключенный с Будайхановым Михаилом Вазирхановичем.
3.2. Одновременно с уступкой прав (требований) по Кредитному договору-7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Должника-3: 
•	Договоры поручительства:
- №957721074/ОД/П1 от 16.03.2021г., заключенный с Будайхановым Батырханом Вазирхановичем;
- №957721074/ОД/П2 от 16.03.2021г., заключенный с Будайхановым Михаилом Вазирхановичем.
4. Права (требования) Цедента к ООО «Винегрет» (Должник-4), вытекающие из:
- Договора № M-1-3KYMRJGZ об открытии возобновляемой кредитной линии от 19.03.2021г. (далее – Кредитный договор-8);
- Договора № 7M-1-3NZBOF7D об открытии возобновляемой кредитной линии от 07.04.2021 (далее – Кредитный договор-9);
- Договора № 7M-1-3VAF0T54 об овердрафтном кредите от 25.05.2021г. (далее – Кредитный договор – 10).
4.1. Одновременно с уступкой прав (требований) по Кредитному договору-8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	Договоры залога: 
- 7M-1-3KYMRJGZ-И1 от 26.04.2021г., заключенный с ООО «АгроКомплекс «МЕТАКА»; 
- 957720196/З1 от 11.06.2020г., заключенный с ООО «АгроКомплекс «МЕТАКА».
•	Договоры поручительства:
- 7M-1-3KYMRJGZ-П1 от 19.03.2021г., заключенный с ООО «Продуктовая поляна»;
-  7M-1-3KYMRJGZ-П2 от 19.03.2021г., заключенный с ООО «Винегрет плюс»; 
-  7M-1-3KYMRJGZ-П3 от 19.03.2021г., заключенный с ООО «ТД «Московский-РВ»; 
- 7M-1-3KYMRJGZ-П4 от 19.03.2021г., заключенный с ООО «АгроКомплекс «МЕТАКА»; 
- 7M-1-3KYMRJGZ-П5 от 19.03.2021г., заключенный с ООО «Винегрет 2»;
- 7M-1-3KYMRJGZ-П6 от 19.03.2021г., заключенный с Будайхановым Михаилом Вазирхановичем;
- 7M-1-3KYMRJGZ-П7 от 19.03.2021г., заключенный с Будайхановым Батырханом Вазирхановичем.
4.2. Одновременно с уступкой прав (требований) по Кредитному договору-9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	Договоры залога: 
- 7M-1-3KYMRJGZ-И1 от 26.04.2021г., заключенный с ООО «АгроКомплекс «МЕТАКА»; 
- 957720196/З1 от 11.06.2020г., заключенный с ООО «АгроКомплекс «МЕТАКА».
•	Договоры поручительства:
- 7M-1-3NZBOF7D-П1 от 07.04.2021г., заключенный с ООО «Продуктовая поляна»;
-  7M-1-3NZBOF7D-П2 от 07.04.2021г., заключенный с ООО «Винегрет плюс»; 
-  7M-1-3NZBOF7D-П3 от 07.04.2021г., заключенный с ООО «ТД «Московский-РВ»; 
- 7M-1-3NZBOF7D-П4 от 07.04.2021г., заключенный с ООО «АгроКомплекс «МЕТАКА»; 
- 7M-1-3NZBOF7D-П5 от 07.04.2021г., заключенный с ООО «Винегрет 2»;
- 7M-1-3NZBOF7D-П6 от 07.04.2021г., заключенный с Будайхановым Батырханом Вазирхановичем;
- 7M-1-3NZBOF7D-П7 от 07.04.2021г., заключенный с Будайхановым Михаилом Вазирхановичем.
4.3. Одновременно с уступкой прав (требований) по Кредитному договору-10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	Договоры поручительства:
- №7M-1-3VAF0T54-П2 от 11.06.2021г., заключенный с Будайхановым Батырханом Вазирхановичем;
- №7M-1-3VAF0T54-П1 от 11.06.2021г., заключенный с Будайхановым Михаилом Вазирхановичем.
5. Права (требования) Цедента к ООО «Винегрет 2» (Должник-5), вытекающие из Договора № 7M-1-32LZ73UN об овердрафтном кредите от 28.01.2021г. (далее – Кредитный договор – 11).
Одновременно с уступкой прав (требований) по Кредитному договору-11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Должника-5: 
•	Договоры поручительства:
- 7M-1-32LZ73UN-П2 от 28.01.2021г., заключенный с Будайхановым Батырханом Вазирхановичем;
- 7M-1-32LZ73UN-П1 от 28.01.2021г., заключенный с Будайхановым Михаилом Вазирхановичем. 
Сумма уступаемых прав (требований) определяется исходя из суммы обязательств по кредитным договорам и составляет всего 326 033 772,38 (триста двадцать шесть миллионов тридцать три тысячи семьсот семьдесят два) рубля 38 копеек. Размер уступаемой задолженности не является окончательным и подлежит уточнению на дату заключения договора уступки прав (требований), в том числе в связи с возможным погашением части задолженности.
Цедент гарантирует, что предмет торгов никому не продан, не является предметом судебного разбирательства, не находится под арестом, не обременен правами третьих лиц.
Определением Арбитражного суда Воронежской области от 18.02.2022г. в рамках дела 
№ А14-15082/2021 в отношении ООО «ТД «Московский-РВ» принято в производство заявление ПАО Сбербанк о вступлении в дело о несостоятельности должника. 
Определением Арбитражного суда Воронежской области от 15.06.2022 в рамках дела 
№ А14-9385/2022 оставлено без движения заявление Хамидова Д.М. о признании Будайханова М.В. банкротом на срок до 22.07.2022. 12.07.2022 ПАО Сбербанк подано заявление о вступлении в дело о несостоятельности должника. 
Определением Арбитражного суда Воронежской области от 15.04.2022 г. по делу № А14-663/2022 в отношении ООО «АгроКомплекс «МЕТАКА» введена процедура наблюдения.
Определением Арбитражного суда Воронежской области от 01.06.2022 по делу № А14-3749/2022 в отношении ООО «Винегрет плюс» введена процедура наблюдения. 
Переход прав (требований) к Цессионарию происходит в момент поступления от Цессионария денежных средств за приобретенные права (требования) в полном объеме в соответствии с заключенным по результатам проведения торгов договору уступки прав (требований) по форме, размещенной на электронной площадке «Электронные системы Поволжья» (http://el-torg.com/).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326 033 772.38</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326 033 772.38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323 333 772.38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320 633 772.38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317 933 772.38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315 233 772.38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312 533 772.38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309 833 772.38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307 133 772.38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304 433 772.38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301 733 772.38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299 033 772.38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296 333 772.38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293 633 772.38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290 933 772.38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288 233 772.38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285 533 772.38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282 833 772.38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280 133 772.38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277 433 772.38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274 733 772.38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272 033 772.38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269 333 772.38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266 633 772.38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263 933 772.38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261 233 772.38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261 000 000.00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Поданные заявки</w:t>
            </w:r>
          </w:p>
        </w:tc>
      </w:tr>
      <w:tr>
        <w:trPr/>
        <w:tc>
          <w:tcPr>
            <w:tcW w:w="10000" w:type="dxa"/>
            <w:vAlign w:val="center"/>
            <w:gridSpan w:val="2"/>
          </w:tcPr>
          <w:p>
            <w:pPr>
              <w:pStyle w:val=""/>
            </w:pPr>
            <w:r>
              <w:rPr>
                <w:rStyle w:val=""/>
              </w:rPr>
              <w:t xml:space="preserve">Заявок не подано</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p/>
    <w:p>
      <w:pPr>
        <w:pStyle w:val=""/>
      </w:pPr>
      <w:r>
        <w:rPr>
          <w:rStyle w:val=""/>
        </w:rPr>
        <w:t xml:space="preserve">Протокол подписан организатором торгов 23.08.2022 17:01:58</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2022-08-23T17:01:58+03:00</dcterms:created>
  <dcterms:modified xsi:type="dcterms:W3CDTF">2022-08-23T17:01:58+03:00</dcterms:modified>
</cp:coreProperties>
</file>

<file path=docProps/custom.xml><?xml version="1.0" encoding="utf-8"?>
<Properties xmlns="http://schemas.openxmlformats.org/officeDocument/2006/custom-properties" xmlns:vt="http://schemas.openxmlformats.org/officeDocument/2006/docPropsVTypes"/>
</file>