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1-этажное кирпичное здание гаража (лит.И), общая площадь 592,1 кв.м., условный № 59-59-01/173/2005-169, адрес объекта: Пермский край, г. Пермь, Мотовилихинский район, Восточный обход, 80 и 1-этажное металлическое здание склада (лит.Е), общая площадь 481,5 кв.м., условный № 59-59-22/002/2006-432, адрес объекта Пермский край, г. Пермь, Мотовилихинский район, Восточный обход, 80, расположенные на земельном участке, категория земель: земли населенных пунктов, разрешенное использование: 1-этажное кирпичное здание гаража, 1-этажное металлическое здание склада, общая площадь 2 956 кв.м., кадастровый № 59:01:0910028:19, расположенный по адресу: Пермский край, г. Пермь, Мотовилихинский район, Восточный обход, 80, корп. 1, корп.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8 672 832.00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6 938 265.60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6 070 982.40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5 203 699.20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4 336 416.00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23:55:45.023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Киселёв Павел Аркадьевич
ИНН: 590505596428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23:55:45.023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Киселёв Павел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6 151 000.00 рублей за имущество, составляющее Лот, предложил участник Киселёв Павел Аркадьевич (ИНН 590505596428),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15.08.2021 00:06:54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2021-08-15T00:06:54+03:00</dcterms:created>
  <dcterms:modified xsi:type="dcterms:W3CDTF">2021-08-15T00:06:54+03:00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