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129" w:rsidRDefault="00AA4129">
      <w:pPr>
        <w:shd w:val="clear" w:color="auto" w:fill="FFFFFF"/>
        <w:ind w:right="106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00"/>
          <w:spacing w:val="1"/>
          <w:sz w:val="24"/>
          <w:szCs w:val="24"/>
        </w:rPr>
        <w:t xml:space="preserve">ДОГОВОР О ЗАДАТКЕ </w:t>
      </w:r>
    </w:p>
    <w:p w:rsidR="00AA4129" w:rsidRDefault="00AA4129">
      <w:pPr>
        <w:shd w:val="clear" w:color="auto" w:fill="FFFFFF"/>
        <w:ind w:left="1152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pacing w:val="1"/>
          <w:sz w:val="24"/>
          <w:szCs w:val="24"/>
        </w:rPr>
        <w:t>в счет обеспечения оплаты имущества, приобретаемого на торгах</w:t>
      </w:r>
    </w:p>
    <w:p w:rsidR="00AA4129" w:rsidRDefault="00AA4129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pacing w:val="2"/>
          <w:sz w:val="24"/>
          <w:szCs w:val="24"/>
        </w:rPr>
        <w:t xml:space="preserve">г. Нижний Новгород                                                                                  </w:t>
      </w:r>
      <w:r>
        <w:rPr>
          <w:rFonts w:cs="Times New Roman"/>
          <w:color w:val="000000"/>
          <w:sz w:val="24"/>
          <w:szCs w:val="24"/>
        </w:rPr>
        <w:t>"__" ________ 2020 г.</w:t>
      </w:r>
    </w:p>
    <w:p w:rsidR="00AA4129" w:rsidRDefault="00AA4129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Общество с ограниченной ответственностью «Бастион», в лице конкурсного управляющего Климашова Александра Васильевича, действующего на основании Решения Арбитражного суда г. Москвы № А40-438/18-8-1 от 16.08.2018 г.</w:t>
      </w:r>
      <w:r>
        <w:rPr>
          <w:rFonts w:cs="Times New Roman"/>
          <w:color w:val="000000"/>
          <w:spacing w:val="2"/>
          <w:sz w:val="24"/>
          <w:szCs w:val="24"/>
        </w:rPr>
        <w:t>, с одной стороны, и_______________</w:t>
      </w:r>
      <w:r>
        <w:rPr>
          <w:rFonts w:cs="Times New Roman"/>
          <w:color w:val="000000"/>
          <w:spacing w:val="8"/>
          <w:sz w:val="24"/>
          <w:szCs w:val="24"/>
        </w:rPr>
        <w:t>, в лице _________________</w:t>
      </w:r>
      <w:r>
        <w:rPr>
          <w:rFonts w:cs="Times New Roman"/>
          <w:color w:val="000000"/>
          <w:spacing w:val="9"/>
          <w:sz w:val="24"/>
          <w:szCs w:val="24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4"/>
          <w:szCs w:val="24"/>
        </w:rPr>
        <w:t xml:space="preserve">, </w:t>
      </w:r>
      <w:r>
        <w:rPr>
          <w:rFonts w:cs="Times New Roman"/>
          <w:color w:val="000000"/>
          <w:spacing w:val="1"/>
          <w:sz w:val="24"/>
          <w:szCs w:val="24"/>
        </w:rPr>
        <w:t xml:space="preserve"> именуемый (-ое) в </w:t>
      </w:r>
      <w:r>
        <w:rPr>
          <w:rFonts w:cs="Times New Roman"/>
          <w:color w:val="000000"/>
          <w:sz w:val="24"/>
          <w:szCs w:val="24"/>
        </w:rPr>
        <w:t>дальнейшем «Претендент», заключили настоящий договор о нижеследующем:</w:t>
      </w:r>
    </w:p>
    <w:p w:rsidR="00AA4129" w:rsidRDefault="00AA4129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4"/>
          <w:szCs w:val="24"/>
        </w:rPr>
        <w:t xml:space="preserve">1. В счет обеспечения участия в торгах </w:t>
      </w:r>
      <w:r>
        <w:rPr>
          <w:rStyle w:val="paragraph"/>
          <w:sz w:val="24"/>
          <w:szCs w:val="24"/>
        </w:rPr>
        <w:t xml:space="preserve">проводимых обществом по </w:t>
      </w:r>
      <w:r>
        <w:rPr>
          <w:rFonts w:cs="Times New Roman"/>
          <w:sz w:val="24"/>
          <w:szCs w:val="24"/>
        </w:rPr>
        <w:t xml:space="preserve">реализации </w:t>
      </w:r>
      <w:r>
        <w:rPr>
          <w:rStyle w:val="paragraph"/>
          <w:sz w:val="24"/>
          <w:szCs w:val="24"/>
        </w:rPr>
        <w:t>имущества</w:t>
      </w:r>
      <w:r>
        <w:rPr>
          <w:rFonts w:cs="Times New Roman"/>
          <w:sz w:val="24"/>
          <w:szCs w:val="24"/>
        </w:rPr>
        <w:t>:</w:t>
      </w:r>
      <w:r>
        <w:rPr>
          <w:rFonts w:cs="Times New Roman"/>
          <w:sz w:val="22"/>
          <w:szCs w:val="22"/>
        </w:rPr>
        <w:t xml:space="preserve"> </w:t>
      </w:r>
    </w:p>
    <w:p w:rsidR="00AA4129" w:rsidRDefault="00AA4129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Лот№1. </w:t>
      </w:r>
      <w:r>
        <w:rPr>
          <w:rFonts w:cs="Times New Roman"/>
          <w:color w:val="000000"/>
          <w:sz w:val="24"/>
          <w:szCs w:val="24"/>
        </w:rPr>
        <w:t>Недвижимость, энергетическое оборудование, технологическое оборудование</w:t>
      </w:r>
      <w:r>
        <w:rPr>
          <w:rFonts w:cs="Times New Roman"/>
          <w:sz w:val="24"/>
          <w:szCs w:val="24"/>
        </w:rPr>
        <w:t>, в том числе:</w:t>
      </w:r>
    </w:p>
    <w:p w:rsidR="00AA4129" w:rsidRDefault="00AA4129">
      <w:pPr>
        <w:jc w:val="both"/>
        <w:rPr>
          <w:rFonts w:cs="Times New Roman"/>
        </w:rPr>
      </w:pPr>
      <w:r>
        <w:rPr>
          <w:rFonts w:cs="Times New Roman"/>
          <w:color w:val="000000"/>
          <w:sz w:val="24"/>
          <w:szCs w:val="24"/>
        </w:rPr>
        <w:t>Имущество, являющееся предметом залога ПАО «Саровбизнесбанк»:1.ОТДЕЛЬНО СТОЯЩЕЕ ЗДАНИЕ ГАРАЖА, назначение: нежилое, транспортное, 1- этажное, общей площадью: 235,8 кв.м., литер: С. Адрес (местонахождения) объекта: Московская область, город Электросталь, Строительный переулок, дом 12, корпус 2. Кадастровый номер: 50:46:0060708:142.ОБЩЕЖИТИЕ, назначение: жилое, 5- этажное, общей площадью: 2645,6 кв.м., литер: Д. Адрес (местонахождения) объекта: Московская область, город Электросталь, Строительный переулок, дом 12, корпус 1. Кадастровый номер: 50:46:0060708:141. НЕЖИЛОЕ ЗДАНИЕ КОНТРОЛЬНО-ПРОПУСКНОГО ПУНКТА, назначение: объекты производственной инфраструктуры, 1- этажное, общей площадью: 77,3 кв.м., литер: Л. Адрес (местонахождения) объекта: Московская область, город Электросталь, Строительный переулок, дом 12, корпус 8. Кадастровый номер: 50:46:0060708:156. ЗДАНИЕ – «ГРУЗОВОЙ НАВЕС», назначение: нежилое, 1- этажное, общей площадью: 702,4 кв.м., литер: Б. Адрес (местонахождения) объекта: Московская область, город Электросталь, Строительный переулок, дом 12. Кадастровый номер: 50:46:0060708:138. С ПРАВОМ АРЕНДЫ ЗЕМЕЛЬНОГО УЧАСТКА, Кадастровый номер: 50:46:0060708:24, общей площадью 4994 кв.м., по адресу:Московская область, город Электросталь, Строительный переулок, дом 12, дом 12, корпус 1, 2, 8. 2. КОМПЛЕКС ПО ПРОИЗВОДСТВУ И ХРАНЕНИЮ МЯСНЫХ ЗАМОРОЖЕННЫХ ПОЛУФАБРИКАТОВ, назначение: нежилое, 2- этажное (подземных этажей - 1), общей площадью: 8404,6 кв.м., литер: Б. Адрес (местонахождения) объекта: Московская область, город Электросталь, Строительный переулок, дом 12, корпус 9. Кадастровый номер: 50:46:0060708:157. ЗДАНИЕ КОМПРЕССОРНОЙ, ПРИСТРОЕННОЕ К ЗДАНИЮ КОМПЛЕКСА ПО ПРОИЗВОДСТВУ И ХРАНЕНИЮ МЯСНЫХ ЗАМОРОЖЕННЫХ ПОЛУФАБРИКАТОВ, назначение: нежилое здание, 1 - этажное, общей площадью: 50,9 кв.м., литер: Б1. Адрес (местонахождения) объекта: Московская область, город Электросталь, Строительный переулок, дом 12, корпус 9. Кадастровый номер: 50:46:0060708:163. С ПРАВОМ АРЕНДЫ ЗЕМЕЛЬНОГО УЧАСТКА, Кадастровый номер: 50:46:0060708:40, общей площадью 10967 кв.м., по адресу: Московская область, город Электросталь, Строительный переулок, дом 12, корпус 9. 3. ЗДАНИЕ – «ТРАНСФОРМАТОРНАЯ ПОДСТАНЦИЯ РП-6 кВ», назначение: нежилое, 1- этажное, общей площадью: 122,6 кв.м., литер: Т. Адрес (местонахождения) объекта: Московская область, город Электросталь, Строительный переулок, дом 12, корпус 9. Кадастровый номер: 50:46:0060708:475. С ПРАВОМ АРЕНДЫ ЗЕМЕЛЬНОГО УЧАСТКА, Кадастровый номер: 50:46:0060708:36, общей площадью 500 кв.м., по адресу: Московская область, город Электросталь, Строительный переулок, дом 12, корпус 9.4.ОБОРУДОВАНИЕ, согласно следующего перечня: Трансформатор силовой ТМГ –1000, Трансформатор силовой ТМГ –1000, Трансформатор силовой ТМГ –1000, Трансформатор силовой ТМГ –1000, Электросчетчик СЭТ-4ТМ, Электросчетчик СЭТ-4ТМ, Электросчетчик СЭТ-4ТМ, Установка компенсации реактивной мощности КРМ-0,4-300, Установка компенсации реактивной мощности КРМ-0,4-300,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Масляный выключатель МВ-10, Масляный выключатель МВ-10, Масляный выключатель МВ-10, Панель распределительного щита ЩО70-2-40, Панель распределительного щита ЩО70-2-40, Панель распределительного щита ЩО70-2-40, Панель распределительного щита ЩО70-2-40, Панель распределительного щита ЩО70-2-40, Панель распределительного щита ЩО70-2-40, Панель распределительного щита ЩО70-2-40, Панель распределительного щита ЩО70-2-40, Панель распределительного щита ЩО70-2-40, Панель распределительного щита ЩО70-2-40, Холодильная установка на базе агрегата (комплект: компрессорный агрегат, воздухоохладители – 4 шт., конденсаторы, щиты управления, трубопроводы, эстакада) АпК-М-2-В-7, Блочная трансформаторная подстанция БКТП-1000Имущество, не обремененное залогом:Клипсатор ручной алюминиевой клипсы 405 AL; Площадка с покрытием. Участок 4; Перекрутчик HANDTMANN тип 34-4/870 б.у; Перегородки офисные алюминиевый профиль, стекло, ПФХ (стандартное основание); Машина DOMINIONI RV250; Машина для очистки лап Шпарчан Спрут-12Э; РичтракJungheinrich ETW 2014 погрузчик; Базовая панель оператора с цветным дисплеем; Барабан формующий вареник гребешок; Барабан формующий вареник гребешок 2; Штабелер; Пресс ПГП-4-7 Мини; Автомат.линия для производства изделий из теста (блинов 05-В-1) ; Машина упаковочная вертикальная Бестром -200р; Автомат.линия д/пр-ва блинов с начинкой (ролл) ; Автоматическая линия для производства блинов BALPE; Вакуумныймассажер VM-STL типа 100-950; Вакуумный дозатор тип Хандтманн ВФ 50; Вакуумный запайщик HENKELMAN Falcon 2-70; Вакуумупаковочная машина тип А 300; Варочный котел опрокидывающийся 300 л; Гомогенизатор-диспергатор YUMIX РПГ 5,5; Горизонтал.упаковочн.машина ECI Limited SL-8700HM; Емкость с двумя перемешивающими устройствами V=0,5; Жульеный режущий диск 10*10 для AWBS150; Запайщик лотков HEFESTUS SM208 SLB; Камера интенсивн. охлажд.сагрег. Bitzer LH 135/4P; Камера морозильная Frigoscandia GC 400-06-33-06; Камера морозильная Frigoscandia GC 600; Камера морозильная Frigoscandia GC 600 Classic NS; Камера морозильная GC 600-08-24-14 NS; Камера скороморозильная GYRoCOMPACT 600 Classic;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 Остров; Камера холодильная для хранения с агрегатом Остров; Камера хранения замороженных грузов; Камера хранения охлажденных начинок; Камера шок-заморозки с агрегатом; Камера шок-заморозки с агрегатом; Камера шок-заморозки с агрегатом; Камера шок-заморозки с агрегатом в комплекте; Картонажная упаковочная машина ECI LimitedЕSM; Клипсатородноскрепочный КК КПУ; Конвейер для транспортировки замороженных п/фабрик; Котел NILMA SALSAMAT 160; Котел NILMA SALSAMAT 160; Куттер К-125М; Куттер Л5-ФКБм; Линия бестарного хранения муки AGRIFLEX 3894; Линия дляпереработке мяса; Линия для переработки мяса; Линия для приготовления фарша; Линия для приготовления фарша HKV 200, VARIO-MIX; Линия для производства пиццы ОЕМ; Линия по пр-ву п/ф DOMINIONI RSА250, А250С, А250D1; Линия по пр-ву п/фаб.DOMINIONI D540, А540F, ID1200; Линия по производству полуфабрикатов СFS-400;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 Линия по произ-вуп/фабрикат.DOMINIONI D250N, Р150; Линия по произ-вуп/фабрикат.DOMINIONI D250N, Р150; Линия по произ-вуп/фабрикат.DOMINIONI D250N, Р150; Линия по формированию и заклейке коробок SIAT Линия по формированию и заклейке коробок SIAT; Линия по формированию и заклейке коробок SIAT; Линия упаковочная HВV.3, ССW-ЕМ; Линия упаковочная MATRIX 1000 Series, ССW-ЕМ; Линия упаковочная MATRIX 1000 Series, ССW-ЕМ; Льдогенератор FUNK F 120-6000 Льдогенератор FUNК С 800; Маш. многофункц. д/пр-ва изд.из теста с чебур.мод., Машина д/нарезки овощей AWBS150с удл.трансп.лентой; Машина для изготовлен.пельменей (авт.) JGL 120-5В; Машина для нарезки полуфабрикатовФонекс СЕ 120; Машина для нарезки продуктов Treif HUSKY-CE; Машина для очистки овощей МООЛ-500; Машина для раскатки теста; Машина подачи фарша; Машина упаковочная вертикальная Бестром-200Р; Машина упаковочная вертикальная Бестром-200Р; Машина упаковочная модели Линепак-Ф; Машина фасовочно-упаковочная модели Пастпак-Л; Моечная машина типа А9-КМИ; Паллетоупаковщик PAKLET; Паллетоупаковщик WS 112-А WS 120-А; Пароконвектомат RATIONAL SCC 202; Пароконвектомат RATIONAL SCC 202; Планетарный миксер линия РЕ 120-160-200; Подъемник-загрузчик К6-ФП2-3; Поломоечная машина BR 530 KARCHER; Полуавт.маш.по удалению сердцевины перца мод.РО-30; Пресс с подпеканием для пиццы ТЕР/30; Промышленный металлодетектор THS; Резервуар технологический РТ-300; Ручной погрузчик EGV 14; Ручной погрузчик EGV 14; Система деления продавливанием Машина F-2000; Сковорода электрическая СЭЧ - 0.45; Тележка для пароконвектомата SCC202 60.22.086; Термотрансферный принтер этикеток Zebra ZM400; Транспортёр загрузочный с переломом 350х5000; Транспортёр загрузочный с переломом Т-300х5000; Транспортёр модульный на поворотной ленте 300х3000; Транспортёр накл. спускной ленточный Т-600х3500; Транспортер накл.спускнойленточ.с переел.4600х600; Транспортёр наклонный спуск.ленчатый Т-400х3200; Транспортер наклонный спускно ленточный Т-600х3500; Транспортер поворот.2-хручевой(мод.цепь)Т-200х1000; Транспортёр прямой ленточый Т-200х3000; Транспортёр прямой ленточый Т-300х5000; Транспортёр прямой ленточый Т-300х5500; Транспортёр прямой ленточый Т-350х7500; Транспортер прямой подающий ленточный Т-200х3000; Транспортер прямой подающий ленточный Т-270х4000; Транспортер прямой подающий ленточный Т-300х5700; Транспортер прямой сетчатый Т-400х3000; Транспортер прямой сетчатый Т-400х3500; Электрический штабелер STILL FM 14N; Электропогрузчик DAEWOO B15Т-2; Этикетировщик ETIPACK CLEAR 1.3 РPackSol мод. СВ; Этикетировщик ETIPACK CLEAR 13-2,5; Автоматическая линия для производства вареников DOMINIONI A250C; Миксер планетарный с дежой; Аппарат для формирования изделий из теста с начинкой (пел.Сатурн); Сковорода электрическая ЭСК-92-0,47-70; Сковорода электрическая ЭСК-92-0,47-70; Аппарат для формирования изделий из теста с начинкой (пел.Сатурн); Этикетировщик ETIPACK CLEAR 1.3 РPackSol мод. СВ; Клипсатор ручной односкрепочный КО; Клипсатор ручной односкрепочный КО; Термоформовочная линия Multivac; Транспортёр горизонтальный 4300 мм 300 мм; Тестомес ITPIZZA SK-30; Миксер для мяса (фаршемешалка) серии IMP501; Весы электронные SM-500МК4 ЕВ 1; Автоматическая линия д/пр-ва блинов с наполнением начинкой и сворачиванием в ролл; Автомат.линия д/пр-ва блинов с начинкой (ролл) ; Кабельная линия связи; Канализационный коллектор; Мини-АТС Panasonic KX-TDA200; Наружная система теплопотребления с узлом учета; Система автоматической пожарной сигнализации; Система видеонаблюдения; Станция водоподготовки № 1; Станция водоподготовки № 2; Трансформаторная подстанция ТП-2*1000 кВт; Площадка с покрытием. Участок 7; Площадка с покрытием. Участок 1; Площадка с покрытием. Участок 2; Автомат.линия по производству блинов 05-В-1; Сковорода электрическая ЭСК-90-0,47-70; Сковорода электрическая ЭСК-90-0,47-70; Пресс механической обвалки ПМО-400; Площадка с покрытием. Участок 3,5; Площадка с покрытием. Участок 6; Клипсатор ручной односкрепочный КО.</w:t>
      </w:r>
    </w:p>
    <w:p w:rsidR="00AA4129" w:rsidRDefault="00AA4129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>Претендент обязуется внести на счет Общества задаток в размере 10% от начальной цены лота и обеспечить его поступление на счет Общества.</w:t>
      </w:r>
    </w:p>
    <w:p w:rsidR="00AA4129" w:rsidRDefault="00AA4129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>Задаток вносится на специальный расчетный счет по следующим реквизитам: Получатель ООО «Бастион», ИНН 7731626572, р/сч 40702810410010001722 в ПАО САРОВБИЗНЕСБАНК г.Саров, БИК 042202718, к/сч 30101810422020000718.</w:t>
      </w:r>
    </w:p>
    <w:p w:rsidR="00AA4129" w:rsidRDefault="00AA4129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AA4129" w:rsidRDefault="00AA41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AA4129" w:rsidRDefault="00AA41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AA4129" w:rsidRDefault="00AA41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AA4129" w:rsidRDefault="00AA4129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4"/>
          <w:szCs w:val="24"/>
        </w:rPr>
      </w:pPr>
      <w:r>
        <w:rPr>
          <w:rFonts w:cs="Times New Roman"/>
          <w:color w:val="000000"/>
          <w:spacing w:val="6"/>
          <w:sz w:val="24"/>
          <w:szCs w:val="24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4"/>
          <w:szCs w:val="24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AA4129">
        <w:tc>
          <w:tcPr>
            <w:tcW w:w="4928" w:type="dxa"/>
          </w:tcPr>
          <w:p w:rsidR="00AA4129" w:rsidRDefault="00AA412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ООО «Бастион»</w:t>
            </w:r>
          </w:p>
          <w:p w:rsidR="00AA4129" w:rsidRDefault="00AA412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ИНН 7731626572, р/сч 40702810410010001722 в ПАО САРОВБИЗНЕСБАНК г.Саров, БИК 042202718, к/сч 30101810422020000718</w:t>
            </w:r>
          </w:p>
          <w:p w:rsidR="00AA4129" w:rsidRDefault="00AA4129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AA4129" w:rsidRDefault="00AA4129">
            <w:pPr>
              <w:pStyle w:val="Heading2"/>
              <w:rPr>
                <w:rFonts w:cs="Times New Roman"/>
              </w:rPr>
            </w:pPr>
            <w:r>
              <w:rPr>
                <w:rFonts w:cs="Times New Roman"/>
              </w:rPr>
              <w:t>Претендент __________________</w:t>
            </w:r>
          </w:p>
        </w:tc>
      </w:tr>
      <w:tr w:rsidR="00AA4129">
        <w:trPr>
          <w:trHeight w:val="70"/>
        </w:trPr>
        <w:tc>
          <w:tcPr>
            <w:tcW w:w="4928" w:type="dxa"/>
          </w:tcPr>
          <w:p w:rsidR="00AA4129" w:rsidRDefault="00AA4129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4"/>
                <w:sz w:val="24"/>
                <w:szCs w:val="24"/>
              </w:rPr>
              <w:t xml:space="preserve">Конкурсный управляющий _________________  </w:t>
            </w:r>
            <w:r>
              <w:rPr>
                <w:rFonts w:cs="Times New Roman"/>
                <w:sz w:val="24"/>
                <w:szCs w:val="24"/>
              </w:rPr>
              <w:t>А.В. Климашов</w:t>
            </w:r>
          </w:p>
          <w:p w:rsidR="00AA4129" w:rsidRDefault="00AA4129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95" w:type="dxa"/>
          </w:tcPr>
          <w:p w:rsidR="00AA4129" w:rsidRDefault="00AA412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AA4129" w:rsidRDefault="00AA4129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AA4129" w:rsidRDefault="00AA4129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AA4129" w:rsidSect="00AA4129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21E5C85"/>
    <w:multiLevelType w:val="hybridMultilevel"/>
    <w:tmpl w:val="6DA861CE"/>
    <w:lvl w:ilvl="0" w:tplc="4DDC83F4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7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4129"/>
    <w:rsid w:val="00AA4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tabs>
        <w:tab w:val="left" w:pos="1022"/>
      </w:tabs>
      <w:spacing w:line="278" w:lineRule="exact"/>
      <w:ind w:right="499"/>
      <w:jc w:val="center"/>
      <w:outlineLvl w:val="1"/>
    </w:pPr>
    <w:rPr>
      <w:color w:val="000000"/>
      <w:spacing w:val="4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4</Pages>
  <Words>1911</Words>
  <Characters>10894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13</cp:revision>
  <cp:lastPrinted>2011-04-15T04:41:00Z</cp:lastPrinted>
  <dcterms:created xsi:type="dcterms:W3CDTF">2017-03-26T10:28:00Z</dcterms:created>
  <dcterms:modified xsi:type="dcterms:W3CDTF">2020-02-16T17:58:00Z</dcterms:modified>
</cp:coreProperties>
</file>