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tbl>
      <w:tblPr>
        <w:tblStyle w:val="TableGrid"/>
        <w:tblW w:w="4428" w:type="dxa"/>
        <w:tblInd w:w="5832" w:type="dxa"/>
        <w:tblLook w:val="04A0"/>
      </w:tblPr>
      <w:tblGrid>
        <w:gridCol w:w="4428"/>
      </w:tblGrid>
      <w:tr w14:paraId="14C70EE5" w14:textId="77777777" w:rsidTr="002B761B">
        <w:tblPrEx>
          <w:tblW w:w="4428" w:type="dxa"/>
          <w:tblInd w:w="5832" w:type="dxa"/>
          <w:tblLook w:val="04A0"/>
        </w:tblPrEx>
        <w:trPr>
          <w:trHeight w:val="1203"/>
        </w:trPr>
        <w:tc>
          <w:tcPr>
            <w:tcW w:w="4428" w:type="dxa"/>
            <w:tcBorders>
              <w:top w:val="nil"/>
              <w:left w:val="nil"/>
              <w:bottom w:val="nil"/>
              <w:right w:val="nil"/>
            </w:tcBorders>
          </w:tcPr>
          <w:p w:rsidR="002B761B" w:rsidP="00F07B14" w14:paraId="36FD5E1B" w14:textId="77777777">
            <w:pPr>
              <w:rPr>
                <w:rFonts w:ascii="Times New Roman" w:hAnsi="Times New Roman" w:cs="Times New Roman"/>
              </w:rPr>
            </w:pPr>
            <w:r w:rsidRPr="002B761B">
              <w:rPr>
                <w:rFonts w:ascii="Times New Roman" w:hAnsi="Times New Roman" w:cs="Times New Roman"/>
              </w:rPr>
              <w:t xml:space="preserve">Утверждено собранием кредиторов </w:t>
            </w:r>
          </w:p>
          <w:p w:rsidR="00F07B14" w:rsidRPr="002B761B" w:rsidP="00F07B14" w14:paraId="723FE43B" w14:textId="75E395F9">
            <w:pPr>
              <w:rPr>
                <w:rFonts w:ascii="Times New Roman" w:hAnsi="Times New Roman" w:cs="Times New Roman"/>
              </w:rPr>
            </w:pPr>
            <w:r w:rsidRPr="002B761B">
              <w:rPr>
                <w:rFonts w:ascii="Times New Roman" w:hAnsi="Times New Roman" w:cs="Times New Roman"/>
              </w:rPr>
              <w:t xml:space="preserve">ООО </w:t>
            </w:r>
            <w:r w:rsidRPr="002B761B" w:rsidR="00A90B7D">
              <w:rPr>
                <w:rFonts w:ascii="Times New Roman" w:hAnsi="Times New Roman" w:cs="Times New Roman"/>
              </w:rPr>
              <w:t>«ГЕНСТРОЙПРОЕКТ</w:t>
            </w:r>
            <w:r w:rsidRPr="002B761B">
              <w:rPr>
                <w:rFonts w:ascii="Times New Roman" w:hAnsi="Times New Roman" w:cs="Times New Roman"/>
              </w:rPr>
              <w:t>»</w:t>
            </w:r>
          </w:p>
          <w:p w:rsidR="002B761B" w:rsidP="00F07B14" w14:paraId="41D14814" w14:textId="728775EA">
            <w:pPr>
              <w:rPr>
                <w:rFonts w:ascii="Times New Roman" w:hAnsi="Times New Roman" w:cs="Times New Roman"/>
                <w:sz w:val="24"/>
                <w:szCs w:val="24"/>
              </w:rPr>
            </w:pPr>
            <w:r w:rsidRPr="002B761B">
              <w:rPr>
                <w:rFonts w:ascii="Times New Roman" w:hAnsi="Times New Roman" w:cs="Times New Roman"/>
              </w:rPr>
              <w:t>Протокол № 7 от 08.04.2025г.</w:t>
            </w:r>
          </w:p>
        </w:tc>
      </w:tr>
    </w:tbl>
    <w:p w:rsidR="00F978A4" w:rsidRPr="00F978A4" w:rsidP="00F978A4" w14:paraId="63AE3325" w14:textId="358E8A11">
      <w:pPr>
        <w:spacing w:line="240" w:lineRule="atLeast"/>
        <w:jc w:val="center"/>
        <w:rPr>
          <w:rFonts w:ascii="Times New Roman" w:hAnsi="Times New Roman" w:cs="Times New Roman"/>
          <w:b/>
          <w:bCs/>
          <w:sz w:val="24"/>
          <w:szCs w:val="24"/>
        </w:rPr>
      </w:pPr>
      <w:r w:rsidRPr="00F978A4">
        <w:rPr>
          <w:rFonts w:ascii="Times New Roman" w:hAnsi="Times New Roman" w:cs="Times New Roman"/>
          <w:b/>
          <w:bCs/>
          <w:sz w:val="24"/>
          <w:szCs w:val="24"/>
        </w:rPr>
        <w:t>ПОЛОЖЕНИЕ</w:t>
      </w:r>
    </w:p>
    <w:p w:rsidR="00F978A4" w:rsidRPr="00F978A4" w:rsidP="00F978A4" w14:paraId="4D0821A8" w14:textId="34B8EAFB">
      <w:pPr>
        <w:spacing w:line="240" w:lineRule="atLeast"/>
        <w:jc w:val="center"/>
        <w:rPr>
          <w:rFonts w:ascii="Times New Roman" w:hAnsi="Times New Roman" w:cs="Times New Roman"/>
          <w:b/>
          <w:bCs/>
          <w:sz w:val="24"/>
          <w:szCs w:val="24"/>
        </w:rPr>
      </w:pPr>
      <w:r w:rsidRPr="00F978A4">
        <w:rPr>
          <w:rFonts w:ascii="Times New Roman" w:hAnsi="Times New Roman" w:cs="Times New Roman"/>
          <w:b/>
          <w:bCs/>
          <w:sz w:val="24"/>
          <w:szCs w:val="24"/>
        </w:rPr>
        <w:t xml:space="preserve"> «О порядке и условиях проведения торгов по реализации имущественных прав, принадлежащих </w:t>
      </w:r>
      <w:bookmarkStart w:id="0" w:name="_Hlk177373138"/>
      <w:r w:rsidRPr="00F978A4">
        <w:rPr>
          <w:rFonts w:ascii="Times New Roman" w:hAnsi="Times New Roman" w:cs="Times New Roman"/>
          <w:b/>
          <w:bCs/>
          <w:sz w:val="24"/>
          <w:szCs w:val="24"/>
        </w:rPr>
        <w:t>ООО «</w:t>
      </w:r>
      <w:r w:rsidR="00A90B7D">
        <w:rPr>
          <w:rFonts w:ascii="Times New Roman" w:hAnsi="Times New Roman" w:cs="Times New Roman"/>
          <w:b/>
          <w:bCs/>
          <w:sz w:val="24"/>
          <w:szCs w:val="24"/>
        </w:rPr>
        <w:t>ГЕНСТРОЙПРОЕКТ</w:t>
      </w:r>
      <w:r w:rsidRPr="00F978A4">
        <w:rPr>
          <w:rFonts w:ascii="Times New Roman" w:hAnsi="Times New Roman" w:cs="Times New Roman"/>
          <w:b/>
          <w:bCs/>
          <w:sz w:val="24"/>
          <w:szCs w:val="24"/>
        </w:rPr>
        <w:t>»</w:t>
      </w:r>
    </w:p>
    <w:bookmarkEnd w:id="0"/>
    <w:p w:rsidR="00F978A4" w:rsidP="00F978A4" w14:paraId="37621688" w14:textId="1AB5A38F">
      <w:pPr>
        <w:spacing w:line="240" w:lineRule="auto"/>
        <w:ind w:firstLine="709"/>
        <w:contextualSpacing/>
        <w:jc w:val="both"/>
        <w:rPr>
          <w:rFonts w:ascii="Times New Roman" w:hAnsi="Times New Roman" w:cs="Times New Roman"/>
          <w:sz w:val="24"/>
          <w:szCs w:val="24"/>
        </w:rPr>
      </w:pPr>
      <w:r w:rsidRPr="00F978A4">
        <w:rPr>
          <w:rFonts w:ascii="Times New Roman" w:hAnsi="Times New Roman" w:cs="Times New Roman"/>
          <w:sz w:val="24"/>
          <w:szCs w:val="24"/>
        </w:rPr>
        <w:t xml:space="preserve">1.1. Настоящее Положение о порядке, сроках и условиях продажи имущественных прав, принадлежащего ООО </w:t>
      </w:r>
      <w:r w:rsidR="00A90B7D">
        <w:rPr>
          <w:rFonts w:ascii="Times New Roman" w:hAnsi="Times New Roman" w:cs="Times New Roman"/>
          <w:sz w:val="24"/>
          <w:szCs w:val="24"/>
        </w:rPr>
        <w:t>«ГЕНСТРОЙПРОЕКТ</w:t>
      </w:r>
      <w:r w:rsidRPr="00F07B14" w:rsidR="00A90B7D">
        <w:rPr>
          <w:rFonts w:ascii="Times New Roman" w:hAnsi="Times New Roman" w:cs="Times New Roman"/>
          <w:sz w:val="24"/>
          <w:szCs w:val="24"/>
        </w:rPr>
        <w:t>»</w:t>
      </w:r>
      <w:r w:rsidRPr="00F978A4">
        <w:rPr>
          <w:rFonts w:ascii="Times New Roman" w:hAnsi="Times New Roman" w:cs="Times New Roman"/>
          <w:sz w:val="24"/>
          <w:szCs w:val="24"/>
        </w:rPr>
        <w:t xml:space="preserve"> (</w:t>
      </w:r>
      <w:r w:rsidRPr="00CA19D3" w:rsidR="00D241D4">
        <w:rPr>
          <w:rFonts w:ascii="Times New Roman" w:hAnsi="Times New Roman" w:cs="Times New Roman"/>
          <w:sz w:val="24"/>
          <w:szCs w:val="24"/>
        </w:rPr>
        <w:t>ОГРН 1195081020640, ИНН 5047224485, адрес: 141420, Московская область, Химки, СХОДНЯ МИКРОРАЙОН, 2-Й ЧАПАЕВСКИЙ ПЕР, ДОМ 4, КВАРТИРА 152</w:t>
      </w:r>
      <w:r w:rsidRPr="00F978A4">
        <w:rPr>
          <w:rFonts w:ascii="Times New Roman" w:hAnsi="Times New Roman" w:cs="Times New Roman"/>
          <w:sz w:val="24"/>
          <w:szCs w:val="24"/>
        </w:rPr>
        <w:t xml:space="preserve">) разработано в соответствии с Гражданским кодексом РФ, с учетом особенностей предусмотренных Федеральным законом РФ от 26.10.2002 №127-ФЗ «О несостоятельности (банкротстве)», Приказом Минэкономразвития РФ от 23.07.2015 № 495 «Об утверждении Порядка проведения торгов в электронной форме при продаже имущественных прав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имущественных прав или предприятия должников в ходе процедур, применяемых в деле о банкротстве, внесении изменений в приказ Минэкономразвития России от 05.04.2013 № 178 и признании утратившим силу некоторых приказов Минэкономразвития России» и другими нормативными документами. </w:t>
      </w:r>
    </w:p>
    <w:p w:rsidR="00F978A4" w:rsidP="00F978A4" w14:paraId="43FF8E83" w14:textId="612C85F0">
      <w:pPr>
        <w:spacing w:line="240" w:lineRule="auto"/>
        <w:ind w:firstLine="709"/>
        <w:contextualSpacing/>
        <w:jc w:val="both"/>
        <w:rPr>
          <w:rFonts w:ascii="Times New Roman" w:hAnsi="Times New Roman" w:cs="Times New Roman"/>
          <w:sz w:val="24"/>
          <w:szCs w:val="24"/>
        </w:rPr>
      </w:pPr>
      <w:r w:rsidRPr="00F978A4">
        <w:rPr>
          <w:rFonts w:ascii="Times New Roman" w:hAnsi="Times New Roman" w:cs="Times New Roman"/>
          <w:sz w:val="24"/>
          <w:szCs w:val="24"/>
        </w:rPr>
        <w:t xml:space="preserve">1.2. Решением Арбитражного суда от </w:t>
      </w:r>
      <w:r w:rsidR="00CA19D3">
        <w:rPr>
          <w:rFonts w:ascii="Times New Roman" w:hAnsi="Times New Roman" w:cs="Times New Roman"/>
          <w:sz w:val="24"/>
          <w:szCs w:val="24"/>
        </w:rPr>
        <w:t xml:space="preserve">18.07.2023 </w:t>
      </w:r>
      <w:r w:rsidRPr="00F978A4">
        <w:rPr>
          <w:rFonts w:ascii="Times New Roman" w:hAnsi="Times New Roman" w:cs="Times New Roman"/>
          <w:sz w:val="24"/>
          <w:szCs w:val="24"/>
        </w:rPr>
        <w:t xml:space="preserve">г. (резолютивная часть объявлена </w:t>
      </w:r>
      <w:r w:rsidR="00CA19D3">
        <w:rPr>
          <w:rFonts w:ascii="Times New Roman" w:hAnsi="Times New Roman" w:cs="Times New Roman"/>
          <w:sz w:val="24"/>
          <w:szCs w:val="24"/>
        </w:rPr>
        <w:t xml:space="preserve">18.07.2023 </w:t>
      </w:r>
      <w:r w:rsidRPr="00F978A4">
        <w:rPr>
          <w:rFonts w:ascii="Times New Roman" w:hAnsi="Times New Roman" w:cs="Times New Roman"/>
          <w:sz w:val="24"/>
          <w:szCs w:val="24"/>
        </w:rPr>
        <w:t xml:space="preserve">г.) по делу </w:t>
      </w:r>
      <w:r w:rsidRPr="00CA19D3" w:rsidR="00CA19D3">
        <w:rPr>
          <w:rFonts w:ascii="Times New Roman" w:hAnsi="Times New Roman" w:cs="Times New Roman"/>
          <w:sz w:val="24"/>
          <w:szCs w:val="24"/>
        </w:rPr>
        <w:t xml:space="preserve">№ А41-84432/2022 </w:t>
      </w:r>
      <w:r w:rsidRPr="00F978A4">
        <w:rPr>
          <w:rFonts w:ascii="Times New Roman" w:hAnsi="Times New Roman" w:cs="Times New Roman"/>
          <w:sz w:val="24"/>
          <w:szCs w:val="24"/>
        </w:rPr>
        <w:t xml:space="preserve"> ООО </w:t>
      </w:r>
      <w:r w:rsidR="00A90B7D">
        <w:rPr>
          <w:rFonts w:ascii="Times New Roman" w:hAnsi="Times New Roman" w:cs="Times New Roman"/>
          <w:sz w:val="24"/>
          <w:szCs w:val="24"/>
        </w:rPr>
        <w:t>«ГЕНСТРОЙПРОЕКТ»</w:t>
      </w:r>
      <w:r w:rsidRPr="00F978A4">
        <w:rPr>
          <w:rFonts w:ascii="Times New Roman" w:hAnsi="Times New Roman" w:cs="Times New Roman"/>
          <w:sz w:val="24"/>
          <w:szCs w:val="24"/>
        </w:rPr>
        <w:t xml:space="preserve"> (</w:t>
      </w:r>
      <w:r w:rsidRPr="00CA19D3" w:rsidR="00CA19D3">
        <w:rPr>
          <w:rFonts w:ascii="Times New Roman" w:hAnsi="Times New Roman" w:cs="Times New Roman"/>
          <w:sz w:val="24"/>
          <w:szCs w:val="24"/>
        </w:rPr>
        <w:t>ОГРН 1195081020640, ИНН 5047224485, адрес: 141420, Московская область, Химки, СХОДНЯ МИКРОРАЙОН, 2-Й ЧАПАЕВСКИЙ ПЕР, ДОМ 4, КВАРТИРА 152</w:t>
      </w:r>
      <w:r w:rsidRPr="00F978A4">
        <w:rPr>
          <w:rFonts w:ascii="Times New Roman" w:hAnsi="Times New Roman" w:cs="Times New Roman"/>
          <w:sz w:val="24"/>
          <w:szCs w:val="24"/>
        </w:rPr>
        <w:t>) признано несостоятельным (банкротом), открыто конкурсное производство. Исполнение обязанностей конкурсного управляющ</w:t>
      </w:r>
      <w:r w:rsidR="009C1FA4">
        <w:rPr>
          <w:rFonts w:ascii="Times New Roman" w:hAnsi="Times New Roman" w:cs="Times New Roman"/>
          <w:sz w:val="24"/>
          <w:szCs w:val="24"/>
        </w:rPr>
        <w:t>е</w:t>
      </w:r>
      <w:r w:rsidRPr="00F978A4">
        <w:rPr>
          <w:rFonts w:ascii="Times New Roman" w:hAnsi="Times New Roman" w:cs="Times New Roman"/>
          <w:sz w:val="24"/>
          <w:szCs w:val="24"/>
        </w:rPr>
        <w:t xml:space="preserve">го возложено на </w:t>
      </w:r>
      <w:r w:rsidR="00A90B7D">
        <w:rPr>
          <w:rFonts w:ascii="Times New Roman" w:hAnsi="Times New Roman" w:cs="Times New Roman"/>
          <w:sz w:val="24"/>
          <w:szCs w:val="24"/>
        </w:rPr>
        <w:t xml:space="preserve">Мусатова Владимира Владимировича </w:t>
      </w:r>
      <w:r w:rsidRPr="00F978A4">
        <w:rPr>
          <w:rFonts w:ascii="Times New Roman" w:hAnsi="Times New Roman" w:cs="Times New Roman"/>
          <w:sz w:val="24"/>
          <w:szCs w:val="24"/>
        </w:rPr>
        <w:t>(</w:t>
      </w:r>
      <w:r w:rsidRPr="00CA19D3" w:rsidR="00CA19D3">
        <w:rPr>
          <w:rFonts w:ascii="Times New Roman" w:hAnsi="Times New Roman" w:cs="Times New Roman"/>
          <w:sz w:val="24"/>
          <w:szCs w:val="24"/>
        </w:rPr>
        <w:t>ИНН 772704625006, СНИЛС 167-206-533 65, адрес для направления корреспонденции конкурсному управляющему: 107140, г Москва, а/я 65</w:t>
      </w:r>
      <w:r w:rsidRPr="00F978A4">
        <w:rPr>
          <w:rFonts w:ascii="Times New Roman" w:hAnsi="Times New Roman" w:cs="Times New Roman"/>
          <w:sz w:val="24"/>
          <w:szCs w:val="24"/>
        </w:rPr>
        <w:t>) – члена Ассоциации «Саморегулируемая организация арбитражных управляющих Центрального Федерального округа» (ОГРН 1027700542209, ИНН 7705431418, адрес: 115191, г</w:t>
      </w:r>
      <w:r w:rsidR="00CA19D3">
        <w:rPr>
          <w:rFonts w:ascii="Times New Roman" w:hAnsi="Times New Roman" w:cs="Times New Roman"/>
          <w:sz w:val="24"/>
          <w:szCs w:val="24"/>
        </w:rPr>
        <w:t>.</w:t>
      </w:r>
      <w:r w:rsidRPr="00F978A4">
        <w:rPr>
          <w:rFonts w:ascii="Times New Roman" w:hAnsi="Times New Roman" w:cs="Times New Roman"/>
          <w:sz w:val="24"/>
          <w:szCs w:val="24"/>
        </w:rPr>
        <w:t xml:space="preserve"> Москва, муниципальный округ Даниловский </w:t>
      </w:r>
      <w:r w:rsidRPr="00F978A4">
        <w:rPr>
          <w:rFonts w:ascii="Times New Roman" w:hAnsi="Times New Roman" w:cs="Times New Roman"/>
          <w:sz w:val="24"/>
          <w:szCs w:val="24"/>
        </w:rPr>
        <w:t>вн</w:t>
      </w:r>
      <w:r w:rsidRPr="00F978A4">
        <w:rPr>
          <w:rFonts w:ascii="Times New Roman" w:hAnsi="Times New Roman" w:cs="Times New Roman"/>
          <w:sz w:val="24"/>
          <w:szCs w:val="24"/>
        </w:rPr>
        <w:t xml:space="preserve">. тер. г., Гамсоновский пер., д. 2, этаж 1, ком. 85). </w:t>
      </w:r>
    </w:p>
    <w:p w:rsidR="00B32241" w:rsidP="00F978A4" w14:paraId="48A686DD" w14:textId="77777777">
      <w:pPr>
        <w:spacing w:line="240" w:lineRule="auto"/>
        <w:ind w:firstLine="709"/>
        <w:contextualSpacing/>
        <w:jc w:val="both"/>
        <w:rPr>
          <w:rFonts w:ascii="Times New Roman" w:hAnsi="Times New Roman" w:cs="Times New Roman"/>
          <w:sz w:val="24"/>
          <w:szCs w:val="24"/>
        </w:rPr>
      </w:pPr>
    </w:p>
    <w:p w:rsidR="00B32241" w:rsidRPr="00F978A4" w:rsidP="00B32241" w14:paraId="4A684D30" w14:textId="1E65F717">
      <w:pPr>
        <w:contextualSpacing/>
        <w:jc w:val="center"/>
        <w:rPr>
          <w:rFonts w:ascii="Times New Roman" w:hAnsi="Times New Roman" w:cs="Times New Roman"/>
          <w:b/>
          <w:bCs/>
          <w:sz w:val="24"/>
          <w:szCs w:val="24"/>
        </w:rPr>
      </w:pPr>
      <w:r w:rsidRPr="00F978A4">
        <w:rPr>
          <w:rFonts w:ascii="Times New Roman" w:hAnsi="Times New Roman" w:cs="Times New Roman"/>
          <w:b/>
          <w:bCs/>
          <w:sz w:val="24"/>
          <w:szCs w:val="24"/>
        </w:rPr>
        <w:t>2. Обязательные условия проведения торгов</w:t>
      </w:r>
    </w:p>
    <w:p w:rsidR="00F978A4" w:rsidP="00F978A4" w14:paraId="20473E51" w14:textId="2460EF45">
      <w:pPr>
        <w:spacing w:line="240" w:lineRule="atLeast"/>
        <w:ind w:firstLine="709"/>
        <w:contextualSpacing/>
        <w:jc w:val="both"/>
        <w:rPr>
          <w:rFonts w:ascii="Times New Roman" w:hAnsi="Times New Roman" w:cs="Times New Roman"/>
          <w:sz w:val="24"/>
          <w:szCs w:val="24"/>
        </w:rPr>
      </w:pPr>
      <w:r w:rsidRPr="00F978A4">
        <w:rPr>
          <w:rFonts w:ascii="Times New Roman" w:hAnsi="Times New Roman" w:cs="Times New Roman"/>
          <w:sz w:val="24"/>
          <w:szCs w:val="24"/>
        </w:rPr>
        <w:t xml:space="preserve">2.1. Предметом продажи является принадлежащее должнику следующие имущественные </w:t>
      </w:r>
      <w:r w:rsidR="00FE1B3C">
        <w:rPr>
          <w:rFonts w:ascii="Times New Roman" w:hAnsi="Times New Roman" w:cs="Times New Roman"/>
          <w:sz w:val="24"/>
          <w:szCs w:val="24"/>
        </w:rPr>
        <w:t xml:space="preserve">  </w:t>
      </w:r>
      <w:r w:rsidRPr="00F978A4">
        <w:rPr>
          <w:rFonts w:ascii="Times New Roman" w:hAnsi="Times New Roman" w:cs="Times New Roman"/>
          <w:sz w:val="24"/>
          <w:szCs w:val="24"/>
        </w:rPr>
        <w:t xml:space="preserve">права: </w:t>
      </w:r>
    </w:p>
    <w:tbl>
      <w:tblPr>
        <w:tblStyle w:val="TableGrid"/>
        <w:tblW w:w="10485" w:type="dxa"/>
        <w:tblLook w:val="04A0"/>
      </w:tblPr>
      <w:tblGrid>
        <w:gridCol w:w="704"/>
        <w:gridCol w:w="2835"/>
        <w:gridCol w:w="2410"/>
        <w:gridCol w:w="2126"/>
        <w:gridCol w:w="2410"/>
      </w:tblGrid>
      <w:tr w14:paraId="398C0E20" w14:textId="77777777" w:rsidTr="005539A5">
        <w:tblPrEx>
          <w:tblW w:w="10485" w:type="dxa"/>
          <w:tblLook w:val="04A0"/>
        </w:tblPrEx>
        <w:trPr>
          <w:trHeight w:val="736"/>
        </w:trPr>
        <w:tc>
          <w:tcPr>
            <w:tcW w:w="704" w:type="dxa"/>
          </w:tcPr>
          <w:p w:rsidR="005539A5" w:rsidRPr="00FC19D7" w:rsidP="009C1FA4" w14:paraId="6E614726" w14:textId="79AF96F9">
            <w:pPr>
              <w:spacing w:line="240" w:lineRule="atLeast"/>
              <w:contextualSpacing/>
              <w:jc w:val="center"/>
              <w:rPr>
                <w:rFonts w:ascii="Times New Roman" w:hAnsi="Times New Roman" w:cs="Times New Roman"/>
                <w:b/>
                <w:bCs/>
                <w:sz w:val="20"/>
                <w:szCs w:val="20"/>
              </w:rPr>
            </w:pPr>
            <w:r w:rsidRPr="00FC19D7">
              <w:rPr>
                <w:rFonts w:ascii="Times New Roman" w:hAnsi="Times New Roman" w:cs="Times New Roman"/>
                <w:b/>
                <w:bCs/>
                <w:sz w:val="20"/>
                <w:szCs w:val="20"/>
              </w:rPr>
              <w:t>№ п/п лота</w:t>
            </w:r>
          </w:p>
        </w:tc>
        <w:tc>
          <w:tcPr>
            <w:tcW w:w="2835" w:type="dxa"/>
          </w:tcPr>
          <w:p w:rsidR="005539A5" w:rsidRPr="00FC19D7" w:rsidP="009C1FA4" w14:paraId="24F35C57" w14:textId="00BF83FE">
            <w:pPr>
              <w:spacing w:line="240" w:lineRule="atLeast"/>
              <w:contextualSpacing/>
              <w:jc w:val="center"/>
              <w:rPr>
                <w:rFonts w:ascii="Times New Roman" w:hAnsi="Times New Roman" w:cs="Times New Roman"/>
                <w:b/>
                <w:bCs/>
                <w:sz w:val="20"/>
                <w:szCs w:val="20"/>
              </w:rPr>
            </w:pPr>
            <w:r w:rsidRPr="00FC19D7">
              <w:rPr>
                <w:rFonts w:ascii="Times New Roman" w:hAnsi="Times New Roman" w:cs="Times New Roman"/>
                <w:b/>
                <w:bCs/>
                <w:sz w:val="20"/>
                <w:szCs w:val="20"/>
              </w:rPr>
              <w:t>Должник</w:t>
            </w:r>
          </w:p>
        </w:tc>
        <w:tc>
          <w:tcPr>
            <w:tcW w:w="2410" w:type="dxa"/>
          </w:tcPr>
          <w:p w:rsidR="005539A5" w:rsidRPr="00FC19D7" w:rsidP="009C1FA4" w14:paraId="2900F3D7" w14:textId="60E46C6F">
            <w:pPr>
              <w:spacing w:line="240" w:lineRule="atLeast"/>
              <w:contextualSpacing/>
              <w:rPr>
                <w:rFonts w:ascii="Times New Roman" w:hAnsi="Times New Roman" w:cs="Times New Roman"/>
                <w:b/>
                <w:bCs/>
                <w:sz w:val="20"/>
                <w:szCs w:val="20"/>
              </w:rPr>
            </w:pPr>
            <w:r>
              <w:rPr>
                <w:rFonts w:ascii="Times New Roman" w:hAnsi="Times New Roman" w:cs="Times New Roman"/>
                <w:b/>
                <w:bCs/>
                <w:sz w:val="20"/>
                <w:szCs w:val="20"/>
              </w:rPr>
              <w:t xml:space="preserve">Основания возникновения </w:t>
            </w:r>
          </w:p>
        </w:tc>
        <w:tc>
          <w:tcPr>
            <w:tcW w:w="2126" w:type="dxa"/>
          </w:tcPr>
          <w:p w:rsidR="005539A5" w:rsidRPr="00FC19D7" w:rsidP="009C1FA4" w14:paraId="272A3FDC" w14:textId="38762F4A">
            <w:pPr>
              <w:spacing w:line="240" w:lineRule="atLeast"/>
              <w:contextualSpacing/>
              <w:rPr>
                <w:rFonts w:ascii="Times New Roman" w:hAnsi="Times New Roman" w:cs="Times New Roman"/>
                <w:b/>
                <w:bCs/>
                <w:sz w:val="20"/>
                <w:szCs w:val="20"/>
              </w:rPr>
            </w:pPr>
            <w:r w:rsidRPr="00FC19D7">
              <w:rPr>
                <w:rFonts w:ascii="Times New Roman" w:hAnsi="Times New Roman" w:cs="Times New Roman"/>
                <w:b/>
                <w:bCs/>
                <w:sz w:val="20"/>
                <w:szCs w:val="20"/>
              </w:rPr>
              <w:t>Сумма задолженности, руб.</w:t>
            </w:r>
          </w:p>
        </w:tc>
        <w:tc>
          <w:tcPr>
            <w:tcW w:w="2410" w:type="dxa"/>
          </w:tcPr>
          <w:p w:rsidR="005539A5" w:rsidP="009C1FA4" w14:paraId="4A05CD88" w14:textId="77777777">
            <w:pPr>
              <w:spacing w:line="240" w:lineRule="atLeast"/>
              <w:contextualSpacing/>
              <w:rPr>
                <w:rFonts w:ascii="Times New Roman" w:hAnsi="Times New Roman" w:cs="Times New Roman"/>
                <w:b/>
                <w:bCs/>
                <w:sz w:val="20"/>
                <w:szCs w:val="20"/>
              </w:rPr>
            </w:pPr>
            <w:r w:rsidRPr="00FC19D7">
              <w:rPr>
                <w:rFonts w:ascii="Times New Roman" w:hAnsi="Times New Roman" w:cs="Times New Roman"/>
                <w:b/>
                <w:bCs/>
                <w:sz w:val="20"/>
                <w:szCs w:val="20"/>
              </w:rPr>
              <w:t>Цена лота равна</w:t>
            </w:r>
          </w:p>
          <w:p w:rsidR="005539A5" w:rsidP="009C1FA4" w14:paraId="689B863A" w14:textId="77777777">
            <w:pPr>
              <w:spacing w:line="240" w:lineRule="atLeast"/>
              <w:contextualSpacing/>
              <w:rPr>
                <w:rFonts w:ascii="Times New Roman" w:hAnsi="Times New Roman" w:cs="Times New Roman"/>
                <w:b/>
                <w:bCs/>
                <w:sz w:val="20"/>
                <w:szCs w:val="20"/>
              </w:rPr>
            </w:pPr>
            <w:r w:rsidRPr="00FC19D7">
              <w:rPr>
                <w:rFonts w:ascii="Times New Roman" w:hAnsi="Times New Roman" w:cs="Times New Roman"/>
                <w:b/>
                <w:bCs/>
                <w:sz w:val="20"/>
                <w:szCs w:val="20"/>
              </w:rPr>
              <w:t xml:space="preserve">номинальному размеру </w:t>
            </w:r>
          </w:p>
          <w:p w:rsidR="005539A5" w:rsidRPr="00FC19D7" w:rsidP="009C1FA4" w14:paraId="1AE0B4FD" w14:textId="3E1C8EB5">
            <w:pPr>
              <w:spacing w:line="240" w:lineRule="atLeast"/>
              <w:contextualSpacing/>
              <w:rPr>
                <w:rFonts w:ascii="Times New Roman" w:hAnsi="Times New Roman" w:cs="Times New Roman"/>
                <w:b/>
                <w:bCs/>
                <w:sz w:val="20"/>
                <w:szCs w:val="20"/>
              </w:rPr>
            </w:pPr>
            <w:r w:rsidRPr="00FC19D7">
              <w:rPr>
                <w:rFonts w:ascii="Times New Roman" w:hAnsi="Times New Roman" w:cs="Times New Roman"/>
                <w:b/>
                <w:bCs/>
                <w:sz w:val="20"/>
                <w:szCs w:val="20"/>
              </w:rPr>
              <w:t>требования</w:t>
            </w:r>
          </w:p>
        </w:tc>
      </w:tr>
      <w:tr w14:paraId="1D305FC1" w14:textId="77777777" w:rsidTr="005539A5">
        <w:tblPrEx>
          <w:tblW w:w="10485" w:type="dxa"/>
          <w:tblLook w:val="04A0"/>
        </w:tblPrEx>
        <w:trPr>
          <w:trHeight w:val="406"/>
        </w:trPr>
        <w:tc>
          <w:tcPr>
            <w:tcW w:w="704" w:type="dxa"/>
          </w:tcPr>
          <w:p w:rsidR="005539A5" w:rsidRPr="00FC19D7" w:rsidP="000D50FD" w14:paraId="4D06AEA7" w14:textId="0A4C1DE3">
            <w:pPr>
              <w:spacing w:line="240" w:lineRule="atLeast"/>
              <w:contextualSpacing/>
              <w:jc w:val="center"/>
              <w:rPr>
                <w:rFonts w:ascii="Times New Roman" w:hAnsi="Times New Roman" w:cs="Times New Roman"/>
                <w:sz w:val="20"/>
                <w:szCs w:val="20"/>
              </w:rPr>
            </w:pPr>
            <w:bookmarkStart w:id="1" w:name="_Hlk194917855"/>
            <w:r w:rsidRPr="00FC19D7">
              <w:rPr>
                <w:rFonts w:ascii="Times New Roman" w:hAnsi="Times New Roman" w:cs="Times New Roman"/>
                <w:sz w:val="20"/>
                <w:szCs w:val="20"/>
              </w:rPr>
              <w:t>1</w:t>
            </w:r>
          </w:p>
        </w:tc>
        <w:tc>
          <w:tcPr>
            <w:tcW w:w="2835" w:type="dxa"/>
          </w:tcPr>
          <w:p w:rsidR="005539A5" w:rsidRPr="00FC19D7" w:rsidP="000D50FD" w14:paraId="14670C05" w14:textId="1E0CE484">
            <w:pPr>
              <w:spacing w:line="240" w:lineRule="atLeast"/>
              <w:contextualSpacing/>
              <w:rPr>
                <w:rFonts w:ascii="Times New Roman" w:hAnsi="Times New Roman" w:cs="Times New Roman"/>
                <w:sz w:val="20"/>
                <w:szCs w:val="20"/>
              </w:rPr>
            </w:pPr>
            <w:r w:rsidRPr="00FC19D7">
              <w:rPr>
                <w:rFonts w:ascii="Times New Roman" w:hAnsi="Times New Roman" w:cs="Times New Roman"/>
                <w:sz w:val="20"/>
                <w:szCs w:val="20"/>
              </w:rPr>
              <w:t xml:space="preserve"> </w:t>
            </w:r>
            <w:r w:rsidRPr="00602010">
              <w:rPr>
                <w:rFonts w:ascii="Times New Roman" w:hAnsi="Times New Roman" w:cs="Times New Roman"/>
                <w:sz w:val="20"/>
                <w:szCs w:val="20"/>
              </w:rPr>
              <w:t>ООО "КАЗАРИККА"</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ИНН </w:t>
            </w:r>
            <w:r w:rsidRPr="00602010">
              <w:rPr>
                <w:rFonts w:ascii="Times New Roman" w:hAnsi="Times New Roman" w:cs="Times New Roman"/>
                <w:sz w:val="20"/>
                <w:szCs w:val="20"/>
              </w:rPr>
              <w:t>7714361735</w:t>
            </w:r>
            <w:r>
              <w:rPr>
                <w:rFonts w:ascii="Times New Roman" w:hAnsi="Times New Roman" w:cs="Times New Roman"/>
                <w:sz w:val="20"/>
                <w:szCs w:val="20"/>
              </w:rPr>
              <w:t>)</w:t>
            </w:r>
          </w:p>
        </w:tc>
        <w:tc>
          <w:tcPr>
            <w:tcW w:w="2410" w:type="dxa"/>
          </w:tcPr>
          <w:p w:rsidR="005539A5" w:rsidRPr="00602010" w:rsidP="005539A5" w14:paraId="59175D4E" w14:textId="779B1DE4">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 xml:space="preserve">Определение (резолютивная часть) </w:t>
            </w:r>
            <w:r w:rsidRPr="00314911">
              <w:rPr>
                <w:rFonts w:ascii="Times New Roman" w:hAnsi="Times New Roman" w:cs="Times New Roman"/>
                <w:sz w:val="20"/>
                <w:szCs w:val="20"/>
              </w:rPr>
              <w:t xml:space="preserve">Арбитражного суда Московской области </w:t>
            </w:r>
            <w:r>
              <w:rPr>
                <w:rFonts w:ascii="Times New Roman" w:hAnsi="Times New Roman" w:cs="Times New Roman"/>
                <w:sz w:val="20"/>
                <w:szCs w:val="20"/>
              </w:rPr>
              <w:t xml:space="preserve">             по делу №А41-84432/22 от 04.02.2025</w:t>
            </w:r>
          </w:p>
        </w:tc>
        <w:tc>
          <w:tcPr>
            <w:tcW w:w="2126" w:type="dxa"/>
          </w:tcPr>
          <w:p w:rsidR="005539A5" w:rsidRPr="00FC19D7" w:rsidP="00FD5958" w14:paraId="5044DD01" w14:textId="24973D4C">
            <w:pPr>
              <w:spacing w:line="240" w:lineRule="atLeast"/>
              <w:contextualSpacing/>
              <w:rPr>
                <w:rFonts w:ascii="Times New Roman" w:hAnsi="Times New Roman" w:cs="Times New Roman"/>
                <w:sz w:val="20"/>
                <w:szCs w:val="20"/>
              </w:rPr>
            </w:pPr>
            <w:r w:rsidRPr="00602010">
              <w:rPr>
                <w:rFonts w:ascii="Times New Roman" w:hAnsi="Times New Roman" w:cs="Times New Roman"/>
                <w:sz w:val="20"/>
                <w:szCs w:val="20"/>
              </w:rPr>
              <w:t>2 096 000,00 руб.</w:t>
            </w:r>
          </w:p>
        </w:tc>
        <w:tc>
          <w:tcPr>
            <w:tcW w:w="2410" w:type="dxa"/>
          </w:tcPr>
          <w:p w:rsidR="005539A5" w:rsidRPr="00FC19D7" w:rsidP="00FD5958" w14:paraId="7CDF4A3F" w14:textId="0E8DB739">
            <w:pPr>
              <w:spacing w:line="240" w:lineRule="atLeast"/>
              <w:contextualSpacing/>
              <w:rPr>
                <w:rFonts w:ascii="Times New Roman" w:hAnsi="Times New Roman" w:cs="Times New Roman"/>
                <w:sz w:val="20"/>
                <w:szCs w:val="20"/>
              </w:rPr>
            </w:pPr>
            <w:r w:rsidRPr="00602010">
              <w:rPr>
                <w:rFonts w:ascii="Times New Roman" w:hAnsi="Times New Roman" w:cs="Times New Roman"/>
                <w:sz w:val="20"/>
                <w:szCs w:val="20"/>
              </w:rPr>
              <w:t>2 096 000,00 руб.</w:t>
            </w:r>
          </w:p>
        </w:tc>
      </w:tr>
      <w:tr w14:paraId="7C41F07C" w14:textId="77777777" w:rsidTr="005539A5">
        <w:tblPrEx>
          <w:tblW w:w="10485" w:type="dxa"/>
          <w:tblLook w:val="04A0"/>
        </w:tblPrEx>
        <w:trPr>
          <w:trHeight w:val="428"/>
        </w:trPr>
        <w:tc>
          <w:tcPr>
            <w:tcW w:w="704" w:type="dxa"/>
          </w:tcPr>
          <w:p w:rsidR="005539A5" w:rsidRPr="00FC19D7" w:rsidP="000D50FD" w14:paraId="63D6352B" w14:textId="362E997E">
            <w:pPr>
              <w:spacing w:line="240" w:lineRule="atLeast"/>
              <w:contextualSpacing/>
              <w:jc w:val="center"/>
              <w:rPr>
                <w:rFonts w:ascii="Times New Roman" w:hAnsi="Times New Roman" w:cs="Times New Roman"/>
                <w:sz w:val="20"/>
                <w:szCs w:val="20"/>
              </w:rPr>
            </w:pPr>
            <w:r w:rsidRPr="00FC19D7">
              <w:rPr>
                <w:rFonts w:ascii="Times New Roman" w:hAnsi="Times New Roman" w:cs="Times New Roman"/>
                <w:sz w:val="20"/>
                <w:szCs w:val="20"/>
              </w:rPr>
              <w:t>2</w:t>
            </w:r>
          </w:p>
        </w:tc>
        <w:tc>
          <w:tcPr>
            <w:tcW w:w="2835" w:type="dxa"/>
          </w:tcPr>
          <w:p w:rsidR="005539A5" w:rsidRPr="00FC19D7" w:rsidP="000D50FD" w14:paraId="2BC2AC75" w14:textId="07464F16">
            <w:pPr>
              <w:spacing w:line="240" w:lineRule="atLeast"/>
              <w:contextualSpacing/>
              <w:rPr>
                <w:rFonts w:ascii="Times New Roman" w:hAnsi="Times New Roman" w:cs="Times New Roman"/>
                <w:sz w:val="20"/>
                <w:szCs w:val="20"/>
              </w:rPr>
            </w:pPr>
            <w:r w:rsidRPr="000A6312">
              <w:rPr>
                <w:rFonts w:ascii="Times New Roman" w:hAnsi="Times New Roman" w:cs="Times New Roman"/>
                <w:sz w:val="20"/>
                <w:szCs w:val="20"/>
              </w:rPr>
              <w:t>Ветров Александр Валерьевич</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ИНН </w:t>
            </w:r>
            <w:r w:rsidRPr="000A6312">
              <w:rPr>
                <w:rFonts w:ascii="Times New Roman" w:hAnsi="Times New Roman" w:cs="Times New Roman"/>
                <w:sz w:val="20"/>
                <w:szCs w:val="20"/>
              </w:rPr>
              <w:t>234500194589</w:t>
            </w:r>
            <w:r>
              <w:rPr>
                <w:rFonts w:ascii="Times New Roman" w:hAnsi="Times New Roman" w:cs="Times New Roman"/>
                <w:sz w:val="20"/>
                <w:szCs w:val="20"/>
              </w:rPr>
              <w:t>)</w:t>
            </w:r>
          </w:p>
        </w:tc>
        <w:tc>
          <w:tcPr>
            <w:tcW w:w="2410" w:type="dxa"/>
          </w:tcPr>
          <w:p w:rsidR="005539A5" w:rsidRPr="00B677D7" w:rsidP="005539A5" w14:paraId="31156D82" w14:textId="306E1699">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О</w:t>
            </w:r>
            <w:r w:rsidRPr="00314911">
              <w:rPr>
                <w:rFonts w:ascii="Times New Roman" w:hAnsi="Times New Roman" w:cs="Times New Roman"/>
                <w:sz w:val="20"/>
                <w:szCs w:val="20"/>
              </w:rPr>
              <w:t>пределение</w:t>
            </w:r>
            <w:r>
              <w:rPr>
                <w:rFonts w:ascii="Times New Roman" w:hAnsi="Times New Roman" w:cs="Times New Roman"/>
                <w:sz w:val="20"/>
                <w:szCs w:val="20"/>
              </w:rPr>
              <w:t xml:space="preserve"> (резолютивная часть) </w:t>
            </w:r>
            <w:r w:rsidRPr="00314911">
              <w:rPr>
                <w:rFonts w:ascii="Times New Roman" w:hAnsi="Times New Roman" w:cs="Times New Roman"/>
                <w:sz w:val="20"/>
                <w:szCs w:val="20"/>
              </w:rPr>
              <w:t xml:space="preserve">Арбитражного суда Московской области </w:t>
            </w:r>
            <w:r>
              <w:rPr>
                <w:rFonts w:ascii="Times New Roman" w:hAnsi="Times New Roman" w:cs="Times New Roman"/>
                <w:sz w:val="20"/>
                <w:szCs w:val="20"/>
              </w:rPr>
              <w:t xml:space="preserve">по делу №А41-84432/22                             </w:t>
            </w:r>
            <w:r w:rsidRPr="00314911">
              <w:rPr>
                <w:rFonts w:ascii="Times New Roman" w:hAnsi="Times New Roman" w:cs="Times New Roman"/>
                <w:sz w:val="20"/>
                <w:szCs w:val="20"/>
              </w:rPr>
              <w:t>от 04.06.2024 </w:t>
            </w:r>
          </w:p>
        </w:tc>
        <w:tc>
          <w:tcPr>
            <w:tcW w:w="2126" w:type="dxa"/>
          </w:tcPr>
          <w:p w:rsidR="005539A5" w:rsidRPr="00FC19D7" w:rsidP="00FD5958" w14:paraId="665EC551" w14:textId="70636B39">
            <w:pPr>
              <w:spacing w:line="240" w:lineRule="atLeast"/>
              <w:contextualSpacing/>
              <w:rPr>
                <w:rFonts w:ascii="Times New Roman" w:hAnsi="Times New Roman" w:cs="Times New Roman"/>
                <w:sz w:val="20"/>
                <w:szCs w:val="20"/>
              </w:rPr>
            </w:pPr>
            <w:r w:rsidRPr="00B677D7">
              <w:rPr>
                <w:rFonts w:ascii="Times New Roman" w:hAnsi="Times New Roman" w:cs="Times New Roman"/>
                <w:sz w:val="20"/>
                <w:szCs w:val="20"/>
              </w:rPr>
              <w:t>1 273 400,00 руб.</w:t>
            </w:r>
          </w:p>
        </w:tc>
        <w:tc>
          <w:tcPr>
            <w:tcW w:w="2410" w:type="dxa"/>
          </w:tcPr>
          <w:p w:rsidR="005539A5" w:rsidRPr="00FC19D7" w:rsidP="00FD5958" w14:paraId="5CC492D6" w14:textId="6DBAAF84">
            <w:pPr>
              <w:spacing w:line="240" w:lineRule="atLeast"/>
              <w:contextualSpacing/>
              <w:rPr>
                <w:rFonts w:ascii="Times New Roman" w:hAnsi="Times New Roman" w:cs="Times New Roman"/>
                <w:sz w:val="20"/>
                <w:szCs w:val="20"/>
              </w:rPr>
            </w:pPr>
            <w:r w:rsidRPr="00B677D7">
              <w:rPr>
                <w:rFonts w:ascii="Times New Roman" w:hAnsi="Times New Roman" w:cs="Times New Roman"/>
                <w:sz w:val="20"/>
                <w:szCs w:val="20"/>
              </w:rPr>
              <w:t>1 273 400,00 руб.</w:t>
            </w:r>
          </w:p>
        </w:tc>
      </w:tr>
      <w:tr w14:paraId="62805674" w14:textId="77777777" w:rsidTr="005539A5">
        <w:tblPrEx>
          <w:tblW w:w="10485" w:type="dxa"/>
          <w:tblLook w:val="04A0"/>
        </w:tblPrEx>
        <w:trPr>
          <w:trHeight w:val="408"/>
        </w:trPr>
        <w:tc>
          <w:tcPr>
            <w:tcW w:w="704" w:type="dxa"/>
          </w:tcPr>
          <w:p w:rsidR="005539A5" w:rsidRPr="00FC19D7" w:rsidP="000D50FD" w14:paraId="08B3AF99" w14:textId="3BEEE376">
            <w:pPr>
              <w:spacing w:line="240" w:lineRule="atLeast"/>
              <w:contextualSpacing/>
              <w:jc w:val="center"/>
              <w:rPr>
                <w:rFonts w:ascii="Times New Roman" w:hAnsi="Times New Roman" w:cs="Times New Roman"/>
                <w:sz w:val="20"/>
                <w:szCs w:val="20"/>
              </w:rPr>
            </w:pPr>
            <w:r w:rsidRPr="00FC19D7">
              <w:rPr>
                <w:rFonts w:ascii="Times New Roman" w:hAnsi="Times New Roman" w:cs="Times New Roman"/>
                <w:sz w:val="20"/>
                <w:szCs w:val="20"/>
              </w:rPr>
              <w:t>3</w:t>
            </w:r>
          </w:p>
        </w:tc>
        <w:tc>
          <w:tcPr>
            <w:tcW w:w="2835" w:type="dxa"/>
          </w:tcPr>
          <w:p w:rsidR="005539A5" w:rsidRPr="00FC19D7" w:rsidP="000D50FD" w14:paraId="70643F72" w14:textId="00E49497">
            <w:pPr>
              <w:spacing w:line="240" w:lineRule="atLeast"/>
              <w:contextualSpacing/>
              <w:rPr>
                <w:rFonts w:ascii="Times New Roman" w:hAnsi="Times New Roman" w:cs="Times New Roman"/>
                <w:sz w:val="20"/>
                <w:szCs w:val="20"/>
              </w:rPr>
            </w:pPr>
            <w:r w:rsidRPr="000A6312">
              <w:rPr>
                <w:rFonts w:ascii="Times New Roman" w:hAnsi="Times New Roman" w:cs="Times New Roman"/>
                <w:sz w:val="20"/>
                <w:szCs w:val="20"/>
              </w:rPr>
              <w:t>Голубева Елена Юрьевна</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ИНН </w:t>
            </w:r>
            <w:r w:rsidRPr="000A6312">
              <w:rPr>
                <w:rFonts w:ascii="Times New Roman" w:hAnsi="Times New Roman" w:cs="Times New Roman"/>
                <w:sz w:val="20"/>
                <w:szCs w:val="20"/>
              </w:rPr>
              <w:t>540529640378</w:t>
            </w:r>
            <w:r>
              <w:rPr>
                <w:rFonts w:ascii="Times New Roman" w:hAnsi="Times New Roman" w:cs="Times New Roman"/>
                <w:sz w:val="20"/>
                <w:szCs w:val="20"/>
              </w:rPr>
              <w:t>)</w:t>
            </w:r>
          </w:p>
        </w:tc>
        <w:tc>
          <w:tcPr>
            <w:tcW w:w="2410" w:type="dxa"/>
          </w:tcPr>
          <w:p w:rsidR="005539A5" w:rsidRPr="000A6312" w:rsidP="005539A5" w14:paraId="6DE3746F" w14:textId="1591F42C">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 xml:space="preserve">Определение Арбитражного суда Московской области по </w:t>
            </w:r>
            <w:r>
              <w:rPr>
                <w:rFonts w:ascii="Times New Roman" w:hAnsi="Times New Roman" w:cs="Times New Roman"/>
                <w:sz w:val="20"/>
                <w:szCs w:val="20"/>
              </w:rPr>
              <w:t xml:space="preserve">делу №А41-84432/22 </w:t>
            </w:r>
            <w:r w:rsidR="00BF5999">
              <w:rPr>
                <w:rFonts w:ascii="Times New Roman" w:hAnsi="Times New Roman" w:cs="Times New Roman"/>
                <w:sz w:val="20"/>
                <w:szCs w:val="20"/>
              </w:rPr>
              <w:t xml:space="preserve">                               </w:t>
            </w:r>
            <w:r>
              <w:rPr>
                <w:rFonts w:ascii="Times New Roman" w:hAnsi="Times New Roman" w:cs="Times New Roman"/>
                <w:sz w:val="20"/>
                <w:szCs w:val="20"/>
              </w:rPr>
              <w:t xml:space="preserve">от </w:t>
            </w:r>
            <w:r w:rsidR="00314911">
              <w:rPr>
                <w:rFonts w:ascii="Times New Roman" w:hAnsi="Times New Roman" w:cs="Times New Roman"/>
                <w:sz w:val="20"/>
                <w:szCs w:val="20"/>
              </w:rPr>
              <w:t>25</w:t>
            </w:r>
            <w:r>
              <w:rPr>
                <w:rFonts w:ascii="Times New Roman" w:hAnsi="Times New Roman" w:cs="Times New Roman"/>
                <w:sz w:val="20"/>
                <w:szCs w:val="20"/>
              </w:rPr>
              <w:t>.07.2024</w:t>
            </w:r>
          </w:p>
        </w:tc>
        <w:tc>
          <w:tcPr>
            <w:tcW w:w="2126" w:type="dxa"/>
          </w:tcPr>
          <w:p w:rsidR="005539A5" w:rsidRPr="000A6312" w:rsidP="00FD5958" w14:paraId="4F373E56" w14:textId="1E16DB30">
            <w:pPr>
              <w:spacing w:line="240" w:lineRule="atLeast"/>
              <w:contextualSpacing/>
              <w:rPr>
                <w:rFonts w:ascii="Times New Roman" w:hAnsi="Times New Roman" w:cs="Times New Roman"/>
                <w:sz w:val="20"/>
                <w:szCs w:val="20"/>
              </w:rPr>
            </w:pPr>
            <w:r w:rsidRPr="000A6312">
              <w:rPr>
                <w:rFonts w:ascii="Times New Roman" w:hAnsi="Times New Roman" w:cs="Times New Roman"/>
                <w:sz w:val="20"/>
                <w:szCs w:val="20"/>
              </w:rPr>
              <w:t>4 469 900,00 руб.</w:t>
            </w:r>
          </w:p>
          <w:p w:rsidR="005539A5" w:rsidRPr="00FC19D7" w:rsidP="00FD5958" w14:paraId="50E2E176" w14:textId="6DEB5A21">
            <w:pPr>
              <w:spacing w:line="240" w:lineRule="atLeast"/>
              <w:contextualSpacing/>
              <w:rPr>
                <w:rFonts w:ascii="Times New Roman" w:hAnsi="Times New Roman" w:cs="Times New Roman"/>
                <w:sz w:val="20"/>
                <w:szCs w:val="20"/>
              </w:rPr>
            </w:pPr>
          </w:p>
        </w:tc>
        <w:tc>
          <w:tcPr>
            <w:tcW w:w="2410" w:type="dxa"/>
          </w:tcPr>
          <w:p w:rsidR="005539A5" w:rsidRPr="000A6312" w:rsidP="00FD5958" w14:paraId="2DEC426E" w14:textId="77777777">
            <w:pPr>
              <w:spacing w:line="240" w:lineRule="atLeast"/>
              <w:contextualSpacing/>
              <w:rPr>
                <w:rFonts w:ascii="Times New Roman" w:hAnsi="Times New Roman" w:cs="Times New Roman"/>
                <w:sz w:val="20"/>
                <w:szCs w:val="20"/>
              </w:rPr>
            </w:pPr>
            <w:r w:rsidRPr="000A6312">
              <w:rPr>
                <w:rFonts w:ascii="Times New Roman" w:hAnsi="Times New Roman" w:cs="Times New Roman"/>
                <w:sz w:val="20"/>
                <w:szCs w:val="20"/>
              </w:rPr>
              <w:t>4 469 900,00 руб.</w:t>
            </w:r>
          </w:p>
          <w:p w:rsidR="005539A5" w:rsidRPr="00FC19D7" w:rsidP="00FD5958" w14:paraId="2AF05F2F" w14:textId="5BDBF26E">
            <w:pPr>
              <w:spacing w:line="240" w:lineRule="atLeast"/>
              <w:contextualSpacing/>
              <w:rPr>
                <w:rFonts w:ascii="Times New Roman" w:hAnsi="Times New Roman" w:cs="Times New Roman"/>
                <w:sz w:val="20"/>
                <w:szCs w:val="20"/>
              </w:rPr>
            </w:pPr>
          </w:p>
        </w:tc>
      </w:tr>
      <w:tr w14:paraId="3BB5BF9F" w14:textId="77777777" w:rsidTr="005539A5">
        <w:tblPrEx>
          <w:tblW w:w="10485" w:type="dxa"/>
          <w:tblLook w:val="04A0"/>
        </w:tblPrEx>
        <w:trPr>
          <w:trHeight w:val="444"/>
        </w:trPr>
        <w:tc>
          <w:tcPr>
            <w:tcW w:w="704" w:type="dxa"/>
          </w:tcPr>
          <w:p w:rsidR="005539A5" w:rsidRPr="00FC19D7" w:rsidP="000D50FD" w14:paraId="113297EB" w14:textId="468517A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2835" w:type="dxa"/>
          </w:tcPr>
          <w:p w:rsidR="005539A5" w:rsidRPr="000A6312" w:rsidP="000D50FD" w14:paraId="5CFAC565" w14:textId="08A22263">
            <w:pPr>
              <w:spacing w:line="240" w:lineRule="atLeast"/>
              <w:contextualSpacing/>
              <w:rPr>
                <w:rFonts w:ascii="Times New Roman" w:hAnsi="Times New Roman" w:cs="Times New Roman"/>
                <w:sz w:val="20"/>
                <w:szCs w:val="20"/>
              </w:rPr>
            </w:pPr>
            <w:r w:rsidRPr="000A6312">
              <w:rPr>
                <w:rFonts w:ascii="Times New Roman" w:hAnsi="Times New Roman" w:cs="Times New Roman"/>
                <w:sz w:val="20"/>
                <w:szCs w:val="20"/>
              </w:rPr>
              <w:t>Горбачева Татьяна Игоревна</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ИНН</w:t>
            </w:r>
            <w:r>
              <w:t xml:space="preserve"> </w:t>
            </w:r>
            <w:r w:rsidRPr="000A6312">
              <w:rPr>
                <w:rFonts w:ascii="Times New Roman" w:hAnsi="Times New Roman" w:cs="Times New Roman"/>
                <w:sz w:val="20"/>
                <w:szCs w:val="20"/>
              </w:rPr>
              <w:t>502703488808</w:t>
            </w:r>
            <w:r>
              <w:rPr>
                <w:rFonts w:ascii="Times New Roman" w:hAnsi="Times New Roman" w:cs="Times New Roman"/>
                <w:sz w:val="20"/>
                <w:szCs w:val="20"/>
              </w:rPr>
              <w:t>)</w:t>
            </w:r>
          </w:p>
        </w:tc>
        <w:tc>
          <w:tcPr>
            <w:tcW w:w="2410" w:type="dxa"/>
          </w:tcPr>
          <w:p w:rsidR="005539A5" w:rsidRPr="000A6312" w:rsidP="005539A5" w14:paraId="1B8136EA" w14:textId="70D83A7C">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 xml:space="preserve">Определение (резолютивная часть) </w:t>
            </w:r>
            <w:r w:rsidRPr="00314911">
              <w:rPr>
                <w:rFonts w:ascii="Times New Roman" w:hAnsi="Times New Roman" w:cs="Times New Roman"/>
                <w:sz w:val="20"/>
                <w:szCs w:val="20"/>
              </w:rPr>
              <w:t xml:space="preserve">Арбитражного суда Московской области </w:t>
            </w:r>
            <w:r>
              <w:rPr>
                <w:rFonts w:ascii="Times New Roman" w:hAnsi="Times New Roman" w:cs="Times New Roman"/>
                <w:sz w:val="20"/>
                <w:szCs w:val="20"/>
              </w:rPr>
              <w:t xml:space="preserve">             по делу №А41-84432/22 от 04.02.2025</w:t>
            </w:r>
          </w:p>
        </w:tc>
        <w:tc>
          <w:tcPr>
            <w:tcW w:w="2126" w:type="dxa"/>
          </w:tcPr>
          <w:p w:rsidR="005539A5" w:rsidRPr="00FC19D7" w:rsidP="00FD5958" w14:paraId="1B73A848" w14:textId="49F6C8C6">
            <w:pPr>
              <w:spacing w:line="240" w:lineRule="atLeast"/>
              <w:contextualSpacing/>
              <w:rPr>
                <w:rFonts w:ascii="Times New Roman" w:hAnsi="Times New Roman" w:cs="Times New Roman"/>
                <w:sz w:val="20"/>
                <w:szCs w:val="20"/>
              </w:rPr>
            </w:pPr>
            <w:r w:rsidRPr="000A6312">
              <w:rPr>
                <w:rFonts w:ascii="Times New Roman" w:hAnsi="Times New Roman" w:cs="Times New Roman"/>
                <w:sz w:val="20"/>
                <w:szCs w:val="20"/>
              </w:rPr>
              <w:t>3 383 000,00 руб.</w:t>
            </w:r>
          </w:p>
        </w:tc>
        <w:tc>
          <w:tcPr>
            <w:tcW w:w="2410" w:type="dxa"/>
          </w:tcPr>
          <w:p w:rsidR="005539A5" w:rsidRPr="00FC19D7" w:rsidP="00FD5958" w14:paraId="3F0B9DE9" w14:textId="5BBD49F4">
            <w:pPr>
              <w:spacing w:line="240" w:lineRule="atLeast"/>
              <w:contextualSpacing/>
              <w:rPr>
                <w:rFonts w:ascii="Times New Roman" w:hAnsi="Times New Roman" w:cs="Times New Roman"/>
                <w:sz w:val="20"/>
                <w:szCs w:val="20"/>
              </w:rPr>
            </w:pPr>
            <w:r w:rsidRPr="000A6312">
              <w:rPr>
                <w:rFonts w:ascii="Times New Roman" w:hAnsi="Times New Roman" w:cs="Times New Roman"/>
                <w:sz w:val="20"/>
                <w:szCs w:val="20"/>
              </w:rPr>
              <w:t>3 383 000,00 руб.</w:t>
            </w:r>
          </w:p>
        </w:tc>
      </w:tr>
      <w:tr w14:paraId="38C62B5A" w14:textId="77777777" w:rsidTr="005539A5">
        <w:tblPrEx>
          <w:tblW w:w="10485" w:type="dxa"/>
          <w:tblLook w:val="04A0"/>
        </w:tblPrEx>
        <w:trPr>
          <w:trHeight w:val="434"/>
        </w:trPr>
        <w:tc>
          <w:tcPr>
            <w:tcW w:w="704" w:type="dxa"/>
          </w:tcPr>
          <w:p w:rsidR="005539A5" w:rsidP="000D50FD" w14:paraId="6E554F40" w14:textId="2579DED5">
            <w:pPr>
              <w:spacing w:line="240" w:lineRule="atLeast"/>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2835" w:type="dxa"/>
          </w:tcPr>
          <w:p w:rsidR="005539A5" w:rsidP="000D50FD" w14:paraId="3EC6AD63" w14:textId="77777777">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 xml:space="preserve">Шульман Олег Исакович                   </w:t>
            </w:r>
            <w:r>
              <w:rPr>
                <w:rFonts w:ascii="Times New Roman" w:hAnsi="Times New Roman" w:cs="Times New Roman"/>
                <w:sz w:val="20"/>
                <w:szCs w:val="20"/>
              </w:rPr>
              <w:t xml:space="preserve">   (</w:t>
            </w:r>
            <w:r>
              <w:rPr>
                <w:rFonts w:ascii="Times New Roman" w:hAnsi="Times New Roman" w:cs="Times New Roman"/>
                <w:sz w:val="20"/>
                <w:szCs w:val="20"/>
              </w:rPr>
              <w:t xml:space="preserve">ИНН </w:t>
            </w:r>
            <w:r w:rsidRPr="00B677D7">
              <w:rPr>
                <w:rFonts w:ascii="Times New Roman" w:hAnsi="Times New Roman" w:cs="Times New Roman"/>
                <w:sz w:val="20"/>
                <w:szCs w:val="20"/>
              </w:rPr>
              <w:t>691405825478</w:t>
            </w:r>
            <w:r>
              <w:rPr>
                <w:rFonts w:ascii="Times New Roman" w:hAnsi="Times New Roman" w:cs="Times New Roman"/>
                <w:sz w:val="20"/>
                <w:szCs w:val="20"/>
              </w:rPr>
              <w:t>)</w:t>
            </w:r>
          </w:p>
          <w:p w:rsidR="005539A5" w:rsidRPr="000A6312" w:rsidP="000D50FD" w14:paraId="59CE370B" w14:textId="3539D8FE">
            <w:pPr>
              <w:spacing w:line="240" w:lineRule="atLeast"/>
              <w:contextualSpacing/>
              <w:rPr>
                <w:rFonts w:ascii="Times New Roman" w:hAnsi="Times New Roman" w:cs="Times New Roman"/>
                <w:sz w:val="20"/>
                <w:szCs w:val="20"/>
              </w:rPr>
            </w:pPr>
          </w:p>
        </w:tc>
        <w:tc>
          <w:tcPr>
            <w:tcW w:w="2410" w:type="dxa"/>
          </w:tcPr>
          <w:p w:rsidR="005539A5" w:rsidRPr="00B677D7" w:rsidP="005539A5" w14:paraId="59956436" w14:textId="6E38EDAC">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 xml:space="preserve">Определение (резолютивная часть) </w:t>
            </w:r>
            <w:r w:rsidRPr="00314911">
              <w:rPr>
                <w:rFonts w:ascii="Times New Roman" w:hAnsi="Times New Roman" w:cs="Times New Roman"/>
                <w:sz w:val="20"/>
                <w:szCs w:val="20"/>
              </w:rPr>
              <w:t xml:space="preserve">Арбитражного суда Московской области </w:t>
            </w:r>
            <w:r>
              <w:rPr>
                <w:rFonts w:ascii="Times New Roman" w:hAnsi="Times New Roman" w:cs="Times New Roman"/>
                <w:sz w:val="20"/>
                <w:szCs w:val="20"/>
              </w:rPr>
              <w:t xml:space="preserve">             по делу №А41-84432/22 от 04.02.2025</w:t>
            </w:r>
          </w:p>
        </w:tc>
        <w:tc>
          <w:tcPr>
            <w:tcW w:w="2126" w:type="dxa"/>
          </w:tcPr>
          <w:p w:rsidR="005539A5" w:rsidRPr="000A6312" w:rsidP="00FD5958" w14:paraId="5722974F" w14:textId="47246076">
            <w:pPr>
              <w:spacing w:line="240" w:lineRule="atLeast"/>
              <w:contextualSpacing/>
              <w:rPr>
                <w:rFonts w:ascii="Times New Roman" w:hAnsi="Times New Roman" w:cs="Times New Roman"/>
                <w:sz w:val="20"/>
                <w:szCs w:val="20"/>
              </w:rPr>
            </w:pPr>
            <w:r w:rsidRPr="00B677D7">
              <w:rPr>
                <w:rFonts w:ascii="Times New Roman" w:hAnsi="Times New Roman" w:cs="Times New Roman"/>
                <w:sz w:val="20"/>
                <w:szCs w:val="20"/>
              </w:rPr>
              <w:t>370 000,00 руб.</w:t>
            </w:r>
          </w:p>
        </w:tc>
        <w:tc>
          <w:tcPr>
            <w:tcW w:w="2410" w:type="dxa"/>
          </w:tcPr>
          <w:p w:rsidR="005539A5" w:rsidRPr="00FC19D7" w:rsidP="00FD5958" w14:paraId="65138445" w14:textId="07CB073C">
            <w:pPr>
              <w:spacing w:line="240" w:lineRule="atLeast"/>
              <w:contextualSpacing/>
              <w:rPr>
                <w:rFonts w:ascii="Times New Roman" w:hAnsi="Times New Roman" w:cs="Times New Roman"/>
                <w:sz w:val="20"/>
                <w:szCs w:val="20"/>
              </w:rPr>
            </w:pPr>
            <w:r w:rsidRPr="00B677D7">
              <w:rPr>
                <w:rFonts w:ascii="Times New Roman" w:hAnsi="Times New Roman" w:cs="Times New Roman"/>
                <w:sz w:val="20"/>
                <w:szCs w:val="20"/>
              </w:rPr>
              <w:t>370 000,00 руб.</w:t>
            </w:r>
          </w:p>
        </w:tc>
      </w:tr>
      <w:tr w14:paraId="00851B71" w14:textId="12E14A5D" w:rsidTr="007345F3">
        <w:tblPrEx>
          <w:tblW w:w="10485" w:type="dxa"/>
          <w:tblLook w:val="04A0"/>
        </w:tblPrEx>
        <w:trPr>
          <w:trHeight w:val="310"/>
        </w:trPr>
        <w:tc>
          <w:tcPr>
            <w:tcW w:w="5949" w:type="dxa"/>
            <w:gridSpan w:val="3"/>
          </w:tcPr>
          <w:p w:rsidR="003F4B11" w:rsidP="003F4B11" w14:paraId="49FB928C" w14:textId="39D5B963">
            <w:pPr>
              <w:spacing w:line="240" w:lineRule="atLeast"/>
              <w:contextualSpacing/>
              <w:rPr>
                <w:rFonts w:ascii="Times New Roman" w:hAnsi="Times New Roman" w:cs="Times New Roman"/>
                <w:sz w:val="20"/>
                <w:szCs w:val="20"/>
              </w:rPr>
            </w:pPr>
            <w:r w:rsidRPr="00FC19D7">
              <w:rPr>
                <w:rFonts w:ascii="Times New Roman" w:hAnsi="Times New Roman" w:cs="Times New Roman"/>
                <w:b/>
                <w:bCs/>
                <w:sz w:val="20"/>
                <w:szCs w:val="20"/>
              </w:rPr>
              <w:t>ИТОГО:</w:t>
            </w:r>
          </w:p>
        </w:tc>
        <w:tc>
          <w:tcPr>
            <w:tcW w:w="2126" w:type="dxa"/>
          </w:tcPr>
          <w:p w:rsidR="003F4B11" w:rsidRPr="00FC19D7" w:rsidP="00FD5958" w14:paraId="314713ED" w14:textId="5332412F">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11 592 300, 00 руб.</w:t>
            </w:r>
          </w:p>
        </w:tc>
        <w:tc>
          <w:tcPr>
            <w:tcW w:w="2410" w:type="dxa"/>
          </w:tcPr>
          <w:p w:rsidR="003F4B11" w:rsidRPr="00FC19D7" w:rsidP="00FD5958" w14:paraId="0ED445C4" w14:textId="450358DE">
            <w:pPr>
              <w:spacing w:line="240" w:lineRule="atLeast"/>
              <w:contextualSpacing/>
              <w:rPr>
                <w:rFonts w:ascii="Times New Roman" w:hAnsi="Times New Roman" w:cs="Times New Roman"/>
                <w:b/>
                <w:bCs/>
                <w:sz w:val="20"/>
                <w:szCs w:val="20"/>
              </w:rPr>
            </w:pPr>
            <w:r>
              <w:rPr>
                <w:rFonts w:ascii="Times New Roman" w:hAnsi="Times New Roman" w:cs="Times New Roman"/>
                <w:sz w:val="20"/>
                <w:szCs w:val="20"/>
              </w:rPr>
              <w:t>11 592 300, 00 руб.</w:t>
            </w:r>
          </w:p>
        </w:tc>
      </w:tr>
    </w:tbl>
    <w:bookmarkEnd w:id="1"/>
    <w:p w:rsidR="00D47488" w:rsidP="00F978A4" w14:paraId="3188B527" w14:textId="77777777">
      <w:pPr>
        <w:spacing w:line="240" w:lineRule="atLeast"/>
        <w:ind w:firstLine="709"/>
        <w:contextualSpacing/>
        <w:jc w:val="both"/>
        <w:rPr>
          <w:rFonts w:ascii="Times New Roman" w:hAnsi="Times New Roman" w:cs="Times New Roman"/>
          <w:sz w:val="24"/>
          <w:szCs w:val="24"/>
        </w:rPr>
      </w:pPr>
      <w:r w:rsidRPr="00D47488">
        <w:rPr>
          <w:rFonts w:ascii="Times New Roman" w:hAnsi="Times New Roman" w:cs="Times New Roman"/>
          <w:sz w:val="24"/>
          <w:szCs w:val="24"/>
        </w:rPr>
        <w:t xml:space="preserve">2.2. Имущественные права (требования) подлежат продаже отдельными лотами. </w:t>
      </w:r>
    </w:p>
    <w:p w:rsidR="00F978A4" w:rsidP="00F978A4" w14:paraId="09EDCB04" w14:textId="6DE940EE">
      <w:pPr>
        <w:spacing w:line="240" w:lineRule="atLeast"/>
        <w:ind w:firstLine="709"/>
        <w:contextualSpacing/>
        <w:jc w:val="both"/>
        <w:rPr>
          <w:rFonts w:ascii="Times New Roman" w:hAnsi="Times New Roman" w:cs="Times New Roman"/>
          <w:sz w:val="24"/>
          <w:szCs w:val="24"/>
        </w:rPr>
      </w:pPr>
      <w:r w:rsidRPr="00D47488">
        <w:rPr>
          <w:rFonts w:ascii="Times New Roman" w:hAnsi="Times New Roman" w:cs="Times New Roman"/>
          <w:sz w:val="24"/>
          <w:szCs w:val="24"/>
        </w:rPr>
        <w:t>2.</w:t>
      </w:r>
      <w:r w:rsidR="00F65BA1">
        <w:rPr>
          <w:rFonts w:ascii="Times New Roman" w:hAnsi="Times New Roman" w:cs="Times New Roman"/>
          <w:sz w:val="24"/>
          <w:szCs w:val="24"/>
        </w:rPr>
        <w:t>3</w:t>
      </w:r>
      <w:r w:rsidRPr="00D47488">
        <w:rPr>
          <w:rFonts w:ascii="Times New Roman" w:hAnsi="Times New Roman" w:cs="Times New Roman"/>
          <w:sz w:val="24"/>
          <w:szCs w:val="24"/>
        </w:rPr>
        <w:t>.</w:t>
      </w:r>
      <w:r w:rsidR="00F65BA1">
        <w:rPr>
          <w:rFonts w:ascii="Times New Roman" w:hAnsi="Times New Roman" w:cs="Times New Roman"/>
          <w:sz w:val="24"/>
          <w:szCs w:val="24"/>
        </w:rPr>
        <w:t xml:space="preserve"> </w:t>
      </w:r>
      <w:r w:rsidRPr="00D47488">
        <w:rPr>
          <w:rFonts w:ascii="Times New Roman" w:hAnsi="Times New Roman" w:cs="Times New Roman"/>
          <w:sz w:val="24"/>
          <w:szCs w:val="24"/>
        </w:rPr>
        <w:t>Имущественные права (требования) продаются посредством проведения электронных торгов в форме публичного предложения. Торги являются открытыми по составу участников и проводятся в электронной форме</w:t>
      </w:r>
      <w:r w:rsidR="00E45B63">
        <w:rPr>
          <w:rFonts w:ascii="Times New Roman" w:hAnsi="Times New Roman" w:cs="Times New Roman"/>
          <w:sz w:val="24"/>
          <w:szCs w:val="24"/>
        </w:rPr>
        <w:t>.</w:t>
      </w:r>
    </w:p>
    <w:p w:rsidR="000F2A43" w:rsidP="00F978A4" w14:paraId="5B51D2A5" w14:textId="5BFC3F74">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2.4. </w:t>
      </w:r>
      <w:r w:rsidRPr="000F2A43">
        <w:rPr>
          <w:rFonts w:ascii="Times New Roman" w:hAnsi="Times New Roman" w:cs="Times New Roman"/>
          <w:sz w:val="24"/>
          <w:szCs w:val="24"/>
        </w:rPr>
        <w:t>Начальной ценой лота является цена, равная номинальной размеру требования</w:t>
      </w:r>
      <w:r>
        <w:rPr>
          <w:rFonts w:ascii="Times New Roman" w:hAnsi="Times New Roman" w:cs="Times New Roman"/>
          <w:sz w:val="24"/>
          <w:szCs w:val="24"/>
        </w:rPr>
        <w:t>.</w:t>
      </w:r>
    </w:p>
    <w:p w:rsidR="00F978A4" w:rsidP="00F978A4" w14:paraId="3ACEB961" w14:textId="0C50BDAD">
      <w:pPr>
        <w:spacing w:line="240" w:lineRule="atLeast"/>
        <w:ind w:firstLine="709"/>
        <w:contextualSpacing/>
        <w:jc w:val="both"/>
        <w:rPr>
          <w:rFonts w:ascii="Times New Roman" w:hAnsi="Times New Roman" w:cs="Times New Roman"/>
          <w:sz w:val="24"/>
          <w:szCs w:val="24"/>
        </w:rPr>
      </w:pPr>
      <w:r w:rsidRPr="00F978A4">
        <w:rPr>
          <w:rFonts w:ascii="Times New Roman" w:hAnsi="Times New Roman" w:cs="Times New Roman"/>
          <w:sz w:val="24"/>
          <w:szCs w:val="24"/>
        </w:rPr>
        <w:t>2.</w:t>
      </w:r>
      <w:r w:rsidR="000F2A43">
        <w:rPr>
          <w:rFonts w:ascii="Times New Roman" w:hAnsi="Times New Roman" w:cs="Times New Roman"/>
          <w:sz w:val="24"/>
          <w:szCs w:val="24"/>
        </w:rPr>
        <w:t>5</w:t>
      </w:r>
      <w:r w:rsidRPr="00F978A4">
        <w:rPr>
          <w:rFonts w:ascii="Times New Roman" w:hAnsi="Times New Roman" w:cs="Times New Roman"/>
          <w:sz w:val="24"/>
          <w:szCs w:val="24"/>
        </w:rPr>
        <w:t xml:space="preserve">. В качестве организатора торгов выступает исполняющий обязанности конкурсный управляющий ООО </w:t>
      </w:r>
      <w:r w:rsidR="00A90B7D">
        <w:rPr>
          <w:rFonts w:ascii="Times New Roman" w:hAnsi="Times New Roman" w:cs="Times New Roman"/>
          <w:sz w:val="24"/>
          <w:szCs w:val="24"/>
        </w:rPr>
        <w:t>«ГЕНСТРОЙПРОЕКТ» Мусатов Владимир Владимирович</w:t>
      </w:r>
      <w:r w:rsidRPr="00F978A4">
        <w:rPr>
          <w:rFonts w:ascii="Times New Roman" w:hAnsi="Times New Roman" w:cs="Times New Roman"/>
          <w:sz w:val="24"/>
          <w:szCs w:val="24"/>
        </w:rPr>
        <w:t xml:space="preserve">, действующий на основании решения Арбитражного суда от </w:t>
      </w:r>
      <w:r w:rsidRPr="00602010" w:rsidR="00602010">
        <w:rPr>
          <w:rFonts w:ascii="Times New Roman" w:hAnsi="Times New Roman" w:cs="Times New Roman"/>
          <w:sz w:val="24"/>
          <w:szCs w:val="24"/>
        </w:rPr>
        <w:t xml:space="preserve">18.07.2023 г. </w:t>
      </w:r>
      <w:r w:rsidRPr="00F978A4">
        <w:rPr>
          <w:rFonts w:ascii="Times New Roman" w:hAnsi="Times New Roman" w:cs="Times New Roman"/>
          <w:sz w:val="24"/>
          <w:szCs w:val="24"/>
        </w:rPr>
        <w:t>по делу №</w:t>
      </w:r>
      <w:r w:rsidRPr="00602010" w:rsidR="00602010">
        <w:t xml:space="preserve"> </w:t>
      </w:r>
      <w:r w:rsidRPr="00602010" w:rsidR="00602010">
        <w:rPr>
          <w:rFonts w:ascii="Times New Roman" w:hAnsi="Times New Roman" w:cs="Times New Roman"/>
          <w:sz w:val="24"/>
          <w:szCs w:val="24"/>
        </w:rPr>
        <w:t>А41-84432/2022</w:t>
      </w:r>
      <w:r w:rsidRPr="00F978A4">
        <w:rPr>
          <w:rFonts w:ascii="Times New Roman" w:hAnsi="Times New Roman" w:cs="Times New Roman"/>
          <w:sz w:val="24"/>
          <w:szCs w:val="24"/>
        </w:rPr>
        <w:t xml:space="preserve"> (далее - Организатор торгов). </w:t>
      </w:r>
    </w:p>
    <w:p w:rsidR="00F978A4" w:rsidP="00F978A4" w14:paraId="5651432C" w14:textId="75C446BF">
      <w:pPr>
        <w:spacing w:line="240" w:lineRule="atLeast"/>
        <w:ind w:firstLine="709"/>
        <w:contextualSpacing/>
        <w:jc w:val="both"/>
        <w:rPr>
          <w:rFonts w:ascii="Times New Roman" w:hAnsi="Times New Roman" w:cs="Times New Roman"/>
          <w:sz w:val="24"/>
          <w:szCs w:val="24"/>
        </w:rPr>
      </w:pPr>
      <w:r w:rsidRPr="00F978A4">
        <w:rPr>
          <w:rFonts w:ascii="Times New Roman" w:hAnsi="Times New Roman" w:cs="Times New Roman"/>
          <w:sz w:val="24"/>
          <w:szCs w:val="24"/>
        </w:rPr>
        <w:t>2.</w:t>
      </w:r>
      <w:r w:rsidR="000F2A43">
        <w:rPr>
          <w:rFonts w:ascii="Times New Roman" w:hAnsi="Times New Roman" w:cs="Times New Roman"/>
          <w:sz w:val="24"/>
          <w:szCs w:val="24"/>
        </w:rPr>
        <w:t>6</w:t>
      </w:r>
      <w:r w:rsidRPr="00F978A4">
        <w:rPr>
          <w:rFonts w:ascii="Times New Roman" w:hAnsi="Times New Roman" w:cs="Times New Roman"/>
          <w:sz w:val="24"/>
          <w:szCs w:val="24"/>
        </w:rPr>
        <w:t xml:space="preserve">. Торги проводятся на электронной площадке </w:t>
      </w:r>
      <w:r w:rsidRPr="001F4D27">
        <w:rPr>
          <w:rFonts w:ascii="Times New Roman" w:hAnsi="Times New Roman" w:cs="Times New Roman"/>
          <w:b/>
          <w:bCs/>
          <w:sz w:val="24"/>
          <w:szCs w:val="24"/>
        </w:rPr>
        <w:t>ООО «Электронные системы Поволжья»,</w:t>
      </w:r>
      <w:r w:rsidRPr="00F978A4">
        <w:rPr>
          <w:rFonts w:ascii="Times New Roman" w:hAnsi="Times New Roman" w:cs="Times New Roman"/>
          <w:sz w:val="24"/>
          <w:szCs w:val="24"/>
        </w:rPr>
        <w:t xml:space="preserve"> размещенной на </w:t>
      </w:r>
      <w:r w:rsidRPr="00F978A4" w:rsidR="000113B8">
        <w:rPr>
          <w:rFonts w:ascii="Times New Roman" w:hAnsi="Times New Roman" w:cs="Times New Roman"/>
          <w:sz w:val="24"/>
          <w:szCs w:val="24"/>
        </w:rPr>
        <w:t>сайте</w:t>
      </w:r>
      <w:r w:rsidRPr="00D47488" w:rsidR="000113B8">
        <w:rPr>
          <w:rFonts w:ascii="Times New Roman" w:hAnsi="Times New Roman" w:cs="Times New Roman"/>
          <w:sz w:val="24"/>
          <w:szCs w:val="24"/>
        </w:rPr>
        <w:t xml:space="preserve"> </w:t>
      </w:r>
      <w:r w:rsidRPr="00602010" w:rsidR="005A1388">
        <w:rPr>
          <w:rFonts w:ascii="Times New Roman" w:hAnsi="Times New Roman" w:cs="Times New Roman"/>
          <w:sz w:val="24"/>
          <w:szCs w:val="24"/>
        </w:rPr>
        <w:t>https://el-torg.com/</w:t>
      </w:r>
      <w:r w:rsidRPr="005A1388" w:rsidR="005A1388">
        <w:rPr>
          <w:rFonts w:ascii="Times New Roman" w:hAnsi="Times New Roman" w:cs="Times New Roman"/>
          <w:sz w:val="24"/>
          <w:szCs w:val="24"/>
        </w:rPr>
        <w:t xml:space="preserve"> </w:t>
      </w:r>
      <w:r w:rsidRPr="00F978A4">
        <w:rPr>
          <w:rFonts w:ascii="Times New Roman" w:hAnsi="Times New Roman" w:cs="Times New Roman"/>
          <w:sz w:val="24"/>
          <w:szCs w:val="24"/>
        </w:rPr>
        <w:t xml:space="preserve">в сети Интернет. </w:t>
      </w:r>
    </w:p>
    <w:p w:rsidR="001709A5" w:rsidP="00F978A4" w14:paraId="6812F2F9" w14:textId="3F54AF39">
      <w:pPr>
        <w:spacing w:line="240" w:lineRule="atLeast"/>
        <w:ind w:firstLine="709"/>
        <w:contextualSpacing/>
        <w:jc w:val="both"/>
        <w:rPr>
          <w:rFonts w:ascii="Times New Roman" w:hAnsi="Times New Roman" w:cs="Times New Roman"/>
          <w:sz w:val="24"/>
          <w:szCs w:val="24"/>
        </w:rPr>
      </w:pPr>
      <w:r w:rsidRPr="001709A5">
        <w:rPr>
          <w:rFonts w:ascii="Times New Roman" w:hAnsi="Times New Roman" w:cs="Times New Roman"/>
          <w:sz w:val="24"/>
          <w:szCs w:val="24"/>
        </w:rPr>
        <w:t>2.</w:t>
      </w:r>
      <w:r w:rsidR="000F2A43">
        <w:rPr>
          <w:rFonts w:ascii="Times New Roman" w:hAnsi="Times New Roman" w:cs="Times New Roman"/>
          <w:sz w:val="24"/>
          <w:szCs w:val="24"/>
        </w:rPr>
        <w:t>7</w:t>
      </w:r>
      <w:r w:rsidRPr="001709A5">
        <w:rPr>
          <w:rFonts w:ascii="Times New Roman" w:hAnsi="Times New Roman" w:cs="Times New Roman"/>
          <w:sz w:val="24"/>
          <w:szCs w:val="24"/>
        </w:rPr>
        <w:t xml:space="preserve">. Сообщение о проведении торгов по форме публичного предложения не позднее чем </w:t>
      </w:r>
      <w:r w:rsidR="008A686D">
        <w:rPr>
          <w:rFonts w:ascii="Times New Roman" w:hAnsi="Times New Roman" w:cs="Times New Roman"/>
          <w:sz w:val="24"/>
          <w:szCs w:val="24"/>
        </w:rPr>
        <w:t xml:space="preserve">               </w:t>
      </w:r>
      <w:r w:rsidRPr="001709A5">
        <w:rPr>
          <w:rFonts w:ascii="Times New Roman" w:hAnsi="Times New Roman" w:cs="Times New Roman"/>
          <w:sz w:val="24"/>
          <w:szCs w:val="24"/>
        </w:rPr>
        <w:t>за 30 (тридцать) дней до даты начала проведения торгов публикуется в газете «КоммерсантЪ» и включается в Единый федеральный реестр сведений о банкротстве.</w:t>
      </w:r>
    </w:p>
    <w:p w:rsidR="000F2A43" w:rsidP="00F978A4" w14:paraId="75580CF5" w14:textId="77777777">
      <w:pPr>
        <w:spacing w:line="240" w:lineRule="atLeast"/>
        <w:ind w:firstLine="709"/>
        <w:contextualSpacing/>
        <w:jc w:val="both"/>
        <w:rPr>
          <w:rFonts w:ascii="Times New Roman" w:hAnsi="Times New Roman" w:cs="Times New Roman"/>
          <w:sz w:val="24"/>
          <w:szCs w:val="24"/>
        </w:rPr>
      </w:pPr>
      <w:r w:rsidRPr="000F2A43">
        <w:rPr>
          <w:rFonts w:ascii="Times New Roman" w:hAnsi="Times New Roman" w:cs="Times New Roman"/>
          <w:sz w:val="24"/>
          <w:szCs w:val="24"/>
        </w:rPr>
        <w:t xml:space="preserve">2.8. В случае частичного исполнения дебитором, чья дебиторская задолженность реализуется на торгах, обязательств по оплате долга (гашение дебиторской задолженности) цена лота уменьшается пропорционально исполненному обязательству, при этом победителю торгов не перечисляются денежные средства, полученные от дебитора. </w:t>
      </w:r>
    </w:p>
    <w:p w:rsidR="000F2A43" w:rsidP="00F978A4" w14:paraId="6F751BC3" w14:textId="313FBD90">
      <w:pPr>
        <w:spacing w:line="240" w:lineRule="atLeast"/>
        <w:ind w:firstLine="709"/>
        <w:contextualSpacing/>
        <w:jc w:val="both"/>
        <w:rPr>
          <w:rFonts w:ascii="Times New Roman" w:hAnsi="Times New Roman" w:cs="Times New Roman"/>
          <w:sz w:val="24"/>
          <w:szCs w:val="24"/>
        </w:rPr>
      </w:pPr>
      <w:r w:rsidRPr="000F2A43">
        <w:rPr>
          <w:rFonts w:ascii="Times New Roman" w:hAnsi="Times New Roman" w:cs="Times New Roman"/>
          <w:sz w:val="24"/>
          <w:szCs w:val="24"/>
        </w:rPr>
        <w:t>В случае полного гашения задолженности лот снимается с торгов. Договор уступки прав требования не заключается.</w:t>
      </w:r>
    </w:p>
    <w:p w:rsidR="00471087" w:rsidP="001709A5" w14:paraId="1F107CFA" w14:textId="77777777">
      <w:pPr>
        <w:spacing w:line="240" w:lineRule="atLeast"/>
        <w:contextualSpacing/>
        <w:rPr>
          <w:rFonts w:ascii="Times New Roman" w:hAnsi="Times New Roman" w:cs="Times New Roman"/>
          <w:b/>
          <w:bCs/>
          <w:sz w:val="24"/>
          <w:szCs w:val="24"/>
        </w:rPr>
      </w:pPr>
    </w:p>
    <w:p w:rsidR="00F978A4" w:rsidRPr="009F601D" w:rsidP="00F978A4" w14:paraId="3B330BF1" w14:textId="20189545">
      <w:pPr>
        <w:spacing w:line="240" w:lineRule="atLeast"/>
        <w:ind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3</w:t>
      </w:r>
      <w:r w:rsidRPr="00F978A4">
        <w:rPr>
          <w:rFonts w:ascii="Times New Roman" w:hAnsi="Times New Roman" w:cs="Times New Roman"/>
          <w:b/>
          <w:bCs/>
          <w:sz w:val="24"/>
          <w:szCs w:val="24"/>
        </w:rPr>
        <w:t>. Продажа имущественных прав посредством публичного предложения</w:t>
      </w:r>
    </w:p>
    <w:p w:rsidR="000F2A43" w:rsidP="001C2292" w14:paraId="74C74483" w14:textId="243625C5">
      <w:pPr>
        <w:spacing w:line="240" w:lineRule="atLeast"/>
        <w:ind w:firstLine="709"/>
        <w:contextualSpacing/>
        <w:jc w:val="both"/>
        <w:rPr>
          <w:rFonts w:ascii="Times New Roman" w:hAnsi="Times New Roman" w:cs="Times New Roman"/>
          <w:sz w:val="24"/>
          <w:szCs w:val="24"/>
        </w:rPr>
      </w:pPr>
      <w:r w:rsidRPr="000F2A43">
        <w:rPr>
          <w:rFonts w:ascii="Times New Roman" w:hAnsi="Times New Roman" w:cs="Times New Roman"/>
          <w:sz w:val="24"/>
          <w:szCs w:val="24"/>
        </w:rPr>
        <w:t xml:space="preserve">3.1. Организатор торгов не позднее чем за 30 (тридцать) календарных дней до даты проведения торгов публикует информационное сообщение о проведении торгов в газете «Коммерсантъ» и на ЕФРСБ - www.fedresurs.ru. В сообщении о продаже имущественных прав должны содержаться сведения, предусмотренные п.10 ст. </w:t>
      </w:r>
      <w:r w:rsidR="002B761B">
        <w:rPr>
          <w:rFonts w:ascii="Times New Roman" w:hAnsi="Times New Roman" w:cs="Times New Roman"/>
          <w:sz w:val="24"/>
          <w:szCs w:val="24"/>
        </w:rPr>
        <w:t>110</w:t>
      </w:r>
      <w:r w:rsidRPr="000F2A43">
        <w:rPr>
          <w:rFonts w:ascii="Times New Roman" w:hAnsi="Times New Roman" w:cs="Times New Roman"/>
          <w:sz w:val="24"/>
          <w:szCs w:val="24"/>
        </w:rPr>
        <w:t xml:space="preserve"> Закона о банкротстве.</w:t>
      </w:r>
    </w:p>
    <w:p w:rsidR="000F2A43" w:rsidP="001C2292" w14:paraId="11DB6810" w14:textId="4DF72C3C">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2</w:t>
      </w:r>
      <w:r>
        <w:rPr>
          <w:rFonts w:ascii="Times New Roman" w:hAnsi="Times New Roman" w:cs="Times New Roman"/>
          <w:sz w:val="24"/>
          <w:szCs w:val="24"/>
        </w:rPr>
        <w:t xml:space="preserve">. </w:t>
      </w:r>
      <w:r w:rsidRPr="000F2A43">
        <w:rPr>
          <w:rFonts w:ascii="Times New Roman" w:hAnsi="Times New Roman" w:cs="Times New Roman"/>
          <w:sz w:val="24"/>
          <w:szCs w:val="24"/>
        </w:rPr>
        <w:t xml:space="preserve">Место представления заявок для участия в торгах - Электронная торговая площадка ООО «Электронные системы Поволжья», размещенная на сайте </w:t>
      </w:r>
      <w:r w:rsidRPr="007851D0">
        <w:rPr>
          <w:rFonts w:ascii="Times New Roman" w:hAnsi="Times New Roman" w:cs="Times New Roman"/>
          <w:sz w:val="24"/>
          <w:szCs w:val="24"/>
        </w:rPr>
        <w:t>http://el-torg.com</w:t>
      </w:r>
      <w:r w:rsidRPr="000F2A43">
        <w:rPr>
          <w:rFonts w:ascii="Times New Roman" w:hAnsi="Times New Roman" w:cs="Times New Roman"/>
          <w:sz w:val="24"/>
          <w:szCs w:val="24"/>
        </w:rPr>
        <w:t>.</w:t>
      </w:r>
    </w:p>
    <w:p w:rsidR="001C2292" w:rsidP="001C2292" w14:paraId="03946882" w14:textId="5D7E6CCC">
      <w:pPr>
        <w:spacing w:line="240" w:lineRule="atLeast"/>
        <w:ind w:firstLine="709"/>
        <w:contextualSpacing/>
        <w:jc w:val="both"/>
        <w:rPr>
          <w:rFonts w:ascii="Times New Roman" w:hAnsi="Times New Roman" w:cs="Times New Roman"/>
          <w:sz w:val="24"/>
          <w:szCs w:val="24"/>
        </w:rPr>
      </w:pPr>
      <w:r w:rsidRPr="001C2292">
        <w:rPr>
          <w:rFonts w:ascii="Times New Roman" w:hAnsi="Times New Roman" w:cs="Times New Roman"/>
          <w:sz w:val="24"/>
          <w:szCs w:val="24"/>
        </w:rPr>
        <w:t>3.</w:t>
      </w:r>
      <w:r w:rsidR="000F2A43">
        <w:rPr>
          <w:rFonts w:ascii="Times New Roman" w:hAnsi="Times New Roman" w:cs="Times New Roman"/>
          <w:sz w:val="24"/>
          <w:szCs w:val="24"/>
        </w:rPr>
        <w:t>3</w:t>
      </w:r>
      <w:r w:rsidRPr="001C2292">
        <w:rPr>
          <w:rFonts w:ascii="Times New Roman" w:hAnsi="Times New Roman" w:cs="Times New Roman"/>
          <w:sz w:val="24"/>
          <w:szCs w:val="24"/>
        </w:rPr>
        <w:t xml:space="preserve">. Заявка на участие в торгах должна соответствовать требованиям Закона о несостоятельности (банкротства), Приказа Минэкономразвития России от 23.07.2015 № 495. Заявка на участие в торгах оформляется в форме электронного документа. </w:t>
      </w:r>
    </w:p>
    <w:p w:rsidR="000F2A43" w:rsidP="001C2292" w14:paraId="461153CA" w14:textId="77777777">
      <w:pPr>
        <w:spacing w:line="240" w:lineRule="atLeast"/>
        <w:ind w:firstLine="709"/>
        <w:contextualSpacing/>
        <w:jc w:val="both"/>
        <w:rPr>
          <w:rFonts w:ascii="Times New Roman" w:hAnsi="Times New Roman" w:cs="Times New Roman"/>
          <w:sz w:val="24"/>
          <w:szCs w:val="24"/>
        </w:rPr>
      </w:pPr>
      <w:r w:rsidRPr="001C2292">
        <w:rPr>
          <w:rFonts w:ascii="Times New Roman" w:hAnsi="Times New Roman" w:cs="Times New Roman"/>
          <w:sz w:val="24"/>
          <w:szCs w:val="24"/>
        </w:rPr>
        <w:t>3.</w:t>
      </w:r>
      <w:r>
        <w:rPr>
          <w:rFonts w:ascii="Times New Roman" w:hAnsi="Times New Roman" w:cs="Times New Roman"/>
          <w:sz w:val="24"/>
          <w:szCs w:val="24"/>
        </w:rPr>
        <w:t>4</w:t>
      </w:r>
      <w:r w:rsidRPr="001C2292">
        <w:rPr>
          <w:rFonts w:ascii="Times New Roman" w:hAnsi="Times New Roman" w:cs="Times New Roman"/>
          <w:sz w:val="24"/>
          <w:szCs w:val="24"/>
        </w:rPr>
        <w:t xml:space="preserve">. </w:t>
      </w:r>
      <w:r w:rsidRPr="000F2A43">
        <w:rPr>
          <w:rFonts w:ascii="Times New Roman" w:hAnsi="Times New Roman" w:cs="Times New Roman"/>
          <w:sz w:val="24"/>
          <w:szCs w:val="24"/>
        </w:rPr>
        <w:t xml:space="preserve">Срок представления заявок на участие в торгах должен составлять не менее чем 25 (двадцать пять) рабочих дней со дня опубликования и размещения сообщения о проведении торгов. </w:t>
      </w:r>
    </w:p>
    <w:p w:rsidR="007851D0" w:rsidP="001C2292" w14:paraId="01C5C1AB" w14:textId="542A729E">
      <w:pPr>
        <w:spacing w:line="240" w:lineRule="atLeast"/>
        <w:ind w:firstLine="709"/>
        <w:contextualSpacing/>
        <w:jc w:val="both"/>
        <w:rPr>
          <w:rFonts w:ascii="Times New Roman" w:hAnsi="Times New Roman" w:cs="Times New Roman"/>
          <w:sz w:val="24"/>
          <w:szCs w:val="24"/>
        </w:rPr>
      </w:pPr>
      <w:r w:rsidRPr="001C2292">
        <w:rPr>
          <w:rFonts w:ascii="Times New Roman" w:hAnsi="Times New Roman" w:cs="Times New Roman"/>
          <w:sz w:val="24"/>
          <w:szCs w:val="24"/>
        </w:rPr>
        <w:t>3.</w:t>
      </w:r>
      <w:r w:rsidR="000F2A43">
        <w:rPr>
          <w:rFonts w:ascii="Times New Roman" w:hAnsi="Times New Roman" w:cs="Times New Roman"/>
          <w:sz w:val="24"/>
          <w:szCs w:val="24"/>
        </w:rPr>
        <w:t>5</w:t>
      </w:r>
      <w:r w:rsidRPr="001C2292">
        <w:rPr>
          <w:rFonts w:ascii="Times New Roman" w:hAnsi="Times New Roman" w:cs="Times New Roman"/>
          <w:sz w:val="24"/>
          <w:szCs w:val="24"/>
        </w:rPr>
        <w:t>.</w:t>
      </w:r>
      <w:r>
        <w:rPr>
          <w:rFonts w:ascii="Times New Roman" w:hAnsi="Times New Roman" w:cs="Times New Roman"/>
          <w:sz w:val="24"/>
          <w:szCs w:val="24"/>
        </w:rPr>
        <w:t xml:space="preserve"> </w:t>
      </w:r>
      <w:r w:rsidRPr="007851D0">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торгов, не рассматриваются.</w:t>
      </w:r>
      <w:r w:rsidRPr="001C2292">
        <w:rPr>
          <w:rFonts w:ascii="Times New Roman" w:hAnsi="Times New Roman" w:cs="Times New Roman"/>
          <w:sz w:val="24"/>
          <w:szCs w:val="24"/>
        </w:rPr>
        <w:t xml:space="preserve"> </w:t>
      </w:r>
    </w:p>
    <w:p w:rsidR="007851D0" w:rsidP="001C2292" w14:paraId="5C914FD7" w14:textId="270D2D2D">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3.6. </w:t>
      </w:r>
      <w:r w:rsidRPr="007851D0">
        <w:rPr>
          <w:rFonts w:ascii="Times New Roman" w:hAnsi="Times New Roman" w:cs="Times New Roman"/>
          <w:sz w:val="24"/>
          <w:szCs w:val="24"/>
        </w:rPr>
        <w:t>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 подписанного квалифицированной электронной подписью заявителя.</w:t>
      </w:r>
    </w:p>
    <w:p w:rsidR="007851D0" w:rsidP="001C2292" w14:paraId="54336A78" w14:textId="622E645B">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3.7. </w:t>
      </w:r>
      <w:r w:rsidRPr="007851D0">
        <w:rPr>
          <w:rFonts w:ascii="Times New Roman" w:hAnsi="Times New Roman" w:cs="Times New Roman"/>
          <w:sz w:val="24"/>
          <w:szCs w:val="24"/>
        </w:rPr>
        <w:t xml:space="preserve">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 при этом первоначальная </w:t>
      </w:r>
      <w:r w:rsidRPr="007851D0">
        <w:rPr>
          <w:rFonts w:ascii="Times New Roman" w:hAnsi="Times New Roman" w:cs="Times New Roman"/>
          <w:sz w:val="24"/>
          <w:szCs w:val="24"/>
        </w:rPr>
        <w:t>заявка должна быть отозвана. Оператор электронной площадки обеспечивает невозможность подачи заявителем новой заявки без отзыва первоначальной заявки</w:t>
      </w:r>
    </w:p>
    <w:p w:rsidR="007851D0" w:rsidP="001C2292" w14:paraId="690B3D91" w14:textId="4D633BE8">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3.8. </w:t>
      </w:r>
      <w:r w:rsidRPr="007851D0">
        <w:rPr>
          <w:rFonts w:ascii="Times New Roman" w:hAnsi="Times New Roman" w:cs="Times New Roman"/>
          <w:sz w:val="24"/>
          <w:szCs w:val="24"/>
        </w:rPr>
        <w:t>Размер задатка для участия в торгах составляет 10 (десять) процентов начальной продажной цены имущественных прав.</w:t>
      </w:r>
    </w:p>
    <w:p w:rsidR="007851D0" w:rsidP="001C2292" w14:paraId="51C8B040" w14:textId="0349032B">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3.9. </w:t>
      </w:r>
      <w:r w:rsidRPr="007851D0">
        <w:rPr>
          <w:rFonts w:ascii="Times New Roman" w:hAnsi="Times New Roman" w:cs="Times New Roman"/>
          <w:sz w:val="24"/>
          <w:szCs w:val="24"/>
        </w:rPr>
        <w:t>Задаток должен быть перечислен до времени окончания приема заявок. Участник торгов должен обеспечить поступление задатка на указанный организатором торгов счет, до времени составления протокола об определении участников торгов.</w:t>
      </w:r>
    </w:p>
    <w:p w:rsidR="007851D0" w:rsidP="001C2292" w14:paraId="62E012FA" w14:textId="5F5094D0">
      <w:pPr>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3.10. </w:t>
      </w:r>
      <w:r w:rsidRPr="007851D0">
        <w:rPr>
          <w:rFonts w:ascii="Times New Roman" w:hAnsi="Times New Roman" w:cs="Times New Roman"/>
          <w:sz w:val="24"/>
          <w:szCs w:val="24"/>
        </w:rPr>
        <w:t>Определение участников торгов осуществляется организатором торгов в соответствии с положениями статьи 110 ФЗ «О несостоятельности (банкротстве)». 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w:t>
      </w:r>
      <w:r>
        <w:rPr>
          <w:rFonts w:ascii="Times New Roman" w:hAnsi="Times New Roman" w:cs="Times New Roman"/>
          <w:sz w:val="24"/>
          <w:szCs w:val="24"/>
        </w:rPr>
        <w:t>.</w:t>
      </w:r>
    </w:p>
    <w:p w:rsidR="007851D0" w:rsidP="001C2292" w14:paraId="7179D795" w14:textId="567338CF">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законом и указанным в сообщении о проведении торгов, своевременно перечислили задаток в установленном размере. </w:t>
      </w:r>
    </w:p>
    <w:p w:rsidR="007851D0" w:rsidP="001C2292" w14:paraId="7C78B6B4"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3.11. Заявители, допущенные к участию в торгах, признаются участниками торгов. </w:t>
      </w:r>
    </w:p>
    <w:p w:rsidR="007851D0" w:rsidP="001C2292" w14:paraId="0A67F81C"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3.12. «Шаг аукциона» - устанавливается в размере 5 (пять) процентов начальной продажной цены имущественных прав. </w:t>
      </w:r>
    </w:p>
    <w:p w:rsidR="007851D0" w:rsidP="001C2292" w14:paraId="65BED4F8"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3.13. Торги проводятся на электронной площадке с учетом Регламента электронной площадки в части, не противоречащей настоящему Положению, Приказу Минэкономразвития РФ от 23.07.2015 № 495, Федеральному закону «О несостоятельности (банкротстве)». </w:t>
      </w:r>
    </w:p>
    <w:p w:rsidR="007851D0" w:rsidP="001C2292" w14:paraId="36AAC383" w14:textId="64FD1E2F">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3.14. Победителем открытых торгов признается участник торгов, предложивший наиболее высокую цепу. Предложения, содержащие цену ниже начальной цены, не рассматриваются. Победитель торгов определяется в соответствии с положениями Закона о банкротстве. Итоги торгов подводятся на следующий рабочий день после окончания торгов после 10:00 (время московское) на электронной торговой площадке</w:t>
      </w:r>
      <w:r>
        <w:rPr>
          <w:rFonts w:ascii="Times New Roman" w:hAnsi="Times New Roman" w:cs="Times New Roman"/>
          <w:sz w:val="24"/>
          <w:szCs w:val="24"/>
        </w:rPr>
        <w:t>.</w:t>
      </w:r>
    </w:p>
    <w:p w:rsidR="007851D0" w:rsidP="001C2292" w14:paraId="21D7E163"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3.15. 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 Если к участию в торгах был допущен только один участник, договор уступки прав требования заключается с этим участником торгов по цене не ниже установленной начальной цены продажи. </w:t>
      </w:r>
    </w:p>
    <w:p w:rsidR="007851D0" w:rsidP="001C2292" w14:paraId="0E1F2211" w14:textId="5B6A8E09">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3.16. Организатор торгов рассматривает, подписывает квалифицированной электронной подписью и направляет оператору электронной площадки поступившие в соответствии с пунктом 7.1 Приказа Минэкономразвития № 495 протокол о результатах проведения торгов или решение о признании торгов несостоявшимися. </w:t>
      </w:r>
    </w:p>
    <w:p w:rsidR="007851D0" w:rsidP="001C2292" w14:paraId="60BD246E"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3.17. В течение двух рабочих дней с даты подписания протокола о результатах проведения торгов, организатор торгов направляет победителю копию протокола. </w:t>
      </w:r>
    </w:p>
    <w:p w:rsidR="007851D0" w:rsidP="001C2292" w14:paraId="487D35FB"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3.18. Суммы внесенных задатков возвращаются заявителям, за исключением победителя торгов, в течение 5 (пяти) рабочих дней со дня подписания протокола о результатах торгов. </w:t>
      </w:r>
    </w:p>
    <w:p w:rsidR="007851D0" w:rsidP="001C2292" w14:paraId="6267EE3A" w14:textId="3F0EBF89">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3.19. В течение 15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в газете «Коммерсантъ» и на ЕФРСБ - www.fedresurs.ru. </w:t>
      </w:r>
    </w:p>
    <w:p w:rsidR="007851D0" w:rsidP="001C2292" w14:paraId="5F1A472F"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3.20. 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арбитражному управляющему и о характере этой заинтересованности, сведения об участии в капитале победителя торгов конкурсного управляющего, саморегулируемой организации арбитражных управляющих, членом или руководителем которой является конкурсный управляющий, а также сведения о предложенной победителем цене лота. </w:t>
      </w:r>
    </w:p>
    <w:p w:rsidR="007851D0" w:rsidP="001C2292" w14:paraId="70B31127"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3.21. Продажа имущественных прав оформляется договором уступки права требования (цессии), который заключается конкурсным управляющим с победителем торгов в соответствии с законодательством Российской Федерации. Все связанные с таким оформлением расходы полностью возлагаются на покупателя. </w:t>
      </w:r>
    </w:p>
    <w:p w:rsidR="007851D0" w:rsidP="001C2292" w14:paraId="17B97245" w14:textId="782ACE5C">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3.22. В течение пяти дней с даты подписания протокола о результатах проведения торгов, арбитражный управляющий направляет победителю торгов предложение заключить договор уступки права требования (цессии) (п. 16 ст. 110 Закона о банкротстве). </w:t>
      </w:r>
    </w:p>
    <w:p w:rsidR="007851D0" w:rsidP="001C2292" w14:paraId="12C975EA"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3.23. Победитель торгов в течение 5 (пяти) дней с даты получения предложения конкурсного управляющего о заключении договора уступки права требования (цессии) обязан подписать договор уступки права требования (цессии). </w:t>
      </w:r>
    </w:p>
    <w:p w:rsidR="007851D0" w:rsidP="001C2292" w14:paraId="58871E92"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3.24. В случае отказа или уклонения победителя торгов от подписания договора уступки права требования (цессии) 5 (пяти) дней с даты получения предложения о подписании договора от конкурсного управляющего, внесенный задаток ему не возвращается, конкурсный управляющий вправе предложить заключить договор уступки права требования (цессии) участнику торгов, предложившему наиболее высокую цену по сравнению с ценой, предложенной другими участниками торгов, за исключением победителя торгов, по предложенной этим участником цене. </w:t>
      </w:r>
    </w:p>
    <w:p w:rsidR="007851D0" w:rsidP="001C2292" w14:paraId="478FDC46"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3.25. Победитель торгов обязан полностью оплатить стоимость приобретаемого лота в срок не позднее 30 (тридцать) дней с даты заключения договора, при этом в сумму оплаты засчитывается внесенный для участия в торгах задаток. </w:t>
      </w:r>
    </w:p>
    <w:p w:rsidR="007851D0" w:rsidP="001C2292" w14:paraId="75B87EC2"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3.26. Оплата по договору уступки права требования (цессии) должна быть осуществлена в денежной форме на счет, реквизиты которого будут размещены в сообщении о проведении торгов организатором торгов. </w:t>
      </w:r>
    </w:p>
    <w:p w:rsidR="007851D0" w:rsidP="001C2292" w14:paraId="5AAC3799"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3.27. Переход прав собственности к покупателю осуществляется (оформляется) только после полной оплаты стоимости лота, указанного в договоре уступки права требования (цессии). </w:t>
      </w:r>
    </w:p>
    <w:p w:rsidR="007851D0" w:rsidP="001C2292" w14:paraId="755D140D" w14:textId="41E3C93E">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3.28. Передача имущественного права и имеющейся документации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 после полной оплаты.</w:t>
      </w:r>
    </w:p>
    <w:p w:rsidR="007851D0" w:rsidP="00F978A4" w14:paraId="21B8E7DD" w14:textId="77777777">
      <w:pPr>
        <w:spacing w:line="240" w:lineRule="atLeast"/>
        <w:ind w:firstLine="709"/>
        <w:contextualSpacing/>
        <w:jc w:val="both"/>
        <w:rPr>
          <w:rFonts w:ascii="Times New Roman" w:hAnsi="Times New Roman" w:cs="Times New Roman"/>
          <w:sz w:val="24"/>
          <w:szCs w:val="24"/>
        </w:rPr>
      </w:pPr>
    </w:p>
    <w:p w:rsidR="007851D0" w:rsidRPr="007851D0" w:rsidP="007851D0" w14:paraId="4B3C10BD" w14:textId="32700357">
      <w:pPr>
        <w:spacing w:line="240" w:lineRule="atLeast"/>
        <w:ind w:firstLine="709"/>
        <w:contextualSpacing/>
        <w:jc w:val="center"/>
        <w:rPr>
          <w:rFonts w:ascii="Times New Roman" w:hAnsi="Times New Roman" w:cs="Times New Roman"/>
          <w:b/>
          <w:bCs/>
          <w:sz w:val="24"/>
          <w:szCs w:val="24"/>
        </w:rPr>
      </w:pPr>
      <w:r w:rsidRPr="007851D0">
        <w:rPr>
          <w:rFonts w:ascii="Times New Roman" w:hAnsi="Times New Roman" w:cs="Times New Roman"/>
          <w:b/>
          <w:bCs/>
          <w:sz w:val="24"/>
          <w:szCs w:val="24"/>
        </w:rPr>
        <w:t>4. Продажа имущественных прав на повторных торгах</w:t>
      </w:r>
    </w:p>
    <w:p w:rsidR="007851D0" w:rsidP="007851D0" w14:paraId="2B38EB7B"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4.1. В случае, если первые торги признаны несостоявшимися или договор уступки права требования (цессии) не заключен с единственным участником торгов, организатор торгов принимает решение о проведении повторных торгов и об установлении начальной цены. </w:t>
      </w:r>
    </w:p>
    <w:p w:rsidR="007851D0" w:rsidP="007851D0" w14:paraId="71DD11EA" w14:textId="34F11482">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b/>
          <w:bCs/>
          <w:sz w:val="24"/>
          <w:szCs w:val="24"/>
        </w:rPr>
        <w:t>Начальная цена</w:t>
      </w:r>
      <w:r w:rsidRPr="007851D0">
        <w:rPr>
          <w:rFonts w:ascii="Times New Roman" w:hAnsi="Times New Roman" w:cs="Times New Roman"/>
          <w:sz w:val="24"/>
          <w:szCs w:val="24"/>
        </w:rPr>
        <w:t xml:space="preserve"> продажи имущественного права на повторных торгах устанавливается на </w:t>
      </w:r>
      <w:r w:rsidR="003059E7">
        <w:rPr>
          <w:rFonts w:ascii="Times New Roman" w:hAnsi="Times New Roman" w:cs="Times New Roman"/>
          <w:sz w:val="24"/>
          <w:szCs w:val="24"/>
        </w:rPr>
        <w:t>10% (</w:t>
      </w:r>
      <w:r w:rsidRPr="007851D0">
        <w:rPr>
          <w:rFonts w:ascii="Times New Roman" w:hAnsi="Times New Roman" w:cs="Times New Roman"/>
          <w:sz w:val="24"/>
          <w:szCs w:val="24"/>
        </w:rPr>
        <w:t>десять процентов</w:t>
      </w:r>
      <w:r w:rsidR="003059E7">
        <w:rPr>
          <w:rFonts w:ascii="Times New Roman" w:hAnsi="Times New Roman" w:cs="Times New Roman"/>
          <w:sz w:val="24"/>
          <w:szCs w:val="24"/>
        </w:rPr>
        <w:t>)</w:t>
      </w:r>
      <w:r w:rsidRPr="007851D0">
        <w:rPr>
          <w:rFonts w:ascii="Times New Roman" w:hAnsi="Times New Roman" w:cs="Times New Roman"/>
          <w:sz w:val="24"/>
          <w:szCs w:val="24"/>
        </w:rPr>
        <w:t xml:space="preserve"> ниже начальной цены продажи имущественного права, установленной на первоначальных торгах. </w:t>
      </w:r>
    </w:p>
    <w:p w:rsidR="007851D0" w:rsidP="007851D0" w14:paraId="6A3BC342"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4.2. Повторные торги проводятся в порядке, установленном настоящим Положением для первоначальных торгов (раздел 3 настоящего Положения). </w:t>
      </w:r>
    </w:p>
    <w:p w:rsidR="007851D0" w:rsidP="007851D0" w14:paraId="5D1CC583" w14:textId="77777777">
      <w:pPr>
        <w:spacing w:line="240" w:lineRule="atLeast"/>
        <w:ind w:firstLine="709"/>
        <w:contextualSpacing/>
        <w:jc w:val="both"/>
        <w:rPr>
          <w:rFonts w:ascii="Times New Roman" w:hAnsi="Times New Roman" w:cs="Times New Roman"/>
          <w:sz w:val="24"/>
          <w:szCs w:val="24"/>
        </w:rPr>
      </w:pPr>
    </w:p>
    <w:p w:rsidR="007851D0" w:rsidRPr="007851D0" w:rsidP="007851D0" w14:paraId="1CC0834C" w14:textId="6C4872FB">
      <w:pPr>
        <w:spacing w:line="240" w:lineRule="atLeast"/>
        <w:ind w:firstLine="709"/>
        <w:contextualSpacing/>
        <w:jc w:val="center"/>
        <w:rPr>
          <w:rFonts w:ascii="Times New Roman" w:hAnsi="Times New Roman" w:cs="Times New Roman"/>
          <w:b/>
          <w:bCs/>
          <w:sz w:val="24"/>
          <w:szCs w:val="24"/>
        </w:rPr>
      </w:pPr>
      <w:r w:rsidRPr="007851D0">
        <w:rPr>
          <w:rFonts w:ascii="Times New Roman" w:hAnsi="Times New Roman" w:cs="Times New Roman"/>
          <w:b/>
          <w:bCs/>
          <w:sz w:val="24"/>
          <w:szCs w:val="24"/>
        </w:rPr>
        <w:t>5. Продажа имущественных прав посредством публичного предложения</w:t>
      </w:r>
    </w:p>
    <w:p w:rsidR="007851D0" w:rsidP="007851D0" w14:paraId="7B42C3AE"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5.1. В случае если повторные торги по продаже имущественных прав должника признаны несостоявшимися или договор уступки права требования (цессии) не был заключен с их единственным участником, а также в случае незаключения договора уступки права требования (цессии) по результатам повторных торгов, продаваемые на торгах имущественные права должника подлежат продаже посредством публичного предложения. </w:t>
      </w:r>
    </w:p>
    <w:p w:rsidR="007851D0" w:rsidP="007851D0" w14:paraId="54490D41" w14:textId="629D2586">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5.2. Организатор торгов публикует информационное сообщение о продаже имущественного права посредством публичного предложения в газете «Коммерсантъ» и на ЕФРСБ - www.fedresurs.ru </w:t>
      </w:r>
    </w:p>
    <w:p w:rsidR="007851D0" w:rsidP="007851D0" w14:paraId="7F5A6976" w14:textId="7020B4CC">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5.3. При продаже имущественных прав должника посредством публичного предложения в сообщении о проведении торгов наряду со сведениями, предусмотренными ФЗ Закона о банкротстве, указываются величина снижения начальной цены продажи имущественного права должника и срок, по истечении которого последовательно снижается указанная начальная цена. </w:t>
      </w:r>
    </w:p>
    <w:p w:rsidR="007851D0" w:rsidP="007851D0" w14:paraId="4A680AC7" w14:textId="147248AA">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5.4. При продаже имущественного права посредством публичного предложения начальная цена продажи имущественных прав устанавливается в размере начальной цены, указанной в сообщении о продаже имущественного права на повторных торгах. </w:t>
      </w:r>
    </w:p>
    <w:p w:rsidR="007851D0" w:rsidP="007851D0" w14:paraId="16B67377" w14:textId="786E2A38">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5.5. При реализации имущественных прав должника величина снижения начальной цены (далее - «</w:t>
      </w:r>
      <w:r w:rsidRPr="003059E7">
        <w:rPr>
          <w:rFonts w:ascii="Times New Roman" w:hAnsi="Times New Roman" w:cs="Times New Roman"/>
          <w:b/>
          <w:bCs/>
          <w:sz w:val="24"/>
          <w:szCs w:val="24"/>
        </w:rPr>
        <w:t>Величина снижения»)</w:t>
      </w:r>
      <w:r w:rsidRPr="007851D0">
        <w:rPr>
          <w:rFonts w:ascii="Times New Roman" w:hAnsi="Times New Roman" w:cs="Times New Roman"/>
          <w:sz w:val="24"/>
          <w:szCs w:val="24"/>
        </w:rPr>
        <w:t xml:space="preserve"> устанавливается в процентном соотношении от начальной продажной цены на повторных торгах и </w:t>
      </w:r>
      <w:r w:rsidRPr="003059E7">
        <w:rPr>
          <w:rFonts w:ascii="Times New Roman" w:hAnsi="Times New Roman" w:cs="Times New Roman"/>
          <w:b/>
          <w:bCs/>
          <w:sz w:val="24"/>
          <w:szCs w:val="24"/>
        </w:rPr>
        <w:t xml:space="preserve">составляет </w:t>
      </w:r>
      <w:r w:rsidRPr="003059E7" w:rsidR="003059E7">
        <w:rPr>
          <w:rFonts w:ascii="Times New Roman" w:hAnsi="Times New Roman" w:cs="Times New Roman"/>
          <w:b/>
          <w:bCs/>
          <w:sz w:val="24"/>
          <w:szCs w:val="24"/>
        </w:rPr>
        <w:t>8</w:t>
      </w:r>
      <w:r w:rsidRPr="003059E7">
        <w:rPr>
          <w:rFonts w:ascii="Times New Roman" w:hAnsi="Times New Roman" w:cs="Times New Roman"/>
          <w:b/>
          <w:bCs/>
          <w:sz w:val="24"/>
          <w:szCs w:val="24"/>
        </w:rPr>
        <w:t>% (</w:t>
      </w:r>
      <w:r w:rsidRPr="003059E7" w:rsidR="003059E7">
        <w:rPr>
          <w:rFonts w:ascii="Times New Roman" w:hAnsi="Times New Roman" w:cs="Times New Roman"/>
          <w:b/>
          <w:bCs/>
          <w:sz w:val="24"/>
          <w:szCs w:val="24"/>
        </w:rPr>
        <w:t>восем</w:t>
      </w:r>
      <w:r w:rsidRPr="003059E7">
        <w:rPr>
          <w:rFonts w:ascii="Times New Roman" w:hAnsi="Times New Roman" w:cs="Times New Roman"/>
          <w:b/>
          <w:bCs/>
          <w:sz w:val="24"/>
          <w:szCs w:val="24"/>
        </w:rPr>
        <w:t>ь процентов</w:t>
      </w:r>
      <w:r w:rsidRPr="007851D0">
        <w:rPr>
          <w:rFonts w:ascii="Times New Roman" w:hAnsi="Times New Roman" w:cs="Times New Roman"/>
          <w:sz w:val="24"/>
          <w:szCs w:val="24"/>
        </w:rPr>
        <w:t xml:space="preserve">), </w:t>
      </w:r>
      <w:r w:rsidRPr="003059E7">
        <w:rPr>
          <w:rFonts w:ascii="Times New Roman" w:hAnsi="Times New Roman" w:cs="Times New Roman"/>
          <w:b/>
          <w:bCs/>
          <w:sz w:val="24"/>
          <w:szCs w:val="24"/>
        </w:rPr>
        <w:t>цена отсечения</w:t>
      </w:r>
      <w:r w:rsidRPr="007851D0">
        <w:rPr>
          <w:rFonts w:ascii="Times New Roman" w:hAnsi="Times New Roman" w:cs="Times New Roman"/>
          <w:sz w:val="24"/>
          <w:szCs w:val="24"/>
        </w:rPr>
        <w:t xml:space="preserve"> составляет </w:t>
      </w:r>
      <w:r w:rsidRPr="003059E7" w:rsidR="003059E7">
        <w:rPr>
          <w:rFonts w:ascii="Times New Roman" w:hAnsi="Times New Roman" w:cs="Times New Roman"/>
          <w:b/>
          <w:bCs/>
          <w:sz w:val="24"/>
          <w:szCs w:val="24"/>
        </w:rPr>
        <w:t>0,5</w:t>
      </w:r>
      <w:r w:rsidRPr="003059E7">
        <w:rPr>
          <w:rFonts w:ascii="Times New Roman" w:hAnsi="Times New Roman" w:cs="Times New Roman"/>
          <w:b/>
          <w:bCs/>
          <w:sz w:val="24"/>
          <w:szCs w:val="24"/>
        </w:rPr>
        <w:t xml:space="preserve">% </w:t>
      </w:r>
      <w:r w:rsidRPr="007851D0">
        <w:rPr>
          <w:rFonts w:ascii="Times New Roman" w:hAnsi="Times New Roman" w:cs="Times New Roman"/>
          <w:sz w:val="24"/>
          <w:szCs w:val="24"/>
        </w:rPr>
        <w:t>(</w:t>
      </w:r>
      <w:r w:rsidR="003059E7">
        <w:rPr>
          <w:rFonts w:ascii="Times New Roman" w:hAnsi="Times New Roman" w:cs="Times New Roman"/>
          <w:sz w:val="24"/>
          <w:szCs w:val="24"/>
        </w:rPr>
        <w:t>ноль целых пять десятых</w:t>
      </w:r>
      <w:r w:rsidRPr="007851D0">
        <w:rPr>
          <w:rFonts w:ascii="Times New Roman" w:hAnsi="Times New Roman" w:cs="Times New Roman"/>
          <w:sz w:val="24"/>
          <w:szCs w:val="24"/>
        </w:rPr>
        <w:t xml:space="preserve"> процент</w:t>
      </w:r>
      <w:r w:rsidR="003059E7">
        <w:rPr>
          <w:rFonts w:ascii="Times New Roman" w:hAnsi="Times New Roman" w:cs="Times New Roman"/>
          <w:sz w:val="24"/>
          <w:szCs w:val="24"/>
        </w:rPr>
        <w:t>а</w:t>
      </w:r>
      <w:r w:rsidRPr="007851D0">
        <w:rPr>
          <w:rFonts w:ascii="Times New Roman" w:hAnsi="Times New Roman" w:cs="Times New Roman"/>
          <w:sz w:val="24"/>
          <w:szCs w:val="24"/>
        </w:rPr>
        <w:t xml:space="preserve">) от начальной цены, указанной в сообщении о продаже имущественных </w:t>
      </w:r>
      <w:r w:rsidRPr="007851D0">
        <w:rPr>
          <w:rFonts w:ascii="Times New Roman" w:hAnsi="Times New Roman" w:cs="Times New Roman"/>
          <w:sz w:val="24"/>
          <w:szCs w:val="24"/>
        </w:rPr>
        <w:t xml:space="preserve">прав должника на повторных торгах. По достижении цены отсечения, торги прекращаются, вопрос об условиях дальнейшей реализации имущества решается собранием кредиторов должника. </w:t>
      </w:r>
    </w:p>
    <w:p w:rsidR="007851D0" w:rsidRPr="003059E7" w:rsidP="007851D0" w14:paraId="54822E4F" w14:textId="3406B25C">
      <w:pPr>
        <w:spacing w:line="240" w:lineRule="atLeast"/>
        <w:ind w:firstLine="709"/>
        <w:contextualSpacing/>
        <w:jc w:val="both"/>
        <w:rPr>
          <w:rFonts w:ascii="Times New Roman" w:hAnsi="Times New Roman" w:cs="Times New Roman"/>
          <w:b/>
          <w:bCs/>
          <w:sz w:val="24"/>
          <w:szCs w:val="24"/>
        </w:rPr>
      </w:pPr>
      <w:r w:rsidRPr="007851D0">
        <w:rPr>
          <w:rFonts w:ascii="Times New Roman" w:hAnsi="Times New Roman" w:cs="Times New Roman"/>
          <w:sz w:val="24"/>
          <w:szCs w:val="24"/>
        </w:rPr>
        <w:t xml:space="preserve">5.6. Срок, по истечении которого последовательно снижается указанная начальная цена - </w:t>
      </w:r>
      <w:r w:rsidRPr="003059E7">
        <w:rPr>
          <w:rFonts w:ascii="Times New Roman" w:hAnsi="Times New Roman" w:cs="Times New Roman"/>
          <w:b/>
          <w:bCs/>
          <w:sz w:val="24"/>
          <w:szCs w:val="24"/>
        </w:rPr>
        <w:t xml:space="preserve">3 </w:t>
      </w:r>
      <w:r w:rsidRPr="003059E7" w:rsidR="003059E7">
        <w:rPr>
          <w:rFonts w:ascii="Times New Roman" w:hAnsi="Times New Roman" w:cs="Times New Roman"/>
          <w:b/>
          <w:bCs/>
          <w:sz w:val="24"/>
          <w:szCs w:val="24"/>
        </w:rPr>
        <w:t>календарных</w:t>
      </w:r>
      <w:r w:rsidRPr="003059E7">
        <w:rPr>
          <w:rFonts w:ascii="Times New Roman" w:hAnsi="Times New Roman" w:cs="Times New Roman"/>
          <w:b/>
          <w:bCs/>
          <w:sz w:val="24"/>
          <w:szCs w:val="24"/>
        </w:rPr>
        <w:t xml:space="preserve"> дня. </w:t>
      </w:r>
    </w:p>
    <w:p w:rsidR="007851D0" w:rsidP="007851D0" w14:paraId="68F7A4AD"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5.7. Для участия в торгах участник торгов вносит </w:t>
      </w:r>
      <w:r w:rsidRPr="003059E7">
        <w:rPr>
          <w:rFonts w:ascii="Times New Roman" w:hAnsi="Times New Roman" w:cs="Times New Roman"/>
          <w:b/>
          <w:bCs/>
          <w:sz w:val="24"/>
          <w:szCs w:val="24"/>
        </w:rPr>
        <w:t>задаток в размере 10%</w:t>
      </w:r>
      <w:r w:rsidRPr="007851D0">
        <w:rPr>
          <w:rFonts w:ascii="Times New Roman" w:hAnsi="Times New Roman" w:cs="Times New Roman"/>
          <w:sz w:val="24"/>
          <w:szCs w:val="24"/>
        </w:rPr>
        <w:t xml:space="preserve"> от начальной цены лота, установленной для определенного периода проведения торгов на задатковый счет должника. </w:t>
      </w:r>
    </w:p>
    <w:p w:rsidR="007851D0" w:rsidP="007851D0" w14:paraId="58E7ACC6"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5.8. Задаток должен быть перечислен до времени окончания приема заявок. Участник должен обеспечить поступление задатка на счет, указанный организатором торгов, до времени подведения итогов периода. </w:t>
      </w:r>
    </w:p>
    <w:p w:rsidR="007851D0" w:rsidP="007851D0" w14:paraId="77CC16C0"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5.9. Подведение итогов торгов по каждому периоду проводится на следующий рабочий день, после 10:00 (время московское), при наличии заявок. </w:t>
      </w:r>
    </w:p>
    <w:p w:rsidR="007851D0" w:rsidP="007851D0" w14:paraId="5443FA61"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5.10. Право приобретения имущественных прав должника принадлежит участнику торгов по продаже имущественных прав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имущественных прав должника, которая не ниже начальной цены, установленной для определенного периода проведения торгов, при отсутствии предложений других участников торгов по продаже имущественных прав должника посредством публичного предложения. </w:t>
      </w:r>
    </w:p>
    <w:p w:rsidR="007851D0" w:rsidP="007851D0" w14:paraId="64020DCC"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В случае, если несколько участников торгов посредством публичного предложения представили в установленный срок заявки, содержащие различные предложения о цене имущественных прав должника, но не ниже начальной цены продажи, установленной для определенного периода проведения торгов, право приобретения принадлежит участнику торгов, предложившему максимальную цену за лот. </w:t>
      </w:r>
    </w:p>
    <w:p w:rsidR="007851D0" w:rsidP="007851D0" w14:paraId="4F319AC1" w14:textId="4EE93779">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В случае, если несколько участников торгов по продаже имущественных прав должника посредством публичного предложения представили в установленный срок заявки, содержащие равные предложения о цене, но не ниже начальной цены, установленной для определенного периода проведения торгов, право приобретения должника принадлежит участнику торгов, который первым представил в установленный срок заявку на участие в торгах посредством публичного предложения. </w:t>
      </w:r>
    </w:p>
    <w:p w:rsidR="007851D0" w:rsidP="007851D0" w14:paraId="5E9924D0"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5.11. С даты определения Победителя торгов по продаже имущественных прав посредством публичного предложения прием заявок прекращается. </w:t>
      </w:r>
    </w:p>
    <w:p w:rsidR="007851D0" w:rsidP="007851D0" w14:paraId="35EB479B" w14:textId="77777777">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 xml:space="preserve">5.12. Порядок заключения договора уступки права требования (цессии), условия, и порядок расчетов определены настоящим положением (раздел 3 настоящего Положения). </w:t>
      </w:r>
    </w:p>
    <w:p w:rsidR="007851D0" w:rsidP="007851D0" w14:paraId="540C4952" w14:textId="77777777">
      <w:pPr>
        <w:spacing w:line="240" w:lineRule="atLeast"/>
        <w:ind w:firstLine="709"/>
        <w:contextualSpacing/>
        <w:jc w:val="both"/>
        <w:rPr>
          <w:rFonts w:ascii="Times New Roman" w:hAnsi="Times New Roman" w:cs="Times New Roman"/>
          <w:sz w:val="24"/>
          <w:szCs w:val="24"/>
        </w:rPr>
      </w:pPr>
    </w:p>
    <w:p w:rsidR="007851D0" w:rsidRPr="007851D0" w:rsidP="007851D0" w14:paraId="370862E2" w14:textId="57C644C1">
      <w:pPr>
        <w:spacing w:line="240" w:lineRule="atLeast"/>
        <w:ind w:firstLine="709"/>
        <w:contextualSpacing/>
        <w:jc w:val="center"/>
        <w:rPr>
          <w:rFonts w:ascii="Times New Roman" w:hAnsi="Times New Roman" w:cs="Times New Roman"/>
          <w:b/>
          <w:bCs/>
          <w:sz w:val="24"/>
          <w:szCs w:val="24"/>
        </w:rPr>
      </w:pPr>
      <w:r w:rsidRPr="007851D0">
        <w:rPr>
          <w:rFonts w:ascii="Times New Roman" w:hAnsi="Times New Roman" w:cs="Times New Roman"/>
          <w:b/>
          <w:bCs/>
          <w:sz w:val="24"/>
          <w:szCs w:val="24"/>
        </w:rPr>
        <w:t>6. Заключительные положения</w:t>
      </w:r>
    </w:p>
    <w:p w:rsidR="001330B8" w:rsidP="007851D0" w14:paraId="0D77194B" w14:textId="1DD3133B">
      <w:pPr>
        <w:spacing w:line="240" w:lineRule="atLeast"/>
        <w:ind w:firstLine="709"/>
        <w:contextualSpacing/>
        <w:jc w:val="both"/>
        <w:rPr>
          <w:rFonts w:ascii="Times New Roman" w:hAnsi="Times New Roman" w:cs="Times New Roman"/>
          <w:sz w:val="24"/>
          <w:szCs w:val="24"/>
        </w:rPr>
      </w:pPr>
      <w:r w:rsidRPr="007851D0">
        <w:rPr>
          <w:rFonts w:ascii="Times New Roman" w:hAnsi="Times New Roman" w:cs="Times New Roman"/>
          <w:sz w:val="24"/>
          <w:szCs w:val="24"/>
        </w:rPr>
        <w:t>6.1. Во всем, что не предусмотрено настоящим положением, конкурсный управляющий и Организатор торгов действуют по своему усмотрению, руководствуясь действующим законодательством Российской Федерации, а также положениями ст.</w:t>
      </w:r>
      <w:r>
        <w:rPr>
          <w:rFonts w:ascii="Times New Roman" w:hAnsi="Times New Roman" w:cs="Times New Roman"/>
          <w:sz w:val="24"/>
          <w:szCs w:val="24"/>
        </w:rPr>
        <w:t xml:space="preserve"> </w:t>
      </w:r>
      <w:r w:rsidRPr="007851D0">
        <w:rPr>
          <w:rFonts w:ascii="Times New Roman" w:hAnsi="Times New Roman" w:cs="Times New Roman"/>
          <w:sz w:val="24"/>
          <w:szCs w:val="24"/>
        </w:rPr>
        <w:t>ст. 110, 111, 139 Федерального закона «О несостоятельности (банкротстве) от 26.10.2002 №127-ФЗ, регулирующих порядок продажи имущественных прав на первых и повторных торгах, посредством публичного предложения.</w:t>
      </w:r>
    </w:p>
    <w:p w:rsidR="00533C09" w:rsidRPr="00533C09" w:rsidP="00533C09" w14:paraId="66CE96C0" w14:textId="77777777">
      <w:pPr>
        <w:spacing w:after="0" w:line="240" w:lineRule="auto"/>
        <w:ind w:left="1440"/>
        <w:textAlignment w:val="top"/>
        <w:rPr>
          <w:rFonts w:ascii="Times New Roman" w:eastAsia="Times New Roman" w:hAnsi="Times New Roman" w:cs="Times New Roman"/>
          <w:kern w:val="0"/>
          <w:sz w:val="20"/>
          <w:szCs w:val="20"/>
          <w:lang w:eastAsia="ru-RU"/>
          <w14:ligatures w14:val="none"/>
        </w:rPr>
      </w:pPr>
    </w:p>
    <w:tbl>
      <w:tblPr>
        <w:tblW w:w="5000" w:type="pct"/>
        <w:tblCellMar>
          <w:left w:w="0" w:type="dxa"/>
          <w:right w:w="0" w:type="dxa"/>
        </w:tblCellMar>
        <w:tblLook w:val="04A0"/>
      </w:tblPr>
      <w:tblGrid>
        <w:gridCol w:w="5250"/>
        <w:gridCol w:w="1950"/>
        <w:gridCol w:w="3266"/>
      </w:tblGrid>
      <w:tr w14:paraId="444E224C" w14:textId="77777777" w:rsidTr="000A37E9">
        <w:tblPrEx>
          <w:tblW w:w="5000" w:type="pct"/>
          <w:tblCellMar>
            <w:left w:w="0" w:type="dxa"/>
            <w:right w:w="0" w:type="dxa"/>
          </w:tblCellMar>
          <w:tblLook w:val="04A0"/>
        </w:tblPrEx>
        <w:trPr>
          <w:trHeight w:val="1500"/>
        </w:trPr>
        <w:tc>
          <w:tcPr>
            <w:tcW w:w="5250" w:type="dxa"/>
            <w:tcBorders>
              <w:top w:val="nil"/>
              <w:left w:val="nil"/>
              <w:bottom w:val="nil"/>
              <w:right w:val="nil"/>
            </w:tcBorders>
            <w:tcMar>
              <w:top w:w="30" w:type="dxa"/>
              <w:left w:w="75" w:type="dxa"/>
              <w:bottom w:w="30" w:type="dxa"/>
              <w:right w:w="75" w:type="dxa"/>
            </w:tcMar>
            <w:vAlign w:val="center"/>
            <w:hideMark/>
          </w:tcPr>
          <w:p w:rsidR="00533C09" w:rsidRPr="00533C09" w:rsidP="00533C09" w14:paraId="1E7A42D5" w14:textId="5C35725E">
            <w:pPr>
              <w:spacing w:after="0" w:line="240" w:lineRule="auto"/>
              <w:rPr>
                <w:rFonts w:ascii="Times New Roman" w:eastAsia="Times New Roman" w:hAnsi="Times New Roman" w:cs="Times New Roman"/>
                <w:kern w:val="0"/>
                <w:sz w:val="20"/>
                <w:szCs w:val="20"/>
                <w:lang w:eastAsia="ru-RU"/>
                <w14:ligatures w14:val="none"/>
              </w:rPr>
            </w:pPr>
            <w:r w:rsidRPr="00533C09">
              <w:rPr>
                <w:rFonts w:ascii="Times New Roman" w:eastAsia="Times New Roman" w:hAnsi="Times New Roman" w:cs="Times New Roman"/>
                <w:noProof/>
                <w:kern w:val="0"/>
                <w:sz w:val="24"/>
                <w:szCs w:val="24"/>
                <w:lang w:eastAsia="ru-RU"/>
                <w14:ligatures w14:val="none"/>
              </w:rPr>
              <w:drawing>
                <wp:anchor distT="0" distB="0" distL="114300" distR="114300" simplePos="0" relativeHeight="251658240" behindDoc="0" locked="0" layoutInCell="1" allowOverlap="1">
                  <wp:simplePos x="0" y="0"/>
                  <wp:positionH relativeFrom="character">
                    <wp:posOffset>2508250</wp:posOffset>
                  </wp:positionH>
                  <wp:positionV relativeFrom="line">
                    <wp:posOffset>-161290</wp:posOffset>
                  </wp:positionV>
                  <wp:extent cx="1047750" cy="52387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i0"/>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0" cy="5238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конец"/>
            <w:bookmarkEnd w:id="2"/>
            <w:r w:rsidRPr="00533C09">
              <w:rPr>
                <w:rFonts w:ascii="Times New Roman" w:eastAsia="Times New Roman" w:hAnsi="Times New Roman" w:cs="Times New Roman"/>
                <w:b/>
                <w:bCs/>
                <w:kern w:val="0"/>
                <w:sz w:val="20"/>
                <w:szCs w:val="20"/>
                <w:lang w:eastAsia="ru-RU"/>
                <w14:ligatures w14:val="none"/>
              </w:rPr>
              <w:t>Конкурсный управляющий</w:t>
            </w:r>
          </w:p>
          <w:p w:rsidR="00533C09" w:rsidRPr="00533C09" w:rsidP="00533C09" w14:paraId="53629B40" w14:textId="77777777">
            <w:pPr>
              <w:spacing w:after="0" w:line="240" w:lineRule="auto"/>
              <w:rPr>
                <w:rFonts w:ascii="Times New Roman" w:eastAsia="Times New Roman" w:hAnsi="Times New Roman" w:cs="Times New Roman"/>
                <w:kern w:val="0"/>
                <w:sz w:val="24"/>
                <w:szCs w:val="24"/>
                <w:lang w:eastAsia="ru-RU"/>
                <w14:ligatures w14:val="none"/>
              </w:rPr>
            </w:pPr>
            <w:r w:rsidRPr="00533C09">
              <w:rPr>
                <w:rFonts w:ascii="Times New Roman" w:eastAsia="Times New Roman" w:hAnsi="Times New Roman" w:cs="Times New Roman"/>
                <w:b/>
                <w:bCs/>
                <w:kern w:val="0"/>
                <w:sz w:val="20"/>
                <w:szCs w:val="20"/>
                <w:lang w:eastAsia="ru-RU"/>
                <w14:ligatures w14:val="none"/>
              </w:rPr>
              <w:t>ООО "ГЕНСТРОЙПРОЕКТ"</w:t>
            </w:r>
            <w:r w:rsidRPr="00533C09">
              <w:rPr>
                <w:rFonts w:ascii="Times New Roman" w:eastAsia="Times New Roman" w:hAnsi="Times New Roman" w:cs="Times New Roman"/>
                <w:kern w:val="0"/>
                <w:sz w:val="24"/>
                <w:szCs w:val="24"/>
                <w:lang w:eastAsia="ru-RU"/>
                <w14:ligatures w14:val="none"/>
              </w:rPr>
              <w:t xml:space="preserve"> </w:t>
            </w:r>
          </w:p>
          <w:p w:rsidR="00533C09" w:rsidRPr="00533C09" w:rsidP="00533C09" w14:paraId="08EAD718" w14:textId="77777777">
            <w:pPr>
              <w:spacing w:after="0" w:line="240" w:lineRule="auto"/>
              <w:rPr>
                <w:rFonts w:ascii="Times New Roman" w:eastAsia="Times New Roman" w:hAnsi="Times New Roman" w:cs="Times New Roman"/>
                <w:kern w:val="0"/>
                <w:sz w:val="20"/>
                <w:szCs w:val="20"/>
                <w:lang w:eastAsia="ru-RU"/>
                <w14:ligatures w14:val="none"/>
              </w:rPr>
            </w:pPr>
            <w:r w:rsidRPr="00533C09">
              <w:rPr>
                <w:rFonts w:ascii="Times New Roman" w:eastAsia="Times New Roman" w:hAnsi="Times New Roman" w:cs="Times New Roman"/>
                <w:b/>
                <w:bCs/>
                <w:kern w:val="0"/>
                <w:sz w:val="20"/>
                <w:szCs w:val="20"/>
                <w:lang w:eastAsia="ru-RU"/>
                <w14:ligatures w14:val="none"/>
              </w:rPr>
              <w:t>В. В. Мусатов</w:t>
            </w:r>
          </w:p>
        </w:tc>
        <w:tc>
          <w:tcPr>
            <w:tcW w:w="1950" w:type="dxa"/>
            <w:tcBorders>
              <w:top w:val="nil"/>
              <w:left w:val="nil"/>
              <w:bottom w:val="nil"/>
              <w:right w:val="nil"/>
            </w:tcBorders>
            <w:tcMar>
              <w:top w:w="30" w:type="dxa"/>
              <w:left w:w="75" w:type="dxa"/>
              <w:bottom w:w="30" w:type="dxa"/>
              <w:right w:w="75" w:type="dxa"/>
            </w:tcMar>
            <w:vAlign w:val="center"/>
            <w:hideMark/>
          </w:tcPr>
          <w:p w:rsidR="00533C09" w:rsidRPr="00533C09" w:rsidP="00533C09" w14:paraId="344A7C53" w14:textId="77777777">
            <w:pPr>
              <w:spacing w:after="0" w:line="240" w:lineRule="auto"/>
              <w:rPr>
                <w:rFonts w:ascii="Times New Roman" w:eastAsia="Times New Roman" w:hAnsi="Times New Roman" w:cs="Times New Roman"/>
                <w:kern w:val="0"/>
                <w:sz w:val="20"/>
                <w:szCs w:val="20"/>
                <w:lang w:eastAsia="ru-RU"/>
                <w14:ligatures w14:val="none"/>
              </w:rPr>
            </w:pPr>
            <w:r w:rsidRPr="00533C09">
              <w:rPr>
                <w:rFonts w:ascii="Times New Roman" w:eastAsia="Times New Roman" w:hAnsi="Times New Roman" w:cs="Times New Roman"/>
                <w:kern w:val="0"/>
                <w:sz w:val="20"/>
                <w:szCs w:val="20"/>
                <w:lang w:eastAsia="ru-RU"/>
                <w14:ligatures w14:val="none"/>
              </w:rPr>
              <w:br/>
            </w:r>
          </w:p>
        </w:tc>
        <w:tc>
          <w:tcPr>
            <w:tcW w:w="0" w:type="auto"/>
            <w:tcBorders>
              <w:top w:val="nil"/>
              <w:left w:val="nil"/>
              <w:bottom w:val="nil"/>
              <w:right w:val="nil"/>
            </w:tcBorders>
            <w:tcMar>
              <w:top w:w="30" w:type="dxa"/>
              <w:left w:w="75" w:type="dxa"/>
              <w:bottom w:w="30" w:type="dxa"/>
              <w:right w:w="75" w:type="dxa"/>
            </w:tcMar>
            <w:vAlign w:val="center"/>
            <w:hideMark/>
          </w:tcPr>
          <w:p w:rsidR="00533C09" w:rsidRPr="00533C09" w:rsidP="00533C09" w14:paraId="2890565E" w14:textId="77777777">
            <w:pPr>
              <w:spacing w:after="0" w:line="240" w:lineRule="auto"/>
              <w:jc w:val="center"/>
              <w:rPr>
                <w:rFonts w:ascii="Times New Roman" w:eastAsia="Times New Roman" w:hAnsi="Times New Roman" w:cs="Times New Roman"/>
                <w:kern w:val="0"/>
                <w:sz w:val="20"/>
                <w:szCs w:val="20"/>
                <w:lang w:eastAsia="ru-RU"/>
                <w14:ligatures w14:val="none"/>
              </w:rPr>
            </w:pPr>
          </w:p>
        </w:tc>
      </w:tr>
    </w:tbl>
    <w:p w:rsidR="00533C09" w:rsidP="007851D0" w14:paraId="45957402" w14:textId="77777777">
      <w:pPr>
        <w:spacing w:line="240" w:lineRule="atLeast"/>
        <w:ind w:firstLine="709"/>
        <w:contextualSpacing/>
        <w:jc w:val="both"/>
        <w:rPr>
          <w:rFonts w:ascii="Times New Roman" w:hAnsi="Times New Roman" w:cs="Times New Roman"/>
          <w:sz w:val="24"/>
          <w:szCs w:val="24"/>
        </w:rPr>
      </w:pPr>
      <w:bookmarkStart w:id="3" w:name="_GoBack"/>
      <w:bookmarkEnd w:id="3"/>
    </w:p>
    <w:sectPr w:rsidSect="00120832">
      <w:footerReference w:type="default" r:id="rId5"/>
      <w:pgSz w:w="11906" w:h="16838"/>
      <w:pgMar w:top="720" w:right="720"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b/>
        <w:bCs/>
      </w:rPr>
      <w:id w:val="143093249"/>
      <w:docPartObj>
        <w:docPartGallery w:val="Page Numbers (Bottom of Page)"/>
        <w:docPartUnique/>
      </w:docPartObj>
    </w:sdtPr>
    <w:sdtContent>
      <w:sdt>
        <w:sdtPr>
          <w:rPr>
            <w:rFonts w:ascii="Times New Roman" w:hAnsi="Times New Roman" w:cs="Times New Roman"/>
            <w:b/>
            <w:bCs/>
          </w:rPr>
          <w:id w:val="-1769616900"/>
          <w:docPartObj>
            <w:docPartGallery w:val="Page Numbers (Top of Page)"/>
            <w:docPartUnique/>
          </w:docPartObj>
        </w:sdtPr>
        <w:sdtContent>
          <w:p w:rsidR="00F35AF7" w:rsidRPr="00E45B63" w14:paraId="23A4E2D0" w14:textId="7DE77607">
            <w:pPr>
              <w:pStyle w:val="Footer"/>
              <w:jc w:val="right"/>
              <w:rPr>
                <w:rFonts w:ascii="Times New Roman" w:hAnsi="Times New Roman" w:cs="Times New Roman"/>
                <w:b/>
                <w:bCs/>
              </w:rPr>
            </w:pPr>
            <w:r w:rsidRPr="00E45B63">
              <w:rPr>
                <w:rFonts w:ascii="Times New Roman" w:hAnsi="Times New Roman" w:cs="Times New Roman"/>
                <w:b/>
                <w:bCs/>
              </w:rPr>
              <w:t xml:space="preserve">Стр. </w:t>
            </w:r>
            <w:r w:rsidRPr="00E45B63">
              <w:rPr>
                <w:rFonts w:ascii="Times New Roman" w:hAnsi="Times New Roman" w:cs="Times New Roman"/>
                <w:b/>
                <w:bCs/>
                <w:sz w:val="24"/>
                <w:szCs w:val="24"/>
              </w:rPr>
              <w:fldChar w:fldCharType="begin"/>
            </w:r>
            <w:r w:rsidRPr="00E45B63">
              <w:rPr>
                <w:rFonts w:ascii="Times New Roman" w:hAnsi="Times New Roman" w:cs="Times New Roman"/>
                <w:b/>
                <w:bCs/>
              </w:rPr>
              <w:instrText>PAGE</w:instrText>
            </w:r>
            <w:r w:rsidRPr="00E45B63">
              <w:rPr>
                <w:rFonts w:ascii="Times New Roman" w:hAnsi="Times New Roman" w:cs="Times New Roman"/>
                <w:b/>
                <w:bCs/>
                <w:sz w:val="24"/>
                <w:szCs w:val="24"/>
              </w:rPr>
              <w:fldChar w:fldCharType="separate"/>
            </w:r>
            <w:r w:rsidRPr="00E45B63">
              <w:rPr>
                <w:rFonts w:ascii="Times New Roman" w:hAnsi="Times New Roman" w:cs="Times New Roman"/>
                <w:b/>
                <w:bCs/>
              </w:rPr>
              <w:t>2</w:t>
            </w:r>
            <w:r w:rsidRPr="00E45B63">
              <w:rPr>
                <w:rFonts w:ascii="Times New Roman" w:hAnsi="Times New Roman" w:cs="Times New Roman"/>
                <w:b/>
                <w:bCs/>
                <w:sz w:val="24"/>
                <w:szCs w:val="24"/>
              </w:rPr>
              <w:fldChar w:fldCharType="end"/>
            </w:r>
            <w:r w:rsidRPr="00E45B63">
              <w:rPr>
                <w:rFonts w:ascii="Times New Roman" w:hAnsi="Times New Roman" w:cs="Times New Roman"/>
                <w:b/>
                <w:bCs/>
              </w:rPr>
              <w:t xml:space="preserve"> из </w:t>
            </w:r>
            <w:r w:rsidRPr="00E45B63">
              <w:rPr>
                <w:rFonts w:ascii="Times New Roman" w:hAnsi="Times New Roman" w:cs="Times New Roman"/>
                <w:b/>
                <w:bCs/>
                <w:sz w:val="24"/>
                <w:szCs w:val="24"/>
              </w:rPr>
              <w:fldChar w:fldCharType="begin"/>
            </w:r>
            <w:r w:rsidRPr="00E45B63">
              <w:rPr>
                <w:rFonts w:ascii="Times New Roman" w:hAnsi="Times New Roman" w:cs="Times New Roman"/>
                <w:b/>
                <w:bCs/>
              </w:rPr>
              <w:instrText>NUMPAGES</w:instrText>
            </w:r>
            <w:r w:rsidRPr="00E45B63">
              <w:rPr>
                <w:rFonts w:ascii="Times New Roman" w:hAnsi="Times New Roman" w:cs="Times New Roman"/>
                <w:b/>
                <w:bCs/>
                <w:sz w:val="24"/>
                <w:szCs w:val="24"/>
              </w:rPr>
              <w:fldChar w:fldCharType="separate"/>
            </w:r>
            <w:r w:rsidRPr="00E45B63">
              <w:rPr>
                <w:rFonts w:ascii="Times New Roman" w:hAnsi="Times New Roman" w:cs="Times New Roman"/>
                <w:b/>
                <w:bCs/>
              </w:rPr>
              <w:t>2</w:t>
            </w:r>
            <w:r w:rsidRPr="00E45B63">
              <w:rPr>
                <w:rFonts w:ascii="Times New Roman" w:hAnsi="Times New Roman" w:cs="Times New Roman"/>
                <w:b/>
                <w:bCs/>
                <w:sz w:val="24"/>
                <w:szCs w:val="24"/>
              </w:rPr>
              <w:fldChar w:fldCharType="end"/>
            </w:r>
          </w:p>
        </w:sdtContent>
      </w:sdt>
    </w:sdtContent>
  </w:sdt>
  <w:p w:rsidR="00F35AF7" w14:paraId="2DA89EF4"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C9"/>
    <w:rsid w:val="000113B8"/>
    <w:rsid w:val="000A6312"/>
    <w:rsid w:val="000B31BC"/>
    <w:rsid w:val="000C0D44"/>
    <w:rsid w:val="000D50FD"/>
    <w:rsid w:val="000F2A43"/>
    <w:rsid w:val="00116E74"/>
    <w:rsid w:val="00120832"/>
    <w:rsid w:val="001330B8"/>
    <w:rsid w:val="001709A5"/>
    <w:rsid w:val="001C2292"/>
    <w:rsid w:val="001F4D27"/>
    <w:rsid w:val="0021782F"/>
    <w:rsid w:val="00246D80"/>
    <w:rsid w:val="00294048"/>
    <w:rsid w:val="002B761B"/>
    <w:rsid w:val="002C2477"/>
    <w:rsid w:val="002D4A87"/>
    <w:rsid w:val="003059E7"/>
    <w:rsid w:val="00314911"/>
    <w:rsid w:val="003D0EF1"/>
    <w:rsid w:val="003F4B11"/>
    <w:rsid w:val="003F56DA"/>
    <w:rsid w:val="00471087"/>
    <w:rsid w:val="004A5B36"/>
    <w:rsid w:val="004B06C9"/>
    <w:rsid w:val="004D4A02"/>
    <w:rsid w:val="004D4B1D"/>
    <w:rsid w:val="004E4419"/>
    <w:rsid w:val="00517058"/>
    <w:rsid w:val="00533C09"/>
    <w:rsid w:val="00540696"/>
    <w:rsid w:val="005539A5"/>
    <w:rsid w:val="005A1388"/>
    <w:rsid w:val="005B217D"/>
    <w:rsid w:val="005D50E9"/>
    <w:rsid w:val="00602010"/>
    <w:rsid w:val="0064008B"/>
    <w:rsid w:val="00690336"/>
    <w:rsid w:val="006B097F"/>
    <w:rsid w:val="006B7688"/>
    <w:rsid w:val="007074AE"/>
    <w:rsid w:val="007851D0"/>
    <w:rsid w:val="00887B53"/>
    <w:rsid w:val="008A686D"/>
    <w:rsid w:val="009801DD"/>
    <w:rsid w:val="009B067B"/>
    <w:rsid w:val="009C1FA4"/>
    <w:rsid w:val="009D3545"/>
    <w:rsid w:val="009F601D"/>
    <w:rsid w:val="00A90B7D"/>
    <w:rsid w:val="00AF22BC"/>
    <w:rsid w:val="00B32241"/>
    <w:rsid w:val="00B360E6"/>
    <w:rsid w:val="00B677D7"/>
    <w:rsid w:val="00B76029"/>
    <w:rsid w:val="00BB495D"/>
    <w:rsid w:val="00BF5999"/>
    <w:rsid w:val="00C93CB4"/>
    <w:rsid w:val="00C940F9"/>
    <w:rsid w:val="00CA19D3"/>
    <w:rsid w:val="00CE6D50"/>
    <w:rsid w:val="00CF5B5E"/>
    <w:rsid w:val="00D1478E"/>
    <w:rsid w:val="00D1514B"/>
    <w:rsid w:val="00D241D4"/>
    <w:rsid w:val="00D4294F"/>
    <w:rsid w:val="00D47488"/>
    <w:rsid w:val="00D64249"/>
    <w:rsid w:val="00DC4CE5"/>
    <w:rsid w:val="00DD65B1"/>
    <w:rsid w:val="00E4102E"/>
    <w:rsid w:val="00E45B63"/>
    <w:rsid w:val="00E74B29"/>
    <w:rsid w:val="00EB168D"/>
    <w:rsid w:val="00EE6CC0"/>
    <w:rsid w:val="00F07B14"/>
    <w:rsid w:val="00F35AF7"/>
    <w:rsid w:val="00F65BA1"/>
    <w:rsid w:val="00F978A4"/>
    <w:rsid w:val="00FC0A99"/>
    <w:rsid w:val="00FC19D7"/>
    <w:rsid w:val="00FD5958"/>
    <w:rsid w:val="00FE1B3C"/>
    <w:rsid w:val="00FF3A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B5BF296"/>
  <w15:chartTrackingRefBased/>
  <w15:docId w15:val="{B12DB5E7-1565-49D0-9331-10F7DE4B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8A4"/>
    <w:rPr>
      <w:color w:val="0563C1" w:themeColor="hyperlink"/>
      <w:u w:val="single"/>
    </w:rPr>
  </w:style>
  <w:style w:type="character" w:customStyle="1" w:styleId="UnresolvedMention">
    <w:name w:val="Unresolved Mention"/>
    <w:basedOn w:val="DefaultParagraphFont"/>
    <w:uiPriority w:val="99"/>
    <w:semiHidden/>
    <w:unhideWhenUsed/>
    <w:rsid w:val="00F978A4"/>
    <w:rPr>
      <w:color w:val="605E5C"/>
      <w:shd w:val="clear" w:color="auto" w:fill="E1DFDD"/>
    </w:rPr>
  </w:style>
  <w:style w:type="table" w:styleId="TableGrid">
    <w:name w:val="Table Grid"/>
    <w:basedOn w:val="TableNormal"/>
    <w:uiPriority w:val="39"/>
    <w:rsid w:val="00F97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241"/>
    <w:pPr>
      <w:ind w:left="720"/>
      <w:contextualSpacing/>
    </w:pPr>
  </w:style>
  <w:style w:type="paragraph" w:styleId="Header">
    <w:name w:val="header"/>
    <w:basedOn w:val="Normal"/>
    <w:link w:val="a"/>
    <w:uiPriority w:val="99"/>
    <w:unhideWhenUsed/>
    <w:rsid w:val="00F35AF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5AF7"/>
  </w:style>
  <w:style w:type="paragraph" w:styleId="Footer">
    <w:name w:val="footer"/>
    <w:basedOn w:val="Normal"/>
    <w:link w:val="a0"/>
    <w:uiPriority w:val="99"/>
    <w:unhideWhenUsed/>
    <w:rsid w:val="00F35AF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5AF7"/>
  </w:style>
  <w:style w:type="character" w:styleId="FollowedHyperlink">
    <w:name w:val="FollowedHyperlink"/>
    <w:basedOn w:val="DefaultParagraphFont"/>
    <w:uiPriority w:val="99"/>
    <w:semiHidden/>
    <w:unhideWhenUsed/>
    <w:rsid w:val="005406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