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31508" w:rsidRPr="00231508" w:rsidP="00231508">
      <w:pPr>
        <w:pStyle w:val="10"/>
        <w:shd w:val="clear" w:color="auto" w:fill="auto"/>
        <w:spacing w:before="180" w:after="220"/>
        <w:ind w:left="6096" w:firstLine="0"/>
        <w:rPr>
          <w:bCs/>
        </w:rPr>
      </w:pPr>
      <w:r w:rsidRPr="00231508">
        <w:rPr>
          <w:bCs/>
        </w:rPr>
        <w:t xml:space="preserve">Утверждено определением Арбитражного суда города Москвы от </w:t>
      </w:r>
      <w:r w:rsidR="00775029">
        <w:rPr>
          <w:bCs/>
        </w:rPr>
        <w:t xml:space="preserve">___________2024г. </w:t>
      </w:r>
      <w:r w:rsidRPr="00231508">
        <w:rPr>
          <w:bCs/>
        </w:rPr>
        <w:t xml:space="preserve"> по делу № А40-134967/18-174-175</w:t>
      </w:r>
    </w:p>
    <w:p w:rsidR="001A799B">
      <w:pPr>
        <w:pStyle w:val="10"/>
        <w:shd w:val="clear" w:color="auto" w:fill="auto"/>
        <w:spacing w:before="180" w:after="220"/>
        <w:ind w:firstLine="0"/>
        <w:jc w:val="center"/>
      </w:pPr>
      <w:r>
        <w:rPr>
          <w:b/>
          <w:bCs/>
        </w:rPr>
        <w:t xml:space="preserve">Положение </w:t>
      </w:r>
      <w:r w:rsidR="000C2E6C">
        <w:rPr>
          <w:b/>
          <w:bCs/>
        </w:rPr>
        <w:t>О порядке и условиях проведения торгов по реализации</w:t>
      </w:r>
      <w:r w:rsidR="000C2E6C">
        <w:rPr>
          <w:b/>
          <w:bCs/>
        </w:rPr>
        <w:br/>
        <w:t xml:space="preserve">имущества, принадлежащего </w:t>
      </w:r>
      <w:r>
        <w:rPr>
          <w:b/>
          <w:bCs/>
        </w:rPr>
        <w:t>Капнику</w:t>
      </w:r>
      <w:r w:rsidR="000C2E6C">
        <w:rPr>
          <w:b/>
          <w:bCs/>
        </w:rPr>
        <w:t xml:space="preserve"> </w:t>
      </w:r>
      <w:r>
        <w:rPr>
          <w:b/>
          <w:bCs/>
        </w:rPr>
        <w:t>Александру Наумовичу</w:t>
      </w:r>
      <w:r w:rsidR="000C2E6C">
        <w:rPr>
          <w:b/>
          <w:bCs/>
        </w:rPr>
        <w:t>, в рамках процедуры</w:t>
      </w:r>
      <w:r w:rsidR="000C2E6C">
        <w:rPr>
          <w:b/>
          <w:bCs/>
        </w:rPr>
        <w:br/>
        <w:t>ре</w:t>
      </w:r>
      <w:r>
        <w:rPr>
          <w:b/>
          <w:bCs/>
        </w:rPr>
        <w:t>ализации имущества по делу № А40</w:t>
      </w:r>
      <w:r w:rsidR="000C2E6C">
        <w:rPr>
          <w:b/>
          <w:bCs/>
        </w:rPr>
        <w:t>-</w:t>
      </w:r>
      <w:r>
        <w:rPr>
          <w:b/>
          <w:bCs/>
        </w:rPr>
        <w:t>134967</w:t>
      </w:r>
      <w:r w:rsidR="000C2E6C">
        <w:rPr>
          <w:b/>
          <w:bCs/>
        </w:rPr>
        <w:t>/</w:t>
      </w:r>
      <w:r>
        <w:rPr>
          <w:b/>
          <w:bCs/>
        </w:rPr>
        <w:t>18-174-175</w:t>
      </w:r>
      <w:r w:rsidR="000C2E6C">
        <w:rPr>
          <w:b/>
          <w:bCs/>
        </w:rPr>
        <w:t>.</w:t>
      </w:r>
    </w:p>
    <w:p w:rsidR="001A799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44"/>
        </w:tabs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944"/>
        </w:tabs>
        <w:ind w:firstLine="420"/>
        <w:jc w:val="both"/>
      </w:pPr>
      <w:r>
        <w:t xml:space="preserve">Настоящее Положение разработано на основании Федерального закона «О несостоятельности (банкротстве)» от 26.10.2002 № 127-ФЗ (далее - </w:t>
      </w:r>
      <w:r>
        <w:rPr>
          <w:b/>
          <w:bCs/>
        </w:rPr>
        <w:t xml:space="preserve">Закон о банкротстве) </w:t>
      </w:r>
      <w:r>
        <w:t>и принятых в соответствии с ним нормативно-правовых актов.</w:t>
      </w:r>
    </w:p>
    <w:p w:rsidR="001A799B" w:rsidP="003D7707">
      <w:pPr>
        <w:pStyle w:val="10"/>
        <w:numPr>
          <w:ilvl w:val="1"/>
          <w:numId w:val="1"/>
        </w:numPr>
        <w:shd w:val="clear" w:color="auto" w:fill="auto"/>
        <w:tabs>
          <w:tab w:val="left" w:pos="944"/>
        </w:tabs>
        <w:ind w:firstLine="420"/>
        <w:jc w:val="both"/>
      </w:pPr>
      <w:r>
        <w:t xml:space="preserve">Положение определяет процедуру организации </w:t>
      </w:r>
      <w:r w:rsidR="00E72E62">
        <w:t>продажи Имущества, принадлежащего</w:t>
      </w:r>
      <w:r>
        <w:t xml:space="preserve"> на праве собственности </w:t>
      </w:r>
      <w:r w:rsidRPr="003D7707" w:rsidR="003D7707">
        <w:t xml:space="preserve">Капнику Александру Наумовичу </w:t>
      </w:r>
      <w:r>
        <w:t xml:space="preserve">(дата рождения: </w:t>
      </w:r>
      <w:r w:rsidR="003D7707">
        <w:t>07.01.1951</w:t>
      </w:r>
      <w:r>
        <w:t xml:space="preserve">г., место рождения: г. </w:t>
      </w:r>
      <w:r w:rsidR="003D7707">
        <w:t>Киев</w:t>
      </w:r>
      <w:r>
        <w:t xml:space="preserve">, СИЛЛС </w:t>
      </w:r>
      <w:r w:rsidR="003D7707">
        <w:t>063</w:t>
      </w:r>
      <w:r>
        <w:t>-</w:t>
      </w:r>
      <w:r w:rsidR="003D7707">
        <w:t>450</w:t>
      </w:r>
      <w:r>
        <w:t>-</w:t>
      </w:r>
      <w:r w:rsidR="003D7707">
        <w:t>514</w:t>
      </w:r>
      <w:r>
        <w:t xml:space="preserve"> </w:t>
      </w:r>
      <w:r w:rsidR="003D7707">
        <w:t>38</w:t>
      </w:r>
      <w:r>
        <w:t xml:space="preserve">, ИНН </w:t>
      </w:r>
      <w:r w:rsidRPr="003D7707" w:rsidR="003D7707">
        <w:t>890401227181</w:t>
      </w:r>
      <w:r>
        <w:t xml:space="preserve">, регистрация по месту жительства: </w:t>
      </w:r>
      <w:r w:rsidRPr="003D7707" w:rsidR="003D7707">
        <w:t>117638</w:t>
      </w:r>
      <w:r>
        <w:t xml:space="preserve">, </w:t>
      </w:r>
      <w:r w:rsidR="003D7707">
        <w:t>г.Москва</w:t>
      </w:r>
      <w:r>
        <w:t>, ул</w:t>
      </w:r>
      <w:r w:rsidR="003D7707">
        <w:t>.</w:t>
      </w:r>
      <w:r>
        <w:t xml:space="preserve"> </w:t>
      </w:r>
      <w:r w:rsidR="003D7707">
        <w:t>Криворожская</w:t>
      </w:r>
      <w:r>
        <w:t>,</w:t>
      </w:r>
      <w:r w:rsidR="003D7707">
        <w:t xml:space="preserve"> д.21, к.3, кв.45</w:t>
      </w:r>
      <w:r>
        <w:t xml:space="preserve">) (далее - </w:t>
      </w:r>
      <w:r>
        <w:rPr>
          <w:b/>
          <w:bCs/>
        </w:rPr>
        <w:t xml:space="preserve">Должник), </w:t>
      </w:r>
      <w:r>
        <w:t>а также устанавливает правила определения победителя на торгах, в том числе посредством публичного предложения и усл</w:t>
      </w:r>
      <w:r w:rsidR="003D7707">
        <w:t>овия заключения договора купли-</w:t>
      </w:r>
      <w:r>
        <w:t>продажи, а также иные возникающие при реализации Имущества вопросы.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9"/>
        </w:tabs>
        <w:spacing w:after="220"/>
        <w:ind w:firstLine="420"/>
        <w:jc w:val="both"/>
      </w:pPr>
      <w:r>
        <w:t xml:space="preserve">Реализация имущества Должника осуществляется в соответствии с настоящим Положением, ГК РФ, Законом о банкротстве с учетом особенностей, установленных Приказом Минэкономразвития России от 23.07.2015 №495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lang w:val="en-US" w:eastAsia="en-US" w:bidi="en-US"/>
        </w:rPr>
        <w:t>N</w:t>
      </w:r>
      <w:r w:rsidRPr="003D7707">
        <w:rPr>
          <w:lang w:eastAsia="en-US" w:bidi="en-US"/>
        </w:rPr>
        <w:t xml:space="preserve"> </w:t>
      </w:r>
      <w:r>
        <w:t>178 и признании утратившими силу некоторых приказов Минэкономразвития России», и иными нормативно</w:t>
      </w:r>
      <w:r>
        <w:softHyphen/>
        <w:t>правовыми актами, регулирующими правоотношения в сфере несостоятельности (банкротства).</w:t>
      </w:r>
    </w:p>
    <w:p w:rsidR="001A799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44"/>
        </w:tabs>
      </w:pPr>
      <w:bookmarkStart w:id="2" w:name="bookmark2"/>
      <w:bookmarkStart w:id="3" w:name="bookmark3"/>
      <w:r>
        <w:t>ПОДГОТОВКА К ТОРГАМ</w:t>
      </w:r>
      <w:bookmarkEnd w:id="2"/>
      <w:bookmarkEnd w:id="3"/>
    </w:p>
    <w:p w:rsidR="001A799B">
      <w:pPr>
        <w:pStyle w:val="a2"/>
        <w:numPr>
          <w:ilvl w:val="0"/>
          <w:numId w:val="2"/>
        </w:numPr>
        <w:shd w:val="clear" w:color="auto" w:fill="auto"/>
        <w:tabs>
          <w:tab w:val="left" w:pos="436"/>
        </w:tabs>
      </w:pPr>
      <w:r>
        <w:t>Предметом продажи является принадлежащее на праве долевой собственности Имущество Должника</w:t>
      </w:r>
      <w:r w:rsidR="00966469">
        <w:t>.</w:t>
      </w:r>
    </w:p>
    <w:p w:rsidR="001A799B">
      <w:pPr>
        <w:pStyle w:val="a2"/>
        <w:numPr>
          <w:ilvl w:val="0"/>
          <w:numId w:val="2"/>
        </w:numPr>
        <w:shd w:val="clear" w:color="auto" w:fill="auto"/>
        <w:tabs>
          <w:tab w:val="left" w:pos="436"/>
        </w:tabs>
      </w:pPr>
      <w:r>
        <w:t>И</w:t>
      </w:r>
      <w:r w:rsidR="003D7707">
        <w:t>м</w:t>
      </w:r>
      <w:r w:rsidR="00966469">
        <w:t>ущество реализуется одним лотом</w:t>
      </w:r>
      <w:r>
        <w:t>. Состав имущества, подлежащий реализации: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4"/>
        <w:gridCol w:w="6521"/>
        <w:gridCol w:w="2486"/>
      </w:tblGrid>
      <w:tr w:rsidTr="006B338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99B">
            <w:pPr>
              <w:pStyle w:val="a3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№ лота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799B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Имущества, входящего в состав лога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99B">
            <w:pPr>
              <w:pStyle w:val="a3"/>
              <w:shd w:val="clear" w:color="auto" w:fill="auto"/>
              <w:spacing w:line="259" w:lineRule="auto"/>
              <w:ind w:firstLine="0"/>
              <w:jc w:val="center"/>
            </w:pPr>
            <w:r>
              <w:rPr>
                <w:b/>
                <w:bCs/>
              </w:rPr>
              <w:t>Начальная стоимость на первых торгах, руб.</w:t>
            </w:r>
          </w:p>
        </w:tc>
      </w:tr>
      <w:tr w:rsidTr="006B338E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99B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707" w:rsidP="006B338E">
            <w:pPr>
              <w:pStyle w:val="a3"/>
              <w:shd w:val="clear" w:color="auto" w:fill="auto"/>
              <w:spacing w:line="271" w:lineRule="auto"/>
              <w:ind w:left="131" w:right="136" w:firstLine="0"/>
              <w:jc w:val="both"/>
            </w:pPr>
            <w:r>
              <w:t>Нежилое помещение (машиноместо)</w:t>
            </w:r>
            <w:r>
              <w:t>, площадь 15.3 кв.м., адрес (местонахождение): Россия, г Москва, Криворожская, дом 21, корпус 3, кадастровый (условный) номер: 77:05:0003003:6425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99B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2 436 740,00</w:t>
            </w:r>
          </w:p>
        </w:tc>
      </w:tr>
    </w:tbl>
    <w:p w:rsidR="001A799B">
      <w:pPr>
        <w:spacing w:after="219" w:line="1" w:lineRule="exact"/>
      </w:pP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747"/>
        </w:tabs>
        <w:spacing w:line="264" w:lineRule="auto"/>
        <w:ind w:firstLine="340"/>
        <w:jc w:val="both"/>
      </w:pPr>
      <w:r>
        <w:t>Имущество продается посредством проведения торгов в форме аукциона с открытой формой представления предложений о цене имущества. Торги являются открытыми по составу участников и проводятся в электронной форме,</w:t>
      </w:r>
    </w:p>
    <w:p w:rsidR="001A799B" w:rsidP="008E544B">
      <w:pPr>
        <w:pStyle w:val="10"/>
        <w:numPr>
          <w:ilvl w:val="0"/>
          <w:numId w:val="3"/>
        </w:numPr>
        <w:shd w:val="clear" w:color="auto" w:fill="auto"/>
        <w:tabs>
          <w:tab w:val="left" w:pos="747"/>
        </w:tabs>
        <w:spacing w:line="264" w:lineRule="auto"/>
        <w:ind w:firstLine="340"/>
        <w:jc w:val="both"/>
      </w:pPr>
      <w:r>
        <w:t>Организатором торгов выступает</w:t>
      </w:r>
      <w:r w:rsidR="00E72E62">
        <w:t xml:space="preserve"> финансовый управляющий должника</w:t>
      </w:r>
      <w:r>
        <w:t xml:space="preserve"> </w:t>
      </w:r>
      <w:r w:rsidR="006264D1">
        <w:t>Мусатов Владимир Владимирович</w:t>
      </w:r>
      <w:r>
        <w:t xml:space="preserve"> (ИНН </w:t>
      </w:r>
      <w:r w:rsidRPr="006264D1" w:rsidR="006264D1">
        <w:t>772704625006</w:t>
      </w:r>
      <w:r>
        <w:t xml:space="preserve">, СНИЛС </w:t>
      </w:r>
      <w:r w:rsidRPr="006264D1" w:rsidR="006264D1">
        <w:t>167-206-533 65</w:t>
      </w:r>
      <w:r>
        <w:t xml:space="preserve">, - член Ассоциации "Саморегулируемая организация арбитражных управляющих Центрального федерального округа" (ИНН 7705431418, ОГРН 1027700542209, место нахождение </w:t>
      </w:r>
      <w:r w:rsidRPr="00E72E62" w:rsidR="00E72E62">
        <w:t>115191, г. Москва, вн.тер.г. муниципальный округ Даниловский, Гамсоновский пер., д. 2, этаж 1, ком. 85</w:t>
      </w:r>
      <w:r>
        <w:t xml:space="preserve">). Корреспонденция конкурсному управляющему подлежит направлению по адресу: </w:t>
      </w:r>
      <w:r w:rsidRPr="008E544B" w:rsidR="008E544B">
        <w:t>107140, г. Москва, а/я 65</w:t>
      </w:r>
      <w:r>
        <w:t>)</w:t>
      </w:r>
    </w:p>
    <w:p w:rsidR="001A799B" w:rsidP="006B338E">
      <w:pPr>
        <w:pStyle w:val="10"/>
        <w:numPr>
          <w:ilvl w:val="0"/>
          <w:numId w:val="3"/>
        </w:numPr>
        <w:shd w:val="clear" w:color="auto" w:fill="auto"/>
        <w:tabs>
          <w:tab w:val="left" w:pos="772"/>
        </w:tabs>
        <w:spacing w:line="264" w:lineRule="auto"/>
        <w:ind w:firstLine="340"/>
        <w:jc w:val="both"/>
      </w:pPr>
      <w:r>
        <w:t xml:space="preserve">Торги проводятся на электронной площадке </w:t>
      </w:r>
      <w:r w:rsidRPr="006B338E" w:rsidR="006B338E">
        <w:rPr>
          <w:b/>
          <w:bCs/>
        </w:rPr>
        <w:t>ООО "Электронные системы Поволжья", сайт в сети «Интерне</w:t>
      </w:r>
      <w:r w:rsidR="006B338E">
        <w:rPr>
          <w:b/>
          <w:bCs/>
        </w:rPr>
        <w:t>т» https:// http://el-torg.com/</w:t>
      </w: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747"/>
        </w:tabs>
        <w:spacing w:line="264" w:lineRule="auto"/>
        <w:ind w:firstLine="340"/>
        <w:jc w:val="both"/>
      </w:pPr>
      <w:r>
        <w:t>К участию в торгах допускаются юридические и физические лица, зарегистрированные в соответствии с действующим законодательством на электронной площадке.</w:t>
      </w: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774"/>
        </w:tabs>
        <w:spacing w:line="264" w:lineRule="auto"/>
        <w:ind w:firstLine="340"/>
        <w:jc w:val="both"/>
      </w:pPr>
      <w:r>
        <w:t>Особенности участия в торгах иностранных юридических лиц и граждан определяются действующим законодательством.</w:t>
      </w: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747"/>
        </w:tabs>
        <w:spacing w:line="264" w:lineRule="auto"/>
        <w:ind w:firstLine="300"/>
      </w:pPr>
      <w:r>
        <w:t>Расходы по регистрации перехода права собственности на проданное Имущество несет покупатель</w:t>
      </w: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747"/>
        </w:tabs>
        <w:spacing w:line="264" w:lineRule="auto"/>
        <w:ind w:firstLine="300"/>
        <w:jc w:val="both"/>
      </w:pPr>
      <w:r>
        <w:t>Организатор торгов в соответствии с настоящим Положением: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40"/>
        </w:tabs>
        <w:spacing w:line="264" w:lineRule="auto"/>
        <w:ind w:firstLine="340"/>
        <w:jc w:val="both"/>
      </w:pPr>
      <w:r>
        <w:t>организует подготовку и публикацию информационного сообщения о проведении открытых торгов в электронной форме по продаже Имущества Должника в ЕФРСБ.</w:t>
      </w:r>
    </w:p>
    <w:p w:rsidR="001A799B">
      <w:pPr>
        <w:pStyle w:val="10"/>
        <w:shd w:val="clear" w:color="auto" w:fill="auto"/>
        <w:spacing w:line="264" w:lineRule="auto"/>
        <w:ind w:firstLine="420"/>
        <w:jc w:val="both"/>
      </w:pPr>
      <w:r>
        <w:t xml:space="preserve">Публикация сообщения о реализации Имущества должна быть осуществлена в течение </w:t>
      </w:r>
      <w:r w:rsidR="00FA2C3A">
        <w:t>10</w:t>
      </w:r>
      <w:r>
        <w:t xml:space="preserve"> (Десяти)</w:t>
      </w:r>
      <w:r w:rsidR="00FA2C3A">
        <w:t xml:space="preserve"> дней</w:t>
      </w:r>
      <w:r>
        <w:t xml:space="preserve"> с даты вынесения определения арбитражным судом.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03"/>
        </w:tabs>
        <w:spacing w:line="264" w:lineRule="auto"/>
        <w:ind w:firstLine="300"/>
      </w:pPr>
      <w:r>
        <w:t>подготавлив</w:t>
      </w:r>
      <w:r w:rsidR="00FA2C3A">
        <w:t xml:space="preserve">ает договор о задатке и проект </w:t>
      </w:r>
      <w:r>
        <w:t>договора купли-продажи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03"/>
        </w:tabs>
        <w:spacing w:line="264" w:lineRule="auto"/>
        <w:ind w:firstLine="300"/>
      </w:pPr>
      <w:r>
        <w:t>определяет участников торгов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03"/>
        </w:tabs>
        <w:spacing w:line="264" w:lineRule="auto"/>
        <w:ind w:firstLine="300"/>
        <w:jc w:val="both"/>
      </w:pPr>
      <w:r>
        <w:t>уведомляет заявителей о результатах рассмотрения представленных заявок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03"/>
        </w:tabs>
        <w:spacing w:line="264" w:lineRule="auto"/>
        <w:ind w:firstLine="300"/>
        <w:jc w:val="both"/>
      </w:pPr>
      <w:r>
        <w:t>определяет победителей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03"/>
        </w:tabs>
        <w:spacing w:line="264" w:lineRule="auto"/>
        <w:ind w:firstLine="300"/>
        <w:jc w:val="both"/>
      </w:pPr>
      <w:r>
        <w:t>выполняет иные обязанности, установленные Законом о банкротстве.</w:t>
      </w: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874"/>
        </w:tabs>
        <w:jc w:val="both"/>
      </w:pPr>
      <w:r>
        <w:t xml:space="preserve">Сообщение о проведении торгов не позднее чем за </w:t>
      </w:r>
      <w:r>
        <w:rPr>
          <w:b/>
          <w:bCs/>
        </w:rPr>
        <w:t xml:space="preserve">30 (Тридцать) </w:t>
      </w:r>
      <w:r>
        <w:t xml:space="preserve">дней до даты проведения торгов включается в Единый федеральный реестр сведений о банкротстве, с учетом того, что срок представления заявок на участие в торгах должен составлять не менее чем </w:t>
      </w:r>
      <w:r>
        <w:rPr>
          <w:b/>
          <w:bCs/>
        </w:rPr>
        <w:t xml:space="preserve">25 (Двадцать пять) </w:t>
      </w:r>
      <w:r>
        <w:t>рабочих дней со дня опубликования и размещения сообщения о проведении торгов.</w:t>
      </w:r>
    </w:p>
    <w:p w:rsidR="001A799B">
      <w:pPr>
        <w:pStyle w:val="10"/>
        <w:numPr>
          <w:ilvl w:val="0"/>
          <w:numId w:val="3"/>
        </w:numPr>
        <w:shd w:val="clear" w:color="auto" w:fill="auto"/>
        <w:tabs>
          <w:tab w:val="left" w:pos="988"/>
        </w:tabs>
        <w:spacing w:after="240"/>
        <w:jc w:val="both"/>
      </w:pPr>
      <w:r>
        <w:t>Порядок продажи Имущества на первых и повторных торгах, посредством публичного предложения осуществляется в соответствии со ст.ст.110, 111, 138, 13, 213.26 Закона о банкротстве,</w:t>
      </w:r>
    </w:p>
    <w:p w:rsidR="001A799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line="264" w:lineRule="auto"/>
      </w:pPr>
      <w:bookmarkStart w:id="4" w:name="bookmark4"/>
      <w:bookmarkStart w:id="5" w:name="bookmark5"/>
      <w:r>
        <w:t>ПРОДАЖА ИМУЩЕСТВА НА ТОРГАХ</w:t>
      </w:r>
      <w:bookmarkEnd w:id="4"/>
      <w:bookmarkEnd w:id="5"/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>Продажа Имущества Должника осуществляется в электронной форме в строгой очередности и последовательности:</w:t>
      </w:r>
    </w:p>
    <w:p w:rsidR="001A799B">
      <w:pPr>
        <w:pStyle w:val="10"/>
        <w:numPr>
          <w:ilvl w:val="2"/>
          <w:numId w:val="1"/>
        </w:numPr>
        <w:shd w:val="clear" w:color="auto" w:fill="auto"/>
        <w:tabs>
          <w:tab w:val="left" w:pos="988"/>
        </w:tabs>
        <w:spacing w:line="264" w:lineRule="auto"/>
        <w:jc w:val="both"/>
      </w:pPr>
      <w:r>
        <w:t>проведение Первых торгов;</w:t>
      </w:r>
    </w:p>
    <w:p w:rsidR="001A799B">
      <w:pPr>
        <w:pStyle w:val="10"/>
        <w:numPr>
          <w:ilvl w:val="2"/>
          <w:numId w:val="1"/>
        </w:numPr>
        <w:shd w:val="clear" w:color="auto" w:fill="auto"/>
        <w:tabs>
          <w:tab w:val="left" w:pos="988"/>
        </w:tabs>
        <w:spacing w:line="264" w:lineRule="auto"/>
        <w:ind w:firstLine="360"/>
        <w:jc w:val="both"/>
      </w:pPr>
      <w:r>
        <w:t xml:space="preserve">проведение Повторных торгов со снижением начальной цены на </w:t>
      </w:r>
      <w:r>
        <w:rPr>
          <w:b/>
          <w:bCs/>
        </w:rPr>
        <w:t>10% (Десять процентов);</w:t>
      </w:r>
    </w:p>
    <w:p w:rsidR="001A799B">
      <w:pPr>
        <w:pStyle w:val="10"/>
        <w:numPr>
          <w:ilvl w:val="2"/>
          <w:numId w:val="1"/>
        </w:numPr>
        <w:shd w:val="clear" w:color="auto" w:fill="auto"/>
        <w:tabs>
          <w:tab w:val="left" w:pos="988"/>
        </w:tabs>
        <w:spacing w:line="264" w:lineRule="auto"/>
        <w:ind w:firstLine="360"/>
        <w:jc w:val="both"/>
      </w:pPr>
      <w:r>
        <w:t>проведение торгов посредством публичного предложения.</w:t>
      </w:r>
    </w:p>
    <w:p w:rsidR="001A799B">
      <w:pPr>
        <w:pStyle w:val="10"/>
        <w:numPr>
          <w:ilvl w:val="2"/>
          <w:numId w:val="1"/>
        </w:numPr>
        <w:shd w:val="clear" w:color="auto" w:fill="auto"/>
        <w:tabs>
          <w:tab w:val="left" w:pos="988"/>
        </w:tabs>
        <w:spacing w:line="264" w:lineRule="auto"/>
        <w:jc w:val="both"/>
      </w:pPr>
      <w:r>
        <w:rPr>
          <w:b/>
          <w:bCs/>
        </w:rPr>
        <w:t xml:space="preserve">Размер задатка </w:t>
      </w:r>
      <w:r>
        <w:t xml:space="preserve">для участия в торгах составляет </w:t>
      </w:r>
      <w:r>
        <w:rPr>
          <w:b/>
          <w:bCs/>
        </w:rPr>
        <w:t xml:space="preserve">20% (двадцать процентов) </w:t>
      </w:r>
      <w:r>
        <w:t>начальной продажной цены Имущества.</w:t>
      </w:r>
    </w:p>
    <w:p w:rsidR="001A799B">
      <w:pPr>
        <w:pStyle w:val="10"/>
        <w:numPr>
          <w:ilvl w:val="2"/>
          <w:numId w:val="1"/>
        </w:numPr>
        <w:shd w:val="clear" w:color="auto" w:fill="auto"/>
        <w:tabs>
          <w:tab w:val="left" w:pos="988"/>
        </w:tabs>
        <w:spacing w:line="264" w:lineRule="auto"/>
        <w:jc w:val="both"/>
      </w:pPr>
      <w:r>
        <w:rPr>
          <w:b/>
          <w:bCs/>
        </w:rPr>
        <w:t xml:space="preserve">Шаг аукциона </w:t>
      </w:r>
      <w:r>
        <w:t xml:space="preserve">устанавливается в размере </w:t>
      </w:r>
      <w:r w:rsidR="00E27690">
        <w:rPr>
          <w:b/>
          <w:bCs/>
        </w:rPr>
        <w:t>5</w:t>
      </w:r>
      <w:r>
        <w:rPr>
          <w:b/>
          <w:bCs/>
        </w:rPr>
        <w:t xml:space="preserve">% (десять процентов) </w:t>
      </w:r>
      <w:r>
        <w:t>начальной продажной цены Имущества.</w:t>
      </w:r>
    </w:p>
    <w:p w:rsidR="001A799B">
      <w:pPr>
        <w:pStyle w:val="10"/>
        <w:numPr>
          <w:ilvl w:val="2"/>
          <w:numId w:val="1"/>
        </w:numPr>
        <w:shd w:val="clear" w:color="auto" w:fill="auto"/>
        <w:tabs>
          <w:tab w:val="left" w:pos="988"/>
        </w:tabs>
        <w:spacing w:line="264" w:lineRule="auto"/>
        <w:jc w:val="both"/>
      </w:pPr>
      <w:r>
        <w:rPr>
          <w:b/>
          <w:bCs/>
        </w:rPr>
        <w:t xml:space="preserve">Цена отсечения </w:t>
      </w:r>
      <w:r>
        <w:t xml:space="preserve">составляет </w:t>
      </w:r>
      <w:r>
        <w:rPr>
          <w:b/>
          <w:bCs/>
        </w:rPr>
        <w:t xml:space="preserve">10% (десять процентов) </w:t>
      </w:r>
      <w:r>
        <w:t>от начальной цены продажи Имущества посредством Публичного предложения.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>В случае признания первых торгов несостоявшимися, а также в случае незаключения договора купли-продажи с единственным участником торгов, а также в случае незаключения договора купли-продажи Имущества по результатам торгов, Организатор торгов в течение 5 (Пяти) рабочих дней после утверждения протокола о признании открытых торгов несостоявшимися принимает решение о проведении повторных торгов и установлении начальной цены продажи.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 xml:space="preserve">Повторные торги проводятся в порядке, установленном для Первых торгов, но при этом начальная цена продажи Имущества на Повторных торгах устанавливается на </w:t>
      </w:r>
      <w:r>
        <w:rPr>
          <w:b/>
          <w:bCs/>
        </w:rPr>
        <w:t xml:space="preserve">10% (десять процентов) </w:t>
      </w:r>
      <w:r>
        <w:t>ниж</w:t>
      </w:r>
      <w:r w:rsidR="008E544B">
        <w:t>е начальной цены продажи Имущес</w:t>
      </w:r>
      <w:r>
        <w:t>тва на Первых торгах.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>Реализация Имущества Должника посредством публичного предложения проводится с учетом особенностей для данного вида торгов.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 xml:space="preserve">Начальная цена продажи Имущества устанавливается равной начальной цене на Повторных торгах, которая устанавливается на </w:t>
      </w:r>
      <w:r>
        <w:rPr>
          <w:b/>
          <w:bCs/>
        </w:rPr>
        <w:t xml:space="preserve">10% (десять процентов) </w:t>
      </w:r>
      <w:r>
        <w:t>ниже начальной цены продажи Имущества на Первых торгах.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 xml:space="preserve">Период, по истечении которого последовательно снижается цена предложения - </w:t>
      </w:r>
      <w:r>
        <w:rPr>
          <w:b/>
          <w:bCs/>
        </w:rPr>
        <w:t xml:space="preserve">каждые 3 (три) </w:t>
      </w:r>
      <w:r>
        <w:t>дня с момента размещения сообщения о торгах на электронной площадке.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статьей </w:t>
      </w:r>
      <w:r w:rsidR="008E544B">
        <w:t>110</w:t>
      </w:r>
      <w:r>
        <w:t xml:space="preserve"> Закона, указываются величина снижения начальной цены продажи Имущества Должника и срок, по истечении которого последовательно снижается указанная начальная цена.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>Публичное предложение должно содержать условие поэтапного снижения стоимости Имущества в пределах отдельных сроков (периодов). Начало и окончание срока определены календарным днем, отсчитываемым с момента публикации информационного сообщения в ЕФРСБ. Договор считается заключенным на указанных в Публичном предложении условиях, если заявка получена Организатором торгов в пределах указанных в нем сроков и на определенных в нем условиях, которые в течение действия срока Публичного предложения изменению не подлежат.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98"/>
        </w:tabs>
        <w:spacing w:line="264" w:lineRule="auto"/>
        <w:jc w:val="both"/>
      </w:pPr>
      <w:r>
        <w:t xml:space="preserve">Публичное предложение о продаже Имущества может быть акцептовано физическими и юридическими лицами (резиденты и нерезиденты РФ) путем направления заявок на участие в торгах, на условиях, содержащихся в Публичном предложении, при условии одновременной уплаты в установленный срок задатка </w:t>
      </w:r>
      <w:r>
        <w:rPr>
          <w:b/>
          <w:bCs/>
        </w:rPr>
        <w:t xml:space="preserve">в размере 20% </w:t>
      </w:r>
      <w:r>
        <w:t>от суммы предложения на счет, указанный в сообщении.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867"/>
        </w:tabs>
        <w:spacing w:line="264" w:lineRule="auto"/>
        <w:jc w:val="both"/>
      </w:pPr>
      <w:r>
        <w:t>Если заявка поступила за пределами срока с указанием минимальной для истекшего срока цены, такая заявка считается ненадлежащей,</w:t>
      </w:r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874"/>
        </w:tabs>
        <w:spacing w:line="264" w:lineRule="auto"/>
        <w:jc w:val="both"/>
      </w:pPr>
      <w:r>
        <w:t xml:space="preserve">Если заявка поступила в пределах </w:t>
      </w:r>
      <w:r w:rsidR="008E544B">
        <w:t>срока, но цен</w:t>
      </w:r>
      <w:r>
        <w:t>а не соответствует минимальной для этого периода цене, такая заявка также считается ненадлежащей.</w:t>
      </w:r>
    </w:p>
    <w:p w:rsidR="001A799B">
      <w:pPr>
        <w:pStyle w:val="10"/>
        <w:shd w:val="clear" w:color="auto" w:fill="auto"/>
        <w:spacing w:line="264" w:lineRule="auto"/>
        <w:jc w:val="both"/>
      </w:pPr>
      <w:r>
        <w:t>3.12.3аявка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1A799B" w:rsidP="006B338E">
      <w:pPr>
        <w:pStyle w:val="10"/>
        <w:numPr>
          <w:ilvl w:val="0"/>
          <w:numId w:val="5"/>
        </w:numPr>
        <w:shd w:val="clear" w:color="auto" w:fill="auto"/>
        <w:tabs>
          <w:tab w:val="left" w:pos="1134"/>
        </w:tabs>
        <w:spacing w:line="264" w:lineRule="auto"/>
        <w:jc w:val="both"/>
      </w:pPr>
      <w:bookmarkStart w:id="6" w:name="_GoBack"/>
      <w:r>
        <w:t>Наименование</w:t>
      </w:r>
      <w:bookmarkEnd w:id="6"/>
      <w:r>
        <w:t>, организационно-правовая форма, место нахождения, почтовый адрес Заявителя (для юридического лица);</w:t>
      </w:r>
    </w:p>
    <w:p w:rsidR="001A799B" w:rsidP="006B338E">
      <w:pPr>
        <w:pStyle w:val="10"/>
        <w:numPr>
          <w:ilvl w:val="0"/>
          <w:numId w:val="6"/>
        </w:numPr>
        <w:shd w:val="clear" w:color="auto" w:fill="auto"/>
        <w:tabs>
          <w:tab w:val="left" w:pos="1134"/>
        </w:tabs>
        <w:spacing w:line="264" w:lineRule="auto"/>
        <w:jc w:val="both"/>
      </w:pPr>
      <w:r>
        <w:t>Фамилия, имя, отчество, паспортные данные, сведения о месте жительства Заявителя (для физического лица);</w:t>
      </w:r>
    </w:p>
    <w:p w:rsidR="001A799B" w:rsidP="006B338E">
      <w:pPr>
        <w:pStyle w:val="10"/>
        <w:numPr>
          <w:ilvl w:val="0"/>
          <w:numId w:val="7"/>
        </w:numPr>
        <w:shd w:val="clear" w:color="auto" w:fill="auto"/>
        <w:tabs>
          <w:tab w:val="left" w:pos="1134"/>
        </w:tabs>
        <w:jc w:val="both"/>
      </w:pPr>
      <w:r>
        <w:t>Номер контактного телефона, адрес электронной почты Заявителя;</w:t>
      </w:r>
    </w:p>
    <w:p w:rsidR="001A799B" w:rsidP="006B338E">
      <w:pPr>
        <w:pStyle w:val="10"/>
        <w:numPr>
          <w:ilvl w:val="0"/>
          <w:numId w:val="8"/>
        </w:numPr>
        <w:shd w:val="clear" w:color="auto" w:fill="auto"/>
        <w:tabs>
          <w:tab w:val="left" w:pos="1134"/>
        </w:tabs>
        <w:jc w:val="both"/>
      </w:pPr>
      <w:r>
        <w:t xml:space="preserve">Сведения о наличии или об отсутствии заинтересованности Заявителя по отношению к Должнику, Конкурсным кредиторам, финансовому управляющему и о характере этой заинтересованности, сведения об участии в капитале Заявителя финансового управляющего, а также саморегулируемой организации арбитражных управляющих, </w:t>
      </w:r>
      <w:r>
        <w:t>членом или руководителем которой является финансовый управляющий;</w:t>
      </w:r>
    </w:p>
    <w:p w:rsidR="001A799B">
      <w:pPr>
        <w:pStyle w:val="10"/>
        <w:numPr>
          <w:ilvl w:val="0"/>
          <w:numId w:val="8"/>
        </w:numPr>
        <w:shd w:val="clear" w:color="auto" w:fill="auto"/>
        <w:tabs>
          <w:tab w:val="left" w:pos="1431"/>
        </w:tabs>
        <w:ind w:firstLine="360"/>
        <w:jc w:val="both"/>
      </w:pPr>
      <w:r>
        <w:t>Заявка направляется Оператору электронной площадки и должна содержать сведения, указанные для нее в сообщении о Публичном предложении,</w:t>
      </w:r>
    </w:p>
    <w:p w:rsidR="001A799B">
      <w:pPr>
        <w:pStyle w:val="10"/>
        <w:numPr>
          <w:ilvl w:val="0"/>
          <w:numId w:val="9"/>
        </w:numPr>
        <w:shd w:val="clear" w:color="auto" w:fill="auto"/>
        <w:tabs>
          <w:tab w:val="left" w:pos="1431"/>
        </w:tabs>
        <w:ind w:firstLine="360"/>
        <w:jc w:val="both"/>
      </w:pPr>
      <w:r>
        <w:t>В случае представления одним Претендентом двух и более заявок при услов</w:t>
      </w:r>
      <w:r w:rsidR="008E544B">
        <w:t>ии, что представленные заявки не</w:t>
      </w:r>
      <w:r>
        <w:t xml:space="preserve"> были им отозваны, при проведении торгов ни одна не рассматривается.</w:t>
      </w:r>
    </w:p>
    <w:p w:rsidR="001A799B" w:rsidP="008E544B">
      <w:pPr>
        <w:pStyle w:val="10"/>
        <w:numPr>
          <w:ilvl w:val="0"/>
          <w:numId w:val="10"/>
        </w:numPr>
        <w:shd w:val="clear" w:color="auto" w:fill="auto"/>
        <w:tabs>
          <w:tab w:val="left" w:pos="878"/>
        </w:tabs>
        <w:ind w:firstLine="360"/>
        <w:jc w:val="both"/>
      </w:pPr>
      <w:r>
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</w:t>
      </w:r>
      <w:r w:rsidR="008E544B">
        <w:t>ера регистрации каждой заявки не</w:t>
      </w:r>
      <w:r>
        <w:t xml:space="preserve"> позднее тридцати минут после окончания периода проведения торгов,</w:t>
      </w:r>
    </w:p>
    <w:p w:rsidR="001A799B">
      <w:pPr>
        <w:pStyle w:val="10"/>
        <w:numPr>
          <w:ilvl w:val="0"/>
          <w:numId w:val="10"/>
        </w:numPr>
        <w:shd w:val="clear" w:color="auto" w:fill="auto"/>
        <w:tabs>
          <w:tab w:val="left" w:pos="849"/>
        </w:tabs>
        <w:ind w:firstLine="320"/>
        <w:jc w:val="both"/>
      </w:pPr>
      <w:r>
        <w:t>Решение об отказе в допуске Претендента к участию в торгах принимается в случае, если: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01"/>
        </w:tabs>
        <w:ind w:left="300" w:firstLine="20"/>
        <w:jc w:val="both"/>
      </w:pPr>
      <w:r>
        <w:t xml:space="preserve">Заявка на участие в торгах не соответствует </w:t>
      </w:r>
      <w:r w:rsidR="008E544B">
        <w:t>установленным требованиям или не</w:t>
      </w:r>
      <w:r>
        <w:t xml:space="preserve"> является полной и безоговорочной;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36"/>
        </w:tabs>
        <w:ind w:firstLine="360"/>
        <w:jc w:val="both"/>
      </w:pPr>
      <w:r>
        <w:t>Представленные Претендентом документы не соответствуют установленным требованиям или сведения, содержащиеся в них, недостоверны;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36"/>
        </w:tabs>
        <w:ind w:firstLine="360"/>
        <w:jc w:val="both"/>
      </w:pPr>
      <w:r>
        <w:t>К моменту окончания срока рассмотрения заявка была отозвана Претендентом или если извещение об отзыве поступило ранее заявки или одновременно с ней;</w:t>
      </w:r>
    </w:p>
    <w:p w:rsidR="001A799B">
      <w:pPr>
        <w:pStyle w:val="10"/>
        <w:numPr>
          <w:ilvl w:val="0"/>
          <w:numId w:val="4"/>
        </w:numPr>
        <w:shd w:val="clear" w:color="auto" w:fill="auto"/>
        <w:tabs>
          <w:tab w:val="left" w:pos="540"/>
        </w:tabs>
        <w:ind w:firstLine="360"/>
        <w:jc w:val="both"/>
      </w:pPr>
      <w:r>
        <w:t>Поступление задатка на счета, указанные в с</w:t>
      </w:r>
      <w:r w:rsidR="008E544B">
        <w:t>ообщении о проведении торгов, не</w:t>
      </w:r>
      <w:r>
        <w:t xml:space="preserve"> подтверждено на дату составления протокола об определении участников торгов.</w:t>
      </w:r>
    </w:p>
    <w:p w:rsidR="001A799B">
      <w:pPr>
        <w:pStyle w:val="10"/>
        <w:numPr>
          <w:ilvl w:val="0"/>
          <w:numId w:val="10"/>
        </w:numPr>
        <w:shd w:val="clear" w:color="auto" w:fill="auto"/>
        <w:tabs>
          <w:tab w:val="left" w:pos="889"/>
        </w:tabs>
        <w:ind w:firstLine="360"/>
        <w:jc w:val="both"/>
      </w:pPr>
      <w:r>
        <w:t>Указанный перечень оснований для отказа в регистрации заявок является исчерпывающим.</w:t>
      </w:r>
    </w:p>
    <w:p w:rsidR="001A799B">
      <w:pPr>
        <w:pStyle w:val="10"/>
        <w:numPr>
          <w:ilvl w:val="0"/>
          <w:numId w:val="10"/>
        </w:numPr>
        <w:shd w:val="clear" w:color="auto" w:fill="auto"/>
        <w:tabs>
          <w:tab w:val="left" w:pos="874"/>
        </w:tabs>
        <w:ind w:firstLine="360"/>
        <w:jc w:val="both"/>
      </w:pPr>
      <w:r>
        <w:t>В случае если несколько П</w:t>
      </w:r>
      <w:r w:rsidR="008E544B">
        <w:t>ретендентов, участников торгов п</w:t>
      </w:r>
      <w:r>
        <w:t>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</w:t>
      </w:r>
      <w:r w:rsidR="008E544B">
        <w:t>но</w:t>
      </w:r>
      <w:r>
        <w:t xml:space="preserve">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</w:t>
      </w:r>
    </w:p>
    <w:p w:rsidR="001A799B">
      <w:pPr>
        <w:pStyle w:val="10"/>
        <w:numPr>
          <w:ilvl w:val="0"/>
          <w:numId w:val="10"/>
        </w:numPr>
        <w:shd w:val="clear" w:color="auto" w:fill="auto"/>
        <w:tabs>
          <w:tab w:val="left" w:pos="871"/>
        </w:tabs>
        <w:ind w:firstLine="360"/>
        <w:jc w:val="both"/>
      </w:pPr>
      <w:r>
        <w:t xml:space="preserve"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</w:t>
      </w:r>
      <w:r w:rsidR="008E544B">
        <w:t>о цене Имущества Должника (но не</w:t>
      </w:r>
      <w:r>
        <w:t xml:space="preserve">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</w:r>
    </w:p>
    <w:p w:rsidR="001A799B">
      <w:pPr>
        <w:pStyle w:val="10"/>
        <w:numPr>
          <w:ilvl w:val="0"/>
          <w:numId w:val="10"/>
        </w:numPr>
        <w:shd w:val="clear" w:color="auto" w:fill="auto"/>
        <w:tabs>
          <w:tab w:val="left" w:pos="849"/>
        </w:tabs>
        <w:ind w:firstLine="320"/>
        <w:jc w:val="both"/>
      </w:pPr>
      <w:r>
        <w:t>Со дня определения Победителя торгов посредством Публичного предложения прием заявок прекращается.</w:t>
      </w:r>
    </w:p>
    <w:p w:rsidR="001A799B">
      <w:pPr>
        <w:pStyle w:val="10"/>
        <w:numPr>
          <w:ilvl w:val="0"/>
          <w:numId w:val="10"/>
        </w:numPr>
        <w:shd w:val="clear" w:color="auto" w:fill="auto"/>
        <w:tabs>
          <w:tab w:val="left" w:pos="878"/>
        </w:tabs>
        <w:ind w:firstLine="360"/>
        <w:jc w:val="both"/>
      </w:pPr>
      <w:r>
        <w:t>Продажа Имущества оформляется договором купли-продажи, который заключается с победителем торгов. Оформление права собственности на Имущество осуществляется после его полной оплаты в соответствии с законодательством РФ и договором купли-продажи Имущества. Все связанные с таким оформлением расходы полностью возлагаются на Покупателя.</w:t>
      </w:r>
    </w:p>
    <w:p w:rsidR="001A799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</w:pPr>
      <w:bookmarkStart w:id="7" w:name="bookmark6"/>
      <w:bookmarkStart w:id="8" w:name="bookmark7"/>
      <w:r>
        <w:t>ЗАКЛЮЧИТЕЛЬНЫЕ ПОЛОЖЕНИЯ</w:t>
      </w:r>
      <w:bookmarkEnd w:id="7"/>
      <w:bookmarkEnd w:id="8"/>
    </w:p>
    <w:p w:rsidR="001A799B">
      <w:pPr>
        <w:pStyle w:val="10"/>
        <w:numPr>
          <w:ilvl w:val="1"/>
          <w:numId w:val="1"/>
        </w:numPr>
        <w:shd w:val="clear" w:color="auto" w:fill="auto"/>
        <w:tabs>
          <w:tab w:val="left" w:pos="788"/>
        </w:tabs>
        <w:ind w:firstLine="360"/>
        <w:jc w:val="both"/>
      </w:pPr>
      <w:r>
        <w:t>Во всем, что не предусмотрено настоящим Положением, Финансовый управляющий действует по своему усмотрению, руководствуясь действующим законодательством РФ.</w:t>
      </w:r>
    </w:p>
    <w:p w:rsidR="001A799B">
      <w:pPr>
        <w:pStyle w:val="10"/>
        <w:numPr>
          <w:ilvl w:val="0"/>
          <w:numId w:val="11"/>
        </w:numPr>
        <w:shd w:val="clear" w:color="auto" w:fill="auto"/>
        <w:tabs>
          <w:tab w:val="left" w:pos="795"/>
        </w:tabs>
        <w:ind w:firstLine="360"/>
        <w:jc w:val="both"/>
      </w:pPr>
      <w:r>
        <w:t>Финансовый управляющий предпринимает меры по обеспечению сохранности Имущества</w:t>
      </w:r>
      <w:r w:rsidR="008E544B">
        <w:t>.</w:t>
      </w:r>
    </w:p>
    <w:sectPr>
      <w:pgSz w:w="11900" w:h="16840"/>
      <w:pgMar w:top="1079" w:right="580" w:bottom="967" w:left="894" w:header="651" w:footer="53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C1871"/>
    <w:multiLevelType w:val="multilevel"/>
    <w:tmpl w:val="DC6EE6D0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8252A78"/>
    <w:multiLevelType w:val="multilevel"/>
    <w:tmpl w:val="13C2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21D15CA"/>
    <w:multiLevelType w:val="multilevel"/>
    <w:tmpl w:val="378C41E2"/>
    <w:lvl w:ilvl="0">
      <w:start w:val="6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F06AEB"/>
    <w:multiLevelType w:val="multilevel"/>
    <w:tmpl w:val="2348FF50"/>
    <w:lvl w:ilvl="0">
      <w:start w:val="3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DAC7D05"/>
    <w:multiLevelType w:val="multilevel"/>
    <w:tmpl w:val="D7A090B6"/>
    <w:lvl w:ilvl="0">
      <w:start w:val="4"/>
      <w:numFmt w:val="decimal"/>
      <w:lvlText w:val="3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38D227B"/>
    <w:multiLevelType w:val="multilevel"/>
    <w:tmpl w:val="1362D66C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5544CAC"/>
    <w:multiLevelType w:val="multilevel"/>
    <w:tmpl w:val="7212C084"/>
    <w:lvl w:ilvl="0">
      <w:start w:val="2"/>
      <w:numFmt w:val="decimal"/>
      <w:lvlText w:val="3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B2255F8"/>
    <w:multiLevelType w:val="multilevel"/>
    <w:tmpl w:val="C48CC82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F3058A6"/>
    <w:multiLevelType w:val="multilevel"/>
    <w:tmpl w:val="5F9673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22F7FAB"/>
    <w:multiLevelType w:val="multilevel"/>
    <w:tmpl w:val="115C4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E501D56"/>
    <w:multiLevelType w:val="multilevel"/>
    <w:tmpl w:val="5C0835D2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9B"/>
    <w:rsid w:val="000710AD"/>
    <w:rsid w:val="000C2E6C"/>
    <w:rsid w:val="001A799B"/>
    <w:rsid w:val="002162CE"/>
    <w:rsid w:val="00231508"/>
    <w:rsid w:val="003940E0"/>
    <w:rsid w:val="003D7707"/>
    <w:rsid w:val="006264D1"/>
    <w:rsid w:val="006B338E"/>
    <w:rsid w:val="00775029"/>
    <w:rsid w:val="00823CEC"/>
    <w:rsid w:val="00855E17"/>
    <w:rsid w:val="008E4E6A"/>
    <w:rsid w:val="008E544B"/>
    <w:rsid w:val="00966469"/>
    <w:rsid w:val="00C43B82"/>
    <w:rsid w:val="00E27690"/>
    <w:rsid w:val="00E72E62"/>
    <w:rsid w:val="00FA2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7D201F"/>
  <w15:docId w15:val="{6CE94591-11F2-4F6B-BE49-946339E9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Подпись к таблиц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Друго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line="266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2">
    <w:name w:val="Подпись к таблиц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Другое"/>
    <w:basedOn w:val="Normal"/>
    <w:link w:val="a1"/>
    <w:pPr>
      <w:shd w:val="clear" w:color="auto" w:fill="FFFFFF"/>
      <w:spacing w:line="266" w:lineRule="auto"/>
      <w:ind w:firstLine="38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966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664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