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4B3497" w:rsidRPr="004B3497" w:rsidTr="004B3497">
        <w:trPr>
          <w:tblCellSpacing w:w="75" w:type="dxa"/>
        </w:trPr>
        <w:tc>
          <w:tcPr>
            <w:tcW w:w="0" w:type="auto"/>
            <w:tcBorders>
              <w:bottom w:val="single" w:sz="18" w:space="0" w:color="005993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5"/>
              <w:gridCol w:w="2000"/>
            </w:tblGrid>
            <w:tr w:rsidR="004B3497" w:rsidRPr="004B34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3497" w:rsidRPr="004B3497" w:rsidRDefault="004B3497" w:rsidP="004B3497">
                  <w:pPr>
                    <w:spacing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C82F10"/>
                      <w:kern w:val="36"/>
                      <w:sz w:val="29"/>
                      <w:szCs w:val="29"/>
                      <w:lang w:eastAsia="ru-RU"/>
                    </w:rPr>
                  </w:pPr>
                  <w:r w:rsidRPr="004B3497">
                    <w:rPr>
                      <w:rFonts w:ascii="Times New Roman" w:eastAsia="Times New Roman" w:hAnsi="Times New Roman" w:cs="Times New Roman"/>
                      <w:b/>
                      <w:bCs/>
                      <w:color w:val="C82F10"/>
                      <w:kern w:val="36"/>
                      <w:sz w:val="29"/>
                      <w:szCs w:val="29"/>
                      <w:lang w:eastAsia="ru-RU"/>
                    </w:rPr>
                    <w:t>Сообщение о результатах проведения собрания кредиторов</w:t>
                  </w:r>
                </w:p>
              </w:tc>
              <w:tc>
                <w:tcPr>
                  <w:tcW w:w="2000" w:type="dxa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20"/>
                    <w:gridCol w:w="435"/>
                  </w:tblGrid>
                  <w:tr w:rsidR="004B3497" w:rsidRPr="004B349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19050" t="0" r="6350" b="0"/>
                              <wp:docPr id="1" name="Рисунок 1" descr="https://bankrot.fedresurs.ru/img/icons/license22.png">
                                <a:hlinkClick xmlns:a="http://schemas.openxmlformats.org/drawingml/2006/main" r:id="rId4" tooltip="&quot;Скачать сертификат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bankrot.fedresurs.ru/img/icons/license22.png">
                                        <a:hlinkClick r:id="rId4" tooltip="&quot;Скачать сертификат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3200" cy="203200"/>
                              <wp:effectExtent l="19050" t="0" r="6350" b="0"/>
                              <wp:docPr id="2" name="ctl00_BodyPlaceHolder_lnkPrint" descr="https://bankrot.fedresurs.ru/img/icons/print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BodyPlaceHolder_lnkPrint" descr="https://bankrot.fedresurs.ru/img/icons/print2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B3497" w:rsidRPr="004B3497" w:rsidRDefault="004B3497" w:rsidP="004B34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3497" w:rsidRPr="004B349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B3497" w:rsidRPr="004B3497" w:rsidRDefault="004B3497" w:rsidP="004B3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3497" w:rsidRPr="004B3497" w:rsidRDefault="004B3497" w:rsidP="004B3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4B3497" w:rsidRPr="004B3497" w:rsidTr="004B3497">
        <w:trPr>
          <w:tblCellSpacing w:w="75" w:type="dxa"/>
        </w:trPr>
        <w:tc>
          <w:tcPr>
            <w:tcW w:w="0" w:type="auto"/>
            <w:vAlign w:val="center"/>
            <w:hideMark/>
          </w:tcPr>
          <w:p w:rsidR="004B3497" w:rsidRPr="004B3497" w:rsidRDefault="004B3497" w:rsidP="004B3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4B3497" w:rsidRPr="004B3497" w:rsidTr="004B3497">
        <w:trPr>
          <w:tblCellSpacing w:w="75" w:type="dxa"/>
        </w:trPr>
        <w:tc>
          <w:tcPr>
            <w:tcW w:w="0" w:type="auto"/>
            <w:vAlign w:val="center"/>
            <w:hideMark/>
          </w:tcPr>
          <w:p w:rsidR="004B3497" w:rsidRPr="004B3497" w:rsidRDefault="004B3497" w:rsidP="004B3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4B3497" w:rsidRPr="004B3497" w:rsidTr="004B3497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4B3497" w:rsidRPr="004B34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40"/>
                    <w:gridCol w:w="5295"/>
                  </w:tblGrid>
                  <w:tr w:rsidR="004B3497" w:rsidRPr="004B3497" w:rsidTr="004B3497">
                    <w:tc>
                      <w:tcPr>
                        <w:tcW w:w="4040" w:type="dxa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3F6F8"/>
                        <w:noWrap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№ сообщения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3F6F8"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2226125</w:t>
                        </w:r>
                      </w:p>
                    </w:tc>
                  </w:tr>
                  <w:tr w:rsidR="004B3497" w:rsidRPr="004B3497" w:rsidTr="004B3497">
                    <w:tc>
                      <w:tcPr>
                        <w:tcW w:w="4040" w:type="dxa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FFFFF"/>
                        <w:noWrap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Дата публикации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12.11.2017</w:t>
                        </w:r>
                      </w:p>
                    </w:tc>
                  </w:tr>
                  <w:tr w:rsidR="004B3497" w:rsidRPr="004B3497" w:rsidTr="004B3497">
                    <w:tc>
                      <w:tcPr>
                        <w:tcW w:w="4040" w:type="dxa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3F6F8"/>
                        <w:noWrap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Наименование должника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3F6F8"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МУНИЦИПАЛЬНОЕ УНИТАРНОЕ ПРЕДПРИЯТИЕ ГОРОДА ЗЕЛЕНОДОЛЬСК "ЭКОРЕСУРС"</w:t>
                        </w:r>
                      </w:p>
                    </w:tc>
                  </w:tr>
                  <w:tr w:rsidR="004B3497" w:rsidRPr="004B3497" w:rsidTr="004B3497">
                    <w:tc>
                      <w:tcPr>
                        <w:tcW w:w="4040" w:type="dxa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FFFFF"/>
                        <w:noWrap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Татарстан </w:t>
                        </w:r>
                        <w:proofErr w:type="spellStart"/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Респ</w:t>
                        </w:r>
                        <w:proofErr w:type="spellEnd"/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Зеленодольский</w:t>
                        </w:r>
                        <w:proofErr w:type="spellEnd"/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р-н, Зеленодольск г, </w:t>
                        </w:r>
                        <w:proofErr w:type="spellStart"/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Паратская</w:t>
                        </w:r>
                        <w:proofErr w:type="spellEnd"/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ул</w:t>
                        </w:r>
                        <w:proofErr w:type="spellEnd"/>
                        <w:proofErr w:type="gramEnd"/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1</w:t>
                        </w:r>
                      </w:p>
                    </w:tc>
                  </w:tr>
                  <w:tr w:rsidR="004B3497" w:rsidRPr="004B3497" w:rsidTr="004B3497">
                    <w:tc>
                      <w:tcPr>
                        <w:tcW w:w="4040" w:type="dxa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3F6F8"/>
                        <w:noWrap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ОГРН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3F6F8"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1081673001574</w:t>
                        </w:r>
                      </w:p>
                    </w:tc>
                  </w:tr>
                  <w:tr w:rsidR="004B3497" w:rsidRPr="004B3497" w:rsidTr="004B3497">
                    <w:tc>
                      <w:tcPr>
                        <w:tcW w:w="4040" w:type="dxa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FFFFF"/>
                        <w:noWrap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ИНН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1648024324</w:t>
                        </w:r>
                      </w:p>
                    </w:tc>
                  </w:tr>
                  <w:tr w:rsidR="004B3497" w:rsidRPr="004B3497" w:rsidTr="004B3497">
                    <w:tc>
                      <w:tcPr>
                        <w:tcW w:w="4040" w:type="dxa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FFFFF"/>
                        <w:noWrap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№ дела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А65-21866/2015</w:t>
                        </w:r>
                      </w:p>
                    </w:tc>
                  </w:tr>
                  <w:tr w:rsidR="004B3497" w:rsidRPr="004B3497" w:rsidTr="004B3497">
                    <w:tc>
                      <w:tcPr>
                        <w:tcW w:w="4040" w:type="dxa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3F6F8"/>
                        <w:noWrap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Арбитражный управляющий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3F6F8"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Джапасбатов</w:t>
                        </w:r>
                        <w:proofErr w:type="spellEnd"/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Рустам </w:t>
                        </w:r>
                        <w:proofErr w:type="spellStart"/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Турсунбаевич</w:t>
                        </w:r>
                        <w:proofErr w:type="spellEnd"/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(ИНН 165901000983)</w:t>
                        </w:r>
                      </w:p>
                    </w:tc>
                  </w:tr>
                  <w:tr w:rsidR="004B3497" w:rsidRPr="004B3497" w:rsidTr="004B3497">
                    <w:tc>
                      <w:tcPr>
                        <w:tcW w:w="4040" w:type="dxa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FFFFF"/>
                        <w:noWrap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Адрес для корреспонденции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420011, г. Казань, </w:t>
                        </w:r>
                        <w:proofErr w:type="spellStart"/>
                        <w:proofErr w:type="gramStart"/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/о 11, а/я 7</w:t>
                        </w:r>
                      </w:p>
                    </w:tc>
                  </w:tr>
                  <w:tr w:rsidR="004B3497" w:rsidRPr="004B3497" w:rsidTr="004B3497">
                    <w:tc>
                      <w:tcPr>
                        <w:tcW w:w="4040" w:type="dxa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3F6F8"/>
                        <w:noWrap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СРО АУ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3F6F8"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ААУ "ГАРАНТИЯ" - Ассоциация арбитражных управляющих "ГАРАНТИЯ" (ИНН 7727278019,  ОГРН 1087799004193)</w:t>
                        </w:r>
                      </w:p>
                    </w:tc>
                  </w:tr>
                  <w:tr w:rsidR="004B3497" w:rsidRPr="004B3497" w:rsidTr="004B3497">
                    <w:tc>
                      <w:tcPr>
                        <w:tcW w:w="4040" w:type="dxa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FFFFF"/>
                        <w:noWrap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Адрес СРО АУ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EAF1F7"/>
                          <w:left w:val="single" w:sz="8" w:space="0" w:color="EAF1F7"/>
                          <w:bottom w:val="single" w:sz="8" w:space="0" w:color="EAF1F7"/>
                          <w:right w:val="single" w:sz="8" w:space="0" w:color="EAF1F7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0" w:type="dxa"/>
                          <w:right w:w="0" w:type="dxa"/>
                        </w:tcMar>
                        <w:hideMark/>
                      </w:tcPr>
                      <w:p w:rsidR="004B3497" w:rsidRPr="004B3497" w:rsidRDefault="004B3497" w:rsidP="004B34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603155, Нижегородская область, Нижний Новгород, набережная </w:t>
                        </w:r>
                        <w:proofErr w:type="spellStart"/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Верхне-Волжская</w:t>
                        </w:r>
                        <w:proofErr w:type="spellEnd"/>
                        <w:r w:rsidRPr="004B349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д.19, помещение 22</w:t>
                        </w:r>
                      </w:p>
                    </w:tc>
                  </w:tr>
                </w:tbl>
                <w:p w:rsidR="004B3497" w:rsidRPr="004B3497" w:rsidRDefault="004B3497" w:rsidP="004B349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</w:pPr>
                </w:p>
                <w:p w:rsidR="004B3497" w:rsidRPr="004B3497" w:rsidRDefault="004B3497" w:rsidP="004B349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</w:pPr>
                  <w:r w:rsidRPr="004B3497">
                    <w:rPr>
                      <w:rFonts w:ascii="Tahoma" w:eastAsia="Times New Roman" w:hAnsi="Tahoma" w:cs="Tahoma"/>
                      <w:b/>
                      <w:bCs/>
                      <w:color w:val="333333"/>
                      <w:lang w:eastAsia="ru-RU"/>
                    </w:rPr>
                    <w:t>Текст:</w:t>
                  </w:r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br/>
                    <w:t>Конкурсный управляющий муниципального унитарного предприятия г</w:t>
                  </w:r>
                  <w:proofErr w:type="gram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.З</w:t>
                  </w:r>
                  <w:proofErr w:type="gram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еленодольск "</w:t>
                  </w:r>
                  <w:proofErr w:type="spell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Экоресурс</w:t>
                  </w:r>
                  <w:proofErr w:type="spell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" (МУП "</w:t>
                  </w:r>
                  <w:proofErr w:type="spell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Экоресурс</w:t>
                  </w:r>
                  <w:proofErr w:type="spell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 xml:space="preserve">"), (ИНН 1648024324 , ОГРН 1081673001574), РТ, г.Зеленодольск, </w:t>
                  </w:r>
                  <w:proofErr w:type="spell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ул.Паратская</w:t>
                  </w:r>
                  <w:proofErr w:type="spell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, д.1, далее – МУП "</w:t>
                  </w:r>
                  <w:proofErr w:type="spell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Экоресурс</w:t>
                  </w:r>
                  <w:proofErr w:type="spell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 xml:space="preserve">", </w:t>
                  </w:r>
                  <w:proofErr w:type="spell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Джапасбатов</w:t>
                  </w:r>
                  <w:proofErr w:type="spell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 xml:space="preserve"> Рустам </w:t>
                  </w:r>
                  <w:proofErr w:type="spell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Турсунбаевич</w:t>
                  </w:r>
                  <w:proofErr w:type="spell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, (</w:t>
                  </w:r>
                  <w:proofErr w:type="spell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почт.адрес</w:t>
                  </w:r>
                  <w:proofErr w:type="spell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 xml:space="preserve">: г.Казань, </w:t>
                  </w:r>
                  <w:proofErr w:type="spell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п</w:t>
                  </w:r>
                  <w:proofErr w:type="spell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 xml:space="preserve">/о11, а/я 7), член ААУ "Гарантия" (603155, г.Нижний Новгород, набережная </w:t>
                  </w:r>
                  <w:proofErr w:type="spell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Верхне-Волжская</w:t>
                  </w:r>
                  <w:proofErr w:type="spell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, д.16, помещение 22) сообщает, что 10.11.2017г. состоялось собрание кредиторов МУП "</w:t>
                  </w:r>
                  <w:proofErr w:type="spell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Экоресурс</w:t>
                  </w:r>
                  <w:proofErr w:type="spell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 xml:space="preserve">" (номер дела </w:t>
                  </w:r>
                  <w:proofErr w:type="gram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в</w:t>
                  </w:r>
                  <w:proofErr w:type="gram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 xml:space="preserve"> </w:t>
                  </w:r>
                  <w:proofErr w:type="gram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АС</w:t>
                  </w:r>
                  <w:proofErr w:type="gram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 xml:space="preserve"> РТ №А65-21866/2015), на котором были приняты следующие решения по повестке дня: 1. Отчет конкурсного управляющего о ходе процедуры конкурсного производства в отношении МУП «</w:t>
                  </w:r>
                  <w:proofErr w:type="spell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Экоресурс</w:t>
                  </w:r>
                  <w:proofErr w:type="spell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 xml:space="preserve">» принять к сведению. 2.Включить в повестку дня собрания кредиторов, проводимого 10.11.2017г. дополнительные вопросы, предложенные ООО «ГК «Грин-Сити» 3. Утвердить Предложения конкурсного управляющего </w:t>
                  </w:r>
                  <w:proofErr w:type="spell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Джапасбатова</w:t>
                  </w:r>
                  <w:proofErr w:type="spell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 xml:space="preserve"> Р.Т. от 10.11.2017г. о продаже имущества МУП "</w:t>
                  </w:r>
                  <w:proofErr w:type="spell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Экоресурс</w:t>
                  </w:r>
                  <w:proofErr w:type="spell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» (административное здание К№ 16:49:010201:46, расположенное по адресу: г</w:t>
                  </w:r>
                  <w:proofErr w:type="gram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.З</w:t>
                  </w:r>
                  <w:proofErr w:type="gram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 xml:space="preserve">еленодольск, ул. </w:t>
                  </w:r>
                  <w:proofErr w:type="spell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Паратская</w:t>
                  </w:r>
                  <w:proofErr w:type="spell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 xml:space="preserve">, 1, площадью 625,8 м2). 4. </w:t>
                  </w:r>
                  <w:proofErr w:type="gram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В целях недопущения остановки деятельности МУП "</w:t>
                  </w:r>
                  <w:proofErr w:type="spell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Экоресурс</w:t>
                  </w:r>
                  <w:proofErr w:type="spell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" по обезвреживанию и размещению отходов I-IV класса опасности (остановка которой приведет к экологической катастрофе), провести реализацию зданий полигона ТБО, принадлежащих Должнику, одним лотом с самоходными машинами (тракторами), и с правами и обязанностями арендатора по договору аренды земельного участка № Зем.-1-156а от 11.06.2009, в последнюю очередь, после реализации всего иного имущества Должника. 5.</w:t>
                  </w:r>
                  <w:proofErr w:type="gram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 xml:space="preserve"> Произвести оплату работ (услуг) по ремонту помещений, выполненных в целях исполнения предписания </w:t>
                  </w:r>
                  <w:proofErr w:type="spellStart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>Роспотребнадзора</w:t>
                  </w:r>
                  <w:proofErr w:type="spellEnd"/>
                  <w:r w:rsidRPr="004B3497">
                    <w:rPr>
                      <w:rFonts w:ascii="Tahoma" w:eastAsia="Times New Roman" w:hAnsi="Tahoma" w:cs="Tahoma"/>
                      <w:color w:val="333333"/>
                      <w:lang w:eastAsia="ru-RU"/>
                    </w:rPr>
                    <w:t xml:space="preserve"> по РТ 30/152-пр от 28.11.16г., в размере не более 1,6 млн. рублей</w:t>
                  </w:r>
                </w:p>
              </w:tc>
            </w:tr>
          </w:tbl>
          <w:p w:rsidR="004B3497" w:rsidRPr="004B3497" w:rsidRDefault="004B3497" w:rsidP="004B3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4B3497" w:rsidRPr="004B3497" w:rsidTr="004B3497">
        <w:trPr>
          <w:tblCellSpacing w:w="75" w:type="dxa"/>
        </w:trPr>
        <w:tc>
          <w:tcPr>
            <w:tcW w:w="0" w:type="auto"/>
            <w:vAlign w:val="center"/>
            <w:hideMark/>
          </w:tcPr>
          <w:p w:rsidR="004B3497" w:rsidRPr="004B3497" w:rsidRDefault="004B3497" w:rsidP="004B3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4B3497" w:rsidRPr="004B3497" w:rsidTr="004B3497">
        <w:trPr>
          <w:tblCellSpacing w:w="75" w:type="dxa"/>
        </w:trPr>
        <w:tc>
          <w:tcPr>
            <w:tcW w:w="0" w:type="auto"/>
            <w:vAlign w:val="center"/>
            <w:hideMark/>
          </w:tcPr>
          <w:p w:rsidR="004B3497" w:rsidRPr="004B3497" w:rsidRDefault="004B3497" w:rsidP="004B3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4B3497" w:rsidRPr="004B3497" w:rsidTr="004B3497">
        <w:trPr>
          <w:tblCellSpacing w:w="75" w:type="dxa"/>
        </w:trPr>
        <w:tc>
          <w:tcPr>
            <w:tcW w:w="0" w:type="auto"/>
            <w:tcBorders>
              <w:top w:val="single" w:sz="8" w:space="0" w:color="005993"/>
            </w:tcBorders>
            <w:vAlign w:val="bottom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4B3497" w:rsidRPr="004B3497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4B3497" w:rsidRPr="004B3497" w:rsidRDefault="004B3497" w:rsidP="004B3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</w:pPr>
                  <w:r w:rsidRPr="004B3497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Включение сведений, подлежащих опубликованию в соответствии с Федеральным законом от 26 октября 2002 г. № 127-ФЗ «О несостоятельности (банкротстве)» в Единый федеральный реестр сведений о банкротстве, осуществляется с 1 апреля 2011 г. (пункт 2 статьи 4 Федерального закона от 28 декабря 2010 г. № 429-ФЗ)</w:t>
                  </w:r>
                </w:p>
              </w:tc>
            </w:tr>
          </w:tbl>
          <w:p w:rsidR="004B3497" w:rsidRPr="004B3497" w:rsidRDefault="004B3497" w:rsidP="004B3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A0BC6" w:rsidRDefault="00FA0BC6" w:rsidP="004B3497"/>
    <w:sectPr w:rsidR="00FA0BC6" w:rsidSect="004B349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3497"/>
    <w:rsid w:val="004B3497"/>
    <w:rsid w:val="00FA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C6"/>
  </w:style>
  <w:style w:type="paragraph" w:styleId="1">
    <w:name w:val="heading 1"/>
    <w:basedOn w:val="a"/>
    <w:link w:val="10"/>
    <w:uiPriority w:val="9"/>
    <w:qFormat/>
    <w:rsid w:val="004B3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bankrot.fedresurs.ru/MessageCertificate.aspx?ID=ED78CDF30F00F8C908D40AA3A0744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2017-11-25T19:49:00Z</dcterms:created>
  <dcterms:modified xsi:type="dcterms:W3CDTF">2017-11-25T19:50:00Z</dcterms:modified>
</cp:coreProperties>
</file>