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ОБ ОПРЕДЕЛЕНИИ УЧАСТНИКОВ ТОРГОВ № 003393/2</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Борисов Сергей Александрович</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526103562506</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+79200096888</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г. Нижний Новгород, ул. Александровская слобода, д. 336 В</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Наименование:</w:t>
            </w:r>
          </w:p>
        </w:tc>
        <w:tc>
          <w:tcPr>
            <w:tcW w:w="6000" w:type="dxa"/>
            <w:vAlign w:val="center"/>
          </w:tcPr>
          <w:p>
            <w:pPr>
              <w:pStyle w:val=""/>
            </w:pPr>
            <w:r>
              <w:rPr>
                <w:rStyle w:val=""/>
              </w:rPr>
              <w:t xml:space="preserve">Общество с ограниченной ответственностью РОСАВТОСТРОЙ</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5260097681</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Самарская область, г. Тольятти, проезд Новый, д. 3, офис 35</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А43-27511/2014</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Публичное предложение</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003393</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13.04.2019 10:00:00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16.06.2019 18:00:00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2</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Право треб., номиналом 44347043,49 рублей, по обязательствам Кислюниной И. В., Лашманова А. В., Фиякселя Э. А. согласно опр. АСНО от 27.03.18. Право треб., номиналом 28000000,00 рублей, по обязательствам Маринкина Д. М., Кислюниной И. В., Капраловой А. С., Фиякселя Э. А. Фияксель М. Э. согласно опр. АСНО от 28.04.18. Право треб., номиналом 312840000,00 рублей, по обязательствам Кислюниной И. В., Савина А. Н., Фиякселя Э. А. согласно опр. АСНО от 08.05.18. Право треб., номиналом 20300000,0 рублей, по обязательствам Кислюниной И.В., Фиякселя Э.А. согласно Опр. АСНО от 29.10.18. Право требования, номиналом 10 000 000,0 руб., по обязательствам Кислюниной И. В., Савина А.Н., Фиякселя Э. А. согласно опр. АСНО от 15.10.18, нач. цена 373938338,88 руб.</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373 938 338.00</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Интервалы снижения для лота</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Начало приема заявок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Окончание приема заявок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Задаток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Цена на интервале</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15.05.2019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26.05.2019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37 393 830.06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373 938 338.00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27.05.2019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29.05.2019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33 654 450.42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336 544 504.20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30.05.2019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01.06.2019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30 289 001.64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302 890 053.78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02.06.2019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04.06.2019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27 260 101.10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272 601 048.40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05.06.2019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07.06.2019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24 534 086.88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245 340 943.56</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08.06.2019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10.06.2019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22 080 677.44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220 806 849.21</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11.06.2019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13.06.2019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19 872 616.43</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198 726 164.29</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14.06.2019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16.06.2019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18 696 905.68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186 969 169.00</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Поданные заявки</w:t>
            </w:r>
          </w:p>
        </w:tc>
      </w:tr>
      <w:tr>
        <w:trPr/>
        <w:tc>
          <w:tcPr>
            <w:tcW w:w="10000" w:type="dxa"/>
            <w:vAlign w:val="center"/>
            <w:gridSpan w:val="2"/>
          </w:tcPr>
          <w:p>
            <w:pPr>
              <w:pStyle w:val=""/>
            </w:pPr>
            <w:r>
              <w:rPr>
                <w:rStyle w:val=""/>
              </w:rPr>
              <w:t xml:space="preserve">Заявок не подано</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p/>
    <w:p>
      <w:pPr>
        <w:pStyle w:val=""/>
      </w:pPr>
      <w:r>
        <w:rPr>
          <w:rStyle w:val=""/>
        </w:rPr>
        <w:t xml:space="preserve">Протокол подписан организатором торгов 17.06.2019 15:13:26</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2019-06-17T15:13:26+03:00</dcterms:created>
  <dcterms:modified xsi:type="dcterms:W3CDTF">2019-06-17T15:13:26+03:00</dcterms:modified>
</cp:coreProperties>
</file>

<file path=docProps/custom.xml><?xml version="1.0" encoding="utf-8"?>
<Properties xmlns="http://schemas.openxmlformats.org/officeDocument/2006/custom-properties" xmlns:vt="http://schemas.openxmlformats.org/officeDocument/2006/docPropsVTypes"/>
</file>