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79" w:rsidRDefault="00612179" w:rsidP="00612179">
      <w:pPr>
        <w:pStyle w:val="ConsNormal"/>
        <w:ind w:firstLine="709"/>
        <w:jc w:val="right"/>
        <w:rPr>
          <w:rFonts w:ascii="Times New Roman" w:hAnsi="Times New Roman"/>
          <w:b/>
          <w:sz w:val="24"/>
          <w:szCs w:val="24"/>
        </w:rPr>
      </w:pPr>
      <w:r>
        <w:rPr>
          <w:rFonts w:ascii="Times New Roman" w:hAnsi="Times New Roman"/>
          <w:b/>
          <w:sz w:val="24"/>
          <w:szCs w:val="24"/>
        </w:rPr>
        <w:t>УТВЕРЖДЕНО:</w:t>
      </w:r>
    </w:p>
    <w:p w:rsidR="00612179" w:rsidRDefault="00612179" w:rsidP="00612179">
      <w:pPr>
        <w:pStyle w:val="ConsNormal"/>
        <w:ind w:firstLine="709"/>
        <w:jc w:val="right"/>
        <w:rPr>
          <w:rFonts w:ascii="Times New Roman" w:hAnsi="Times New Roman"/>
          <w:sz w:val="24"/>
          <w:szCs w:val="24"/>
        </w:rPr>
      </w:pPr>
      <w:r>
        <w:rPr>
          <w:rFonts w:ascii="Times New Roman" w:hAnsi="Times New Roman"/>
          <w:sz w:val="24"/>
          <w:szCs w:val="24"/>
        </w:rPr>
        <w:t>Протоколом №</w:t>
      </w:r>
      <w:r w:rsidR="009A069F">
        <w:rPr>
          <w:rFonts w:ascii="Times New Roman" w:hAnsi="Times New Roman"/>
          <w:sz w:val="24"/>
          <w:szCs w:val="24"/>
        </w:rPr>
        <w:t>8</w:t>
      </w:r>
      <w:r>
        <w:rPr>
          <w:rFonts w:ascii="Times New Roman" w:hAnsi="Times New Roman"/>
          <w:sz w:val="24"/>
          <w:szCs w:val="24"/>
        </w:rPr>
        <w:t xml:space="preserve"> собрания кредиторов</w:t>
      </w:r>
    </w:p>
    <w:p w:rsidR="00612179" w:rsidRDefault="00612179" w:rsidP="00612179">
      <w:pPr>
        <w:pStyle w:val="ConsNormal"/>
        <w:ind w:firstLine="709"/>
        <w:jc w:val="right"/>
        <w:rPr>
          <w:rFonts w:ascii="Times New Roman" w:hAnsi="Times New Roman"/>
          <w:sz w:val="24"/>
          <w:szCs w:val="24"/>
        </w:rPr>
      </w:pPr>
      <w:r>
        <w:rPr>
          <w:rFonts w:ascii="Times New Roman" w:hAnsi="Times New Roman"/>
          <w:sz w:val="24"/>
          <w:szCs w:val="24"/>
        </w:rPr>
        <w:t>АО «Севергазавтоматика»</w:t>
      </w:r>
    </w:p>
    <w:p w:rsidR="00612179" w:rsidRDefault="00612179" w:rsidP="00612179">
      <w:pPr>
        <w:pStyle w:val="ConsNormal"/>
        <w:ind w:firstLine="709"/>
        <w:jc w:val="right"/>
        <w:rPr>
          <w:rFonts w:ascii="Times New Roman" w:hAnsi="Times New Roman"/>
          <w:sz w:val="24"/>
          <w:szCs w:val="24"/>
        </w:rPr>
      </w:pPr>
      <w:r>
        <w:rPr>
          <w:rFonts w:ascii="Times New Roman" w:hAnsi="Times New Roman"/>
          <w:sz w:val="24"/>
          <w:szCs w:val="24"/>
        </w:rPr>
        <w:t>от «</w:t>
      </w:r>
      <w:r w:rsidR="009A069F">
        <w:rPr>
          <w:rFonts w:ascii="Times New Roman" w:hAnsi="Times New Roman"/>
          <w:sz w:val="24"/>
          <w:szCs w:val="24"/>
        </w:rPr>
        <w:t>31</w:t>
      </w:r>
      <w:r>
        <w:rPr>
          <w:rFonts w:ascii="Times New Roman" w:hAnsi="Times New Roman"/>
          <w:sz w:val="24"/>
          <w:szCs w:val="24"/>
        </w:rPr>
        <w:t xml:space="preserve">» </w:t>
      </w:r>
      <w:r w:rsidR="009A069F">
        <w:rPr>
          <w:rFonts w:ascii="Times New Roman" w:hAnsi="Times New Roman"/>
          <w:sz w:val="24"/>
          <w:szCs w:val="24"/>
        </w:rPr>
        <w:t>марта</w:t>
      </w:r>
      <w:r>
        <w:rPr>
          <w:rFonts w:ascii="Times New Roman" w:hAnsi="Times New Roman"/>
          <w:sz w:val="24"/>
          <w:szCs w:val="24"/>
        </w:rPr>
        <w:t xml:space="preserve"> 2021г.</w:t>
      </w:r>
    </w:p>
    <w:p w:rsidR="00612179" w:rsidRDefault="00612179" w:rsidP="00612179">
      <w:pPr>
        <w:pStyle w:val="ConsNormal"/>
        <w:ind w:firstLine="709"/>
        <w:jc w:val="center"/>
        <w:rPr>
          <w:rFonts w:ascii="Times New Roman" w:hAnsi="Times New Roman"/>
          <w:b/>
          <w:sz w:val="24"/>
          <w:szCs w:val="24"/>
        </w:rPr>
      </w:pPr>
    </w:p>
    <w:p w:rsidR="00612179" w:rsidRDefault="00612179" w:rsidP="00612179">
      <w:pPr>
        <w:pStyle w:val="ConsNormal"/>
        <w:ind w:firstLine="709"/>
        <w:jc w:val="center"/>
        <w:rPr>
          <w:rFonts w:ascii="Times New Roman" w:hAnsi="Times New Roman"/>
          <w:b/>
          <w:sz w:val="24"/>
          <w:szCs w:val="24"/>
        </w:rPr>
      </w:pPr>
    </w:p>
    <w:p w:rsidR="00612179" w:rsidRDefault="00612179" w:rsidP="00612179">
      <w:pPr>
        <w:pStyle w:val="ConsNormal"/>
        <w:ind w:firstLine="709"/>
        <w:jc w:val="center"/>
        <w:rPr>
          <w:rFonts w:ascii="Times New Roman" w:hAnsi="Times New Roman"/>
          <w:b/>
          <w:sz w:val="24"/>
          <w:szCs w:val="24"/>
        </w:rPr>
      </w:pPr>
    </w:p>
    <w:p w:rsidR="00612179" w:rsidRDefault="00612179" w:rsidP="00612179">
      <w:pPr>
        <w:pStyle w:val="ConsNormal"/>
        <w:ind w:firstLine="709"/>
        <w:jc w:val="center"/>
        <w:rPr>
          <w:rFonts w:ascii="Times New Roman" w:hAnsi="Times New Roman"/>
          <w:b/>
          <w:sz w:val="24"/>
          <w:szCs w:val="24"/>
        </w:rPr>
      </w:pPr>
    </w:p>
    <w:p w:rsidR="00612179" w:rsidRDefault="00612179" w:rsidP="00612179">
      <w:pPr>
        <w:pStyle w:val="ConsNormal"/>
        <w:ind w:firstLine="0"/>
        <w:jc w:val="center"/>
        <w:rPr>
          <w:rFonts w:ascii="Times New Roman" w:hAnsi="Times New Roman"/>
          <w:b/>
          <w:sz w:val="24"/>
          <w:szCs w:val="24"/>
        </w:rPr>
      </w:pPr>
      <w:r>
        <w:rPr>
          <w:rFonts w:ascii="Times New Roman" w:hAnsi="Times New Roman"/>
          <w:b/>
          <w:sz w:val="24"/>
          <w:szCs w:val="24"/>
        </w:rPr>
        <w:t>ПОЛОЖЕНИЕ</w:t>
      </w:r>
    </w:p>
    <w:p w:rsidR="00612179" w:rsidRDefault="00612179" w:rsidP="00612179">
      <w:pPr>
        <w:pStyle w:val="ConsNormal"/>
        <w:ind w:firstLine="0"/>
        <w:jc w:val="center"/>
        <w:rPr>
          <w:rFonts w:ascii="Times New Roman" w:hAnsi="Times New Roman"/>
          <w:b/>
          <w:sz w:val="24"/>
          <w:szCs w:val="24"/>
        </w:rPr>
      </w:pPr>
      <w:r>
        <w:rPr>
          <w:rFonts w:ascii="Times New Roman" w:hAnsi="Times New Roman"/>
          <w:b/>
          <w:sz w:val="24"/>
          <w:szCs w:val="24"/>
        </w:rPr>
        <w:t xml:space="preserve">о порядке сроках и условиях продажи имущества </w:t>
      </w:r>
    </w:p>
    <w:p w:rsidR="00612179" w:rsidRDefault="00612179" w:rsidP="00612179">
      <w:pPr>
        <w:pStyle w:val="ConsNormal"/>
        <w:ind w:firstLine="0"/>
        <w:jc w:val="center"/>
        <w:rPr>
          <w:rFonts w:ascii="Times New Roman" w:hAnsi="Times New Roman"/>
          <w:b/>
          <w:sz w:val="24"/>
          <w:szCs w:val="24"/>
        </w:rPr>
      </w:pPr>
      <w:r>
        <w:rPr>
          <w:rFonts w:ascii="Times New Roman" w:hAnsi="Times New Roman"/>
          <w:b/>
          <w:sz w:val="24"/>
          <w:szCs w:val="24"/>
        </w:rPr>
        <w:t>АО «Севергазавтоматика»</w:t>
      </w:r>
    </w:p>
    <w:p w:rsidR="00612179" w:rsidRDefault="00612179" w:rsidP="00612179">
      <w:pPr>
        <w:spacing w:after="0" w:line="240" w:lineRule="auto"/>
        <w:rPr>
          <w:sz w:val="24"/>
          <w:szCs w:val="24"/>
        </w:rPr>
      </w:pPr>
    </w:p>
    <w:p w:rsidR="00612179" w:rsidRDefault="00612179" w:rsidP="00612179">
      <w:pPr>
        <w:pStyle w:val="a7"/>
        <w:numPr>
          <w:ilvl w:val="0"/>
          <w:numId w:val="1"/>
        </w:numPr>
        <w:jc w:val="center"/>
        <w:rPr>
          <w:b/>
        </w:rPr>
      </w:pPr>
      <w:r>
        <w:rPr>
          <w:b/>
        </w:rPr>
        <w:t>Общие положения</w:t>
      </w:r>
    </w:p>
    <w:p w:rsidR="00612179" w:rsidRDefault="00612179" w:rsidP="00612179">
      <w:pPr>
        <w:pStyle w:val="a7"/>
        <w:ind w:left="360"/>
        <w:rPr>
          <w:b/>
        </w:rPr>
      </w:pPr>
    </w:p>
    <w:p w:rsidR="00612179" w:rsidRDefault="00612179" w:rsidP="00612179">
      <w:pPr>
        <w:pStyle w:val="a7"/>
        <w:ind w:left="0" w:firstLine="709"/>
        <w:jc w:val="both"/>
      </w:pPr>
      <w:r>
        <w:t xml:space="preserve">1.1. Настоящее Положение о порядке, сроках и условиях продажи имущества, принадлежащего </w:t>
      </w:r>
      <w:r>
        <w:rPr>
          <w:b/>
        </w:rPr>
        <w:t>АО «Севергазавтоматика» (ОГРН 1028900623993, ИНН 8904000070, адрес: 629305, Ямало-Ненецкий автономный окр</w:t>
      </w:r>
      <w:r w:rsidR="00813501">
        <w:rPr>
          <w:b/>
        </w:rPr>
        <w:t>у</w:t>
      </w:r>
      <w:r>
        <w:rPr>
          <w:b/>
        </w:rPr>
        <w:t xml:space="preserve">г, г. Новый Уренгой, ул. Таежная, д. 196, город Новый Уренгой, улица Таежная дом 196) </w:t>
      </w:r>
      <w:r>
        <w:t xml:space="preserve"> разработано в соответствии с Гражданским кодексом РФ, с учетом особенностей предусмотренных Федеральным законом РФ от 26.10.2002 №127-ФЗ «О несостоятельности (банкротстве)», Приказом Минэкономразвития РФ от 23.07.2015 № 495 «Об утверждении Порядка проведения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05.04.2013 № 178 и признании утратившим силу некоторых приказов Минэкономразвития России» и другими нормативными документами.</w:t>
      </w:r>
    </w:p>
    <w:p w:rsidR="00612179" w:rsidRDefault="00612179" w:rsidP="00612179">
      <w:pPr>
        <w:pStyle w:val="a7"/>
        <w:ind w:left="0" w:firstLine="709"/>
        <w:jc w:val="both"/>
      </w:pPr>
      <w:r>
        <w:t xml:space="preserve">1.2. Решением Арбитражного суда Ямало-Ненецкого автономного округа от 24.07.2020 г. (резолютивная часть объявлена 17.07.2020 г.) по делу № А81-8885/2018 АО «Севергазавтоматика» (ОГРН 1028900623993, ИНН 8904000070, адрес: 629305, Ямало-Ненецкий автономный округ, г. Новый Уренгой, ул. Таежная, д. 196, город Новый Уренгой, улица Таежная, дом 196)   признано несостоятельным (банкротом), открыто конкурсное производство. Конкурсным управляющим утвержден Бобков Дмитрий Анатольевич (ИНН 720203238804, СНИЛС 066-844-790 11, адрес для направления корреспонденции: 625048, г. Тюмень, а/я, 558) – член ПАУ ЦФО (ОГРН 1027700542209, ИНН 7705431418, адрес: </w:t>
      </w:r>
      <w:r w:rsidR="00D47DD7" w:rsidRPr="00D47DD7">
        <w:t>115191, г. Москва, Гамсоновский пер., д. 2, стр. 1, пом. 85-94</w:t>
      </w:r>
      <w:bookmarkStart w:id="0" w:name="_GoBack"/>
      <w:bookmarkEnd w:id="0"/>
      <w:r>
        <w:t>).</w:t>
      </w:r>
    </w:p>
    <w:p w:rsidR="00612179" w:rsidRDefault="00612179" w:rsidP="00612179">
      <w:pPr>
        <w:pStyle w:val="a7"/>
        <w:ind w:left="0" w:firstLine="709"/>
        <w:jc w:val="both"/>
      </w:pPr>
    </w:p>
    <w:p w:rsidR="00612179" w:rsidRDefault="00612179" w:rsidP="00612179">
      <w:pPr>
        <w:pStyle w:val="a7"/>
        <w:ind w:left="0" w:firstLine="709"/>
        <w:jc w:val="both"/>
      </w:pPr>
    </w:p>
    <w:p w:rsidR="00612179" w:rsidRDefault="00612179" w:rsidP="00612179">
      <w:pPr>
        <w:pStyle w:val="a5"/>
        <w:numPr>
          <w:ilvl w:val="0"/>
          <w:numId w:val="1"/>
        </w:numPr>
        <w:spacing w:after="0"/>
        <w:jc w:val="center"/>
        <w:rPr>
          <w:b/>
        </w:rPr>
      </w:pPr>
      <w:r>
        <w:rPr>
          <w:b/>
        </w:rPr>
        <w:t>Понятия и термины</w:t>
      </w:r>
    </w:p>
    <w:p w:rsidR="00612179" w:rsidRDefault="00612179" w:rsidP="00612179">
      <w:pPr>
        <w:pStyle w:val="a5"/>
        <w:spacing w:after="0"/>
        <w:ind w:left="360"/>
        <w:rPr>
          <w:b/>
        </w:rPr>
      </w:pPr>
    </w:p>
    <w:p w:rsidR="00612179" w:rsidRDefault="00612179" w:rsidP="00612179">
      <w:pPr>
        <w:pStyle w:val="a5"/>
        <w:spacing w:after="0"/>
      </w:pPr>
      <w:r>
        <w:t>Для целей настоящего Положения используются следующие понятия и термины:</w:t>
      </w:r>
    </w:p>
    <w:p w:rsidR="00612179" w:rsidRDefault="00612179" w:rsidP="00612179">
      <w:pPr>
        <w:pStyle w:val="a5"/>
        <w:spacing w:after="0"/>
        <w:jc w:val="both"/>
      </w:pPr>
      <w:r>
        <w:rPr>
          <w:b/>
        </w:rPr>
        <w:t>Торги</w:t>
      </w:r>
      <w:r>
        <w:t xml:space="preserve"> – торги в электронной форме при реализации имущества Должника в ходе процедур, применяемых в деле о банкротстве;</w:t>
      </w:r>
    </w:p>
    <w:p w:rsidR="00612179" w:rsidRDefault="00612179" w:rsidP="00612179">
      <w:pPr>
        <w:pStyle w:val="a5"/>
        <w:spacing w:after="0"/>
        <w:jc w:val="both"/>
      </w:pPr>
      <w:r>
        <w:rPr>
          <w:b/>
        </w:rPr>
        <w:t>Организатор торгов</w:t>
      </w:r>
      <w:r>
        <w:t xml:space="preserve"> –конкурсный управляющий АО «Севергазавтоматика»;</w:t>
      </w:r>
    </w:p>
    <w:p w:rsidR="00612179" w:rsidRDefault="00612179" w:rsidP="00612179">
      <w:pPr>
        <w:pStyle w:val="a5"/>
        <w:spacing w:after="0"/>
        <w:jc w:val="both"/>
      </w:pPr>
      <w:r>
        <w:rPr>
          <w:b/>
        </w:rPr>
        <w:t>Электронная торговая площадка</w:t>
      </w:r>
      <w:r>
        <w:t xml:space="preserve"> (ЭТП) – программно-аппаратный комплекс, предназначенный для проведения торгов в электронной форме при продаже имущественных прав должника в ходе процедур, применяемых в деле о банкротстве, отвечающий требованиям, предъявляемым к подобным системам законодательством </w:t>
      </w:r>
      <w:r>
        <w:lastRenderedPageBreak/>
        <w:t>Российской Федерации, предъявляемым к электронным торговым площадкам, используемым для обозначенных выше целей.;</w:t>
      </w:r>
    </w:p>
    <w:p w:rsidR="00612179" w:rsidRDefault="00612179" w:rsidP="00612179">
      <w:pPr>
        <w:pStyle w:val="a5"/>
        <w:spacing w:after="0"/>
        <w:jc w:val="both"/>
      </w:pPr>
      <w:r>
        <w:rPr>
          <w:b/>
        </w:rPr>
        <w:t>Оператор электронной площадки</w:t>
      </w:r>
      <w: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и обеспечивают проведение открытых торгов в электронной форме в соответствии с Законом о банкротстве;</w:t>
      </w:r>
    </w:p>
    <w:p w:rsidR="00612179" w:rsidRDefault="00612179" w:rsidP="00612179">
      <w:pPr>
        <w:pStyle w:val="a5"/>
        <w:spacing w:after="0"/>
        <w:jc w:val="both"/>
      </w:pPr>
      <w:r>
        <w:rPr>
          <w:b/>
        </w:rPr>
        <w:t>Лот</w:t>
      </w:r>
      <w:r>
        <w:t xml:space="preserve"> – имущество Должника, выставляемое на торги;</w:t>
      </w:r>
    </w:p>
    <w:p w:rsidR="00612179" w:rsidRDefault="00612179" w:rsidP="00612179">
      <w:pPr>
        <w:pStyle w:val="a5"/>
        <w:spacing w:after="0"/>
        <w:jc w:val="both"/>
      </w:pPr>
      <w:r>
        <w:rPr>
          <w:b/>
        </w:rPr>
        <w:t>Начальная цена</w:t>
      </w:r>
      <w:r>
        <w:t xml:space="preserve"> – начальная цена имущества Должника;</w:t>
      </w:r>
    </w:p>
    <w:p w:rsidR="00612179" w:rsidRDefault="00612179" w:rsidP="00612179">
      <w:pPr>
        <w:pStyle w:val="a5"/>
        <w:spacing w:after="0"/>
        <w:jc w:val="both"/>
      </w:pPr>
      <w:r>
        <w:rPr>
          <w:b/>
        </w:rPr>
        <w:t>Заявитель</w:t>
      </w:r>
      <w:r>
        <w:t xml:space="preserve"> – юридическое или физическое лицо, представившее Заявку на участие в торгах; </w:t>
      </w:r>
    </w:p>
    <w:p w:rsidR="00612179" w:rsidRDefault="00612179" w:rsidP="00612179">
      <w:pPr>
        <w:pStyle w:val="a5"/>
        <w:spacing w:after="0"/>
        <w:jc w:val="both"/>
      </w:pPr>
      <w:r>
        <w:rPr>
          <w:b/>
        </w:rPr>
        <w:t>Участник торгов</w:t>
      </w:r>
      <w:r>
        <w:t xml:space="preserve"> – юридическое или физическое лицо, представившее Заявку на участие в торгах путем открытого аукциона и участие в реализации имущества Должника путем публичного предложения в установленном порядке и допущенное Организатором торгов к участию в торгах и в реализации имущества Должника.</w:t>
      </w:r>
    </w:p>
    <w:p w:rsidR="00612179" w:rsidRDefault="00612179" w:rsidP="00612179">
      <w:pPr>
        <w:pStyle w:val="a5"/>
        <w:spacing w:after="0"/>
        <w:jc w:val="both"/>
      </w:pPr>
      <w:r>
        <w:rPr>
          <w:b/>
        </w:rPr>
        <w:t>Шаг аукциона</w:t>
      </w:r>
      <w:r>
        <w:t xml:space="preserve"> - величина повышения начальной продажной цены.</w:t>
      </w:r>
    </w:p>
    <w:p w:rsidR="00612179" w:rsidRDefault="00612179" w:rsidP="00612179">
      <w:pPr>
        <w:pStyle w:val="a5"/>
        <w:spacing w:after="0"/>
        <w:jc w:val="both"/>
      </w:pPr>
    </w:p>
    <w:p w:rsidR="00612179" w:rsidRDefault="00612179" w:rsidP="00612179">
      <w:pPr>
        <w:pStyle w:val="a5"/>
        <w:spacing w:after="0"/>
        <w:jc w:val="both"/>
      </w:pPr>
    </w:p>
    <w:p w:rsidR="00612179" w:rsidRDefault="00612179" w:rsidP="00612179">
      <w:pPr>
        <w:pStyle w:val="a5"/>
        <w:numPr>
          <w:ilvl w:val="0"/>
          <w:numId w:val="1"/>
        </w:numPr>
        <w:spacing w:after="0"/>
        <w:jc w:val="center"/>
        <w:rPr>
          <w:b/>
        </w:rPr>
      </w:pPr>
      <w:r>
        <w:rPr>
          <w:b/>
        </w:rPr>
        <w:t>Обязательные условия проведения торгов</w:t>
      </w:r>
    </w:p>
    <w:p w:rsidR="00612179" w:rsidRDefault="00612179" w:rsidP="00612179">
      <w:pPr>
        <w:pStyle w:val="a5"/>
        <w:spacing w:after="0"/>
        <w:ind w:left="360"/>
        <w:rPr>
          <w:b/>
        </w:rPr>
      </w:pPr>
    </w:p>
    <w:p w:rsidR="00612179" w:rsidRDefault="00612179" w:rsidP="00612179">
      <w:pPr>
        <w:pStyle w:val="a7"/>
        <w:ind w:left="0" w:firstLine="709"/>
        <w:jc w:val="both"/>
      </w:pPr>
      <w:r>
        <w:t xml:space="preserve">3.1. </w:t>
      </w:r>
      <w:r>
        <w:rPr>
          <w:b/>
        </w:rPr>
        <w:t>Предметом торгов</w:t>
      </w:r>
      <w:r>
        <w:t xml:space="preserve"> является принадлежащее Должнику недвижимое имущество.</w:t>
      </w:r>
    </w:p>
    <w:p w:rsidR="00612179" w:rsidRDefault="00612179" w:rsidP="00612179">
      <w:pPr>
        <w:pStyle w:val="a7"/>
        <w:ind w:left="0" w:firstLine="709"/>
        <w:jc w:val="both"/>
      </w:pPr>
    </w:p>
    <w:tbl>
      <w:tblPr>
        <w:tblW w:w="9230" w:type="dxa"/>
        <w:tblCellMar>
          <w:left w:w="0" w:type="dxa"/>
          <w:right w:w="0" w:type="dxa"/>
        </w:tblCellMar>
        <w:tblLook w:val="04A0"/>
      </w:tblPr>
      <w:tblGrid>
        <w:gridCol w:w="503"/>
        <w:gridCol w:w="5196"/>
        <w:gridCol w:w="2113"/>
        <w:gridCol w:w="1418"/>
      </w:tblGrid>
      <w:tr w:rsidR="00612179" w:rsidTr="008D1249">
        <w:trPr>
          <w:trHeight w:val="765"/>
        </w:trPr>
        <w:tc>
          <w:tcPr>
            <w:tcW w:w="5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2179" w:rsidRDefault="00612179">
            <w:pPr>
              <w:rPr>
                <w:rFonts w:ascii="Times New Roman" w:hAnsi="Times New Roman" w:cs="Times New Roman"/>
                <w:b/>
                <w:bCs/>
                <w:color w:val="000000"/>
                <w:sz w:val="20"/>
              </w:rPr>
            </w:pPr>
            <w:r>
              <w:rPr>
                <w:rFonts w:ascii="Times New Roman" w:hAnsi="Times New Roman" w:cs="Times New Roman"/>
                <w:b/>
                <w:bCs/>
                <w:color w:val="000000"/>
                <w:sz w:val="20"/>
              </w:rPr>
              <w:t>№ лота</w:t>
            </w:r>
          </w:p>
        </w:tc>
        <w:tc>
          <w:tcPr>
            <w:tcW w:w="73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12179" w:rsidRDefault="00612179">
            <w:pPr>
              <w:jc w:val="center"/>
              <w:rPr>
                <w:rFonts w:ascii="Times New Roman" w:hAnsi="Times New Roman" w:cs="Times New Roman"/>
                <w:b/>
                <w:bCs/>
                <w:color w:val="000000"/>
                <w:sz w:val="20"/>
              </w:rPr>
            </w:pPr>
            <w:r>
              <w:rPr>
                <w:rFonts w:ascii="Times New Roman" w:hAnsi="Times New Roman" w:cs="Times New Roman"/>
                <w:b/>
                <w:bCs/>
                <w:color w:val="000000"/>
                <w:sz w:val="20"/>
              </w:rPr>
              <w:t>Наименование лота</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12179" w:rsidRDefault="00612179">
            <w:pPr>
              <w:jc w:val="center"/>
              <w:rPr>
                <w:rFonts w:ascii="Times New Roman" w:hAnsi="Times New Roman" w:cs="Times New Roman"/>
                <w:b/>
                <w:bCs/>
                <w:color w:val="000000"/>
                <w:sz w:val="20"/>
              </w:rPr>
            </w:pPr>
            <w:r>
              <w:rPr>
                <w:rFonts w:ascii="Times New Roman" w:hAnsi="Times New Roman" w:cs="Times New Roman"/>
                <w:b/>
                <w:bCs/>
                <w:color w:val="000000"/>
                <w:sz w:val="20"/>
              </w:rPr>
              <w:t>Цена лота, руб.</w:t>
            </w:r>
          </w:p>
        </w:tc>
      </w:tr>
      <w:tr w:rsidR="00612179" w:rsidTr="008D1249">
        <w:trPr>
          <w:trHeight w:val="1020"/>
        </w:trPr>
        <w:tc>
          <w:tcPr>
            <w:tcW w:w="5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2179" w:rsidRDefault="00612179">
            <w:pPr>
              <w:jc w:val="center"/>
              <w:rPr>
                <w:rFonts w:ascii="Times New Roman" w:hAnsi="Times New Roman" w:cs="Times New Roman"/>
                <w:b/>
                <w:color w:val="000000"/>
                <w:sz w:val="20"/>
              </w:rPr>
            </w:pPr>
            <w:r>
              <w:rPr>
                <w:rFonts w:ascii="Times New Roman" w:hAnsi="Times New Roman" w:cs="Times New Roman"/>
                <w:b/>
                <w:color w:val="000000"/>
                <w:sz w:val="20"/>
              </w:rPr>
              <w:t>1</w:t>
            </w:r>
          </w:p>
        </w:tc>
        <w:tc>
          <w:tcPr>
            <w:tcW w:w="73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12179" w:rsidRDefault="00612179">
            <w:pPr>
              <w:spacing w:after="0"/>
              <w:rPr>
                <w:rFonts w:ascii="Times New Roman" w:hAnsi="Times New Roman" w:cs="Times New Roman"/>
                <w:b/>
                <w:sz w:val="20"/>
                <w:szCs w:val="20"/>
              </w:rPr>
            </w:pPr>
            <w:r>
              <w:rPr>
                <w:rFonts w:ascii="Times New Roman" w:hAnsi="Times New Roman" w:cs="Times New Roman"/>
                <w:b/>
                <w:sz w:val="20"/>
                <w:szCs w:val="20"/>
              </w:rPr>
              <w:t>«Части нежилого здания с неотделимыми улучшениями»</w:t>
            </w:r>
          </w:p>
          <w:p w:rsidR="00612179" w:rsidRDefault="00612179">
            <w:pPr>
              <w:spacing w:after="0"/>
              <w:rPr>
                <w:rFonts w:ascii="Times New Roman" w:hAnsi="Times New Roman" w:cs="Times New Roman"/>
                <w:b/>
                <w:sz w:val="20"/>
                <w:szCs w:val="20"/>
              </w:rPr>
            </w:pPr>
            <w:r>
              <w:rPr>
                <w:rFonts w:ascii="Times New Roman" w:hAnsi="Times New Roman" w:cs="Times New Roman"/>
                <w:b/>
                <w:sz w:val="20"/>
                <w:szCs w:val="20"/>
              </w:rPr>
              <w:t>Состав лота:</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Нежилое помещение: ДЭТ часть здания (технический этаж), г. Новый Уренгой, мкр. Мирный, д. 1, корп. 1б, кадастровый номер: 89:11:050103:4382, общей площадью 377,3кв.м.</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Нежилое помещение: ДЭТ часть здания (цокольный этаж), г. Новый Уренгой, мкр. Мирный, д. 1, корп. 1б, кадастровый номер: 89:11:050103:4383, общей площадью 962,5 кв.м.</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Нежилое помещение: ДЭТ часть здания (1-й этаж, пом. №15, 16 на поэтажном плане), г.Новый Уренгой, мкр. Мирный, д. 1, корп. 1б, кадастровый номер: 89:11:050103:4707, общей площадью 58,1 кв.м.</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Нежилое помещение: ДЭТ часть здания (1-й этаж, пом. №19, 21 на поэтажном плане), г. Новый Уренгой, мкр. Мирный, д. 1, корп. 1б, кадастровый номер: 89:11:050103:4708, общей площадью 23,9 кв.м.</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Нежилое помещение: ДЭТ часть здания (1-й этаж, пом. №5-9 на поэтажном плане), г. Новый Уренгой, мкр. Мирный, д. 1, корп. 1б, кадастровый номер: 89:11:050103:4710, общей площадью 39,8 кв.м.</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Сооружение: Инженерные сети, кадастровый номер: 89:11:050103:309, г. Новый Уренгой, мкр. Мирный, д. 1, корп. 1б</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Сооружение: Благоустройство территории, кадастровый номер: 89:11:050103:317, г. Новый Уренгой, мкр. Мирный, д. 1, корп. 1б</w:t>
            </w:r>
          </w:p>
          <w:p w:rsidR="00612179" w:rsidRDefault="00612179">
            <w:pPr>
              <w:spacing w:after="0"/>
              <w:rPr>
                <w:rFonts w:ascii="Times New Roman" w:hAnsi="Times New Roman" w:cs="Times New Roman"/>
                <w:sz w:val="20"/>
                <w:szCs w:val="20"/>
              </w:rPr>
            </w:pPr>
            <w:r>
              <w:rPr>
                <w:rFonts w:ascii="Times New Roman" w:hAnsi="Times New Roman" w:cs="Times New Roman"/>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улиц, проспектов, площадей, шоссе, аллей, бульваров, застав, переулков, проездов, тупиков, площадь: 971 кв.м., занятый сооружением: Благоустройство территории объекта "Дом электронной </w:t>
            </w:r>
            <w:r>
              <w:rPr>
                <w:rFonts w:ascii="Times New Roman" w:hAnsi="Times New Roman" w:cs="Times New Roman"/>
                <w:sz w:val="20"/>
                <w:szCs w:val="20"/>
              </w:rPr>
              <w:lastRenderedPageBreak/>
              <w:t>техники", кадастровый номер: 89:11:050103:3029, адрес (местоположение): Ямало-Ненецкий автономный округ, г. Новый Уренгой, мкр. Мирный, д 1, корп. 1б</w:t>
            </w:r>
          </w:p>
          <w:p w:rsidR="00D108CF" w:rsidRDefault="00D108CF" w:rsidP="00D108CF">
            <w:pPr>
              <w:pStyle w:val="Default"/>
              <w:rPr>
                <w:sz w:val="20"/>
                <w:szCs w:val="20"/>
              </w:rPr>
            </w:pPr>
            <w:r>
              <w:rPr>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предназначенные для размещения офисных зданий делового и коммерческого назначения, площадь: 1874 кв.м., занятый зданием: «Дом электронной техники», кадастровый номер: 89:11:050103:3028, адрес (местоположение): Ямало-Ненецкий автономный округ, г. Новый Уренгой, мкр. Мирный, д 1, корп. 1б </w:t>
            </w:r>
          </w:p>
          <w:p w:rsidR="00D108CF" w:rsidRDefault="00D108CF" w:rsidP="00D108CF">
            <w:pPr>
              <w:pStyle w:val="Default"/>
              <w:rPr>
                <w:sz w:val="20"/>
                <w:szCs w:val="20"/>
              </w:rPr>
            </w:pPr>
            <w:r>
              <w:rPr>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площадь: 4 кв.м., занятый сооружением: Инженерные сети, кадастровый номер: 89:11:050103:3030, адрес (местоположение): Ямало-Ненецкий автономный округ, г. Новый Уренгой, мкр. Мирный, д 1, корп. 1б </w:t>
            </w:r>
          </w:p>
          <w:p w:rsidR="00D108CF" w:rsidRDefault="00D108CF" w:rsidP="00D108CF">
            <w:pPr>
              <w:pStyle w:val="Default"/>
              <w:rPr>
                <w:sz w:val="20"/>
                <w:szCs w:val="20"/>
              </w:rPr>
            </w:pPr>
            <w:r>
              <w:rPr>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площадь: 35 кв.м., занятый сооружением: Инженерные сети, кадастровый номер: 89:11:050103:3031, адрес (местоположение): Ямало-Ненецкий автономный округ, г. Новый Уренгой, мкр. Мирный, д 1, корп. 1б </w:t>
            </w:r>
          </w:p>
          <w:p w:rsidR="00D108CF" w:rsidRDefault="00D108CF" w:rsidP="00D108CF">
            <w:pPr>
              <w:pStyle w:val="Default"/>
              <w:rPr>
                <w:sz w:val="20"/>
                <w:szCs w:val="20"/>
              </w:rPr>
            </w:pPr>
            <w:r>
              <w:rPr>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площадь: 29 кв.м., занятый сооружением: Инженерные сети, кадастровый номер: 89:11:050103:3032, адрес (местоположение): Ямало-Ненецкий автономный округ, г. Новый Уренгой, мкр. Мирный, д 1, корп. 1б </w:t>
            </w:r>
          </w:p>
          <w:p w:rsidR="00D108CF" w:rsidRPr="00D108CF" w:rsidRDefault="00D108CF" w:rsidP="00D108CF">
            <w:pPr>
              <w:pStyle w:val="Default"/>
              <w:rPr>
                <w:sz w:val="20"/>
                <w:szCs w:val="20"/>
              </w:rPr>
            </w:pPr>
            <w:r>
              <w:rPr>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площадь: 4 кв.м., занятый сооружением: Инженерные сети, кадастровый номер: 89:11:050103:3033, адрес (местоположение): Ямало-Ненецкий автономный округ, г. Новый Уренгой, мкр. Мирный, д 1, корп. 1б </w:t>
            </w:r>
          </w:p>
          <w:p w:rsidR="00501628" w:rsidRDefault="00D108CF" w:rsidP="00D108CF">
            <w:pPr>
              <w:pStyle w:val="Default"/>
              <w:rPr>
                <w:sz w:val="20"/>
                <w:szCs w:val="20"/>
              </w:rPr>
            </w:pPr>
            <w:r>
              <w:rPr>
                <w:sz w:val="20"/>
                <w:szCs w:val="20"/>
              </w:rPr>
              <w:t xml:space="preserve">- Право аренды земельного участка, категория земель: земли населенных пунктов, вид разрешенного использования: земельные участки, предназначенные для размещения производственных и административных зданий, строений и сооружений промышленности, коммунального хозяйства, материально-технического, продовольственного снабжения сбыта и заготовок, площадь: 25 кв.м., занятый сооружением: Инженерные сети, кадастровый номер: 89:11:050103:3034, адрес (местоположение): Ямало-Ненецкий автономный округ, г. Новый Уренгой, мкр. Мирный, д 1, корп. 1б </w:t>
            </w:r>
          </w:p>
          <w:p w:rsidR="00612179" w:rsidRDefault="00612179">
            <w:pPr>
              <w:pStyle w:val="Default"/>
              <w:spacing w:line="276" w:lineRule="auto"/>
              <w:rPr>
                <w:sz w:val="20"/>
                <w:szCs w:val="20"/>
              </w:rPr>
            </w:pPr>
            <w:r>
              <w:rPr>
                <w:sz w:val="20"/>
                <w:szCs w:val="20"/>
              </w:rPr>
              <w:t xml:space="preserve">- Узел учета тепловой энергии </w:t>
            </w:r>
          </w:p>
          <w:p w:rsidR="00612179" w:rsidRDefault="00612179">
            <w:pPr>
              <w:pStyle w:val="Default"/>
              <w:spacing w:line="276" w:lineRule="auto"/>
              <w:rPr>
                <w:sz w:val="20"/>
                <w:szCs w:val="20"/>
              </w:rPr>
            </w:pPr>
            <w:r>
              <w:rPr>
                <w:sz w:val="20"/>
                <w:szCs w:val="20"/>
              </w:rPr>
              <w:t xml:space="preserve">- Фасадная вывеска Севергазавтоматика </w:t>
            </w:r>
          </w:p>
          <w:p w:rsidR="00612179" w:rsidRDefault="00612179">
            <w:pPr>
              <w:pStyle w:val="Default"/>
              <w:spacing w:line="276" w:lineRule="auto"/>
              <w:rPr>
                <w:sz w:val="20"/>
                <w:szCs w:val="20"/>
              </w:rPr>
            </w:pPr>
            <w:r>
              <w:rPr>
                <w:sz w:val="20"/>
                <w:szCs w:val="20"/>
              </w:rPr>
              <w:t xml:space="preserve">- Часы электронные NCS-CLK-400-2DB-TDTP </w:t>
            </w:r>
          </w:p>
          <w:p w:rsidR="00612179" w:rsidRDefault="00612179">
            <w:pPr>
              <w:pStyle w:val="Default"/>
              <w:spacing w:line="276" w:lineRule="auto"/>
              <w:rPr>
                <w:sz w:val="20"/>
                <w:szCs w:val="20"/>
              </w:rPr>
            </w:pPr>
            <w:r>
              <w:rPr>
                <w:sz w:val="20"/>
                <w:szCs w:val="20"/>
              </w:rPr>
              <w:t xml:space="preserve">- Локальная вычислительная сеть ДЭТ </w:t>
            </w:r>
          </w:p>
          <w:p w:rsidR="00612179" w:rsidRDefault="00612179">
            <w:pPr>
              <w:pStyle w:val="Default"/>
              <w:spacing w:line="276" w:lineRule="auto"/>
              <w:rPr>
                <w:sz w:val="20"/>
                <w:szCs w:val="20"/>
              </w:rPr>
            </w:pPr>
            <w:r>
              <w:rPr>
                <w:sz w:val="20"/>
                <w:szCs w:val="20"/>
              </w:rPr>
              <w:t xml:space="preserve">- Дом </w:t>
            </w:r>
            <w:proofErr w:type="spellStart"/>
            <w:r>
              <w:rPr>
                <w:sz w:val="20"/>
                <w:szCs w:val="20"/>
              </w:rPr>
              <w:t>электр</w:t>
            </w:r>
            <w:proofErr w:type="gramStart"/>
            <w:r>
              <w:rPr>
                <w:sz w:val="20"/>
                <w:szCs w:val="20"/>
              </w:rPr>
              <w:t>.т</w:t>
            </w:r>
            <w:proofErr w:type="gramEnd"/>
            <w:r>
              <w:rPr>
                <w:sz w:val="20"/>
                <w:szCs w:val="20"/>
              </w:rPr>
              <w:t>ехн</w:t>
            </w:r>
            <w:proofErr w:type="spellEnd"/>
            <w:r>
              <w:rPr>
                <w:sz w:val="20"/>
                <w:szCs w:val="20"/>
              </w:rPr>
              <w:t xml:space="preserve">."Лифт пассажир., г/п 1000 кг, на 10 ост, со </w:t>
            </w:r>
            <w:proofErr w:type="spellStart"/>
            <w:r>
              <w:rPr>
                <w:sz w:val="20"/>
                <w:szCs w:val="20"/>
              </w:rPr>
              <w:t>скор.дв.-ния</w:t>
            </w:r>
            <w:proofErr w:type="spellEnd"/>
            <w:r>
              <w:rPr>
                <w:sz w:val="20"/>
                <w:szCs w:val="20"/>
              </w:rPr>
              <w:t xml:space="preserve"> 1,0 м/с </w:t>
            </w:r>
          </w:p>
          <w:p w:rsidR="00612179" w:rsidRDefault="00612179">
            <w:pPr>
              <w:pStyle w:val="Default"/>
              <w:spacing w:line="276" w:lineRule="auto"/>
              <w:rPr>
                <w:sz w:val="20"/>
                <w:szCs w:val="20"/>
              </w:rPr>
            </w:pPr>
            <w:r>
              <w:rPr>
                <w:sz w:val="20"/>
                <w:szCs w:val="20"/>
              </w:rPr>
              <w:t xml:space="preserve">- Дом </w:t>
            </w:r>
            <w:proofErr w:type="spellStart"/>
            <w:r>
              <w:rPr>
                <w:sz w:val="20"/>
                <w:szCs w:val="20"/>
              </w:rPr>
              <w:t>электр</w:t>
            </w:r>
            <w:proofErr w:type="gramStart"/>
            <w:r>
              <w:rPr>
                <w:sz w:val="20"/>
                <w:szCs w:val="20"/>
              </w:rPr>
              <w:t>.т</w:t>
            </w:r>
            <w:proofErr w:type="gramEnd"/>
            <w:r>
              <w:rPr>
                <w:sz w:val="20"/>
                <w:szCs w:val="20"/>
              </w:rPr>
              <w:t>ехн</w:t>
            </w:r>
            <w:proofErr w:type="spellEnd"/>
            <w:r>
              <w:rPr>
                <w:sz w:val="20"/>
                <w:szCs w:val="20"/>
              </w:rPr>
              <w:t xml:space="preserve">."Лифт пассажир., г/п 1000 кг, на 10 ост, со скор. </w:t>
            </w:r>
            <w:proofErr w:type="spellStart"/>
            <w:r>
              <w:rPr>
                <w:sz w:val="20"/>
                <w:szCs w:val="20"/>
              </w:rPr>
              <w:t>дв-ния</w:t>
            </w:r>
            <w:proofErr w:type="spellEnd"/>
            <w:r>
              <w:rPr>
                <w:sz w:val="20"/>
                <w:szCs w:val="20"/>
              </w:rPr>
              <w:t xml:space="preserve"> 1,0 м/с </w:t>
            </w:r>
          </w:p>
          <w:p w:rsidR="00612179" w:rsidRDefault="00612179">
            <w:pPr>
              <w:pStyle w:val="Default"/>
              <w:spacing w:line="276" w:lineRule="auto"/>
              <w:rPr>
                <w:sz w:val="20"/>
                <w:szCs w:val="20"/>
              </w:rPr>
            </w:pPr>
            <w:r>
              <w:rPr>
                <w:sz w:val="20"/>
                <w:szCs w:val="20"/>
              </w:rPr>
              <w:t xml:space="preserve">- Дом электронной техники "Лифт пассажирский г/п 400 кг, 5 остановок" </w:t>
            </w:r>
          </w:p>
          <w:p w:rsidR="00612179" w:rsidRDefault="00612179">
            <w:pPr>
              <w:pStyle w:val="Default"/>
              <w:spacing w:line="276" w:lineRule="auto"/>
              <w:rPr>
                <w:sz w:val="20"/>
                <w:szCs w:val="20"/>
              </w:rPr>
            </w:pPr>
            <w:r>
              <w:rPr>
                <w:sz w:val="20"/>
                <w:szCs w:val="20"/>
              </w:rPr>
              <w:t xml:space="preserve">- Дом </w:t>
            </w:r>
            <w:proofErr w:type="spellStart"/>
            <w:r>
              <w:rPr>
                <w:sz w:val="20"/>
                <w:szCs w:val="20"/>
              </w:rPr>
              <w:t>электр</w:t>
            </w:r>
            <w:proofErr w:type="gramStart"/>
            <w:r>
              <w:rPr>
                <w:sz w:val="20"/>
                <w:szCs w:val="20"/>
              </w:rPr>
              <w:t>.т</w:t>
            </w:r>
            <w:proofErr w:type="gramEnd"/>
            <w:r>
              <w:rPr>
                <w:sz w:val="20"/>
                <w:szCs w:val="20"/>
              </w:rPr>
              <w:t>ехн</w:t>
            </w:r>
            <w:proofErr w:type="spellEnd"/>
            <w:r>
              <w:rPr>
                <w:sz w:val="20"/>
                <w:szCs w:val="20"/>
              </w:rPr>
              <w:t xml:space="preserve">."Стол подъемный электрогидравлический 2СП 2000-01 " </w:t>
            </w:r>
          </w:p>
          <w:p w:rsidR="00612179" w:rsidRDefault="00612179">
            <w:pPr>
              <w:pStyle w:val="Default"/>
              <w:spacing w:line="276" w:lineRule="auto"/>
              <w:rPr>
                <w:sz w:val="20"/>
                <w:szCs w:val="20"/>
              </w:rPr>
            </w:pPr>
            <w:r>
              <w:rPr>
                <w:sz w:val="20"/>
                <w:szCs w:val="20"/>
              </w:rPr>
              <w:t xml:space="preserve">- Контроль доступа ДЭТ </w:t>
            </w:r>
          </w:p>
          <w:p w:rsidR="00612179" w:rsidRDefault="00612179">
            <w:pPr>
              <w:pStyle w:val="Default"/>
              <w:spacing w:line="276" w:lineRule="auto"/>
              <w:rPr>
                <w:sz w:val="20"/>
                <w:szCs w:val="20"/>
              </w:rPr>
            </w:pPr>
            <w:r>
              <w:rPr>
                <w:sz w:val="20"/>
                <w:szCs w:val="20"/>
              </w:rPr>
              <w:t xml:space="preserve">- Система охранного телевидения ДЭТ </w:t>
            </w:r>
          </w:p>
          <w:p w:rsidR="00612179" w:rsidRDefault="00612179">
            <w:pPr>
              <w:pStyle w:val="Default"/>
              <w:spacing w:line="276" w:lineRule="auto"/>
              <w:rPr>
                <w:sz w:val="20"/>
                <w:szCs w:val="20"/>
              </w:rPr>
            </w:pPr>
            <w:r>
              <w:rPr>
                <w:sz w:val="20"/>
                <w:szCs w:val="20"/>
              </w:rPr>
              <w:t xml:space="preserve">- АТС ДЭТ </w:t>
            </w:r>
          </w:p>
          <w:p w:rsidR="00612179" w:rsidRDefault="00612179">
            <w:pPr>
              <w:pStyle w:val="Default"/>
              <w:spacing w:line="276" w:lineRule="auto"/>
              <w:rPr>
                <w:sz w:val="20"/>
                <w:szCs w:val="20"/>
              </w:rPr>
            </w:pPr>
            <w:r>
              <w:rPr>
                <w:sz w:val="20"/>
                <w:szCs w:val="20"/>
              </w:rPr>
              <w:t xml:space="preserve">- Охранная сигнализация ДЭТ </w:t>
            </w:r>
          </w:p>
          <w:p w:rsidR="00612179" w:rsidRDefault="00612179">
            <w:pPr>
              <w:pStyle w:val="Default"/>
              <w:spacing w:line="276" w:lineRule="auto"/>
              <w:rPr>
                <w:sz w:val="20"/>
                <w:szCs w:val="20"/>
              </w:rPr>
            </w:pPr>
            <w:r>
              <w:rPr>
                <w:sz w:val="20"/>
                <w:szCs w:val="20"/>
              </w:rPr>
              <w:lastRenderedPageBreak/>
              <w:t xml:space="preserve">- Система кондиционирования ДЭТ </w:t>
            </w:r>
          </w:p>
          <w:p w:rsidR="00612179" w:rsidRDefault="00612179">
            <w:pPr>
              <w:pStyle w:val="Default"/>
              <w:spacing w:line="276" w:lineRule="auto"/>
              <w:rPr>
                <w:sz w:val="20"/>
                <w:szCs w:val="20"/>
              </w:rPr>
            </w:pPr>
            <w:r>
              <w:rPr>
                <w:sz w:val="20"/>
                <w:szCs w:val="20"/>
              </w:rPr>
              <w:t xml:space="preserve">- Дизельный электрогенератор </w:t>
            </w:r>
            <w:proofErr w:type="spellStart"/>
            <w:r>
              <w:rPr>
                <w:sz w:val="20"/>
                <w:szCs w:val="20"/>
              </w:rPr>
              <w:t>Gesan</w:t>
            </w:r>
            <w:proofErr w:type="spellEnd"/>
            <w:r>
              <w:rPr>
                <w:sz w:val="20"/>
                <w:szCs w:val="20"/>
              </w:rPr>
              <w:t xml:space="preserve"> DHA 35E </w:t>
            </w:r>
            <w:proofErr w:type="spellStart"/>
            <w:r>
              <w:rPr>
                <w:sz w:val="20"/>
                <w:szCs w:val="20"/>
              </w:rPr>
              <w:t>with</w:t>
            </w:r>
            <w:proofErr w:type="spellEnd"/>
            <w:r>
              <w:rPr>
                <w:sz w:val="20"/>
                <w:szCs w:val="20"/>
              </w:rPr>
              <w:t xml:space="preserve"> ATS-FC в комплекте с контейнером и глушителем </w:t>
            </w:r>
          </w:p>
          <w:p w:rsidR="00612179" w:rsidRDefault="00612179">
            <w:pPr>
              <w:pStyle w:val="Default"/>
              <w:spacing w:line="276" w:lineRule="auto"/>
              <w:rPr>
                <w:sz w:val="20"/>
                <w:szCs w:val="20"/>
              </w:rPr>
            </w:pPr>
            <w:r>
              <w:rPr>
                <w:sz w:val="20"/>
                <w:szCs w:val="20"/>
              </w:rPr>
              <w:t xml:space="preserve">- Фасадное освещение ДЭТ </w:t>
            </w:r>
          </w:p>
        </w:tc>
        <w:tc>
          <w:tcPr>
            <w:tcW w:w="141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12179" w:rsidRDefault="00D108CF" w:rsidP="00D108CF">
            <w:pPr>
              <w:jc w:val="center"/>
              <w:rPr>
                <w:rFonts w:ascii="Times New Roman" w:hAnsi="Times New Roman" w:cs="Times New Roman"/>
                <w:b/>
                <w:bCs/>
                <w:color w:val="000000"/>
                <w:sz w:val="20"/>
              </w:rPr>
            </w:pPr>
            <w:r>
              <w:rPr>
                <w:rFonts w:ascii="Times New Roman" w:hAnsi="Times New Roman" w:cs="Times New Roman"/>
                <w:b/>
                <w:bCs/>
                <w:color w:val="000000"/>
                <w:sz w:val="20"/>
              </w:rPr>
              <w:lastRenderedPageBreak/>
              <w:t>119 887 267,00</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4"/>
        </w:trPr>
        <w:tc>
          <w:tcPr>
            <w:tcW w:w="503" w:type="dxa"/>
            <w:tcBorders>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Экскаватор колесный ЭО-2626/82 МТЗ-82, номер двигателя 522140, 78 л.с. </w:t>
            </w:r>
            <w:proofErr w:type="spellStart"/>
            <w:r w:rsidRPr="00D11DC3">
              <w:rPr>
                <w:rFonts w:ascii="Times New Roman" w:hAnsi="Times New Roman" w:cs="Times New Roman"/>
                <w:color w:val="000000"/>
                <w:sz w:val="20"/>
                <w:szCs w:val="20"/>
              </w:rPr>
              <w:t>г.р.з</w:t>
            </w:r>
            <w:proofErr w:type="spellEnd"/>
            <w:r w:rsidRPr="00D11DC3">
              <w:rPr>
                <w:rFonts w:ascii="Times New Roman" w:hAnsi="Times New Roman" w:cs="Times New Roman"/>
                <w:color w:val="000000"/>
                <w:sz w:val="20"/>
                <w:szCs w:val="20"/>
              </w:rPr>
              <w:t xml:space="preserve">. 4243СН89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2002 </w:t>
            </w:r>
            <w:r>
              <w:rPr>
                <w:rFonts w:ascii="Times New Roman" w:hAnsi="Times New Roman" w:cs="Times New Roman"/>
                <w:color w:val="000000"/>
                <w:sz w:val="20"/>
                <w:szCs w:val="20"/>
              </w:rPr>
              <w:t xml:space="preserve"> 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262 000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 </w:t>
            </w:r>
            <w:r>
              <w:rPr>
                <w:rFonts w:ascii="Times New Roman" w:hAnsi="Times New Roman" w:cs="Times New Roman"/>
                <w:color w:val="000000"/>
                <w:sz w:val="20"/>
                <w:szCs w:val="20"/>
              </w:rPr>
              <w:t>3</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КАМАЗ 420803 (Автобус </w:t>
            </w:r>
            <w:proofErr w:type="spellStart"/>
            <w:r w:rsidRPr="00D11DC3">
              <w:rPr>
                <w:rFonts w:ascii="Times New Roman" w:hAnsi="Times New Roman" w:cs="Times New Roman"/>
                <w:color w:val="000000"/>
                <w:sz w:val="20"/>
                <w:szCs w:val="20"/>
              </w:rPr>
              <w:t>Нефаз</w:t>
            </w:r>
            <w:proofErr w:type="spellEnd"/>
            <w:r w:rsidRPr="00D11DC3">
              <w:rPr>
                <w:rFonts w:ascii="Times New Roman" w:hAnsi="Times New Roman" w:cs="Times New Roman"/>
                <w:color w:val="000000"/>
                <w:sz w:val="20"/>
                <w:szCs w:val="20"/>
              </w:rPr>
              <w:t xml:space="preserve">)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Х221ВУ89 (2003) VIN XIF4208C030007957, 240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2003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287 000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КАМАЗ 39384М (</w:t>
            </w:r>
            <w:proofErr w:type="spellStart"/>
            <w:r w:rsidRPr="00D11DC3">
              <w:rPr>
                <w:rFonts w:ascii="Times New Roman" w:hAnsi="Times New Roman" w:cs="Times New Roman"/>
                <w:color w:val="000000"/>
                <w:sz w:val="20"/>
                <w:szCs w:val="20"/>
              </w:rPr>
              <w:t>авторем.мастерская</w:t>
            </w:r>
            <w:proofErr w:type="spellEnd"/>
            <w:r w:rsidRPr="00D11DC3">
              <w:rPr>
                <w:rFonts w:ascii="Times New Roman" w:hAnsi="Times New Roman" w:cs="Times New Roman"/>
                <w:color w:val="000000"/>
                <w:sz w:val="20"/>
                <w:szCs w:val="20"/>
              </w:rPr>
              <w:t xml:space="preserve">)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К291ВО89 (2008) VIN Х8939384М82АУ7002 225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2008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486 000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КАМАЗ 4311810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Р313ЕА89 (2009) VIN ХТС43118К92353913 245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2009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574 000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КАМАЗ 420803 (Автобус НЕФАЗ)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Р662КУ89 (2002) VIN X1F4208C020007431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2002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285 000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 </w:t>
            </w:r>
            <w:r>
              <w:rPr>
                <w:rFonts w:ascii="Times New Roman" w:hAnsi="Times New Roman" w:cs="Times New Roman"/>
                <w:color w:val="000000"/>
                <w:sz w:val="20"/>
                <w:szCs w:val="20"/>
              </w:rPr>
              <w:t>7</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proofErr w:type="spellStart"/>
            <w:r w:rsidRPr="00D11DC3">
              <w:rPr>
                <w:rFonts w:ascii="Times New Roman" w:hAnsi="Times New Roman" w:cs="Times New Roman"/>
                <w:color w:val="000000"/>
                <w:sz w:val="20"/>
                <w:szCs w:val="20"/>
              </w:rPr>
              <w:t>Камаз</w:t>
            </w:r>
            <w:proofErr w:type="spellEnd"/>
            <w:r w:rsidRPr="00D11DC3">
              <w:rPr>
                <w:rFonts w:ascii="Times New Roman" w:hAnsi="Times New Roman" w:cs="Times New Roman"/>
                <w:color w:val="000000"/>
                <w:sz w:val="20"/>
                <w:szCs w:val="20"/>
              </w:rPr>
              <w:t xml:space="preserve"> 5675 (Машина вакуумная) гнА225ЕХ89 (2005) VIN X8956751450BJ6001 260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2005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380 000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4"/>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 </w:t>
            </w:r>
            <w:r>
              <w:rPr>
                <w:rFonts w:ascii="Times New Roman" w:hAnsi="Times New Roman" w:cs="Times New Roman"/>
                <w:color w:val="000000"/>
                <w:sz w:val="20"/>
                <w:szCs w:val="20"/>
              </w:rPr>
              <w:t>8</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proofErr w:type="spellStart"/>
            <w:r w:rsidRPr="00D11DC3">
              <w:rPr>
                <w:rFonts w:ascii="Times New Roman" w:hAnsi="Times New Roman" w:cs="Times New Roman"/>
                <w:color w:val="000000"/>
                <w:sz w:val="20"/>
                <w:szCs w:val="20"/>
              </w:rPr>
              <w:t>Камаз</w:t>
            </w:r>
            <w:proofErr w:type="spellEnd"/>
            <w:r w:rsidRPr="00D11DC3">
              <w:rPr>
                <w:rFonts w:ascii="Times New Roman" w:hAnsi="Times New Roman" w:cs="Times New Roman"/>
                <w:color w:val="000000"/>
                <w:sz w:val="20"/>
                <w:szCs w:val="20"/>
              </w:rPr>
              <w:t xml:space="preserve"> 43118N (тягач борт.)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Р663КУ89 (2002) VIN XTC43118N22181931 260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2002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235 000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НЕФАЗ 833207 (прицеп)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ЕТ467989 (2009) VIN Х1F8332АЕ90005910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2009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181 000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0</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ПАЗ 3205360 (Автобус)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М088ЕА89 (2009) VIN Х1М3205СР90000055 130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2009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198 000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4"/>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1</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Автомобиль ГАЗ 32212 (12мест,Дв-ль УМЗ-4216,ГУР)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Х242ЕР89 (2010) VIN Х96322120А0668099 107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2010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179 000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5"/>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2</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 xml:space="preserve">ГАЗ 32213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А982РК89 (2012) VINХ96322130C0737148 107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2012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223 000 </w:t>
            </w:r>
          </w:p>
        </w:tc>
      </w:tr>
      <w:tr w:rsidR="00C60D9D" w:rsidRPr="00D11DC3"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3</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autoSpaceDE w:val="0"/>
              <w:autoSpaceDN w:val="0"/>
              <w:adjustRightInd w:val="0"/>
              <w:spacing w:after="0" w:line="240" w:lineRule="auto"/>
              <w:rPr>
                <w:rFonts w:ascii="Cambria" w:hAnsi="Cambria" w:cs="Cambria"/>
                <w:color w:val="000000"/>
                <w:sz w:val="20"/>
                <w:szCs w:val="20"/>
              </w:rPr>
            </w:pPr>
            <w:r w:rsidRPr="00D11DC3">
              <w:rPr>
                <w:rFonts w:ascii="Times New Roman" w:hAnsi="Times New Roman" w:cs="Times New Roman"/>
                <w:color w:val="000000"/>
                <w:sz w:val="20"/>
                <w:szCs w:val="20"/>
              </w:rPr>
              <w:t>Урал 4320 (</w:t>
            </w:r>
            <w:proofErr w:type="spellStart"/>
            <w:r w:rsidRPr="00D11DC3">
              <w:rPr>
                <w:rFonts w:ascii="Times New Roman" w:hAnsi="Times New Roman" w:cs="Times New Roman"/>
                <w:color w:val="000000"/>
                <w:sz w:val="20"/>
                <w:szCs w:val="20"/>
              </w:rPr>
              <w:t>груз.борт</w:t>
            </w:r>
            <w:proofErr w:type="spellEnd"/>
            <w:r w:rsidRPr="00D11DC3">
              <w:rPr>
                <w:rFonts w:ascii="Times New Roman" w:hAnsi="Times New Roman" w:cs="Times New Roman"/>
                <w:color w:val="000000"/>
                <w:sz w:val="20"/>
                <w:szCs w:val="20"/>
              </w:rPr>
              <w:t xml:space="preserve">.)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А792СВ89 (1994) VIN ХIP432000R02146 180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1994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autoSpaceDE w:val="0"/>
              <w:autoSpaceDN w:val="0"/>
              <w:adjustRightInd w:val="0"/>
              <w:spacing w:after="0" w:line="240" w:lineRule="auto"/>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 xml:space="preserve">289 000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4</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Урал 5557 (самосвал)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К346ЕК89 (1994) VIN XIP555700R0046539 180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1994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303 000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5</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ГАЗ 37054С (грузовой) гнТ899ЕХ89 (2006) VIN XSJ37054C60002008 140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2006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150 000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Pr>
                <w:rFonts w:ascii="Times New Roman" w:hAnsi="Times New Roman" w:cs="Times New Roman"/>
                <w:color w:val="000000"/>
                <w:sz w:val="20"/>
                <w:szCs w:val="20"/>
              </w:rPr>
              <w:t>1</w:t>
            </w:r>
            <w:r w:rsidR="008D1249">
              <w:rPr>
                <w:rFonts w:ascii="Times New Roman" w:hAnsi="Times New Roman" w:cs="Times New Roman"/>
                <w:color w:val="000000"/>
                <w:sz w:val="20"/>
                <w:szCs w:val="20"/>
              </w:rPr>
              <w:t>6</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УАЗ-31622(легковой)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Н987ЕТ89 (2003) VIN ХТТ31622030001264 128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2003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115 000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Автомобиль UAZ PATRIOT(</w:t>
            </w:r>
            <w:proofErr w:type="spellStart"/>
            <w:r w:rsidRPr="00D11DC3">
              <w:rPr>
                <w:rFonts w:ascii="Times New Roman" w:hAnsi="Times New Roman" w:cs="Times New Roman"/>
                <w:color w:val="000000"/>
                <w:sz w:val="20"/>
                <w:szCs w:val="20"/>
              </w:rPr>
              <w:t>легк</w:t>
            </w:r>
            <w:proofErr w:type="spellEnd"/>
            <w:r w:rsidRPr="00D11DC3">
              <w:rPr>
                <w:rFonts w:ascii="Times New Roman" w:hAnsi="Times New Roman" w:cs="Times New Roman"/>
                <w:color w:val="000000"/>
                <w:sz w:val="20"/>
                <w:szCs w:val="20"/>
              </w:rPr>
              <w:t xml:space="preserve">) гнХ218ЕЕ89 (2006) VIN XTT31630070001728 128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2006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160 000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Автомобиль UAZ PATRIOT(</w:t>
            </w:r>
            <w:proofErr w:type="spellStart"/>
            <w:r w:rsidRPr="00D11DC3">
              <w:rPr>
                <w:rFonts w:ascii="Times New Roman" w:hAnsi="Times New Roman" w:cs="Times New Roman"/>
                <w:color w:val="000000"/>
                <w:sz w:val="20"/>
                <w:szCs w:val="20"/>
              </w:rPr>
              <w:t>легк</w:t>
            </w:r>
            <w:proofErr w:type="spellEnd"/>
            <w:r w:rsidRPr="00D11DC3">
              <w:rPr>
                <w:rFonts w:ascii="Times New Roman" w:hAnsi="Times New Roman" w:cs="Times New Roman"/>
                <w:color w:val="000000"/>
                <w:sz w:val="20"/>
                <w:szCs w:val="20"/>
              </w:rPr>
              <w:t xml:space="preserve">)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В974НА89 (2014) VIN XTT316300F1012954 128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2014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328 000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УАЗ 390944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М729ВС89 (2009) VIN ХТТ39094490467242 107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2009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128 000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УАЗ 390944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М731ВС 89 (2009) VIN ХТТ39094490467246 107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2009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110 000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C60D9D" w:rsidP="008D1249">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8D1249">
              <w:rPr>
                <w:rFonts w:ascii="Times New Roman" w:hAnsi="Times New Roman" w:cs="Times New Roman"/>
                <w:color w:val="000000"/>
                <w:sz w:val="20"/>
                <w:szCs w:val="20"/>
              </w:rPr>
              <w:t>1</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УАЗ 390995 Грузовой фургон,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А037РС89 (2012) VIN:ХТТ390995СО464892 112 л.с.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2012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171 000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Автомобиль ЛЭНДКРУЗЕР200 JTMHX05J204017147 г.н. А515РЕ89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2012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1 397 000 </w:t>
            </w:r>
          </w:p>
        </w:tc>
      </w:tr>
      <w:tr w:rsidR="00C60D9D"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C60D9D" w:rsidRPr="00D11DC3"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5196" w:type="dxa"/>
            <w:tcBorders>
              <w:top w:val="single" w:sz="4" w:space="0" w:color="auto"/>
              <w:left w:val="single" w:sz="4" w:space="0" w:color="auto"/>
              <w:bottom w:val="single" w:sz="4" w:space="0" w:color="auto"/>
              <w:right w:val="nil"/>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Автомобиль LEXUS GS 350 GS350 077 VIN JTHCE1BL105009626 </w:t>
            </w:r>
          </w:p>
        </w:tc>
        <w:tc>
          <w:tcPr>
            <w:tcW w:w="2113" w:type="dxa"/>
            <w:tcBorders>
              <w:top w:val="single" w:sz="4" w:space="0" w:color="auto"/>
              <w:left w:val="nil"/>
              <w:bottom w:val="single" w:sz="4" w:space="0" w:color="auto"/>
              <w:right w:val="single" w:sz="4" w:space="0" w:color="auto"/>
            </w:tcBorders>
            <w:shd w:val="clear" w:color="auto" w:fill="auto"/>
          </w:tcPr>
          <w:p w:rsidR="00C60D9D" w:rsidRPr="00D11DC3" w:rsidRDefault="00C60D9D"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2012 </w:t>
            </w:r>
            <w:r>
              <w:rPr>
                <w:rFonts w:ascii="Times New Roman" w:hAnsi="Times New Roman" w:cs="Times New Roman"/>
                <w:color w:val="000000"/>
                <w:sz w:val="20"/>
                <w:szCs w:val="20"/>
              </w:rPr>
              <w:t>г.в.</w:t>
            </w:r>
          </w:p>
        </w:tc>
        <w:tc>
          <w:tcPr>
            <w:tcW w:w="1418" w:type="dxa"/>
            <w:tcBorders>
              <w:left w:val="single" w:sz="4" w:space="0" w:color="auto"/>
            </w:tcBorders>
            <w:shd w:val="clear" w:color="auto" w:fill="auto"/>
          </w:tcPr>
          <w:p w:rsidR="00C60D9D" w:rsidRPr="00D11DC3" w:rsidRDefault="00C60D9D"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 xml:space="preserve">1 183 000 </w:t>
            </w:r>
          </w:p>
        </w:tc>
      </w:tr>
      <w:tr w:rsidR="008D1249" w:rsidTr="008D1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6"/>
        </w:trPr>
        <w:tc>
          <w:tcPr>
            <w:tcW w:w="503" w:type="dxa"/>
            <w:tcBorders>
              <w:top w:val="single" w:sz="6" w:space="0" w:color="auto"/>
              <w:bottom w:val="single" w:sz="6" w:space="0" w:color="auto"/>
              <w:right w:val="single" w:sz="4" w:space="0" w:color="auto"/>
            </w:tcBorders>
            <w:shd w:val="clear" w:color="auto" w:fill="auto"/>
          </w:tcPr>
          <w:p w:rsidR="008D1249" w:rsidRDefault="008D1249" w:rsidP="00D1640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24</w:t>
            </w:r>
          </w:p>
        </w:tc>
        <w:tc>
          <w:tcPr>
            <w:tcW w:w="5196" w:type="dxa"/>
            <w:tcBorders>
              <w:top w:val="single" w:sz="4" w:space="0" w:color="auto"/>
              <w:left w:val="single" w:sz="4" w:space="0" w:color="auto"/>
              <w:bottom w:val="single" w:sz="4" w:space="0" w:color="auto"/>
              <w:right w:val="nil"/>
            </w:tcBorders>
            <w:shd w:val="clear" w:color="auto" w:fill="auto"/>
          </w:tcPr>
          <w:p w:rsidR="008D1249" w:rsidRPr="00D11DC3" w:rsidRDefault="008D1249"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КАМАЗ 39384М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Т302ВВ89 (2006) VIN Х8939384М61АУ7028, 225 л.с.; двигатель/кузов 1982719/62358809; Шасси ХТС4311462277683</w:t>
            </w:r>
          </w:p>
        </w:tc>
        <w:tc>
          <w:tcPr>
            <w:tcW w:w="2113" w:type="dxa"/>
            <w:tcBorders>
              <w:top w:val="single" w:sz="4" w:space="0" w:color="auto"/>
              <w:left w:val="nil"/>
              <w:bottom w:val="single" w:sz="4" w:space="0" w:color="auto"/>
              <w:right w:val="single" w:sz="4" w:space="0" w:color="auto"/>
            </w:tcBorders>
            <w:shd w:val="clear" w:color="auto" w:fill="auto"/>
          </w:tcPr>
          <w:p w:rsidR="008D1249" w:rsidRPr="00D11DC3" w:rsidRDefault="008D1249" w:rsidP="00D16406">
            <w:pPr>
              <w:rPr>
                <w:rFonts w:ascii="Times New Roman" w:hAnsi="Times New Roman" w:cs="Times New Roman"/>
                <w:color w:val="000000"/>
                <w:sz w:val="20"/>
                <w:szCs w:val="20"/>
              </w:rPr>
            </w:pPr>
            <w:r w:rsidRPr="00D11DC3">
              <w:rPr>
                <w:rFonts w:ascii="Times New Roman" w:hAnsi="Times New Roman" w:cs="Times New Roman"/>
                <w:color w:val="000000"/>
                <w:sz w:val="20"/>
                <w:szCs w:val="20"/>
              </w:rPr>
              <w:t>2006</w:t>
            </w:r>
          </w:p>
        </w:tc>
        <w:tc>
          <w:tcPr>
            <w:tcW w:w="1418" w:type="dxa"/>
            <w:tcBorders>
              <w:left w:val="single" w:sz="4" w:space="0" w:color="auto"/>
            </w:tcBorders>
            <w:shd w:val="clear" w:color="auto" w:fill="auto"/>
          </w:tcPr>
          <w:p w:rsidR="008D1249" w:rsidRPr="00D11DC3" w:rsidRDefault="008D1249" w:rsidP="00D16406">
            <w:pP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447 000</w:t>
            </w:r>
          </w:p>
        </w:tc>
      </w:tr>
    </w:tbl>
    <w:p w:rsidR="00612179" w:rsidRDefault="00612179" w:rsidP="00612179">
      <w:pPr>
        <w:pStyle w:val="a7"/>
        <w:ind w:left="0" w:firstLine="709"/>
        <w:jc w:val="both"/>
      </w:pPr>
    </w:p>
    <w:p w:rsidR="00612179" w:rsidRDefault="00612179" w:rsidP="00612179">
      <w:pPr>
        <w:pStyle w:val="a7"/>
        <w:ind w:left="0" w:firstLine="709"/>
        <w:jc w:val="both"/>
      </w:pPr>
    </w:p>
    <w:p w:rsidR="00612179" w:rsidRDefault="00612179" w:rsidP="00612179">
      <w:pPr>
        <w:pStyle w:val="a7"/>
        <w:ind w:left="0" w:firstLine="709"/>
        <w:jc w:val="both"/>
      </w:pPr>
      <w:r>
        <w:t>3.2.</w:t>
      </w:r>
      <w:r>
        <w:rPr>
          <w:b/>
        </w:rPr>
        <w:t xml:space="preserve"> Стоимость имущества</w:t>
      </w:r>
      <w:r>
        <w:t xml:space="preserve"> определена в соответствии со следующими отчетам</w:t>
      </w:r>
      <w:r w:rsidR="000A3686">
        <w:t xml:space="preserve">и об оценке: Отчетом об оценке </w:t>
      </w:r>
      <w:r>
        <w:t>№11-20 от 02.12.2020г., №08-20 от 02.12.2020г.</w:t>
      </w:r>
      <w:r w:rsidR="000A3686">
        <w:t>, №18-20 от 01.03.2021г., № 19-20 от 17.03.2021г.</w:t>
      </w:r>
    </w:p>
    <w:p w:rsidR="00612179" w:rsidRDefault="00612179" w:rsidP="00612179">
      <w:pPr>
        <w:pStyle w:val="a7"/>
        <w:ind w:left="0" w:firstLine="709"/>
        <w:jc w:val="both"/>
      </w:pPr>
      <w:r>
        <w:t>3.3. Реализация проводится путем проведения открытых торгов по составу участников. Форма подачи предложений – открытая.</w:t>
      </w:r>
    </w:p>
    <w:p w:rsidR="00612179" w:rsidRDefault="00612179" w:rsidP="00612179">
      <w:pPr>
        <w:pStyle w:val="a7"/>
        <w:ind w:left="0" w:firstLine="709"/>
        <w:jc w:val="both"/>
      </w:pPr>
      <w:r>
        <w:t>Торги проводятся в электронной форме с учетом настоящего Положения, ст. 110, ст. 111, ст. 139 Федерального закона от 26.10.2002 №1 27-ФЗ «О несостоятельности (банкротстве)», Приказа Минэкономразвития РФ от 23.07.2015 № 495.</w:t>
      </w:r>
    </w:p>
    <w:p w:rsidR="00612179" w:rsidRDefault="00612179" w:rsidP="00612179">
      <w:pPr>
        <w:pStyle w:val="a7"/>
        <w:ind w:left="0" w:firstLine="709"/>
        <w:jc w:val="both"/>
      </w:pPr>
      <w:r>
        <w:t>3.4. Продавцом имущества должника выступает АО «Севергазавтоматика» в лице конкурсного управляющего.</w:t>
      </w:r>
    </w:p>
    <w:p w:rsidR="00612179" w:rsidRDefault="00612179" w:rsidP="00612179">
      <w:pPr>
        <w:pStyle w:val="a7"/>
        <w:ind w:left="0" w:firstLine="709"/>
        <w:jc w:val="both"/>
      </w:pPr>
      <w:r>
        <w:t xml:space="preserve">3.5. </w:t>
      </w:r>
      <w:r>
        <w:rPr>
          <w:b/>
        </w:rPr>
        <w:t>Организатор торгов</w:t>
      </w:r>
      <w:r>
        <w:t xml:space="preserve"> – конкурсный управляющий АО «Севергазавтоматика».</w:t>
      </w:r>
    </w:p>
    <w:p w:rsidR="00612179" w:rsidRDefault="00612179" w:rsidP="00612179">
      <w:pPr>
        <w:pStyle w:val="a7"/>
        <w:ind w:left="0" w:firstLine="709"/>
        <w:jc w:val="both"/>
      </w:pPr>
      <w:r>
        <w:t xml:space="preserve">3.6. Электронные торги проводятся посредством Электронной торговой площадки </w:t>
      </w:r>
      <w:r>
        <w:rPr>
          <w:b/>
        </w:rPr>
        <w:t>ООО «Электронные системы Поволжья»</w:t>
      </w:r>
      <w:r>
        <w:t>, размещенной на сайте http://el-torg.com в сети Интернет.</w:t>
      </w:r>
    </w:p>
    <w:p w:rsidR="00612179" w:rsidRDefault="00612179" w:rsidP="00612179">
      <w:pPr>
        <w:pStyle w:val="a7"/>
        <w:ind w:left="0" w:firstLine="709"/>
        <w:jc w:val="both"/>
      </w:pPr>
      <w:r>
        <w:t>3.7. Ознакомление с Имуществом и документами осуществляется в порядке, указанном в сообщении о проведении торгов.</w:t>
      </w:r>
    </w:p>
    <w:p w:rsidR="00612179" w:rsidRDefault="00612179" w:rsidP="00612179">
      <w:pPr>
        <w:pStyle w:val="a7"/>
        <w:ind w:left="360"/>
        <w:rPr>
          <w:b/>
        </w:rPr>
      </w:pPr>
    </w:p>
    <w:p w:rsidR="00612179" w:rsidRDefault="00612179" w:rsidP="00612179">
      <w:pPr>
        <w:pStyle w:val="a7"/>
        <w:numPr>
          <w:ilvl w:val="0"/>
          <w:numId w:val="1"/>
        </w:numPr>
        <w:jc w:val="center"/>
        <w:rPr>
          <w:rFonts w:eastAsia="Times New Roman"/>
          <w:b/>
        </w:rPr>
      </w:pPr>
      <w:r>
        <w:rPr>
          <w:rFonts w:eastAsia="Times New Roman"/>
          <w:b/>
        </w:rPr>
        <w:t>Продажа имущества на первых торгах</w:t>
      </w:r>
    </w:p>
    <w:p w:rsidR="00612179" w:rsidRDefault="00612179" w:rsidP="00612179">
      <w:pPr>
        <w:pStyle w:val="a7"/>
        <w:ind w:left="360"/>
        <w:rPr>
          <w:rFonts w:eastAsia="Times New Roman"/>
          <w:b/>
        </w:rPr>
      </w:pPr>
    </w:p>
    <w:p w:rsidR="00612179" w:rsidRDefault="00612179" w:rsidP="00612179">
      <w:pPr>
        <w:pStyle w:val="Style8"/>
        <w:widowControl/>
        <w:tabs>
          <w:tab w:val="left" w:pos="1133"/>
        </w:tabs>
        <w:spacing w:line="240" w:lineRule="auto"/>
        <w:ind w:firstLine="0"/>
      </w:pPr>
      <w:r>
        <w:t xml:space="preserve">4.1. Организатор торгов не позднее чем за 30 (тридцать) календарных дней до даты проведения торгов публикует информационное сообщение о проведении торгов в газете «Коммерсантъ» и на ЕФРСБ – </w:t>
      </w:r>
      <w:hyperlink r:id="rId5" w:history="1">
        <w:r>
          <w:rPr>
            <w:rStyle w:val="a3"/>
          </w:rPr>
          <w:t>www.fedresurs.ru</w:t>
        </w:r>
      </w:hyperlink>
      <w:r>
        <w:t>. В сообщении о продаже имущества должны содержаться сведения, предусмотренные п.10 ст. 110 Закона о банкротстве.</w:t>
      </w:r>
    </w:p>
    <w:p w:rsidR="00612179" w:rsidRDefault="00612179" w:rsidP="00612179">
      <w:pPr>
        <w:pStyle w:val="Style8"/>
        <w:widowControl/>
        <w:tabs>
          <w:tab w:val="left" w:pos="1133"/>
        </w:tabs>
        <w:spacing w:line="240" w:lineRule="auto"/>
        <w:ind w:firstLine="0"/>
      </w:pPr>
      <w:r>
        <w:t xml:space="preserve">4.2. Место представления заявок для участия в торгах - Электронная торговая площадка </w:t>
      </w:r>
      <w:r>
        <w:rPr>
          <w:b/>
        </w:rPr>
        <w:t>ООО «Электронные системы Поволжья»</w:t>
      </w:r>
      <w:r>
        <w:t>, размещенная на сайте http://el-torg.com.</w:t>
      </w:r>
    </w:p>
    <w:p w:rsidR="00612179" w:rsidRDefault="00612179" w:rsidP="00612179">
      <w:pPr>
        <w:pStyle w:val="Style8"/>
        <w:widowControl/>
        <w:tabs>
          <w:tab w:val="left" w:pos="1133"/>
        </w:tabs>
        <w:spacing w:line="240" w:lineRule="auto"/>
        <w:ind w:firstLine="0"/>
      </w:pPr>
      <w:r>
        <w:t>4.3. Заявка на участие в торгах должна соответствовать требованиям Закона о несостоятельности (банкротства), Приказа Минэкономразвития России от 23.07.2015 № 495. Заявка на участие в торгах оформляется в форме электронного документа.</w:t>
      </w:r>
    </w:p>
    <w:p w:rsidR="00612179" w:rsidRDefault="00612179" w:rsidP="00612179">
      <w:pPr>
        <w:pStyle w:val="Style8"/>
        <w:widowControl/>
        <w:tabs>
          <w:tab w:val="left" w:pos="1133"/>
        </w:tabs>
        <w:spacing w:line="240" w:lineRule="auto"/>
        <w:ind w:firstLine="0"/>
      </w:pPr>
      <w:r>
        <w:t>4.4. Срок представления заявок на участие в торгах должен составлять не менее чем 25 (двадцать пять) рабочих дней со дня опубликования и размещения сообщения о проведении торгов.</w:t>
      </w:r>
    </w:p>
    <w:p w:rsidR="00612179" w:rsidRDefault="00612179" w:rsidP="00612179">
      <w:pPr>
        <w:pStyle w:val="Style8"/>
        <w:widowControl/>
        <w:tabs>
          <w:tab w:val="left" w:pos="1133"/>
        </w:tabs>
        <w:spacing w:line="240" w:lineRule="auto"/>
        <w:ind w:firstLine="0"/>
      </w:pPr>
      <w:r>
        <w:t>4.5. Заявки, поступившие по истечении срока их приема, указанного в информационном сообщении о проведении торгов, не рассматриваются.</w:t>
      </w:r>
    </w:p>
    <w:p w:rsidR="00612179" w:rsidRDefault="00612179" w:rsidP="00612179">
      <w:pPr>
        <w:pStyle w:val="Style8"/>
        <w:widowControl/>
        <w:tabs>
          <w:tab w:val="left" w:pos="1133"/>
        </w:tabs>
        <w:spacing w:line="240" w:lineRule="auto"/>
        <w:ind w:firstLine="0"/>
      </w:pPr>
      <w:r>
        <w:t>4.6.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612179" w:rsidRDefault="00612179" w:rsidP="00612179">
      <w:pPr>
        <w:pStyle w:val="Style8"/>
        <w:widowControl/>
        <w:tabs>
          <w:tab w:val="left" w:pos="1133"/>
        </w:tabs>
        <w:spacing w:line="240" w:lineRule="auto"/>
        <w:ind w:firstLine="0"/>
      </w:pPr>
      <w:r>
        <w:t>4.7.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rsidR="00612179" w:rsidRDefault="00612179" w:rsidP="00612179">
      <w:pPr>
        <w:pStyle w:val="Style8"/>
        <w:widowControl/>
        <w:tabs>
          <w:tab w:val="left" w:pos="1133"/>
        </w:tabs>
        <w:spacing w:line="240" w:lineRule="auto"/>
        <w:ind w:firstLine="0"/>
      </w:pPr>
      <w:r>
        <w:t xml:space="preserve">4.8. </w:t>
      </w:r>
      <w:r>
        <w:rPr>
          <w:b/>
        </w:rPr>
        <w:t>Размер задатка</w:t>
      </w:r>
      <w:r>
        <w:t xml:space="preserve"> для участия в торгах составляет </w:t>
      </w:r>
      <w:r>
        <w:rPr>
          <w:b/>
        </w:rPr>
        <w:t>10 (десять) процентов</w:t>
      </w:r>
      <w:r>
        <w:t xml:space="preserve"> начальной продажной цены имущественных прав.</w:t>
      </w:r>
    </w:p>
    <w:p w:rsidR="00612179" w:rsidRDefault="00612179" w:rsidP="00612179">
      <w:pPr>
        <w:pStyle w:val="Style8"/>
        <w:widowControl/>
        <w:tabs>
          <w:tab w:val="left" w:pos="1133"/>
        </w:tabs>
        <w:spacing w:line="240" w:lineRule="auto"/>
        <w:ind w:firstLine="0"/>
      </w:pPr>
      <w:r>
        <w:t>4.9. Задаток должен быть перечислен до времени окончания приема заявок. Участник торгов должен обеспечить поступление задатка на указанный организатором торгов счет, до времени составления протокола об определении участников торгов.</w:t>
      </w:r>
    </w:p>
    <w:p w:rsidR="00612179" w:rsidRDefault="00612179" w:rsidP="00612179">
      <w:pPr>
        <w:pStyle w:val="Style8"/>
        <w:tabs>
          <w:tab w:val="left" w:pos="1133"/>
        </w:tabs>
        <w:spacing w:line="240" w:lineRule="auto"/>
        <w:ind w:firstLine="0"/>
      </w:pPr>
      <w:r>
        <w:lastRenderedPageBreak/>
        <w:t>4.10. Определение участников торгов осуществляется организатором торгов в соответствии с положениями статьи 110 ФЗ «О несостоятельности (банкротстве)».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w:t>
      </w:r>
    </w:p>
    <w:p w:rsidR="00612179" w:rsidRDefault="00612179" w:rsidP="00612179">
      <w:pPr>
        <w:pStyle w:val="Style8"/>
        <w:tabs>
          <w:tab w:val="left" w:pos="1133"/>
        </w:tabs>
        <w:spacing w:line="240" w:lineRule="auto"/>
        <w:ind w:firstLine="0"/>
      </w:pPr>
      <w:r>
        <w:t>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и указанным в сообщении о проведении торгов, своевременно перечислили задаток в установленном размере.</w:t>
      </w:r>
    </w:p>
    <w:p w:rsidR="00612179" w:rsidRDefault="00612179" w:rsidP="00612179">
      <w:pPr>
        <w:pStyle w:val="Style8"/>
        <w:widowControl/>
        <w:tabs>
          <w:tab w:val="left" w:pos="1133"/>
        </w:tabs>
        <w:spacing w:line="240" w:lineRule="auto"/>
        <w:ind w:firstLine="0"/>
      </w:pPr>
      <w:r>
        <w:t>4.11. Заявители, допущенные к участию в торгах, признаются участниками торгов.</w:t>
      </w:r>
    </w:p>
    <w:p w:rsidR="00612179" w:rsidRDefault="00612179" w:rsidP="00612179">
      <w:pPr>
        <w:pStyle w:val="Style8"/>
        <w:widowControl/>
        <w:tabs>
          <w:tab w:val="left" w:pos="1133"/>
        </w:tabs>
        <w:spacing w:line="240" w:lineRule="auto"/>
        <w:ind w:firstLine="0"/>
      </w:pPr>
      <w:r>
        <w:t xml:space="preserve">4.12. </w:t>
      </w:r>
      <w:r>
        <w:rPr>
          <w:b/>
        </w:rPr>
        <w:t>«Шаг аукциона»</w:t>
      </w:r>
      <w:r>
        <w:t xml:space="preserve"> - устанавливается в размере </w:t>
      </w:r>
      <w:r>
        <w:rPr>
          <w:b/>
        </w:rPr>
        <w:t>5 (пять) процентов</w:t>
      </w:r>
      <w:r>
        <w:t xml:space="preserve"> начальной продажной цены имущества.</w:t>
      </w:r>
    </w:p>
    <w:p w:rsidR="00612179" w:rsidRDefault="00612179" w:rsidP="00612179">
      <w:pPr>
        <w:pStyle w:val="Style8"/>
        <w:tabs>
          <w:tab w:val="left" w:pos="1133"/>
        </w:tabs>
        <w:spacing w:line="240" w:lineRule="auto"/>
        <w:ind w:firstLine="0"/>
      </w:pPr>
      <w:r>
        <w:t>4.13. Торги проводятся на электронной площадке с учетом Регламента электронной площадки в части, не противоречащей настоящему Положению, Приказу Минэкономразвития РФ от 23.07.2015 № 495, Федеральному закону «О несостоятельности (банкротстве)».</w:t>
      </w:r>
    </w:p>
    <w:p w:rsidR="00612179" w:rsidRDefault="00612179" w:rsidP="00612179">
      <w:pPr>
        <w:pStyle w:val="Style8"/>
        <w:tabs>
          <w:tab w:val="left" w:pos="1133"/>
        </w:tabs>
        <w:spacing w:line="240" w:lineRule="auto"/>
        <w:ind w:firstLine="0"/>
      </w:pPr>
      <w:r>
        <w:t>4.14. Победителем</w:t>
      </w:r>
      <w:r>
        <w:rPr>
          <w:b/>
        </w:rPr>
        <w:t xml:space="preserve"> </w:t>
      </w:r>
      <w:r>
        <w:t>открытых торгов признается участник торгов, предложивший наиболее высокую цену. Предложения, содержащие цену ниже начальной цены, не рассматриваются.</w:t>
      </w:r>
    </w:p>
    <w:p w:rsidR="00612179" w:rsidRDefault="00612179" w:rsidP="00612179">
      <w:pPr>
        <w:pStyle w:val="Style8"/>
        <w:tabs>
          <w:tab w:val="left" w:pos="1133"/>
        </w:tabs>
        <w:spacing w:line="240" w:lineRule="auto"/>
      </w:pPr>
      <w:r>
        <w:t>Победитель торгов определяется в соответствии с положениями Закона о банкротстве.</w:t>
      </w:r>
    </w:p>
    <w:p w:rsidR="00612179" w:rsidRDefault="00612179" w:rsidP="00612179">
      <w:pPr>
        <w:pStyle w:val="Style8"/>
        <w:tabs>
          <w:tab w:val="left" w:pos="1133"/>
        </w:tabs>
        <w:spacing w:line="240" w:lineRule="auto"/>
        <w:ind w:firstLine="0"/>
      </w:pPr>
      <w:r>
        <w:rPr>
          <w:b/>
          <w:u w:val="single"/>
        </w:rPr>
        <w:t>Итоги торгов</w:t>
      </w:r>
      <w:r>
        <w:rPr>
          <w:u w:val="single"/>
        </w:rPr>
        <w:t xml:space="preserve"> подводятся на следующий рабочий день после окончания торгов </w:t>
      </w:r>
      <w:r w:rsidR="000B3AB8">
        <w:rPr>
          <w:u w:val="single"/>
        </w:rPr>
        <w:t>после</w:t>
      </w:r>
      <w:r>
        <w:rPr>
          <w:u w:val="single"/>
        </w:rPr>
        <w:t xml:space="preserve"> 10:00 (время московское)</w:t>
      </w:r>
      <w:r>
        <w:t xml:space="preserve"> на электронной торговой площадке.</w:t>
      </w:r>
    </w:p>
    <w:p w:rsidR="00612179" w:rsidRDefault="00612179" w:rsidP="00612179">
      <w:pPr>
        <w:pStyle w:val="Style8"/>
        <w:tabs>
          <w:tab w:val="left" w:pos="1133"/>
        </w:tabs>
        <w:spacing w:line="240" w:lineRule="auto"/>
        <w:ind w:firstLine="0"/>
      </w:pPr>
      <w:r>
        <w:t>4.15.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 Если к участию в торгах был допущен только один участник, договор уступки прав требования заключается с этим участником торгов по цене не ниже установленной начальной цены продажи.</w:t>
      </w:r>
    </w:p>
    <w:p w:rsidR="00612179" w:rsidRDefault="00612179" w:rsidP="00612179">
      <w:pPr>
        <w:pStyle w:val="Style8"/>
        <w:tabs>
          <w:tab w:val="left" w:pos="1133"/>
        </w:tabs>
        <w:spacing w:line="240" w:lineRule="auto"/>
        <w:ind w:firstLine="0"/>
      </w:pPr>
      <w:r>
        <w:t>4.16. Организатор торгов рассматривает, подписывает квалифицированной электронной подписью и направляет оператору электронной площадки поступившие в соответствии с пунктом 7.1 Приказа Минэкономразвития № 495 протокол о результатах проведения торгов или решение о признании торгов несостоявшимися.</w:t>
      </w:r>
    </w:p>
    <w:p w:rsidR="00612179" w:rsidRDefault="00612179" w:rsidP="00612179">
      <w:pPr>
        <w:pStyle w:val="Style8"/>
        <w:tabs>
          <w:tab w:val="left" w:pos="1133"/>
        </w:tabs>
        <w:spacing w:line="240" w:lineRule="auto"/>
        <w:ind w:firstLine="0"/>
      </w:pPr>
      <w:r>
        <w:t xml:space="preserve">4.17. В течение двух рабочих дней с даты подписания протокола о результатах проведения торгов, организатор торгов направляет победителю копию протокола. </w:t>
      </w:r>
    </w:p>
    <w:p w:rsidR="00612179" w:rsidRDefault="00612179" w:rsidP="00612179">
      <w:pPr>
        <w:pStyle w:val="Style8"/>
        <w:tabs>
          <w:tab w:val="left" w:pos="1133"/>
        </w:tabs>
        <w:spacing w:line="240" w:lineRule="auto"/>
        <w:ind w:firstLine="0"/>
      </w:pPr>
      <w:r>
        <w:t>4.18. Суммы внесенных задатков возвращаются заявителям, за исключением победителя торгов, в течение 5 (пяти) рабочих дней со дня подписания протокола о результатах торгов.</w:t>
      </w:r>
    </w:p>
    <w:p w:rsidR="00612179" w:rsidRDefault="00612179" w:rsidP="00612179">
      <w:pPr>
        <w:pStyle w:val="Style8"/>
        <w:tabs>
          <w:tab w:val="left" w:pos="1133"/>
        </w:tabs>
        <w:spacing w:line="240" w:lineRule="auto"/>
        <w:ind w:firstLine="0"/>
      </w:pPr>
      <w:r>
        <w:t xml:space="preserve">4.19. 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в газете «Коммерсантъ» и на ЕФРСБ – </w:t>
      </w:r>
      <w:hyperlink r:id="rId6" w:history="1">
        <w:r>
          <w:rPr>
            <w:rStyle w:val="a3"/>
          </w:rPr>
          <w:t>www.fedresurs.ru</w:t>
        </w:r>
      </w:hyperlink>
      <w:r>
        <w:t>.</w:t>
      </w:r>
    </w:p>
    <w:p w:rsidR="00612179" w:rsidRDefault="00612179" w:rsidP="00612179">
      <w:pPr>
        <w:pStyle w:val="Style8"/>
        <w:tabs>
          <w:tab w:val="left" w:pos="1133"/>
        </w:tabs>
        <w:spacing w:line="240" w:lineRule="auto"/>
        <w:ind w:firstLine="0"/>
      </w:pPr>
      <w:r>
        <w:t>4.20.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имущества/лота.</w:t>
      </w:r>
    </w:p>
    <w:p w:rsidR="00612179" w:rsidRDefault="00612179" w:rsidP="00612179">
      <w:pPr>
        <w:pStyle w:val="Style8"/>
        <w:tabs>
          <w:tab w:val="left" w:pos="1133"/>
        </w:tabs>
        <w:spacing w:line="240" w:lineRule="auto"/>
        <w:ind w:firstLine="0"/>
      </w:pPr>
      <w:r>
        <w:t xml:space="preserve">4.26. Продажа имущества оформляется </w:t>
      </w:r>
      <w:r>
        <w:rPr>
          <w:b/>
        </w:rPr>
        <w:t>договором купли-продажи</w:t>
      </w:r>
      <w:r>
        <w:t>, который заключается конкурсным управляющим с победителем торгов в соответствии с законодательством Российской Федерации. Все связанные с таким оформлением расходы полностью возлагаются на покупателя.</w:t>
      </w:r>
    </w:p>
    <w:p w:rsidR="00612179" w:rsidRDefault="00612179" w:rsidP="00612179">
      <w:pPr>
        <w:pStyle w:val="Style8"/>
        <w:tabs>
          <w:tab w:val="left" w:pos="1133"/>
        </w:tabs>
        <w:spacing w:line="240" w:lineRule="auto"/>
        <w:ind w:firstLine="0"/>
      </w:pPr>
      <w:r>
        <w:lastRenderedPageBreak/>
        <w:t>4.21. В течение пяти дней с даты подписания протокола о результатах проведения торгов, арбитражный управляющий направляет победителю торгов предложение заключить договор купли-продажи (п. 16 ст. 110 Закона о банкротстве).</w:t>
      </w:r>
    </w:p>
    <w:p w:rsidR="00612179" w:rsidRDefault="00612179" w:rsidP="00612179">
      <w:pPr>
        <w:pStyle w:val="Style8"/>
        <w:tabs>
          <w:tab w:val="left" w:pos="1133"/>
        </w:tabs>
        <w:spacing w:line="240" w:lineRule="auto"/>
        <w:ind w:firstLine="0"/>
      </w:pPr>
      <w:r>
        <w:t>4.22. Победитель торгов в течение 5 (пяти) дней с даты получения предложения конкурсного управляющего о заключении договора купли-продажи обязан подписать договор купли-продажи.</w:t>
      </w:r>
    </w:p>
    <w:p w:rsidR="00612179" w:rsidRDefault="00612179" w:rsidP="00612179">
      <w:pPr>
        <w:pStyle w:val="Style8"/>
        <w:tabs>
          <w:tab w:val="left" w:pos="1133"/>
        </w:tabs>
        <w:spacing w:line="240" w:lineRule="auto"/>
        <w:ind w:firstLine="0"/>
      </w:pPr>
      <w:r>
        <w:t xml:space="preserve">4.27. В случае отказа или уклонения победителя торгов от подписания договора </w:t>
      </w:r>
      <w:r>
        <w:br/>
        <w:t xml:space="preserve">купли-продажи в течение 5 (пяти) дней с даты получения предложения о подписании договора от конкурсного управляющего, внесенный задаток ему не возвращается, конкурсный управляющий вправе предложить заключить договор купли-продажи участнику торгов, предложившему наиболее высокую цену по сравнению с ценой, предложенной другими участниками торгов, за исключением победителя торгов, по предложенной этим участником цене. </w:t>
      </w:r>
    </w:p>
    <w:p w:rsidR="00612179" w:rsidRDefault="00612179" w:rsidP="00612179">
      <w:pPr>
        <w:pStyle w:val="Style8"/>
        <w:tabs>
          <w:tab w:val="left" w:pos="1133"/>
        </w:tabs>
        <w:spacing w:line="240" w:lineRule="auto"/>
        <w:ind w:firstLine="0"/>
      </w:pPr>
      <w:r>
        <w:t>4.25. Победитель торгов обязан полностью оплатить стоимость приобретаемого лота в срок не позднее 30 (тридцать) дней с даты заключения договора, при этом в сумму оплаты засчитывается внесенный для участия в торгах задаток.</w:t>
      </w:r>
    </w:p>
    <w:p w:rsidR="00612179" w:rsidRDefault="00612179" w:rsidP="00612179">
      <w:pPr>
        <w:pStyle w:val="Style8"/>
        <w:tabs>
          <w:tab w:val="left" w:pos="1133"/>
        </w:tabs>
        <w:spacing w:line="240" w:lineRule="auto"/>
        <w:ind w:firstLine="0"/>
      </w:pPr>
      <w:r>
        <w:t>5.2. Оплата по договору купли-продажи должна быть осуществлена в денежной форме на счет, реквизиты которого будут размещены в сообщении о проведении торгов организатором торгов.</w:t>
      </w:r>
    </w:p>
    <w:p w:rsidR="00612179" w:rsidRDefault="00612179" w:rsidP="00612179">
      <w:pPr>
        <w:pStyle w:val="Style8"/>
        <w:tabs>
          <w:tab w:val="left" w:pos="1133"/>
        </w:tabs>
        <w:spacing w:line="240" w:lineRule="auto"/>
        <w:ind w:firstLine="0"/>
      </w:pPr>
      <w:r>
        <w:t>5.3. Переход прав собственности к покупателю осуществляется (оформляется) только после полной оплаты стоимости имущества, указанного в договоре купли-продажи.</w:t>
      </w:r>
    </w:p>
    <w:p w:rsidR="00612179" w:rsidRDefault="00612179" w:rsidP="00612179">
      <w:pPr>
        <w:pStyle w:val="Style8"/>
        <w:tabs>
          <w:tab w:val="left" w:pos="1133"/>
        </w:tabs>
        <w:spacing w:line="240" w:lineRule="auto"/>
        <w:ind w:firstLine="0"/>
      </w:pPr>
      <w:r>
        <w:t>4.24. Передача имущества и имеющейся документации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после полной оплаты.</w:t>
      </w:r>
    </w:p>
    <w:p w:rsidR="00612179" w:rsidRDefault="00612179" w:rsidP="00612179">
      <w:pPr>
        <w:pStyle w:val="Style8"/>
        <w:tabs>
          <w:tab w:val="left" w:pos="1133"/>
        </w:tabs>
        <w:spacing w:line="240" w:lineRule="auto"/>
        <w:ind w:firstLine="0"/>
      </w:pPr>
    </w:p>
    <w:p w:rsidR="00612179" w:rsidRDefault="00612179" w:rsidP="00612179">
      <w:pPr>
        <w:pStyle w:val="Style8"/>
        <w:tabs>
          <w:tab w:val="left" w:pos="1133"/>
        </w:tabs>
        <w:spacing w:line="240" w:lineRule="auto"/>
        <w:ind w:firstLine="0"/>
      </w:pPr>
    </w:p>
    <w:p w:rsidR="00612179" w:rsidRDefault="00612179" w:rsidP="00612179">
      <w:pPr>
        <w:pStyle w:val="a7"/>
        <w:keepNext/>
        <w:keepLines/>
        <w:numPr>
          <w:ilvl w:val="0"/>
          <w:numId w:val="1"/>
        </w:numPr>
        <w:jc w:val="center"/>
        <w:outlineLvl w:val="0"/>
        <w:rPr>
          <w:rFonts w:eastAsia="Times New Roman"/>
          <w:b/>
          <w:lang w:eastAsia="en-US"/>
        </w:rPr>
      </w:pPr>
      <w:r>
        <w:t xml:space="preserve"> </w:t>
      </w:r>
      <w:bookmarkStart w:id="1" w:name="bookmark0"/>
      <w:r>
        <w:rPr>
          <w:rFonts w:eastAsia="Times New Roman"/>
          <w:b/>
          <w:lang w:eastAsia="en-US"/>
        </w:rPr>
        <w:t>Продажа имущества на повторных торгах</w:t>
      </w:r>
      <w:bookmarkEnd w:id="1"/>
    </w:p>
    <w:p w:rsidR="00612179" w:rsidRDefault="00612179" w:rsidP="00612179">
      <w:pPr>
        <w:pStyle w:val="a7"/>
        <w:keepNext/>
        <w:keepLines/>
        <w:ind w:left="360"/>
        <w:outlineLvl w:val="0"/>
        <w:rPr>
          <w:rFonts w:eastAsia="Times New Roman"/>
          <w:b/>
          <w:lang w:eastAsia="en-US"/>
        </w:rPr>
      </w:pPr>
    </w:p>
    <w:p w:rsidR="00612179" w:rsidRDefault="00612179" w:rsidP="00612179">
      <w:pPr>
        <w:pStyle w:val="a7"/>
        <w:ind w:left="0" w:right="40"/>
        <w:jc w:val="both"/>
        <w:rPr>
          <w:rFonts w:eastAsia="Times New Roman"/>
        </w:rPr>
      </w:pPr>
      <w:r>
        <w:rPr>
          <w:rFonts w:eastAsia="Times New Roman"/>
        </w:rPr>
        <w:t xml:space="preserve">5.1. </w:t>
      </w:r>
      <w:r>
        <w:rPr>
          <w:rFonts w:eastAsia="Times New Roman"/>
        </w:rPr>
        <w:tab/>
        <w:t>В случае, если первые торги признаны несостоявшимися или договор купли-продажи не заключен с единственным участником торгов, организатор торгов принимает решение о проведении повторных торгов и об установлении начальной цены.</w:t>
      </w:r>
    </w:p>
    <w:p w:rsidR="00612179" w:rsidRDefault="00612179" w:rsidP="00612179">
      <w:pPr>
        <w:pStyle w:val="a7"/>
        <w:ind w:left="0" w:right="40"/>
        <w:jc w:val="both"/>
        <w:rPr>
          <w:rFonts w:eastAsia="Times New Roman"/>
        </w:rPr>
      </w:pPr>
      <w:r>
        <w:rPr>
          <w:rFonts w:eastAsia="Times New Roman"/>
          <w:b/>
        </w:rPr>
        <w:t>Начальная цена</w:t>
      </w:r>
      <w:r>
        <w:rPr>
          <w:rFonts w:eastAsia="Times New Roman"/>
        </w:rPr>
        <w:t xml:space="preserve"> продажи имущества на повторных торгах устанавливается на десять процентов ниже начальной цены продажи имущества, установленной на первоначальных торгах.</w:t>
      </w:r>
    </w:p>
    <w:p w:rsidR="00612179" w:rsidRDefault="00612179" w:rsidP="00612179">
      <w:pPr>
        <w:pStyle w:val="a7"/>
        <w:ind w:left="0" w:right="40"/>
        <w:jc w:val="both"/>
        <w:rPr>
          <w:rFonts w:eastAsia="Times New Roman"/>
        </w:rPr>
      </w:pPr>
      <w:r>
        <w:rPr>
          <w:rFonts w:eastAsia="Times New Roman"/>
        </w:rPr>
        <w:t>5.2.  Повторные торги проводятся в порядке, установленном настоящим Положением для первоначальных торгов (раздел 4 настоящего положения).</w:t>
      </w:r>
    </w:p>
    <w:p w:rsidR="00612179" w:rsidRDefault="00612179" w:rsidP="00612179">
      <w:pPr>
        <w:pStyle w:val="a7"/>
        <w:ind w:left="360"/>
        <w:rPr>
          <w:rFonts w:eastAsia="Times New Roman"/>
          <w:b/>
        </w:rPr>
      </w:pPr>
    </w:p>
    <w:p w:rsidR="00612179" w:rsidRDefault="00612179" w:rsidP="00612179">
      <w:pPr>
        <w:pStyle w:val="a7"/>
        <w:ind w:left="360"/>
        <w:rPr>
          <w:rFonts w:eastAsia="Times New Roman"/>
          <w:b/>
        </w:rPr>
      </w:pPr>
    </w:p>
    <w:p w:rsidR="00612179" w:rsidRDefault="00612179" w:rsidP="00612179">
      <w:pPr>
        <w:pStyle w:val="a7"/>
        <w:numPr>
          <w:ilvl w:val="0"/>
          <w:numId w:val="1"/>
        </w:numPr>
        <w:tabs>
          <w:tab w:val="left" w:pos="1086"/>
        </w:tabs>
        <w:ind w:right="40"/>
        <w:jc w:val="center"/>
        <w:rPr>
          <w:rFonts w:eastAsia="Times New Roman"/>
          <w:lang w:eastAsia="en-US"/>
        </w:rPr>
      </w:pPr>
      <w:r>
        <w:rPr>
          <w:rFonts w:eastAsia="Times New Roman"/>
          <w:b/>
        </w:rPr>
        <w:t>Продажа имущества посредством публичного предложения</w:t>
      </w:r>
    </w:p>
    <w:p w:rsidR="00612179" w:rsidRDefault="00612179" w:rsidP="00612179">
      <w:pPr>
        <w:pStyle w:val="a7"/>
        <w:tabs>
          <w:tab w:val="left" w:pos="1086"/>
        </w:tabs>
        <w:ind w:left="360" w:right="40"/>
        <w:rPr>
          <w:rFonts w:eastAsia="Times New Roman"/>
          <w:lang w:eastAsia="en-US"/>
        </w:rPr>
      </w:pPr>
    </w:p>
    <w:p w:rsidR="00612179" w:rsidRDefault="00612179" w:rsidP="00612179">
      <w:pPr>
        <w:tabs>
          <w:tab w:val="left" w:pos="1086"/>
        </w:tabs>
        <w:spacing w:after="0" w:line="240" w:lineRule="auto"/>
        <w:ind w:right="40"/>
        <w:jc w:val="both"/>
        <w:rPr>
          <w:rFonts w:ascii="Times New Roman" w:eastAsia="Times New Roman" w:hAnsi="Times New Roman" w:cs="Times New Roman"/>
          <w:sz w:val="24"/>
          <w:szCs w:val="24"/>
        </w:rPr>
      </w:pPr>
      <w:r>
        <w:rPr>
          <w:rFonts w:ascii="Times New Roman" w:hAnsi="Times New Roman" w:cs="Times New Roman"/>
          <w:sz w:val="24"/>
          <w:szCs w:val="24"/>
        </w:rPr>
        <w:t>6.1.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612179" w:rsidRDefault="00612179" w:rsidP="00612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Организатор торгов публикует информационное сообщение о продаже имущества посредством публичного предложения в газете «Коммерсантъ» и на ЕФРСБ – </w:t>
      </w:r>
      <w:hyperlink r:id="rId7" w:history="1">
        <w:r>
          <w:rPr>
            <w:rStyle w:val="a3"/>
            <w:rFonts w:ascii="Times New Roman" w:hAnsi="Times New Roman" w:cs="Times New Roman"/>
            <w:sz w:val="24"/>
            <w:szCs w:val="24"/>
          </w:rPr>
          <w:t>www.fedresurs.ru</w:t>
        </w:r>
      </w:hyperlink>
    </w:p>
    <w:p w:rsidR="00612179" w:rsidRDefault="00612179" w:rsidP="00612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При продаже имущества должника посредством публичного предложения в сообщении о проведении торгов наряду со сведениями, предусмотренными ст. 110 ФЗ Закона о банкротстве, указываются величина снижения начальной цены продажи </w:t>
      </w:r>
      <w:r>
        <w:rPr>
          <w:rFonts w:ascii="Times New Roman" w:hAnsi="Times New Roman" w:cs="Times New Roman"/>
          <w:sz w:val="24"/>
          <w:szCs w:val="24"/>
        </w:rPr>
        <w:lastRenderedPageBreak/>
        <w:t xml:space="preserve">имущества должника и срок, по истечении которого последовательно снижается указанная начальная цена. </w:t>
      </w:r>
    </w:p>
    <w:p w:rsidR="00612179" w:rsidRDefault="00612179" w:rsidP="0061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При продаже имущества посредством публичного предложения </w:t>
      </w:r>
      <w:r>
        <w:rPr>
          <w:rFonts w:ascii="Times New Roman" w:hAnsi="Times New Roman" w:cs="Times New Roman"/>
          <w:b/>
          <w:sz w:val="24"/>
          <w:szCs w:val="24"/>
        </w:rPr>
        <w:t>начальная цена</w:t>
      </w:r>
      <w:r>
        <w:rPr>
          <w:rFonts w:ascii="Times New Roman" w:hAnsi="Times New Roman" w:cs="Times New Roman"/>
          <w:sz w:val="24"/>
          <w:szCs w:val="24"/>
        </w:rPr>
        <w:t xml:space="preserve"> продажи имущества устанавливается в размере начальной цены, указанной в сообщении о продаже имущества на повторных торгах.</w:t>
      </w:r>
    </w:p>
    <w:p w:rsidR="00612179" w:rsidRDefault="00612179" w:rsidP="00612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6.5. </w:t>
      </w:r>
      <w:r>
        <w:rPr>
          <w:rFonts w:ascii="Times New Roman" w:hAnsi="Times New Roman" w:cs="Times New Roman"/>
          <w:b/>
          <w:sz w:val="24"/>
          <w:szCs w:val="24"/>
        </w:rPr>
        <w:t>Величина снижения</w:t>
      </w:r>
      <w:r>
        <w:rPr>
          <w:rFonts w:ascii="Times New Roman" w:hAnsi="Times New Roman" w:cs="Times New Roman"/>
          <w:sz w:val="24"/>
          <w:szCs w:val="24"/>
        </w:rPr>
        <w:t xml:space="preserve"> начальной цены продажи имущества – </w:t>
      </w:r>
      <w:r>
        <w:rPr>
          <w:rFonts w:ascii="Times New Roman" w:hAnsi="Times New Roman" w:cs="Times New Roman"/>
          <w:b/>
          <w:sz w:val="24"/>
          <w:szCs w:val="24"/>
        </w:rPr>
        <w:t>5%</w:t>
      </w:r>
      <w:r>
        <w:rPr>
          <w:rFonts w:ascii="Times New Roman" w:hAnsi="Times New Roman" w:cs="Times New Roman"/>
          <w:sz w:val="24"/>
          <w:szCs w:val="24"/>
        </w:rPr>
        <w:t xml:space="preserve"> от начальной цены продажи имущества посредством публичного предложения. Под указанной ценой понимается  начальная</w:t>
      </w:r>
      <w:r>
        <w:rPr>
          <w:rFonts w:ascii="Times New Roman" w:hAnsi="Times New Roman" w:cs="Times New Roman"/>
          <w:b/>
          <w:sz w:val="24"/>
          <w:szCs w:val="24"/>
        </w:rPr>
        <w:t xml:space="preserve"> цена</w:t>
      </w:r>
      <w:r>
        <w:rPr>
          <w:rFonts w:ascii="Times New Roman" w:hAnsi="Times New Roman" w:cs="Times New Roman"/>
          <w:sz w:val="24"/>
          <w:szCs w:val="24"/>
        </w:rPr>
        <w:t xml:space="preserve"> продажи имущества посредством публичного предложения, указанная в публикации первоначального сообщения о публичном предложении. </w:t>
      </w:r>
    </w:p>
    <w:p w:rsidR="00612179" w:rsidRDefault="00612179" w:rsidP="00612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 Цена продажи имущества (</w:t>
      </w:r>
      <w:r>
        <w:rPr>
          <w:rFonts w:ascii="Times New Roman" w:hAnsi="Times New Roman" w:cs="Times New Roman"/>
          <w:b/>
          <w:sz w:val="24"/>
          <w:szCs w:val="24"/>
        </w:rPr>
        <w:t>цена отсечения</w:t>
      </w:r>
      <w:r>
        <w:rPr>
          <w:rFonts w:ascii="Times New Roman" w:hAnsi="Times New Roman" w:cs="Times New Roman"/>
          <w:sz w:val="24"/>
          <w:szCs w:val="24"/>
        </w:rPr>
        <w:t xml:space="preserve">) - </w:t>
      </w:r>
      <w:r>
        <w:rPr>
          <w:rFonts w:ascii="Times New Roman" w:hAnsi="Times New Roman" w:cs="Times New Roman"/>
          <w:b/>
          <w:sz w:val="24"/>
          <w:szCs w:val="24"/>
        </w:rPr>
        <w:t>65%</w:t>
      </w:r>
      <w:r>
        <w:rPr>
          <w:rFonts w:ascii="Times New Roman" w:hAnsi="Times New Roman" w:cs="Times New Roman"/>
          <w:sz w:val="24"/>
          <w:szCs w:val="24"/>
        </w:rPr>
        <w:t xml:space="preserve"> (шестьдесят пять процентов) от начальной цены продажи имущества.</w:t>
      </w:r>
    </w:p>
    <w:p w:rsidR="00612179" w:rsidRDefault="00612179" w:rsidP="0061217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6.8. </w:t>
      </w:r>
      <w:r>
        <w:rPr>
          <w:rFonts w:ascii="Times New Roman" w:hAnsi="Times New Roman" w:cs="Times New Roman"/>
          <w:b/>
          <w:sz w:val="24"/>
          <w:szCs w:val="24"/>
        </w:rPr>
        <w:t>Срок,</w:t>
      </w:r>
      <w:r>
        <w:rPr>
          <w:rFonts w:ascii="Times New Roman" w:hAnsi="Times New Roman" w:cs="Times New Roman"/>
          <w:sz w:val="24"/>
          <w:szCs w:val="24"/>
        </w:rPr>
        <w:t xml:space="preserve"> по истечении которого последовательно снижается указанная начальная цена – </w:t>
      </w:r>
      <w:r>
        <w:rPr>
          <w:rFonts w:ascii="Times New Roman" w:hAnsi="Times New Roman" w:cs="Times New Roman"/>
          <w:b/>
          <w:sz w:val="24"/>
          <w:szCs w:val="24"/>
        </w:rPr>
        <w:t>3 рабочих дня</w:t>
      </w:r>
      <w:r>
        <w:rPr>
          <w:rFonts w:ascii="Times New Roman" w:hAnsi="Times New Roman" w:cs="Times New Roman"/>
          <w:sz w:val="24"/>
          <w:szCs w:val="24"/>
        </w:rPr>
        <w:t>.</w:t>
      </w:r>
      <w:r>
        <w:rPr>
          <w:rFonts w:ascii="Times New Roman" w:hAnsi="Times New Roman" w:cs="Times New Roman"/>
          <w:b/>
          <w:sz w:val="24"/>
          <w:szCs w:val="24"/>
        </w:rPr>
        <w:t xml:space="preserve"> </w:t>
      </w:r>
    </w:p>
    <w:p w:rsidR="00612179" w:rsidRDefault="00612179" w:rsidP="00612179">
      <w:pPr>
        <w:pStyle w:val="a4"/>
        <w:spacing w:before="0" w:after="0"/>
        <w:contextualSpacing/>
        <w:jc w:val="both"/>
      </w:pPr>
      <w:r>
        <w:t xml:space="preserve">6.9. Для участия в торгах участник торгов вносит </w:t>
      </w:r>
      <w:r>
        <w:rPr>
          <w:b/>
        </w:rPr>
        <w:t>задаток в размере 10% от начальной цены лота</w:t>
      </w:r>
      <w:r>
        <w:t xml:space="preserve">, установленной </w:t>
      </w:r>
      <w:r>
        <w:rPr>
          <w:b/>
        </w:rPr>
        <w:t>для определенного периода</w:t>
      </w:r>
      <w:r>
        <w:t xml:space="preserve"> проведения торгов на задатковый счет должника. </w:t>
      </w:r>
    </w:p>
    <w:p w:rsidR="00612179" w:rsidRDefault="00612179" w:rsidP="00612179">
      <w:pPr>
        <w:pStyle w:val="a4"/>
        <w:spacing w:before="0" w:after="0"/>
        <w:contextualSpacing/>
        <w:jc w:val="both"/>
      </w:pPr>
      <w:r>
        <w:t xml:space="preserve">6.10. Задаток должен быть перечислен </w:t>
      </w:r>
      <w:r>
        <w:rPr>
          <w:b/>
        </w:rPr>
        <w:t>до времени окончания приема заявок</w:t>
      </w:r>
      <w:r>
        <w:t>. Участник должен обеспечить поступление задатка на счет, указанный организатором торгов, до времени подведения итогов периода.</w:t>
      </w:r>
    </w:p>
    <w:p w:rsidR="00612179" w:rsidRDefault="00612179" w:rsidP="00612179">
      <w:pPr>
        <w:pStyle w:val="a4"/>
        <w:spacing w:before="0" w:after="0"/>
        <w:contextualSpacing/>
        <w:jc w:val="both"/>
      </w:pPr>
      <w:r>
        <w:t xml:space="preserve">6.11. </w:t>
      </w:r>
      <w:r>
        <w:rPr>
          <w:b/>
        </w:rPr>
        <w:t>Подведение итогов торгов</w:t>
      </w:r>
      <w:r>
        <w:t xml:space="preserve"> по каждому периоду проводится на следующий рабочий день, </w:t>
      </w:r>
      <w:r w:rsidR="000B3AB8">
        <w:t>после</w:t>
      </w:r>
      <w:r>
        <w:t xml:space="preserve"> 10:00(время московское), при наличии заявок.</w:t>
      </w:r>
    </w:p>
    <w:p w:rsidR="00612179" w:rsidRDefault="00612179" w:rsidP="00612179">
      <w:pPr>
        <w:autoSpaceDE w:val="0"/>
        <w:autoSpaceDN w:val="0"/>
        <w:adjustRightInd w:val="0"/>
        <w:spacing w:after="0" w:line="240" w:lineRule="auto"/>
        <w:jc w:val="both"/>
        <w:rPr>
          <w:sz w:val="24"/>
          <w:szCs w:val="24"/>
        </w:rPr>
      </w:pPr>
      <w:r>
        <w:rPr>
          <w:rFonts w:ascii="Times New Roman" w:hAnsi="Times New Roman" w:cs="Times New Roman"/>
          <w:sz w:val="24"/>
          <w:szCs w:val="24"/>
        </w:rPr>
        <w:t>6.12.</w:t>
      </w:r>
      <w:r>
        <w:rPr>
          <w:sz w:val="24"/>
          <w:szCs w:val="24"/>
        </w:rPr>
        <w:t xml:space="preserve"> </w:t>
      </w:r>
      <w:r>
        <w:rPr>
          <w:rFonts w:ascii="Times New Roman" w:hAnsi="Times New Roman" w:cs="Times New Roman"/>
          <w:sz w:val="24"/>
          <w:szCs w:val="24"/>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612179" w:rsidRDefault="00612179" w:rsidP="00612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несколько участников торгов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установленной для определенного периода проведения торгов, право приобретения принадлежит участнику торгов, предложившему максимальную цену за это имущество.</w:t>
      </w:r>
    </w:p>
    <w:p w:rsidR="00612179" w:rsidRDefault="00612179" w:rsidP="00612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но не ниже начальной цены, установленной для определенного периода проведения торгов, право приобретения должника принадлежит участнику торгов, который первым представил в установленный срок заявку на участие в торгах посредством публичного предложения.</w:t>
      </w:r>
    </w:p>
    <w:p w:rsidR="00612179" w:rsidRDefault="00612179" w:rsidP="0061217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6.13. С даты определения Победителя торгов по продаже имущества посредством публичного предложения прием заявок прекращается.</w:t>
      </w:r>
    </w:p>
    <w:p w:rsidR="00612179" w:rsidRDefault="00612179" w:rsidP="0061217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6.14. Порядок заключения договора купли-продажи, условия, и порядок расчетов определены настоящим положением (Раздел 4).</w:t>
      </w:r>
    </w:p>
    <w:p w:rsidR="00612179" w:rsidRDefault="00612179" w:rsidP="0061217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6.15.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612179" w:rsidRDefault="00612179" w:rsidP="0061217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пунктами 1 и 2 настоящей статьи, на специальный </w:t>
      </w:r>
      <w:r>
        <w:rPr>
          <w:rFonts w:ascii="Times New Roman" w:hAnsi="Times New Roman" w:cs="Times New Roman"/>
          <w:sz w:val="24"/>
          <w:szCs w:val="24"/>
        </w:rPr>
        <w:lastRenderedPageBreak/>
        <w:t>банковский счет в порядке, установленном пунктом 3 настоящей статьи, одновременно с направлением конкурсному управляющему заявления об оставлении предмета залога за собой.</w:t>
      </w:r>
    </w:p>
    <w:p w:rsidR="00612179" w:rsidRDefault="00612179" w:rsidP="0061217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612179" w:rsidRDefault="00612179" w:rsidP="00612179">
      <w:pPr>
        <w:autoSpaceDE w:val="0"/>
        <w:autoSpaceDN w:val="0"/>
        <w:adjustRightInd w:val="0"/>
        <w:spacing w:after="0" w:line="240" w:lineRule="auto"/>
        <w:jc w:val="both"/>
        <w:outlineLvl w:val="1"/>
        <w:rPr>
          <w:rFonts w:ascii="Times New Roman" w:hAnsi="Times New Roman" w:cs="Times New Roman"/>
          <w:sz w:val="24"/>
          <w:szCs w:val="24"/>
        </w:rPr>
      </w:pPr>
    </w:p>
    <w:p w:rsidR="00612179" w:rsidRDefault="00612179" w:rsidP="00612179">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7. Продажа имущества</w:t>
      </w:r>
      <w:r w:rsidR="000A3686">
        <w:rPr>
          <w:rFonts w:ascii="Times New Roman" w:hAnsi="Times New Roman" w:cs="Times New Roman"/>
          <w:b/>
          <w:sz w:val="24"/>
          <w:szCs w:val="24"/>
        </w:rPr>
        <w:t xml:space="preserve"> </w:t>
      </w:r>
      <w:r w:rsidR="000A3686" w:rsidRPr="000A3686">
        <w:rPr>
          <w:rFonts w:ascii="Times New Roman" w:hAnsi="Times New Roman" w:cs="Times New Roman"/>
          <w:b/>
          <w:sz w:val="24"/>
          <w:szCs w:val="24"/>
        </w:rPr>
        <w:t>путем простой (прямой) продажи</w:t>
      </w:r>
    </w:p>
    <w:p w:rsidR="00612179" w:rsidRDefault="00612179" w:rsidP="00612179">
      <w:pPr>
        <w:autoSpaceDE w:val="0"/>
        <w:autoSpaceDN w:val="0"/>
        <w:adjustRightInd w:val="0"/>
        <w:spacing w:after="0" w:line="240" w:lineRule="auto"/>
        <w:jc w:val="center"/>
        <w:outlineLvl w:val="1"/>
        <w:rPr>
          <w:rFonts w:ascii="Times New Roman" w:hAnsi="Times New Roman" w:cs="Times New Roman"/>
          <w:b/>
          <w:sz w:val="24"/>
          <w:szCs w:val="24"/>
        </w:rPr>
      </w:pPr>
    </w:p>
    <w:p w:rsidR="00612179" w:rsidRDefault="00612179"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Продажа Имущества Должника, </w:t>
      </w:r>
      <w:r w:rsidR="000A3686">
        <w:rPr>
          <w:rFonts w:ascii="Times New Roman" w:eastAsia="Times New Roman" w:hAnsi="Times New Roman" w:cs="Times New Roman"/>
          <w:sz w:val="24"/>
          <w:szCs w:val="24"/>
        </w:rPr>
        <w:t xml:space="preserve">оценочная </w:t>
      </w:r>
      <w:r>
        <w:rPr>
          <w:rFonts w:ascii="Times New Roman" w:eastAsia="Times New Roman" w:hAnsi="Times New Roman" w:cs="Times New Roman"/>
          <w:sz w:val="24"/>
          <w:szCs w:val="24"/>
        </w:rPr>
        <w:t>стоимость которого</w:t>
      </w:r>
      <w:r w:rsidR="000A3686">
        <w:rPr>
          <w:rFonts w:ascii="Times New Roman" w:eastAsia="Times New Roman" w:hAnsi="Times New Roman" w:cs="Times New Roman"/>
          <w:sz w:val="24"/>
          <w:szCs w:val="24"/>
        </w:rPr>
        <w:t>, определенная на основании отчета об оценке,</w:t>
      </w:r>
      <w:r>
        <w:rPr>
          <w:rFonts w:ascii="Times New Roman" w:eastAsia="Times New Roman" w:hAnsi="Times New Roman" w:cs="Times New Roman"/>
          <w:sz w:val="24"/>
          <w:szCs w:val="24"/>
        </w:rPr>
        <w:t xml:space="preserve"> составляет менее чем сто тысяч рублей, проводится без привлечения специализированной организации и без проведения открытых торгов, посредством заключения договоров путем простой (прямой) продажи по цене наибольшего предложения.</w:t>
      </w:r>
    </w:p>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p>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p>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p>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p>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p>
    <w:p w:rsidR="007B2D08" w:rsidRP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r w:rsidRPr="007B2D08">
        <w:rPr>
          <w:rFonts w:ascii="Times New Roman" w:eastAsia="Times New Roman" w:hAnsi="Times New Roman" w:cs="Times New Roman"/>
          <w:sz w:val="24"/>
          <w:szCs w:val="24"/>
          <w:u w:val="single"/>
        </w:rPr>
        <w:t xml:space="preserve">Имущество, подлежащее реализации </w:t>
      </w:r>
    </w:p>
    <w:p w:rsidR="007B2D08" w:rsidRP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r w:rsidRPr="007B2D08">
        <w:rPr>
          <w:rFonts w:ascii="Times New Roman" w:eastAsia="Times New Roman" w:hAnsi="Times New Roman" w:cs="Times New Roman"/>
          <w:sz w:val="24"/>
          <w:szCs w:val="24"/>
          <w:u w:val="single"/>
        </w:rPr>
        <w:t xml:space="preserve">посредством заключения договоров путем простой (прямой) продажи </w:t>
      </w:r>
    </w:p>
    <w:p w:rsidR="007B2D08" w:rsidRP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u w:val="single"/>
        </w:rPr>
      </w:pPr>
      <w:r w:rsidRPr="007B2D08">
        <w:rPr>
          <w:rFonts w:ascii="Times New Roman" w:eastAsia="Times New Roman" w:hAnsi="Times New Roman" w:cs="Times New Roman"/>
          <w:sz w:val="24"/>
          <w:szCs w:val="24"/>
          <w:u w:val="single"/>
        </w:rPr>
        <w:t>по цене наибольшего предложения:</w:t>
      </w:r>
    </w:p>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1701"/>
      </w:tblGrid>
      <w:tr w:rsidR="007B2D08" w:rsidRPr="007B2D08" w:rsidTr="007B2D08">
        <w:trPr>
          <w:trHeight w:val="205"/>
        </w:trPr>
        <w:tc>
          <w:tcPr>
            <w:tcW w:w="675" w:type="dxa"/>
            <w:vAlign w:val="center"/>
          </w:tcPr>
          <w:p w:rsidR="007B2D08" w:rsidRPr="007B2D08" w:rsidRDefault="007B2D08" w:rsidP="007B2D08">
            <w:pPr>
              <w:autoSpaceDE w:val="0"/>
              <w:autoSpaceDN w:val="0"/>
              <w:adjustRightInd w:val="0"/>
              <w:spacing w:after="0" w:line="240" w:lineRule="auto"/>
              <w:jc w:val="center"/>
              <w:rPr>
                <w:rFonts w:ascii="Times New Roman" w:hAnsi="Times New Roman" w:cs="Times New Roman"/>
                <w:b/>
                <w:color w:val="000000"/>
                <w:sz w:val="20"/>
                <w:szCs w:val="20"/>
              </w:rPr>
            </w:pPr>
            <w:r w:rsidRPr="007B2D08">
              <w:rPr>
                <w:rFonts w:ascii="Times New Roman" w:hAnsi="Times New Roman" w:cs="Times New Roman"/>
                <w:b/>
                <w:color w:val="000000"/>
                <w:sz w:val="20"/>
                <w:szCs w:val="20"/>
              </w:rPr>
              <w:t>№ лота</w:t>
            </w:r>
          </w:p>
        </w:tc>
        <w:tc>
          <w:tcPr>
            <w:tcW w:w="7088" w:type="dxa"/>
            <w:vAlign w:val="center"/>
          </w:tcPr>
          <w:p w:rsidR="007B2D08" w:rsidRPr="007B2D08" w:rsidRDefault="007B2D08" w:rsidP="007B2D08">
            <w:pPr>
              <w:autoSpaceDE w:val="0"/>
              <w:autoSpaceDN w:val="0"/>
              <w:adjustRightInd w:val="0"/>
              <w:spacing w:after="0" w:line="240" w:lineRule="auto"/>
              <w:jc w:val="center"/>
              <w:rPr>
                <w:rFonts w:ascii="Times New Roman" w:hAnsi="Times New Roman" w:cs="Times New Roman"/>
                <w:b/>
                <w:color w:val="000000"/>
                <w:sz w:val="20"/>
                <w:szCs w:val="20"/>
              </w:rPr>
            </w:pPr>
            <w:r w:rsidRPr="007B2D08">
              <w:rPr>
                <w:rFonts w:ascii="Times New Roman" w:hAnsi="Times New Roman" w:cs="Times New Roman"/>
                <w:b/>
                <w:color w:val="000000"/>
                <w:sz w:val="20"/>
                <w:szCs w:val="20"/>
              </w:rPr>
              <w:t>Наименование лота</w:t>
            </w:r>
          </w:p>
        </w:tc>
        <w:tc>
          <w:tcPr>
            <w:tcW w:w="1701" w:type="dxa"/>
            <w:vAlign w:val="center"/>
          </w:tcPr>
          <w:p w:rsidR="007B2D08" w:rsidRPr="007B2D08" w:rsidRDefault="007B2D08" w:rsidP="007B2D08">
            <w:pPr>
              <w:autoSpaceDE w:val="0"/>
              <w:autoSpaceDN w:val="0"/>
              <w:adjustRightInd w:val="0"/>
              <w:spacing w:after="0" w:line="240" w:lineRule="auto"/>
              <w:jc w:val="center"/>
              <w:rPr>
                <w:rFonts w:ascii="Times New Roman" w:hAnsi="Times New Roman" w:cs="Times New Roman"/>
                <w:b/>
                <w:bCs/>
                <w:color w:val="000000"/>
                <w:sz w:val="20"/>
                <w:szCs w:val="20"/>
              </w:rPr>
            </w:pPr>
            <w:r w:rsidRPr="007B2D08">
              <w:rPr>
                <w:rFonts w:ascii="Times New Roman" w:hAnsi="Times New Roman" w:cs="Times New Roman"/>
                <w:b/>
                <w:bCs/>
                <w:color w:val="000000"/>
                <w:sz w:val="20"/>
                <w:szCs w:val="20"/>
              </w:rPr>
              <w:t>Начальная цена продажи, указываемая в сообщении о продаже, руб</w:t>
            </w:r>
            <w:r>
              <w:rPr>
                <w:rFonts w:ascii="Times New Roman" w:hAnsi="Times New Roman" w:cs="Times New Roman"/>
                <w:b/>
                <w:bCs/>
                <w:color w:val="000000"/>
                <w:sz w:val="20"/>
                <w:szCs w:val="20"/>
              </w:rPr>
              <w:t>.</w:t>
            </w:r>
          </w:p>
        </w:tc>
      </w:tr>
      <w:tr w:rsidR="007B2D08" w:rsidRPr="00D11DC3" w:rsidTr="00EE79B8">
        <w:trPr>
          <w:trHeight w:val="205"/>
        </w:trPr>
        <w:tc>
          <w:tcPr>
            <w:tcW w:w="675" w:type="dxa"/>
            <w:vAlign w:val="center"/>
          </w:tcPr>
          <w:p w:rsidR="007B2D08" w:rsidRDefault="007B2D08" w:rsidP="00EE79B8">
            <w:pPr>
              <w:autoSpaceDE w:val="0"/>
              <w:autoSpaceDN w:val="0"/>
              <w:adjustRightInd w:val="0"/>
              <w:spacing w:after="0" w:line="240" w:lineRule="auto"/>
              <w:jc w:val="center"/>
              <w:rPr>
                <w:rFonts w:ascii="Times New Roman" w:hAnsi="Times New Roman" w:cs="Times New Roman"/>
                <w:color w:val="000000"/>
                <w:sz w:val="20"/>
                <w:szCs w:val="20"/>
              </w:rPr>
            </w:pPr>
          </w:p>
          <w:p w:rsidR="007B2D08" w:rsidRPr="00D11DC3" w:rsidRDefault="007B2D08" w:rsidP="00EE79B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8" w:type="dxa"/>
            <w:vAlign w:val="center"/>
          </w:tcPr>
          <w:p w:rsidR="007B2D08" w:rsidRPr="00D11DC3" w:rsidRDefault="007B2D08" w:rsidP="00EE79B8">
            <w:pPr>
              <w:autoSpaceDE w:val="0"/>
              <w:autoSpaceDN w:val="0"/>
              <w:adjustRightInd w:val="0"/>
              <w:spacing w:after="0" w:line="240" w:lineRule="auto"/>
              <w:jc w:val="center"/>
              <w:rPr>
                <w:rFonts w:ascii="Cambria" w:hAnsi="Cambria" w:cs="Cambria"/>
                <w:color w:val="000000"/>
                <w:sz w:val="20"/>
                <w:szCs w:val="20"/>
              </w:rPr>
            </w:pPr>
            <w:r w:rsidRPr="00D11DC3">
              <w:rPr>
                <w:rFonts w:ascii="Times New Roman" w:hAnsi="Times New Roman" w:cs="Times New Roman"/>
                <w:color w:val="000000"/>
                <w:sz w:val="20"/>
                <w:szCs w:val="20"/>
              </w:rPr>
              <w:t>ПАЗ 3205ОР (Автобус) гнТ735ЕН89 (2001) VIN X1M325050P10009492 130 л.с.</w:t>
            </w:r>
          </w:p>
        </w:tc>
        <w:tc>
          <w:tcPr>
            <w:tcW w:w="1701" w:type="dxa"/>
            <w:vAlign w:val="center"/>
          </w:tcPr>
          <w:p w:rsidR="007B2D08" w:rsidRPr="00D11DC3" w:rsidRDefault="007B2D08" w:rsidP="00EE79B8">
            <w:pPr>
              <w:autoSpaceDE w:val="0"/>
              <w:autoSpaceDN w:val="0"/>
              <w:adjustRightInd w:val="0"/>
              <w:spacing w:after="0" w:line="240" w:lineRule="auto"/>
              <w:jc w:val="center"/>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74 000</w:t>
            </w:r>
          </w:p>
        </w:tc>
      </w:tr>
      <w:tr w:rsidR="007B2D08" w:rsidRPr="00D11DC3" w:rsidTr="00EE79B8">
        <w:trPr>
          <w:trHeight w:val="205"/>
        </w:trPr>
        <w:tc>
          <w:tcPr>
            <w:tcW w:w="675" w:type="dxa"/>
            <w:vAlign w:val="center"/>
          </w:tcPr>
          <w:p w:rsidR="007B2D08" w:rsidRPr="00D11DC3" w:rsidRDefault="007B2D08" w:rsidP="00EE79B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8" w:type="dxa"/>
            <w:vAlign w:val="center"/>
          </w:tcPr>
          <w:p w:rsidR="007B2D08" w:rsidRPr="00D11DC3" w:rsidRDefault="007B2D08" w:rsidP="00EE79B8">
            <w:pPr>
              <w:autoSpaceDE w:val="0"/>
              <w:autoSpaceDN w:val="0"/>
              <w:adjustRightInd w:val="0"/>
              <w:spacing w:after="0" w:line="240" w:lineRule="auto"/>
              <w:jc w:val="center"/>
              <w:rPr>
                <w:rFonts w:ascii="Cambria" w:hAnsi="Cambria" w:cs="Cambria"/>
                <w:color w:val="000000"/>
                <w:sz w:val="20"/>
                <w:szCs w:val="20"/>
              </w:rPr>
            </w:pPr>
            <w:r w:rsidRPr="00D11DC3">
              <w:rPr>
                <w:rFonts w:ascii="Times New Roman" w:hAnsi="Times New Roman" w:cs="Times New Roman"/>
                <w:color w:val="000000"/>
                <w:sz w:val="20"/>
                <w:szCs w:val="20"/>
              </w:rPr>
              <w:t>ГАЗ 27527(</w:t>
            </w:r>
            <w:proofErr w:type="spellStart"/>
            <w:r w:rsidRPr="00D11DC3">
              <w:rPr>
                <w:rFonts w:ascii="Times New Roman" w:hAnsi="Times New Roman" w:cs="Times New Roman"/>
                <w:color w:val="000000"/>
                <w:sz w:val="20"/>
                <w:szCs w:val="20"/>
              </w:rPr>
              <w:t>груз.фургон</w:t>
            </w:r>
            <w:proofErr w:type="spellEnd"/>
            <w:r w:rsidRPr="00D11DC3">
              <w:rPr>
                <w:rFonts w:ascii="Times New Roman" w:hAnsi="Times New Roman" w:cs="Times New Roman"/>
                <w:color w:val="000000"/>
                <w:sz w:val="20"/>
                <w:szCs w:val="20"/>
              </w:rPr>
              <w:t xml:space="preserve"> </w:t>
            </w:r>
            <w:proofErr w:type="spellStart"/>
            <w:r w:rsidRPr="00D11DC3">
              <w:rPr>
                <w:rFonts w:ascii="Times New Roman" w:hAnsi="Times New Roman" w:cs="Times New Roman"/>
                <w:color w:val="000000"/>
                <w:sz w:val="20"/>
                <w:szCs w:val="20"/>
              </w:rPr>
              <w:t>цельнометал</w:t>
            </w:r>
            <w:proofErr w:type="spellEnd"/>
            <w:r w:rsidRPr="00D11DC3">
              <w:rPr>
                <w:rFonts w:ascii="Times New Roman" w:hAnsi="Times New Roman" w:cs="Times New Roman"/>
                <w:color w:val="000000"/>
                <w:sz w:val="20"/>
                <w:szCs w:val="20"/>
              </w:rPr>
              <w:t>.) гнА203ЕХ89 (2005) VIN X9627527050400361 98 л.с.</w:t>
            </w:r>
          </w:p>
        </w:tc>
        <w:tc>
          <w:tcPr>
            <w:tcW w:w="1701" w:type="dxa"/>
            <w:vAlign w:val="center"/>
          </w:tcPr>
          <w:p w:rsidR="007B2D08" w:rsidRPr="00D11DC3" w:rsidRDefault="007B2D08" w:rsidP="00EE79B8">
            <w:pPr>
              <w:autoSpaceDE w:val="0"/>
              <w:autoSpaceDN w:val="0"/>
              <w:adjustRightInd w:val="0"/>
              <w:spacing w:after="0" w:line="240" w:lineRule="auto"/>
              <w:jc w:val="center"/>
              <w:rPr>
                <w:rFonts w:ascii="Times New Roman" w:hAnsi="Times New Roman" w:cs="Times New Roman"/>
                <w:color w:val="000000"/>
                <w:sz w:val="20"/>
                <w:szCs w:val="20"/>
              </w:rPr>
            </w:pPr>
            <w:r w:rsidRPr="00D11DC3">
              <w:rPr>
                <w:rFonts w:ascii="Times New Roman" w:hAnsi="Times New Roman" w:cs="Times New Roman"/>
                <w:b/>
                <w:bCs/>
                <w:color w:val="000000"/>
                <w:sz w:val="20"/>
                <w:szCs w:val="20"/>
              </w:rPr>
              <w:t>94 000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УАЗ-31625(</w:t>
            </w:r>
            <w:proofErr w:type="spellStart"/>
            <w:r w:rsidRPr="00D11DC3">
              <w:rPr>
                <w:rFonts w:ascii="Times New Roman" w:hAnsi="Times New Roman" w:cs="Times New Roman"/>
                <w:color w:val="000000"/>
                <w:sz w:val="20"/>
                <w:szCs w:val="20"/>
              </w:rPr>
              <w:t>грузопассаж</w:t>
            </w:r>
            <w:proofErr w:type="spellEnd"/>
            <w:r w:rsidRPr="00D11DC3">
              <w:rPr>
                <w:rFonts w:ascii="Times New Roman" w:hAnsi="Times New Roman" w:cs="Times New Roman"/>
                <w:color w:val="000000"/>
                <w:sz w:val="20"/>
                <w:szCs w:val="20"/>
              </w:rPr>
              <w:t>) гнО746ОВ89 (2001) VIN XTT31625010000214 102 л.с.</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66 000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УАЗ-390942 (груз) гнН793КУ89 (2003) VIN XTT39094230041750 85 л.с.</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75 000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УАЗ-390942 (грузовой) гнХ223ВУ89 (2003) VIN ХТТ39094230475966 85 л.с.</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77 000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УАЗ-39629(санитарный а/м)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С695ЕК89 (2000) ХТТ396290Y0023089 74 л.с.</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30 000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ГАЗ 22177(спец.пассаж.10мест) гнА224ЕХ89 (2005) VIN X9622177050404613</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93 000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ЭПСО Прицеп тракторный зав.№ 0137 </w:t>
            </w:r>
            <w:proofErr w:type="spellStart"/>
            <w:r w:rsidRPr="00D11DC3">
              <w:rPr>
                <w:rFonts w:ascii="Times New Roman" w:hAnsi="Times New Roman" w:cs="Times New Roman"/>
                <w:color w:val="000000"/>
                <w:sz w:val="20"/>
                <w:szCs w:val="20"/>
              </w:rPr>
              <w:t>г.р.з</w:t>
            </w:r>
            <w:proofErr w:type="spellEnd"/>
            <w:r w:rsidRPr="00D11DC3">
              <w:rPr>
                <w:rFonts w:ascii="Times New Roman" w:hAnsi="Times New Roman" w:cs="Times New Roman"/>
                <w:color w:val="000000"/>
                <w:sz w:val="20"/>
                <w:szCs w:val="20"/>
              </w:rPr>
              <w:t>. 4232АН89</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20 000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ЭПСО Прицеп тракторный зав.№ 0138 </w:t>
            </w:r>
            <w:proofErr w:type="spellStart"/>
            <w:r w:rsidRPr="00D11DC3">
              <w:rPr>
                <w:rFonts w:ascii="Times New Roman" w:hAnsi="Times New Roman" w:cs="Times New Roman"/>
                <w:color w:val="000000"/>
                <w:sz w:val="20"/>
                <w:szCs w:val="20"/>
              </w:rPr>
              <w:t>г.р.з</w:t>
            </w:r>
            <w:proofErr w:type="spellEnd"/>
            <w:r w:rsidRPr="00D11DC3">
              <w:rPr>
                <w:rFonts w:ascii="Times New Roman" w:hAnsi="Times New Roman" w:cs="Times New Roman"/>
                <w:color w:val="000000"/>
                <w:sz w:val="20"/>
                <w:szCs w:val="20"/>
              </w:rPr>
              <w:t>. 4230 АН89</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21 000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Шасси прицепа зав. № Х6А83410030001157 </w:t>
            </w:r>
            <w:proofErr w:type="spellStart"/>
            <w:r w:rsidRPr="00D11DC3">
              <w:rPr>
                <w:rFonts w:ascii="Times New Roman" w:hAnsi="Times New Roman" w:cs="Times New Roman"/>
                <w:color w:val="000000"/>
                <w:sz w:val="20"/>
                <w:szCs w:val="20"/>
              </w:rPr>
              <w:t>г.р.з</w:t>
            </w:r>
            <w:proofErr w:type="spellEnd"/>
            <w:r w:rsidRPr="00D11DC3">
              <w:rPr>
                <w:rFonts w:ascii="Times New Roman" w:hAnsi="Times New Roman" w:cs="Times New Roman"/>
                <w:color w:val="000000"/>
                <w:sz w:val="20"/>
                <w:szCs w:val="20"/>
              </w:rPr>
              <w:t>. 9268 АН89</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70 000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МЗСА83232183232000001001 VIN 4383232120051502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АТ082189</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31 000</w:t>
            </w:r>
          </w:p>
        </w:tc>
      </w:tr>
      <w:tr w:rsidR="007B2D08" w:rsidTr="00EE79B8">
        <w:trPr>
          <w:trHeight w:val="206"/>
        </w:trPr>
        <w:tc>
          <w:tcPr>
            <w:tcW w:w="675" w:type="dxa"/>
            <w:vAlign w:val="center"/>
          </w:tcPr>
          <w:p w:rsidR="007B2D08" w:rsidRPr="00D11DC3" w:rsidRDefault="007B2D08" w:rsidP="00EE79B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088" w:type="dxa"/>
            <w:vAlign w:val="center"/>
          </w:tcPr>
          <w:p w:rsidR="007B2D08" w:rsidRPr="00D11DC3" w:rsidRDefault="007B2D08" w:rsidP="00EE79B8">
            <w:pPr>
              <w:jc w:val="center"/>
              <w:rPr>
                <w:rFonts w:ascii="Times New Roman" w:hAnsi="Times New Roman" w:cs="Times New Roman"/>
                <w:color w:val="000000"/>
                <w:sz w:val="20"/>
                <w:szCs w:val="20"/>
              </w:rPr>
            </w:pPr>
            <w:r w:rsidRPr="00D11DC3">
              <w:rPr>
                <w:rFonts w:ascii="Times New Roman" w:hAnsi="Times New Roman" w:cs="Times New Roman"/>
                <w:color w:val="000000"/>
                <w:sz w:val="20"/>
                <w:szCs w:val="20"/>
              </w:rPr>
              <w:t xml:space="preserve">УАЗ 339094 </w:t>
            </w:r>
            <w:proofErr w:type="spellStart"/>
            <w:r w:rsidRPr="00D11DC3">
              <w:rPr>
                <w:rFonts w:ascii="Times New Roman" w:hAnsi="Times New Roman" w:cs="Times New Roman"/>
                <w:color w:val="000000"/>
                <w:sz w:val="20"/>
                <w:szCs w:val="20"/>
              </w:rPr>
              <w:t>гн</w:t>
            </w:r>
            <w:proofErr w:type="spellEnd"/>
            <w:r w:rsidRPr="00D11DC3">
              <w:rPr>
                <w:rFonts w:ascii="Times New Roman" w:hAnsi="Times New Roman" w:cs="Times New Roman"/>
                <w:color w:val="000000"/>
                <w:sz w:val="20"/>
                <w:szCs w:val="20"/>
              </w:rPr>
              <w:t xml:space="preserve"> О745ОВ89; VIN XTT39094010005133; (2001) двигатель/кузов 10005133/10201561; шасси 10004487, </w:t>
            </w:r>
            <w:proofErr w:type="spellStart"/>
            <w:r w:rsidRPr="00D11DC3">
              <w:rPr>
                <w:rFonts w:ascii="Times New Roman" w:hAnsi="Times New Roman" w:cs="Times New Roman"/>
                <w:color w:val="000000"/>
                <w:sz w:val="20"/>
                <w:szCs w:val="20"/>
              </w:rPr>
              <w:t>лс</w:t>
            </w:r>
            <w:proofErr w:type="spellEnd"/>
            <w:r w:rsidRPr="00D11DC3">
              <w:rPr>
                <w:rFonts w:ascii="Times New Roman" w:hAnsi="Times New Roman" w:cs="Times New Roman"/>
                <w:color w:val="000000"/>
                <w:sz w:val="20"/>
                <w:szCs w:val="20"/>
              </w:rPr>
              <w:t xml:space="preserve"> 84</w:t>
            </w:r>
          </w:p>
        </w:tc>
        <w:tc>
          <w:tcPr>
            <w:tcW w:w="1701" w:type="dxa"/>
            <w:vAlign w:val="center"/>
          </w:tcPr>
          <w:p w:rsidR="007B2D08" w:rsidRPr="00D11DC3" w:rsidRDefault="007B2D08" w:rsidP="00EE79B8">
            <w:pPr>
              <w:jc w:val="center"/>
              <w:rPr>
                <w:rFonts w:ascii="Times New Roman" w:hAnsi="Times New Roman" w:cs="Times New Roman"/>
                <w:b/>
                <w:bCs/>
                <w:color w:val="000000"/>
                <w:sz w:val="20"/>
                <w:szCs w:val="20"/>
              </w:rPr>
            </w:pPr>
            <w:r w:rsidRPr="00D11DC3">
              <w:rPr>
                <w:rFonts w:ascii="Times New Roman" w:hAnsi="Times New Roman" w:cs="Times New Roman"/>
                <w:b/>
                <w:bCs/>
                <w:color w:val="000000"/>
                <w:sz w:val="20"/>
                <w:szCs w:val="20"/>
              </w:rPr>
              <w:t>42 000</w:t>
            </w:r>
          </w:p>
        </w:tc>
      </w:tr>
    </w:tbl>
    <w:p w:rsidR="007B2D08" w:rsidRDefault="007B2D08" w:rsidP="007B2D08">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612179" w:rsidRDefault="00612179"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Конкурсный управляющий Должника публикует объявление о продаже Имущества в Едином федеральном реестре сведений о банкротстве, в котором указывает на порядок </w:t>
      </w:r>
      <w:r>
        <w:rPr>
          <w:rFonts w:ascii="Times New Roman" w:eastAsia="Times New Roman" w:hAnsi="Times New Roman" w:cs="Times New Roman"/>
          <w:sz w:val="24"/>
          <w:szCs w:val="24"/>
        </w:rPr>
        <w:lastRenderedPageBreak/>
        <w:t xml:space="preserve">подачи заявок на приобретение имущества, обобщенные сведения об имуществе, место и порядок ознакомления с имуществом, порядок заключения договора. </w:t>
      </w:r>
    </w:p>
    <w:p w:rsidR="00612179" w:rsidRDefault="00612179"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Заявки с предложениями о покупке </w:t>
      </w:r>
      <w:r w:rsidR="00660F4E">
        <w:rPr>
          <w:rFonts w:ascii="Times New Roman" w:eastAsia="Times New Roman" w:hAnsi="Times New Roman" w:cs="Times New Roman"/>
          <w:sz w:val="24"/>
          <w:szCs w:val="24"/>
        </w:rPr>
        <w:t>принимаютс</w:t>
      </w:r>
      <w:r>
        <w:rPr>
          <w:rFonts w:ascii="Times New Roman" w:eastAsia="Times New Roman" w:hAnsi="Times New Roman" w:cs="Times New Roman"/>
          <w:sz w:val="24"/>
          <w:szCs w:val="24"/>
        </w:rPr>
        <w:t>я</w:t>
      </w:r>
      <w:r w:rsidR="00660F4E">
        <w:rPr>
          <w:rFonts w:ascii="Times New Roman" w:eastAsia="Times New Roman" w:hAnsi="Times New Roman" w:cs="Times New Roman"/>
          <w:sz w:val="24"/>
          <w:szCs w:val="24"/>
        </w:rPr>
        <w:t xml:space="preserve"> на электронную почту конкурного управляющего (</w:t>
      </w:r>
      <w:r w:rsidR="00660F4E">
        <w:rPr>
          <w:rFonts w:ascii="Times New Roman" w:eastAsia="Times New Roman" w:hAnsi="Times New Roman" w:cs="Times New Roman"/>
          <w:sz w:val="24"/>
          <w:szCs w:val="24"/>
          <w:lang w:val="en-US"/>
        </w:rPr>
        <w:t>dmtr</w:t>
      </w:r>
      <w:r w:rsidR="00660F4E" w:rsidRPr="00660F4E">
        <w:rPr>
          <w:rFonts w:ascii="Times New Roman" w:eastAsia="Times New Roman" w:hAnsi="Times New Roman" w:cs="Times New Roman"/>
          <w:sz w:val="24"/>
          <w:szCs w:val="24"/>
        </w:rPr>
        <w:t>558@</w:t>
      </w:r>
      <w:r w:rsidR="00660F4E">
        <w:rPr>
          <w:rFonts w:ascii="Times New Roman" w:eastAsia="Times New Roman" w:hAnsi="Times New Roman" w:cs="Times New Roman"/>
          <w:sz w:val="24"/>
          <w:szCs w:val="24"/>
          <w:lang w:val="en-US"/>
        </w:rPr>
        <w:t>mail</w:t>
      </w:r>
      <w:r w:rsidR="00660F4E" w:rsidRPr="00660F4E">
        <w:rPr>
          <w:rFonts w:ascii="Times New Roman" w:eastAsia="Times New Roman" w:hAnsi="Times New Roman" w:cs="Times New Roman"/>
          <w:sz w:val="24"/>
          <w:szCs w:val="24"/>
        </w:rPr>
        <w:t>.</w:t>
      </w:r>
      <w:r w:rsidR="00660F4E">
        <w:rPr>
          <w:rFonts w:ascii="Times New Roman" w:eastAsia="Times New Roman" w:hAnsi="Times New Roman" w:cs="Times New Roman"/>
          <w:sz w:val="24"/>
          <w:szCs w:val="24"/>
          <w:lang w:val="en-US"/>
        </w:rPr>
        <w:t>ru</w:t>
      </w:r>
      <w:r w:rsidR="00660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течение 14  дней </w:t>
      </w:r>
      <w:proofErr w:type="gramStart"/>
      <w:r>
        <w:rPr>
          <w:rFonts w:ascii="Times New Roman" w:eastAsia="Times New Roman" w:hAnsi="Times New Roman" w:cs="Times New Roman"/>
          <w:sz w:val="24"/>
          <w:szCs w:val="24"/>
        </w:rPr>
        <w:t xml:space="preserve">с даты </w:t>
      </w:r>
      <w:r w:rsidR="00660F4E">
        <w:rPr>
          <w:rFonts w:ascii="Times New Roman" w:eastAsia="Times New Roman" w:hAnsi="Times New Roman" w:cs="Times New Roman"/>
          <w:sz w:val="24"/>
          <w:szCs w:val="24"/>
        </w:rPr>
        <w:t>размещения</w:t>
      </w:r>
      <w:proofErr w:type="gramEnd"/>
      <w:r>
        <w:rPr>
          <w:rFonts w:ascii="Times New Roman" w:eastAsia="Times New Roman" w:hAnsi="Times New Roman" w:cs="Times New Roman"/>
          <w:sz w:val="24"/>
          <w:szCs w:val="24"/>
        </w:rPr>
        <w:t xml:space="preserve"> в Едином федеральном реестре сведений о банкротстве. В заявке должно содержаться название имущества, которое заявитель намерен приобрести, а также стоимость покупки данного имущества.</w:t>
      </w:r>
    </w:p>
    <w:p w:rsidR="00612179" w:rsidRDefault="00612179"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7.4. В случае если по истечение 14 дней с даты выхода публикации о продаже в Едином федеральном реестре сведений о банкротстве на имущество реализуемое в соответствии с настоящим пунктом, поступившие заявки предусматривают меньшую стоимость, в сравнении с начальной стоимостью, указанное имущество реализуется по цене максимального предложения.</w:t>
      </w:r>
    </w:p>
    <w:p w:rsidR="0031432A" w:rsidRDefault="0031432A"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31432A" w:rsidRDefault="0031432A"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31432A" w:rsidRDefault="0031432A"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Конкурсный управляющий</w:t>
      </w:r>
    </w:p>
    <w:p w:rsidR="0031432A" w:rsidRDefault="0031432A"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АО «</w:t>
      </w:r>
      <w:r w:rsidR="009A069F">
        <w:rPr>
          <w:rFonts w:ascii="Times New Roman" w:eastAsia="Times New Roman" w:hAnsi="Times New Roman" w:cs="Times New Roman"/>
          <w:sz w:val="24"/>
          <w:szCs w:val="24"/>
        </w:rPr>
        <w:t>Севергазавтоматика</w:t>
      </w:r>
      <w:r>
        <w:rPr>
          <w:rFonts w:ascii="Times New Roman" w:eastAsia="Times New Roman" w:hAnsi="Times New Roman" w:cs="Times New Roman"/>
          <w:sz w:val="24"/>
          <w:szCs w:val="24"/>
        </w:rPr>
        <w:t>»</w:t>
      </w:r>
      <w:r w:rsidR="009A069F">
        <w:rPr>
          <w:rFonts w:ascii="Times New Roman" w:eastAsia="Times New Roman" w:hAnsi="Times New Roman" w:cs="Times New Roman"/>
          <w:sz w:val="24"/>
          <w:szCs w:val="24"/>
        </w:rPr>
        <w:t xml:space="preserve">                                                ___________________ Д.А. Бобков</w:t>
      </w:r>
    </w:p>
    <w:p w:rsidR="009A069F" w:rsidRDefault="009A069F" w:rsidP="00612179">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9A069F" w:rsidRPr="009A069F" w:rsidRDefault="009A069F" w:rsidP="00612179">
      <w:pPr>
        <w:autoSpaceDE w:val="0"/>
        <w:autoSpaceDN w:val="0"/>
        <w:adjustRightInd w:val="0"/>
        <w:spacing w:after="0" w:line="240" w:lineRule="auto"/>
        <w:jc w:val="both"/>
        <w:outlineLvl w:val="1"/>
        <w:rPr>
          <w:rFonts w:ascii="Times New Roman" w:eastAsia="Times New Roman" w:hAnsi="Times New Roman" w:cs="Times New Roman"/>
          <w:i/>
          <w:sz w:val="24"/>
          <w:szCs w:val="24"/>
        </w:rPr>
      </w:pPr>
      <w:r w:rsidRPr="009A069F">
        <w:rPr>
          <w:rFonts w:ascii="Times New Roman" w:eastAsia="Times New Roman" w:hAnsi="Times New Roman" w:cs="Times New Roman"/>
          <w:i/>
          <w:sz w:val="24"/>
          <w:szCs w:val="24"/>
        </w:rPr>
        <w:t>Утверждено собранием кредиторов АО «Севергазавтоматика» 31.03.2021г.</w:t>
      </w:r>
    </w:p>
    <w:p w:rsidR="00612179" w:rsidRDefault="00612179" w:rsidP="00612179">
      <w:pPr>
        <w:spacing w:after="0" w:line="240" w:lineRule="auto"/>
        <w:rPr>
          <w:sz w:val="24"/>
          <w:szCs w:val="24"/>
        </w:rPr>
      </w:pPr>
    </w:p>
    <w:p w:rsidR="00612179" w:rsidRDefault="00612179" w:rsidP="00612179"/>
    <w:p w:rsidR="0061557C" w:rsidRDefault="0061557C"/>
    <w:sectPr w:rsidR="0061557C" w:rsidSect="00C60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26B7"/>
    <w:multiLevelType w:val="multilevel"/>
    <w:tmpl w:val="51A0F1DE"/>
    <w:lvl w:ilvl="0">
      <w:start w:val="1"/>
      <w:numFmt w:val="decimal"/>
      <w:lvlText w:val="%1."/>
      <w:lvlJc w:val="left"/>
      <w:pPr>
        <w:ind w:left="360" w:hanging="360"/>
      </w:pPr>
      <w:rPr>
        <w:b/>
      </w:rPr>
    </w:lvl>
    <w:lvl w:ilvl="1">
      <w:start w:val="1"/>
      <w:numFmt w:val="decimal"/>
      <w:lvlText w:val="%1.%2."/>
      <w:lvlJc w:val="left"/>
      <w:pPr>
        <w:ind w:left="1425"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12179"/>
    <w:rsid w:val="000028A7"/>
    <w:rsid w:val="00012BFD"/>
    <w:rsid w:val="000455A9"/>
    <w:rsid w:val="000A3686"/>
    <w:rsid w:val="000B3AB8"/>
    <w:rsid w:val="000C4B13"/>
    <w:rsid w:val="000D21CC"/>
    <w:rsid w:val="000E4290"/>
    <w:rsid w:val="000E4C59"/>
    <w:rsid w:val="001277F7"/>
    <w:rsid w:val="00195A9C"/>
    <w:rsid w:val="001A6364"/>
    <w:rsid w:val="001E49F7"/>
    <w:rsid w:val="002E0BA5"/>
    <w:rsid w:val="0031432A"/>
    <w:rsid w:val="00332FEB"/>
    <w:rsid w:val="00393523"/>
    <w:rsid w:val="003B3BEF"/>
    <w:rsid w:val="003C71E9"/>
    <w:rsid w:val="003F5E58"/>
    <w:rsid w:val="004A20E1"/>
    <w:rsid w:val="00501628"/>
    <w:rsid w:val="0053689D"/>
    <w:rsid w:val="00555C3C"/>
    <w:rsid w:val="005B464D"/>
    <w:rsid w:val="005C42F2"/>
    <w:rsid w:val="00612179"/>
    <w:rsid w:val="0061557C"/>
    <w:rsid w:val="00650B69"/>
    <w:rsid w:val="00660F4E"/>
    <w:rsid w:val="00663014"/>
    <w:rsid w:val="00674798"/>
    <w:rsid w:val="006F4D14"/>
    <w:rsid w:val="00762C2B"/>
    <w:rsid w:val="007B2D08"/>
    <w:rsid w:val="00813501"/>
    <w:rsid w:val="00863730"/>
    <w:rsid w:val="008B7982"/>
    <w:rsid w:val="008D1249"/>
    <w:rsid w:val="009A069F"/>
    <w:rsid w:val="009D32F0"/>
    <w:rsid w:val="009F7B37"/>
    <w:rsid w:val="00A771B5"/>
    <w:rsid w:val="00B07207"/>
    <w:rsid w:val="00B22065"/>
    <w:rsid w:val="00B37F4F"/>
    <w:rsid w:val="00B8723F"/>
    <w:rsid w:val="00BB4DF3"/>
    <w:rsid w:val="00C10F69"/>
    <w:rsid w:val="00C371D6"/>
    <w:rsid w:val="00C60D9D"/>
    <w:rsid w:val="00C6177A"/>
    <w:rsid w:val="00C703B3"/>
    <w:rsid w:val="00D108CF"/>
    <w:rsid w:val="00D47DD7"/>
    <w:rsid w:val="00D51092"/>
    <w:rsid w:val="00D735A3"/>
    <w:rsid w:val="00D86903"/>
    <w:rsid w:val="00D86DA8"/>
    <w:rsid w:val="00DA31C4"/>
    <w:rsid w:val="00DF1C59"/>
    <w:rsid w:val="00E0575D"/>
    <w:rsid w:val="00E204DC"/>
    <w:rsid w:val="00E55E7C"/>
    <w:rsid w:val="00E55EC2"/>
    <w:rsid w:val="00EA6381"/>
    <w:rsid w:val="00ED4CBA"/>
    <w:rsid w:val="00EE79B8"/>
    <w:rsid w:val="00F03765"/>
    <w:rsid w:val="00F55EB7"/>
    <w:rsid w:val="00F774F3"/>
    <w:rsid w:val="00FD43E6"/>
    <w:rsid w:val="00FF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179"/>
    <w:rPr>
      <w:color w:val="0000FF" w:themeColor="hyperlink"/>
      <w:u w:val="single"/>
    </w:rPr>
  </w:style>
  <w:style w:type="paragraph" w:styleId="a4">
    <w:name w:val="Normal (Web)"/>
    <w:basedOn w:val="a"/>
    <w:uiPriority w:val="99"/>
    <w:semiHidden/>
    <w:unhideWhenUsed/>
    <w:rsid w:val="00612179"/>
    <w:pPr>
      <w:spacing w:before="240" w:after="240"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12179"/>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612179"/>
    <w:rPr>
      <w:rFonts w:ascii="Times New Roman" w:eastAsia="Times New Roman" w:hAnsi="Times New Roman" w:cs="Times New Roman"/>
      <w:sz w:val="24"/>
      <w:szCs w:val="24"/>
      <w:lang w:eastAsia="ar-SA"/>
    </w:rPr>
  </w:style>
  <w:style w:type="paragraph" w:styleId="a7">
    <w:name w:val="List Paragraph"/>
    <w:basedOn w:val="a"/>
    <w:uiPriority w:val="34"/>
    <w:qFormat/>
    <w:rsid w:val="0061217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uiPriority w:val="99"/>
    <w:rsid w:val="00612179"/>
    <w:pPr>
      <w:widowControl w:val="0"/>
      <w:spacing w:after="0" w:line="240" w:lineRule="auto"/>
      <w:ind w:firstLine="720"/>
    </w:pPr>
    <w:rPr>
      <w:rFonts w:ascii="Arial" w:eastAsia="Times New Roman" w:hAnsi="Arial" w:cs="Times New Roman"/>
      <w:sz w:val="20"/>
      <w:szCs w:val="20"/>
      <w:lang w:eastAsia="ru-RU"/>
    </w:rPr>
  </w:style>
  <w:style w:type="paragraph" w:customStyle="1" w:styleId="Style8">
    <w:name w:val="Style8"/>
    <w:basedOn w:val="a"/>
    <w:uiPriority w:val="99"/>
    <w:rsid w:val="00612179"/>
    <w:pPr>
      <w:widowControl w:val="0"/>
      <w:autoSpaceDE w:val="0"/>
      <w:autoSpaceDN w:val="0"/>
      <w:adjustRightInd w:val="0"/>
      <w:spacing w:after="0" w:line="252" w:lineRule="exact"/>
      <w:ind w:firstLine="739"/>
      <w:jc w:val="both"/>
    </w:pPr>
    <w:rPr>
      <w:rFonts w:ascii="Times New Roman" w:eastAsia="Times New Roman" w:hAnsi="Times New Roman" w:cs="Times New Roman"/>
      <w:sz w:val="24"/>
      <w:szCs w:val="24"/>
      <w:lang w:eastAsia="ru-RU"/>
    </w:rPr>
  </w:style>
  <w:style w:type="paragraph" w:customStyle="1" w:styleId="Default">
    <w:name w:val="Default"/>
    <w:rsid w:val="006121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16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resu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resurs.ru" TargetMode="External"/><Relationship Id="rId5" Type="http://schemas.openxmlformats.org/officeDocument/2006/relationships/hyperlink" Target="http://www.fedresur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usr300</dc:creator>
  <cp:keywords/>
  <dc:description/>
  <cp:lastModifiedBy>Zverdvd.org</cp:lastModifiedBy>
  <cp:revision>12</cp:revision>
  <cp:lastPrinted>2021-04-06T12:31:00Z</cp:lastPrinted>
  <dcterms:created xsi:type="dcterms:W3CDTF">2021-03-23T11:39:00Z</dcterms:created>
  <dcterms:modified xsi:type="dcterms:W3CDTF">2021-04-08T07:55:00Z</dcterms:modified>
</cp:coreProperties>
</file>